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0494C" w14:textId="0407C070" w:rsidR="000C506E" w:rsidRPr="000C506E" w:rsidRDefault="000C506E" w:rsidP="000C506E">
      <w:pPr>
        <w:jc w:val="right"/>
      </w:pPr>
      <w:bookmarkStart w:id="0" w:name="_GoBack"/>
      <w:bookmarkEnd w:id="0"/>
      <w:r w:rsidRPr="000C506E">
        <w:rPr>
          <w:noProof/>
          <w:lang w:eastAsia="en-AU"/>
        </w:rPr>
        <w:drawing>
          <wp:inline distT="0" distB="0" distL="0" distR="0" wp14:anchorId="386E2D8E" wp14:editId="75D66225">
            <wp:extent cx="1121869" cy="428958"/>
            <wp:effectExtent l="0" t="0" r="2540" b="9525"/>
            <wp:docPr id="7" name="Picture 7" descr="Logo of the Education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Counci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1869" cy="428958"/>
                    </a:xfrm>
                    <a:prstGeom prst="rect">
                      <a:avLst/>
                    </a:prstGeom>
                  </pic:spPr>
                </pic:pic>
              </a:graphicData>
            </a:graphic>
          </wp:inline>
        </w:drawing>
      </w:r>
    </w:p>
    <w:p w14:paraId="0A444609" w14:textId="77777777" w:rsidR="000C506E" w:rsidRPr="000C506E" w:rsidRDefault="000C506E" w:rsidP="000C506E">
      <w:pPr>
        <w:sectPr w:rsidR="000C506E" w:rsidRPr="000C506E" w:rsidSect="000C506E">
          <w:headerReference w:type="even" r:id="rId13"/>
          <w:headerReference w:type="default" r:id="rId14"/>
          <w:footerReference w:type="even" r:id="rId15"/>
          <w:type w:val="continuous"/>
          <w:pgSz w:w="11906" w:h="16838"/>
          <w:pgMar w:top="567" w:right="567" w:bottom="1440" w:left="1985" w:header="709" w:footer="709" w:gutter="0"/>
          <w:pgNumType w:fmt="lowerRoman" w:start="1"/>
          <w:cols w:space="708"/>
          <w:docGrid w:linePitch="360"/>
        </w:sectPr>
      </w:pPr>
    </w:p>
    <w:p w14:paraId="309C91B3" w14:textId="031A3A34" w:rsidR="007731F3" w:rsidRPr="000C506E" w:rsidRDefault="00692D90" w:rsidP="00FB0C79">
      <w:pPr>
        <w:spacing w:before="2640"/>
        <w:ind w:right="4348"/>
      </w:pPr>
      <w:sdt>
        <w:sdtPr>
          <w:rPr>
            <w:rStyle w:val="TitleChar"/>
          </w:rPr>
          <w:alias w:val="Title"/>
          <w:tag w:val=""/>
          <w:id w:val="1895697859"/>
          <w:placeholder>
            <w:docPart w:val="AD530061C7CC4BA6A3E64CD270B9A130"/>
          </w:placeholder>
          <w:dataBinding w:prefixMappings="xmlns:ns0='http://purl.org/dc/elements/1.1/' xmlns:ns1='http://schemas.openxmlformats.org/package/2006/metadata/core-properties' " w:xpath="/ns1:coreProperties[1]/ns0:title[1]" w:storeItemID="{6C3C8BC8-F283-45AE-878A-BAB7291924A1}"/>
          <w:text/>
        </w:sdtPr>
        <w:sdtContent>
          <w:r w:rsidR="000C506E" w:rsidRPr="000C506E">
            <w:rPr>
              <w:rStyle w:val="TitleChar"/>
            </w:rPr>
            <w:t>Preparing</w:t>
          </w:r>
          <w:r w:rsidR="000C506E">
            <w:rPr>
              <w:rStyle w:val="TitleChar"/>
            </w:rPr>
            <w:t xml:space="preserve"> </w:t>
          </w:r>
          <w:r w:rsidR="000C506E" w:rsidRPr="000C506E">
            <w:rPr>
              <w:rStyle w:val="TitleChar"/>
            </w:rPr>
            <w:t>secondary</w:t>
          </w:r>
          <w:r w:rsidR="00FB0C79">
            <w:rPr>
              <w:rStyle w:val="TitleChar"/>
            </w:rPr>
            <w:t> </w:t>
          </w:r>
          <w:r w:rsidR="000C506E" w:rsidRPr="000C506E">
            <w:rPr>
              <w:rStyle w:val="TitleChar"/>
            </w:rPr>
            <w:t>students for work</w:t>
          </w:r>
        </w:sdtContent>
      </w:sdt>
      <w:r w:rsidR="008077C2" w:rsidRPr="000C506E">
        <w:rPr>
          <w:noProof/>
          <w:lang w:eastAsia="en-AU"/>
        </w:rPr>
        <w:drawing>
          <wp:anchor distT="0" distB="0" distL="114300" distR="114300" simplePos="0" relativeHeight="251661312" behindDoc="1" locked="0" layoutInCell="1" allowOverlap="1" wp14:anchorId="57CA6785" wp14:editId="031950A1">
            <wp:simplePos x="0" y="0"/>
            <wp:positionH relativeFrom="page">
              <wp:posOffset>-7620</wp:posOffset>
            </wp:positionH>
            <wp:positionV relativeFrom="page">
              <wp:posOffset>-7620</wp:posOffset>
            </wp:positionV>
            <wp:extent cx="7626984" cy="10784143"/>
            <wp:effectExtent l="0" t="0" r="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26984" cy="10784143"/>
                    </a:xfrm>
                    <a:prstGeom prst="rect">
                      <a:avLst/>
                    </a:prstGeom>
                  </pic:spPr>
                </pic:pic>
              </a:graphicData>
            </a:graphic>
            <wp14:sizeRelH relativeFrom="page">
              <wp14:pctWidth>0</wp14:pctWidth>
            </wp14:sizeRelH>
            <wp14:sizeRelV relativeFrom="page">
              <wp14:pctHeight>0</wp14:pctHeight>
            </wp14:sizeRelV>
          </wp:anchor>
        </w:drawing>
      </w:r>
    </w:p>
    <w:p w14:paraId="041DD23B" w14:textId="0FC5ECE1" w:rsidR="00692D90" w:rsidRDefault="007731F3" w:rsidP="00731E24">
      <w:pPr>
        <w:pStyle w:val="Subtitle"/>
        <w:jc w:val="left"/>
        <w:rPr>
          <w:noProof/>
        </w:rPr>
      </w:pPr>
      <w:r w:rsidRPr="000C506E">
        <w:t>A framework for</w:t>
      </w:r>
      <w:r w:rsidR="00FB0C79">
        <w:br/>
      </w:r>
      <w:r w:rsidRPr="000C506E">
        <w:t>vocational learning and VET</w:t>
      </w:r>
      <w:r w:rsidR="00FB0C79">
        <w:br/>
      </w:r>
      <w:r w:rsidRPr="000C506E">
        <w:t xml:space="preserve">delivered to secondary </w:t>
      </w:r>
      <w:r w:rsidR="0083055E" w:rsidRPr="000C506E">
        <w:t>students</w:t>
      </w:r>
    </w:p>
    <w:p w14:paraId="6CF44386" w14:textId="77777777" w:rsidR="00692D90" w:rsidRDefault="00692D90">
      <w:pPr>
        <w:spacing w:after="200" w:line="276" w:lineRule="auto"/>
        <w:rPr>
          <w:lang w:eastAsia="en-AU"/>
        </w:rPr>
      </w:pPr>
      <w:r>
        <w:rPr>
          <w:lang w:eastAsia="en-AU"/>
        </w:rPr>
        <w:br w:type="page"/>
      </w:r>
    </w:p>
    <w:p w14:paraId="14DD5195" w14:textId="088D7C3B" w:rsidR="006D23FC" w:rsidRDefault="00214D30" w:rsidP="006D23FC">
      <w:pPr>
        <w:rPr>
          <w:lang w:eastAsia="en-AU"/>
        </w:rPr>
      </w:pPr>
      <w:r w:rsidRPr="006D23FC">
        <w:lastRenderedPageBreak/>
        <w:t>Copyright</w:t>
      </w:r>
      <w:r>
        <w:rPr>
          <w:lang w:eastAsia="en-AU"/>
        </w:rPr>
        <w:t xml:space="preserve"> and Terms of Use</w:t>
      </w:r>
    </w:p>
    <w:p w14:paraId="15CB48A7" w14:textId="098F8132" w:rsidR="00214D30" w:rsidRPr="006D23FC" w:rsidRDefault="00214D30" w:rsidP="006D23FC">
      <w:r w:rsidRPr="006D23FC">
        <w:t>© Education Services Australia 2014, as the legal entity for the Education Council.</w:t>
      </w:r>
    </w:p>
    <w:p w14:paraId="32AEF494" w14:textId="77777777" w:rsidR="00214D30" w:rsidRDefault="00214D30" w:rsidP="00692D90">
      <w:pPr>
        <w:rPr>
          <w:lang w:eastAsia="en-AU"/>
        </w:rPr>
      </w:pPr>
      <w:r>
        <w:rPr>
          <w:lang w:eastAsia="en-AU"/>
        </w:rPr>
        <w:t>The copyright material in this document is subject to the Copyright Act 1968 (</w:t>
      </w:r>
      <w:proofErr w:type="spellStart"/>
      <w:r>
        <w:rPr>
          <w:lang w:eastAsia="en-AU"/>
        </w:rPr>
        <w:t>Cth</w:t>
      </w:r>
      <w:proofErr w:type="spellEnd"/>
      <w:r>
        <w:rPr>
          <w:lang w:eastAsia="en-AU"/>
        </w:rPr>
        <w:t>), and is owned by Education Services Australia as the legal entity for the Education Council or, where indicated, by a party other than Education Services Australia.</w:t>
      </w:r>
    </w:p>
    <w:p w14:paraId="7CE9974C" w14:textId="77777777" w:rsidR="00214D30" w:rsidRDefault="00214D30" w:rsidP="009624D3">
      <w:pPr>
        <w:rPr>
          <w:lang w:eastAsia="en-AU"/>
        </w:rPr>
      </w:pPr>
      <w:r>
        <w:rPr>
          <w:lang w:eastAsia="en-AU"/>
        </w:rPr>
        <w:t>Education Services Australia 2014 and the Education Council support and encourage use of its material for all legitimate purposes.</w:t>
      </w:r>
    </w:p>
    <w:p w14:paraId="285E2E08" w14:textId="77777777" w:rsidR="00214D30" w:rsidRDefault="00214D30" w:rsidP="009624D3">
      <w:pPr>
        <w:rPr>
          <w:lang w:eastAsia="en-AU"/>
        </w:rPr>
      </w:pPr>
      <w:r>
        <w:rPr>
          <w:lang w:eastAsia="en-AU"/>
        </w:rPr>
        <w:t xml:space="preserve">This document is licensed under a </w:t>
      </w:r>
      <w:r>
        <w:rPr>
          <w:color w:val="2300FF"/>
          <w:lang w:eastAsia="en-AU"/>
        </w:rPr>
        <w:t xml:space="preserve">Creative Commons Attribution 4.0 International (CC BY 4.0) licence </w:t>
      </w:r>
      <w:r>
        <w:rPr>
          <w:lang w:eastAsia="en-AU"/>
        </w:rPr>
        <w:t>unless indicated otherwise</w:t>
      </w:r>
      <w:r w:rsidR="006B4B71">
        <w:rPr>
          <w:lang w:eastAsia="en-AU"/>
        </w:rPr>
        <w:t xml:space="preserve"> [Excluded Material]</w:t>
      </w:r>
      <w:r>
        <w:rPr>
          <w:lang w:eastAsia="en-AU"/>
        </w:rPr>
        <w:t>.</w:t>
      </w:r>
    </w:p>
    <w:p w14:paraId="4018A047" w14:textId="77777777" w:rsidR="00130923" w:rsidRPr="00214D30" w:rsidRDefault="00214D30" w:rsidP="00214D30">
      <w:pPr>
        <w:autoSpaceDE w:val="0"/>
        <w:autoSpaceDN w:val="0"/>
        <w:adjustRightInd w:val="0"/>
        <w:rPr>
          <w:rFonts w:ascii="ArialNarrow" w:hAnsi="ArialNarrow" w:cs="ArialNarrow"/>
          <w:color w:val="000000"/>
          <w:lang w:eastAsia="en-AU"/>
        </w:rPr>
      </w:pPr>
      <w:r>
        <w:rPr>
          <w:rFonts w:ascii="ArialNarrow" w:hAnsi="ArialNarrow" w:cs="ArialNarrow"/>
          <w:color w:val="000000"/>
          <w:lang w:eastAsia="en-AU"/>
        </w:rPr>
        <w:t>I</w:t>
      </w:r>
      <w:r w:rsidR="00130923" w:rsidRPr="008E4DA0">
        <w:t>SBN</w:t>
      </w:r>
    </w:p>
    <w:p w14:paraId="151BC562" w14:textId="0831DD68" w:rsidR="00731E24" w:rsidRPr="00731E24" w:rsidRDefault="00B846BA" w:rsidP="00731E24">
      <w:pPr>
        <w:contextualSpacing/>
      </w:pPr>
      <w:r w:rsidRPr="00731E24">
        <w:t>978-1-74361-977-3</w:t>
      </w:r>
      <w:r w:rsidR="00DC3052" w:rsidRPr="00731E24">
        <w:t xml:space="preserve"> [</w:t>
      </w:r>
      <w:r w:rsidR="00A6543E" w:rsidRPr="00731E24">
        <w:t>Print</w:t>
      </w:r>
      <w:r w:rsidR="00DC3052" w:rsidRPr="00731E24">
        <w:t>]</w:t>
      </w:r>
    </w:p>
    <w:p w14:paraId="1218FEC5" w14:textId="77777777" w:rsidR="00731E24" w:rsidRPr="00731E24" w:rsidRDefault="00B846BA" w:rsidP="00731E24">
      <w:pPr>
        <w:contextualSpacing/>
      </w:pPr>
      <w:r w:rsidRPr="00731E24">
        <w:t xml:space="preserve">978-1-74361-973-5 </w:t>
      </w:r>
      <w:r w:rsidR="00130923" w:rsidRPr="00731E24">
        <w:t>[PDF]</w:t>
      </w:r>
    </w:p>
    <w:p w14:paraId="0BC9A68D" w14:textId="69E0D094" w:rsidR="00130923" w:rsidRPr="00731E24" w:rsidRDefault="00B846BA" w:rsidP="00731E24">
      <w:pPr>
        <w:contextualSpacing/>
      </w:pPr>
      <w:r w:rsidRPr="00731E24">
        <w:t>978-1-74361-976-6</w:t>
      </w:r>
      <w:r w:rsidR="00130923" w:rsidRPr="00731E24">
        <w:t xml:space="preserve"> [</w:t>
      </w:r>
      <w:proofErr w:type="spellStart"/>
      <w:r w:rsidR="00130923" w:rsidRPr="00731E24">
        <w:t>DOCX</w:t>
      </w:r>
      <w:proofErr w:type="spellEnd"/>
      <w:r w:rsidR="00130923" w:rsidRPr="00731E24">
        <w:t>]</w:t>
      </w:r>
    </w:p>
    <w:p w14:paraId="52073222" w14:textId="77777777" w:rsidR="00130923" w:rsidRDefault="00130923" w:rsidP="001D473B">
      <w:r>
        <w:rPr>
          <w:noProof/>
          <w:lang w:eastAsia="en-AU"/>
        </w:rPr>
        <w:drawing>
          <wp:inline distT="0" distB="0" distL="0" distR="0" wp14:anchorId="0864F9EC" wp14:editId="24D48F94">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7" r:link="rId18"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214327E5" w14:textId="77777777" w:rsidR="00214D30" w:rsidRDefault="00214D30" w:rsidP="009624D3">
      <w:pPr>
        <w:rPr>
          <w:lang w:eastAsia="en-AU"/>
        </w:rPr>
      </w:pPr>
      <w:r>
        <w:rPr>
          <w:lang w:eastAsia="en-AU"/>
        </w:rPr>
        <w:t>Except in relation to any Excluded Material this licence allows you to:</w:t>
      </w:r>
    </w:p>
    <w:p w14:paraId="285E4AF1" w14:textId="77777777" w:rsidR="00214D30" w:rsidRDefault="00214D30" w:rsidP="009624D3">
      <w:pPr>
        <w:pStyle w:val="ListParagraph"/>
        <w:rPr>
          <w:lang w:eastAsia="en-AU"/>
        </w:rPr>
      </w:pPr>
      <w:r>
        <w:rPr>
          <w:lang w:eastAsia="en-AU"/>
        </w:rPr>
        <w:t>Share</w:t>
      </w:r>
      <w:r w:rsidRPr="00214D30">
        <w:rPr>
          <w:lang w:eastAsia="en-AU"/>
        </w:rPr>
        <w:t>—copy and redistribute the material in any medium or format</w:t>
      </w:r>
    </w:p>
    <w:p w14:paraId="446DD5B8" w14:textId="77777777" w:rsidR="00214D30" w:rsidRDefault="00214D30" w:rsidP="009624D3">
      <w:pPr>
        <w:pStyle w:val="ListParagraph"/>
        <w:rPr>
          <w:lang w:eastAsia="en-AU"/>
        </w:rPr>
      </w:pPr>
      <w:r w:rsidRPr="00214D30">
        <w:rPr>
          <w:lang w:eastAsia="en-AU"/>
        </w:rPr>
        <w:t>Adapt</w:t>
      </w:r>
      <w:r>
        <w:rPr>
          <w:lang w:eastAsia="en-AU"/>
        </w:rPr>
        <w:t>—</w:t>
      </w:r>
      <w:r w:rsidRPr="00214D30">
        <w:rPr>
          <w:lang w:eastAsia="en-AU"/>
        </w:rPr>
        <w:t>remix, transform, and build upon the material</w:t>
      </w:r>
    </w:p>
    <w:p w14:paraId="44ACC956" w14:textId="77777777" w:rsidR="00130923" w:rsidRPr="000462F1" w:rsidRDefault="00214D30" w:rsidP="009624D3">
      <w:proofErr w:type="gramStart"/>
      <w:r w:rsidRPr="006B4B71">
        <w:rPr>
          <w:lang w:eastAsia="en-AU"/>
        </w:rPr>
        <w:t>for</w:t>
      </w:r>
      <w:proofErr w:type="gramEnd"/>
      <w:r w:rsidRPr="006B4B71">
        <w:rPr>
          <w:lang w:eastAsia="en-AU"/>
        </w:rPr>
        <w:t xml:space="preserve"> any purpose, even commercially</w:t>
      </w:r>
      <w:r w:rsidR="006461D9">
        <w:rPr>
          <w:lang w:eastAsia="en-AU"/>
        </w:rPr>
        <w:t xml:space="preserve">, </w:t>
      </w:r>
      <w:r>
        <w:rPr>
          <w:lang w:eastAsia="en-AU"/>
        </w:rPr>
        <w:t>provided you attribute Education Services Australia 2014 as the legal entity for the Education Council as the</w:t>
      </w:r>
      <w:r w:rsidR="006B4B71">
        <w:rPr>
          <w:lang w:eastAsia="en-AU"/>
        </w:rPr>
        <w:t xml:space="preserve"> </w:t>
      </w:r>
      <w:r>
        <w:rPr>
          <w:lang w:eastAsia="en-AU"/>
        </w:rPr>
        <w:t>source of the copyright material. The Education Council requests attribution as: Education Services Australia</w:t>
      </w:r>
      <w:r w:rsidR="006B4B71">
        <w:rPr>
          <w:lang w:eastAsia="en-AU"/>
        </w:rPr>
        <w:t xml:space="preserve"> </w:t>
      </w:r>
      <w:r>
        <w:rPr>
          <w:lang w:eastAsia="en-AU"/>
        </w:rPr>
        <w:t>2014, as the legal entity for the Education Council.</w:t>
      </w:r>
    </w:p>
    <w:p w14:paraId="54FEA817" w14:textId="77777777" w:rsidR="00692D90" w:rsidRDefault="00130923" w:rsidP="001D473B">
      <w:pPr>
        <w:sectPr w:rsidR="00692D90" w:rsidSect="006D23FC">
          <w:footerReference w:type="default" r:id="rId19"/>
          <w:type w:val="continuous"/>
          <w:pgSz w:w="11906" w:h="16838"/>
          <w:pgMar w:top="7371" w:right="1440" w:bottom="1440" w:left="1440" w:header="709" w:footer="709" w:gutter="0"/>
          <w:pgNumType w:fmt="lowerRoman"/>
          <w:cols w:space="708"/>
          <w:docGrid w:linePitch="360"/>
        </w:sectPr>
      </w:pPr>
      <w:r w:rsidRPr="000462F1">
        <w:t xml:space="preserve">The document must be attributed as </w:t>
      </w:r>
      <w:r w:rsidR="00B80BC7" w:rsidRPr="006461D9">
        <w:rPr>
          <w:i/>
        </w:rPr>
        <w:t>Preparing Secondary Students for Work</w:t>
      </w:r>
      <w:r>
        <w:t>.</w:t>
      </w:r>
    </w:p>
    <w:sdt>
      <w:sdtPr>
        <w:rPr>
          <w:rFonts w:eastAsiaTheme="minorEastAsia" w:cstheme="minorBidi"/>
          <w:b w:val="0"/>
          <w:bCs w:val="0"/>
          <w:color w:val="auto"/>
          <w:sz w:val="22"/>
          <w:szCs w:val="22"/>
          <w:lang w:bidi="ar-SA"/>
        </w:rPr>
        <w:id w:val="-1139256129"/>
        <w:docPartObj>
          <w:docPartGallery w:val="Table of Contents"/>
          <w:docPartUnique/>
        </w:docPartObj>
      </w:sdtPr>
      <w:sdtEndPr>
        <w:rPr>
          <w:noProof/>
        </w:rPr>
      </w:sdtEndPr>
      <w:sdtContent>
        <w:p w14:paraId="15CAE9B6" w14:textId="271B515A" w:rsidR="00731E24" w:rsidRDefault="00731E24">
          <w:pPr>
            <w:pStyle w:val="TOCHeading"/>
          </w:pPr>
          <w:r>
            <w:t>Contents</w:t>
          </w:r>
        </w:p>
        <w:p w14:paraId="6D325383" w14:textId="77777777" w:rsidR="006D23FC" w:rsidRDefault="00731E24">
          <w:pPr>
            <w:pStyle w:val="TOC1"/>
            <w:tabs>
              <w:tab w:val="right" w:pos="9016"/>
            </w:tabs>
            <w:rPr>
              <w:rFonts w:cstheme="minorBidi"/>
              <w:b w:val="0"/>
              <w:bCs w:val="0"/>
              <w:noProof/>
              <w:sz w:val="22"/>
              <w:szCs w:val="22"/>
              <w:lang w:eastAsia="en-AU"/>
            </w:rPr>
          </w:pPr>
          <w:r>
            <w:rPr>
              <w:b w:val="0"/>
              <w:bCs w:val="0"/>
            </w:rPr>
            <w:fldChar w:fldCharType="begin"/>
          </w:r>
          <w:r>
            <w:rPr>
              <w:b w:val="0"/>
              <w:bCs w:val="0"/>
            </w:rPr>
            <w:instrText xml:space="preserve"> TOC \o "1-3" \u </w:instrText>
          </w:r>
          <w:r>
            <w:rPr>
              <w:b w:val="0"/>
              <w:bCs w:val="0"/>
            </w:rPr>
            <w:fldChar w:fldCharType="separate"/>
          </w:r>
          <w:r w:rsidR="006D23FC">
            <w:rPr>
              <w:noProof/>
            </w:rPr>
            <w:t>Glossary</w:t>
          </w:r>
          <w:r w:rsidR="006D23FC">
            <w:rPr>
              <w:noProof/>
            </w:rPr>
            <w:tab/>
          </w:r>
          <w:r w:rsidR="006D23FC">
            <w:rPr>
              <w:noProof/>
            </w:rPr>
            <w:fldChar w:fldCharType="begin"/>
          </w:r>
          <w:r w:rsidR="006D23FC">
            <w:rPr>
              <w:noProof/>
            </w:rPr>
            <w:instrText xml:space="preserve"> PAGEREF _Toc406079692 \h </w:instrText>
          </w:r>
          <w:r w:rsidR="006D23FC">
            <w:rPr>
              <w:noProof/>
            </w:rPr>
          </w:r>
          <w:r w:rsidR="006D23FC">
            <w:rPr>
              <w:noProof/>
            </w:rPr>
            <w:fldChar w:fldCharType="separate"/>
          </w:r>
          <w:r w:rsidR="006D23FC">
            <w:rPr>
              <w:noProof/>
            </w:rPr>
            <w:t>iv</w:t>
          </w:r>
          <w:r w:rsidR="006D23FC">
            <w:rPr>
              <w:noProof/>
            </w:rPr>
            <w:fldChar w:fldCharType="end"/>
          </w:r>
        </w:p>
        <w:p w14:paraId="3EBAC220" w14:textId="77777777" w:rsidR="006D23FC" w:rsidRDefault="006D23FC">
          <w:pPr>
            <w:pStyle w:val="TOC1"/>
            <w:tabs>
              <w:tab w:val="right" w:pos="9016"/>
            </w:tabs>
            <w:rPr>
              <w:rFonts w:cstheme="minorBidi"/>
              <w:b w:val="0"/>
              <w:bCs w:val="0"/>
              <w:noProof/>
              <w:sz w:val="22"/>
              <w:szCs w:val="22"/>
              <w:lang w:eastAsia="en-AU"/>
            </w:rPr>
          </w:pPr>
          <w:r>
            <w:rPr>
              <w:noProof/>
            </w:rPr>
            <w:t>Background</w:t>
          </w:r>
          <w:r>
            <w:rPr>
              <w:noProof/>
            </w:rPr>
            <w:tab/>
          </w:r>
          <w:r>
            <w:rPr>
              <w:noProof/>
            </w:rPr>
            <w:fldChar w:fldCharType="begin"/>
          </w:r>
          <w:r>
            <w:rPr>
              <w:noProof/>
            </w:rPr>
            <w:instrText xml:space="preserve"> PAGEREF _Toc406079693 \h </w:instrText>
          </w:r>
          <w:r>
            <w:rPr>
              <w:noProof/>
            </w:rPr>
          </w:r>
          <w:r>
            <w:rPr>
              <w:noProof/>
            </w:rPr>
            <w:fldChar w:fldCharType="separate"/>
          </w:r>
          <w:r>
            <w:rPr>
              <w:noProof/>
            </w:rPr>
            <w:t>1</w:t>
          </w:r>
          <w:r>
            <w:rPr>
              <w:noProof/>
            </w:rPr>
            <w:fldChar w:fldCharType="end"/>
          </w:r>
        </w:p>
        <w:p w14:paraId="1DB610EE" w14:textId="77777777" w:rsidR="006D23FC" w:rsidRDefault="006D23FC">
          <w:pPr>
            <w:pStyle w:val="TOC1"/>
            <w:tabs>
              <w:tab w:val="right" w:pos="9016"/>
            </w:tabs>
            <w:rPr>
              <w:rFonts w:cstheme="minorBidi"/>
              <w:b w:val="0"/>
              <w:bCs w:val="0"/>
              <w:noProof/>
              <w:sz w:val="22"/>
              <w:szCs w:val="22"/>
              <w:lang w:eastAsia="en-AU"/>
            </w:rPr>
          </w:pPr>
          <w:r>
            <w:rPr>
              <w:noProof/>
            </w:rPr>
            <w:t>The Imperative</w:t>
          </w:r>
          <w:r>
            <w:rPr>
              <w:noProof/>
            </w:rPr>
            <w:tab/>
          </w:r>
          <w:r>
            <w:rPr>
              <w:noProof/>
            </w:rPr>
            <w:fldChar w:fldCharType="begin"/>
          </w:r>
          <w:r>
            <w:rPr>
              <w:noProof/>
            </w:rPr>
            <w:instrText xml:space="preserve"> PAGEREF _Toc406079694 \h </w:instrText>
          </w:r>
          <w:r>
            <w:rPr>
              <w:noProof/>
            </w:rPr>
          </w:r>
          <w:r>
            <w:rPr>
              <w:noProof/>
            </w:rPr>
            <w:fldChar w:fldCharType="separate"/>
          </w:r>
          <w:r>
            <w:rPr>
              <w:noProof/>
            </w:rPr>
            <w:t>2</w:t>
          </w:r>
          <w:r>
            <w:rPr>
              <w:noProof/>
            </w:rPr>
            <w:fldChar w:fldCharType="end"/>
          </w:r>
        </w:p>
        <w:p w14:paraId="6CB442FD" w14:textId="77777777" w:rsidR="006D23FC" w:rsidRDefault="006D23FC">
          <w:pPr>
            <w:pStyle w:val="TOC2"/>
            <w:rPr>
              <w:rFonts w:cstheme="minorBidi"/>
              <w:i w:val="0"/>
              <w:iCs w:val="0"/>
              <w:sz w:val="22"/>
              <w:szCs w:val="22"/>
              <w:lang w:eastAsia="en-AU"/>
            </w:rPr>
          </w:pPr>
          <w:r>
            <w:t>What has changed</w:t>
          </w:r>
          <w:r>
            <w:tab/>
          </w:r>
          <w:r>
            <w:fldChar w:fldCharType="begin"/>
          </w:r>
          <w:r>
            <w:instrText xml:space="preserve"> PAGEREF _Toc406079695 \h </w:instrText>
          </w:r>
          <w:r>
            <w:fldChar w:fldCharType="separate"/>
          </w:r>
          <w:r>
            <w:t>2</w:t>
          </w:r>
          <w:r>
            <w:fldChar w:fldCharType="end"/>
          </w:r>
        </w:p>
        <w:p w14:paraId="5A7ADD84" w14:textId="77777777" w:rsidR="006D23FC" w:rsidRDefault="006D23FC">
          <w:pPr>
            <w:pStyle w:val="TOC2"/>
            <w:rPr>
              <w:rFonts w:cstheme="minorBidi"/>
              <w:i w:val="0"/>
              <w:iCs w:val="0"/>
              <w:sz w:val="22"/>
              <w:szCs w:val="22"/>
              <w:lang w:eastAsia="en-AU"/>
            </w:rPr>
          </w:pPr>
          <w:r>
            <w:t>What needs to change</w:t>
          </w:r>
          <w:r>
            <w:tab/>
          </w:r>
          <w:r>
            <w:fldChar w:fldCharType="begin"/>
          </w:r>
          <w:r>
            <w:instrText xml:space="preserve"> PAGEREF _Toc406079696 \h </w:instrText>
          </w:r>
          <w:r>
            <w:fldChar w:fldCharType="separate"/>
          </w:r>
          <w:r>
            <w:t>3</w:t>
          </w:r>
          <w:r>
            <w:fldChar w:fldCharType="end"/>
          </w:r>
        </w:p>
        <w:p w14:paraId="369109AA" w14:textId="77777777" w:rsidR="006D23FC" w:rsidRDefault="006D23FC">
          <w:pPr>
            <w:pStyle w:val="TOC1"/>
            <w:tabs>
              <w:tab w:val="right" w:pos="9016"/>
            </w:tabs>
            <w:rPr>
              <w:rFonts w:cstheme="minorBidi"/>
              <w:b w:val="0"/>
              <w:bCs w:val="0"/>
              <w:noProof/>
              <w:sz w:val="22"/>
              <w:szCs w:val="22"/>
              <w:lang w:eastAsia="en-AU"/>
            </w:rPr>
          </w:pPr>
          <w:r>
            <w:rPr>
              <w:noProof/>
            </w:rPr>
            <w:t>The Components</w:t>
          </w:r>
          <w:r>
            <w:rPr>
              <w:noProof/>
            </w:rPr>
            <w:tab/>
          </w:r>
          <w:r>
            <w:rPr>
              <w:noProof/>
            </w:rPr>
            <w:fldChar w:fldCharType="begin"/>
          </w:r>
          <w:r>
            <w:rPr>
              <w:noProof/>
            </w:rPr>
            <w:instrText xml:space="preserve"> PAGEREF _Toc406079697 \h </w:instrText>
          </w:r>
          <w:r>
            <w:rPr>
              <w:noProof/>
            </w:rPr>
          </w:r>
          <w:r>
            <w:rPr>
              <w:noProof/>
            </w:rPr>
            <w:fldChar w:fldCharType="separate"/>
          </w:r>
          <w:r>
            <w:rPr>
              <w:noProof/>
            </w:rPr>
            <w:t>5</w:t>
          </w:r>
          <w:r>
            <w:rPr>
              <w:noProof/>
            </w:rPr>
            <w:fldChar w:fldCharType="end"/>
          </w:r>
        </w:p>
        <w:p w14:paraId="752C8A22" w14:textId="77777777" w:rsidR="006D23FC" w:rsidRDefault="006D23FC">
          <w:pPr>
            <w:pStyle w:val="TOC2"/>
            <w:rPr>
              <w:rFonts w:cstheme="minorBidi"/>
              <w:i w:val="0"/>
              <w:iCs w:val="0"/>
              <w:sz w:val="22"/>
              <w:szCs w:val="22"/>
              <w:lang w:eastAsia="en-AU"/>
            </w:rPr>
          </w:pPr>
          <w:r>
            <w:t>Clarity</w:t>
          </w:r>
          <w:r>
            <w:tab/>
          </w:r>
          <w:r>
            <w:fldChar w:fldCharType="begin"/>
          </w:r>
          <w:r>
            <w:instrText xml:space="preserve"> PAGEREF _Toc406079698 \h </w:instrText>
          </w:r>
          <w:r>
            <w:fldChar w:fldCharType="separate"/>
          </w:r>
          <w:r>
            <w:t>6</w:t>
          </w:r>
          <w:r>
            <w:fldChar w:fldCharType="end"/>
          </w:r>
        </w:p>
        <w:p w14:paraId="48BC3037" w14:textId="77777777" w:rsidR="006D23FC" w:rsidRDefault="006D23FC">
          <w:pPr>
            <w:pStyle w:val="TOC3"/>
            <w:tabs>
              <w:tab w:val="right" w:pos="9016"/>
            </w:tabs>
            <w:rPr>
              <w:rFonts w:cstheme="minorBidi"/>
              <w:noProof/>
              <w:sz w:val="22"/>
              <w:szCs w:val="22"/>
              <w:lang w:eastAsia="en-AU"/>
            </w:rPr>
          </w:pPr>
          <w:r>
            <w:rPr>
              <w:noProof/>
            </w:rPr>
            <w:t>Terminology</w:t>
          </w:r>
          <w:r>
            <w:rPr>
              <w:noProof/>
            </w:rPr>
            <w:tab/>
          </w:r>
          <w:r>
            <w:rPr>
              <w:noProof/>
            </w:rPr>
            <w:fldChar w:fldCharType="begin"/>
          </w:r>
          <w:r>
            <w:rPr>
              <w:noProof/>
            </w:rPr>
            <w:instrText xml:space="preserve"> PAGEREF _Toc406079699 \h </w:instrText>
          </w:r>
          <w:r>
            <w:rPr>
              <w:noProof/>
            </w:rPr>
          </w:r>
          <w:r>
            <w:rPr>
              <w:noProof/>
            </w:rPr>
            <w:fldChar w:fldCharType="separate"/>
          </w:r>
          <w:r>
            <w:rPr>
              <w:noProof/>
            </w:rPr>
            <w:t>6</w:t>
          </w:r>
          <w:r>
            <w:rPr>
              <w:noProof/>
            </w:rPr>
            <w:fldChar w:fldCharType="end"/>
          </w:r>
        </w:p>
        <w:p w14:paraId="76927D2D" w14:textId="77777777" w:rsidR="006D23FC" w:rsidRDefault="006D23FC">
          <w:pPr>
            <w:pStyle w:val="TOC3"/>
            <w:tabs>
              <w:tab w:val="right" w:pos="9016"/>
            </w:tabs>
            <w:rPr>
              <w:rFonts w:cstheme="minorBidi"/>
              <w:noProof/>
              <w:sz w:val="22"/>
              <w:szCs w:val="22"/>
              <w:lang w:eastAsia="en-AU"/>
            </w:rPr>
          </w:pPr>
          <w:r>
            <w:rPr>
              <w:noProof/>
            </w:rPr>
            <w:t>Vocational learning</w:t>
          </w:r>
          <w:r>
            <w:rPr>
              <w:noProof/>
            </w:rPr>
            <w:tab/>
          </w:r>
          <w:r>
            <w:rPr>
              <w:noProof/>
            </w:rPr>
            <w:fldChar w:fldCharType="begin"/>
          </w:r>
          <w:r>
            <w:rPr>
              <w:noProof/>
            </w:rPr>
            <w:instrText xml:space="preserve"> PAGEREF _Toc406079700 \h </w:instrText>
          </w:r>
          <w:r>
            <w:rPr>
              <w:noProof/>
            </w:rPr>
          </w:r>
          <w:r>
            <w:rPr>
              <w:noProof/>
            </w:rPr>
            <w:fldChar w:fldCharType="separate"/>
          </w:r>
          <w:r>
            <w:rPr>
              <w:noProof/>
            </w:rPr>
            <w:t>6</w:t>
          </w:r>
          <w:r>
            <w:rPr>
              <w:noProof/>
            </w:rPr>
            <w:fldChar w:fldCharType="end"/>
          </w:r>
        </w:p>
        <w:p w14:paraId="6CD92753" w14:textId="77777777" w:rsidR="006D23FC" w:rsidRDefault="006D23FC">
          <w:pPr>
            <w:pStyle w:val="TOC3"/>
            <w:tabs>
              <w:tab w:val="right" w:pos="9016"/>
            </w:tabs>
            <w:rPr>
              <w:rFonts w:cstheme="minorBidi"/>
              <w:noProof/>
              <w:sz w:val="22"/>
              <w:szCs w:val="22"/>
              <w:lang w:eastAsia="en-AU"/>
            </w:rPr>
          </w:pPr>
          <w:r>
            <w:rPr>
              <w:noProof/>
            </w:rPr>
            <w:t>Vocational education and training (VET)</w:t>
          </w:r>
          <w:r>
            <w:rPr>
              <w:noProof/>
            </w:rPr>
            <w:tab/>
          </w:r>
          <w:r>
            <w:rPr>
              <w:noProof/>
            </w:rPr>
            <w:fldChar w:fldCharType="begin"/>
          </w:r>
          <w:r>
            <w:rPr>
              <w:noProof/>
            </w:rPr>
            <w:instrText xml:space="preserve"> PAGEREF _Toc406079701 \h </w:instrText>
          </w:r>
          <w:r>
            <w:rPr>
              <w:noProof/>
            </w:rPr>
          </w:r>
          <w:r>
            <w:rPr>
              <w:noProof/>
            </w:rPr>
            <w:fldChar w:fldCharType="separate"/>
          </w:r>
          <w:r>
            <w:rPr>
              <w:noProof/>
            </w:rPr>
            <w:t>6</w:t>
          </w:r>
          <w:r>
            <w:rPr>
              <w:noProof/>
            </w:rPr>
            <w:fldChar w:fldCharType="end"/>
          </w:r>
        </w:p>
        <w:p w14:paraId="61C67E48" w14:textId="77777777" w:rsidR="006D23FC" w:rsidRDefault="006D23FC">
          <w:pPr>
            <w:pStyle w:val="TOC3"/>
            <w:tabs>
              <w:tab w:val="right" w:pos="9016"/>
            </w:tabs>
            <w:rPr>
              <w:rFonts w:cstheme="minorBidi"/>
              <w:noProof/>
              <w:sz w:val="22"/>
              <w:szCs w:val="22"/>
              <w:lang w:eastAsia="en-AU"/>
            </w:rPr>
          </w:pPr>
          <w:r>
            <w:rPr>
              <w:noProof/>
            </w:rPr>
            <w:t>Purpose and expectations</w:t>
          </w:r>
          <w:r>
            <w:rPr>
              <w:noProof/>
            </w:rPr>
            <w:tab/>
          </w:r>
          <w:r>
            <w:rPr>
              <w:noProof/>
            </w:rPr>
            <w:fldChar w:fldCharType="begin"/>
          </w:r>
          <w:r>
            <w:rPr>
              <w:noProof/>
            </w:rPr>
            <w:instrText xml:space="preserve"> PAGEREF _Toc406079702 \h </w:instrText>
          </w:r>
          <w:r>
            <w:rPr>
              <w:noProof/>
            </w:rPr>
          </w:r>
          <w:r>
            <w:rPr>
              <w:noProof/>
            </w:rPr>
            <w:fldChar w:fldCharType="separate"/>
          </w:r>
          <w:r>
            <w:rPr>
              <w:noProof/>
            </w:rPr>
            <w:t>8</w:t>
          </w:r>
          <w:r>
            <w:rPr>
              <w:noProof/>
            </w:rPr>
            <w:fldChar w:fldCharType="end"/>
          </w:r>
        </w:p>
        <w:p w14:paraId="16E775FD" w14:textId="77777777" w:rsidR="006D23FC" w:rsidRDefault="006D23FC">
          <w:pPr>
            <w:pStyle w:val="TOC3"/>
            <w:tabs>
              <w:tab w:val="right" w:pos="9016"/>
            </w:tabs>
            <w:rPr>
              <w:rFonts w:cstheme="minorBidi"/>
              <w:noProof/>
              <w:sz w:val="22"/>
              <w:szCs w:val="22"/>
              <w:lang w:eastAsia="en-AU"/>
            </w:rPr>
          </w:pPr>
          <w:r>
            <w:rPr>
              <w:noProof/>
            </w:rPr>
            <w:t>Implications</w:t>
          </w:r>
          <w:r>
            <w:rPr>
              <w:noProof/>
            </w:rPr>
            <w:tab/>
          </w:r>
          <w:r>
            <w:rPr>
              <w:noProof/>
            </w:rPr>
            <w:fldChar w:fldCharType="begin"/>
          </w:r>
          <w:r>
            <w:rPr>
              <w:noProof/>
            </w:rPr>
            <w:instrText xml:space="preserve"> PAGEREF _Toc406079703 \h </w:instrText>
          </w:r>
          <w:r>
            <w:rPr>
              <w:noProof/>
            </w:rPr>
          </w:r>
          <w:r>
            <w:rPr>
              <w:noProof/>
            </w:rPr>
            <w:fldChar w:fldCharType="separate"/>
          </w:r>
          <w:r>
            <w:rPr>
              <w:noProof/>
            </w:rPr>
            <w:t>8</w:t>
          </w:r>
          <w:r>
            <w:rPr>
              <w:noProof/>
            </w:rPr>
            <w:fldChar w:fldCharType="end"/>
          </w:r>
        </w:p>
        <w:p w14:paraId="48A6189E" w14:textId="77777777" w:rsidR="006D23FC" w:rsidRDefault="006D23FC">
          <w:pPr>
            <w:pStyle w:val="TOC2"/>
            <w:rPr>
              <w:rFonts w:cstheme="minorBidi"/>
              <w:i w:val="0"/>
              <w:iCs w:val="0"/>
              <w:sz w:val="22"/>
              <w:szCs w:val="22"/>
              <w:lang w:eastAsia="en-AU"/>
            </w:rPr>
          </w:pPr>
          <w:r>
            <w:t>Collaboration</w:t>
          </w:r>
          <w:r>
            <w:tab/>
          </w:r>
          <w:r>
            <w:fldChar w:fldCharType="begin"/>
          </w:r>
          <w:r>
            <w:instrText xml:space="preserve"> PAGEREF _Toc406079704 \h </w:instrText>
          </w:r>
          <w:r>
            <w:fldChar w:fldCharType="separate"/>
          </w:r>
          <w:r>
            <w:t>9</w:t>
          </w:r>
          <w:r>
            <w:fldChar w:fldCharType="end"/>
          </w:r>
        </w:p>
        <w:p w14:paraId="270B3799" w14:textId="77777777" w:rsidR="006D23FC" w:rsidRDefault="006D23FC">
          <w:pPr>
            <w:pStyle w:val="TOC3"/>
            <w:tabs>
              <w:tab w:val="right" w:pos="9016"/>
            </w:tabs>
            <w:rPr>
              <w:rFonts w:cstheme="minorBidi"/>
              <w:noProof/>
              <w:sz w:val="22"/>
              <w:szCs w:val="22"/>
              <w:lang w:eastAsia="en-AU"/>
            </w:rPr>
          </w:pPr>
          <w:r>
            <w:rPr>
              <w:noProof/>
            </w:rPr>
            <w:t>Collaboration at the local level</w:t>
          </w:r>
          <w:r>
            <w:rPr>
              <w:noProof/>
            </w:rPr>
            <w:tab/>
          </w:r>
          <w:r>
            <w:rPr>
              <w:noProof/>
            </w:rPr>
            <w:fldChar w:fldCharType="begin"/>
          </w:r>
          <w:r>
            <w:rPr>
              <w:noProof/>
            </w:rPr>
            <w:instrText xml:space="preserve"> PAGEREF _Toc406079705 \h </w:instrText>
          </w:r>
          <w:r>
            <w:rPr>
              <w:noProof/>
            </w:rPr>
          </w:r>
          <w:r>
            <w:rPr>
              <w:noProof/>
            </w:rPr>
            <w:fldChar w:fldCharType="separate"/>
          </w:r>
          <w:r>
            <w:rPr>
              <w:noProof/>
            </w:rPr>
            <w:t>9</w:t>
          </w:r>
          <w:r>
            <w:rPr>
              <w:noProof/>
            </w:rPr>
            <w:fldChar w:fldCharType="end"/>
          </w:r>
        </w:p>
        <w:p w14:paraId="7460A605" w14:textId="77777777" w:rsidR="006D23FC" w:rsidRDefault="006D23FC">
          <w:pPr>
            <w:pStyle w:val="TOC3"/>
            <w:tabs>
              <w:tab w:val="right" w:pos="9016"/>
            </w:tabs>
            <w:rPr>
              <w:rFonts w:cstheme="minorBidi"/>
              <w:noProof/>
              <w:sz w:val="22"/>
              <w:szCs w:val="22"/>
              <w:lang w:eastAsia="en-AU"/>
            </w:rPr>
          </w:pPr>
          <w:r>
            <w:rPr>
              <w:noProof/>
            </w:rPr>
            <w:t>Collaboration at state/territory level</w:t>
          </w:r>
          <w:r>
            <w:rPr>
              <w:noProof/>
            </w:rPr>
            <w:tab/>
          </w:r>
          <w:r>
            <w:rPr>
              <w:noProof/>
            </w:rPr>
            <w:fldChar w:fldCharType="begin"/>
          </w:r>
          <w:r>
            <w:rPr>
              <w:noProof/>
            </w:rPr>
            <w:instrText xml:space="preserve"> PAGEREF _Toc406079706 \h </w:instrText>
          </w:r>
          <w:r>
            <w:rPr>
              <w:noProof/>
            </w:rPr>
          </w:r>
          <w:r>
            <w:rPr>
              <w:noProof/>
            </w:rPr>
            <w:fldChar w:fldCharType="separate"/>
          </w:r>
          <w:r>
            <w:rPr>
              <w:noProof/>
            </w:rPr>
            <w:t>10</w:t>
          </w:r>
          <w:r>
            <w:rPr>
              <w:noProof/>
            </w:rPr>
            <w:fldChar w:fldCharType="end"/>
          </w:r>
        </w:p>
        <w:p w14:paraId="3ACE0BEC" w14:textId="77777777" w:rsidR="006D23FC" w:rsidRDefault="006D23FC">
          <w:pPr>
            <w:pStyle w:val="TOC3"/>
            <w:tabs>
              <w:tab w:val="right" w:pos="9016"/>
            </w:tabs>
            <w:rPr>
              <w:rFonts w:cstheme="minorBidi"/>
              <w:noProof/>
              <w:sz w:val="22"/>
              <w:szCs w:val="22"/>
              <w:lang w:eastAsia="en-AU"/>
            </w:rPr>
          </w:pPr>
          <w:r>
            <w:rPr>
              <w:noProof/>
            </w:rPr>
            <w:t>Collaboration at national level</w:t>
          </w:r>
          <w:r>
            <w:rPr>
              <w:noProof/>
            </w:rPr>
            <w:tab/>
          </w:r>
          <w:r>
            <w:rPr>
              <w:noProof/>
            </w:rPr>
            <w:fldChar w:fldCharType="begin"/>
          </w:r>
          <w:r>
            <w:rPr>
              <w:noProof/>
            </w:rPr>
            <w:instrText xml:space="preserve"> PAGEREF _Toc406079707 \h </w:instrText>
          </w:r>
          <w:r>
            <w:rPr>
              <w:noProof/>
            </w:rPr>
          </w:r>
          <w:r>
            <w:rPr>
              <w:noProof/>
            </w:rPr>
            <w:fldChar w:fldCharType="separate"/>
          </w:r>
          <w:r>
            <w:rPr>
              <w:noProof/>
            </w:rPr>
            <w:t>11</w:t>
          </w:r>
          <w:r>
            <w:rPr>
              <w:noProof/>
            </w:rPr>
            <w:fldChar w:fldCharType="end"/>
          </w:r>
        </w:p>
        <w:p w14:paraId="0DAC2B30" w14:textId="77777777" w:rsidR="006D23FC" w:rsidRDefault="006D23FC">
          <w:pPr>
            <w:pStyle w:val="TOC3"/>
            <w:tabs>
              <w:tab w:val="right" w:pos="9016"/>
            </w:tabs>
            <w:rPr>
              <w:rFonts w:cstheme="minorBidi"/>
              <w:noProof/>
              <w:sz w:val="22"/>
              <w:szCs w:val="22"/>
              <w:lang w:eastAsia="en-AU"/>
            </w:rPr>
          </w:pPr>
          <w:r>
            <w:rPr>
              <w:noProof/>
            </w:rPr>
            <w:t>Implications</w:t>
          </w:r>
          <w:r>
            <w:rPr>
              <w:noProof/>
            </w:rPr>
            <w:tab/>
          </w:r>
          <w:r>
            <w:rPr>
              <w:noProof/>
            </w:rPr>
            <w:fldChar w:fldCharType="begin"/>
          </w:r>
          <w:r>
            <w:rPr>
              <w:noProof/>
            </w:rPr>
            <w:instrText xml:space="preserve"> PAGEREF _Toc406079708 \h </w:instrText>
          </w:r>
          <w:r>
            <w:rPr>
              <w:noProof/>
            </w:rPr>
          </w:r>
          <w:r>
            <w:rPr>
              <w:noProof/>
            </w:rPr>
            <w:fldChar w:fldCharType="separate"/>
          </w:r>
          <w:r>
            <w:rPr>
              <w:noProof/>
            </w:rPr>
            <w:t>11</w:t>
          </w:r>
          <w:r>
            <w:rPr>
              <w:noProof/>
            </w:rPr>
            <w:fldChar w:fldCharType="end"/>
          </w:r>
        </w:p>
        <w:p w14:paraId="21018ABC" w14:textId="77777777" w:rsidR="006D23FC" w:rsidRDefault="006D23FC">
          <w:pPr>
            <w:pStyle w:val="TOC2"/>
            <w:rPr>
              <w:rFonts w:cstheme="minorBidi"/>
              <w:i w:val="0"/>
              <w:iCs w:val="0"/>
              <w:sz w:val="22"/>
              <w:szCs w:val="22"/>
              <w:lang w:eastAsia="en-AU"/>
            </w:rPr>
          </w:pPr>
          <w:r>
            <w:t>Confidence</w:t>
          </w:r>
          <w:r>
            <w:tab/>
          </w:r>
          <w:r>
            <w:fldChar w:fldCharType="begin"/>
          </w:r>
          <w:r>
            <w:instrText xml:space="preserve"> PAGEREF _Toc406079709 \h </w:instrText>
          </w:r>
          <w:r>
            <w:fldChar w:fldCharType="separate"/>
          </w:r>
          <w:r>
            <w:t>12</w:t>
          </w:r>
          <w:r>
            <w:fldChar w:fldCharType="end"/>
          </w:r>
        </w:p>
        <w:p w14:paraId="53340DE9" w14:textId="77777777" w:rsidR="006D23FC" w:rsidRDefault="006D23FC">
          <w:pPr>
            <w:pStyle w:val="TOC3"/>
            <w:tabs>
              <w:tab w:val="right" w:pos="9016"/>
            </w:tabs>
            <w:rPr>
              <w:rFonts w:cstheme="minorBidi"/>
              <w:noProof/>
              <w:sz w:val="22"/>
              <w:szCs w:val="22"/>
              <w:lang w:eastAsia="en-AU"/>
            </w:rPr>
          </w:pPr>
          <w:r>
            <w:rPr>
              <w:noProof/>
            </w:rPr>
            <w:t>Students</w:t>
          </w:r>
          <w:r>
            <w:rPr>
              <w:noProof/>
            </w:rPr>
            <w:tab/>
          </w:r>
          <w:r>
            <w:rPr>
              <w:noProof/>
            </w:rPr>
            <w:fldChar w:fldCharType="begin"/>
          </w:r>
          <w:r>
            <w:rPr>
              <w:noProof/>
            </w:rPr>
            <w:instrText xml:space="preserve"> PAGEREF _Toc406079710 \h </w:instrText>
          </w:r>
          <w:r>
            <w:rPr>
              <w:noProof/>
            </w:rPr>
          </w:r>
          <w:r>
            <w:rPr>
              <w:noProof/>
            </w:rPr>
            <w:fldChar w:fldCharType="separate"/>
          </w:r>
          <w:r>
            <w:rPr>
              <w:noProof/>
            </w:rPr>
            <w:t>12</w:t>
          </w:r>
          <w:r>
            <w:rPr>
              <w:noProof/>
            </w:rPr>
            <w:fldChar w:fldCharType="end"/>
          </w:r>
        </w:p>
        <w:p w14:paraId="0F0685A7" w14:textId="77777777" w:rsidR="006D23FC" w:rsidRDefault="006D23FC">
          <w:pPr>
            <w:pStyle w:val="TOC3"/>
            <w:tabs>
              <w:tab w:val="right" w:pos="9016"/>
            </w:tabs>
            <w:rPr>
              <w:rFonts w:cstheme="minorBidi"/>
              <w:noProof/>
              <w:sz w:val="22"/>
              <w:szCs w:val="22"/>
              <w:lang w:eastAsia="en-AU"/>
            </w:rPr>
          </w:pPr>
          <w:r>
            <w:rPr>
              <w:noProof/>
            </w:rPr>
            <w:t>Parents</w:t>
          </w:r>
          <w:r>
            <w:rPr>
              <w:noProof/>
            </w:rPr>
            <w:tab/>
          </w:r>
          <w:r>
            <w:rPr>
              <w:noProof/>
            </w:rPr>
            <w:fldChar w:fldCharType="begin"/>
          </w:r>
          <w:r>
            <w:rPr>
              <w:noProof/>
            </w:rPr>
            <w:instrText xml:space="preserve"> PAGEREF _Toc406079711 \h </w:instrText>
          </w:r>
          <w:r>
            <w:rPr>
              <w:noProof/>
            </w:rPr>
          </w:r>
          <w:r>
            <w:rPr>
              <w:noProof/>
            </w:rPr>
            <w:fldChar w:fldCharType="separate"/>
          </w:r>
          <w:r>
            <w:rPr>
              <w:noProof/>
            </w:rPr>
            <w:t>12</w:t>
          </w:r>
          <w:r>
            <w:rPr>
              <w:noProof/>
            </w:rPr>
            <w:fldChar w:fldCharType="end"/>
          </w:r>
        </w:p>
        <w:p w14:paraId="084221A0" w14:textId="77777777" w:rsidR="006D23FC" w:rsidRDefault="006D23FC">
          <w:pPr>
            <w:pStyle w:val="TOC3"/>
            <w:tabs>
              <w:tab w:val="right" w:pos="9016"/>
            </w:tabs>
            <w:rPr>
              <w:rFonts w:cstheme="minorBidi"/>
              <w:noProof/>
              <w:sz w:val="22"/>
              <w:szCs w:val="22"/>
              <w:lang w:eastAsia="en-AU"/>
            </w:rPr>
          </w:pPr>
          <w:r>
            <w:rPr>
              <w:noProof/>
            </w:rPr>
            <w:t>Schools</w:t>
          </w:r>
          <w:r>
            <w:rPr>
              <w:noProof/>
            </w:rPr>
            <w:tab/>
          </w:r>
          <w:r>
            <w:rPr>
              <w:noProof/>
            </w:rPr>
            <w:fldChar w:fldCharType="begin"/>
          </w:r>
          <w:r>
            <w:rPr>
              <w:noProof/>
            </w:rPr>
            <w:instrText xml:space="preserve"> PAGEREF _Toc406079712 \h </w:instrText>
          </w:r>
          <w:r>
            <w:rPr>
              <w:noProof/>
            </w:rPr>
          </w:r>
          <w:r>
            <w:rPr>
              <w:noProof/>
            </w:rPr>
            <w:fldChar w:fldCharType="separate"/>
          </w:r>
          <w:r>
            <w:rPr>
              <w:noProof/>
            </w:rPr>
            <w:t>13</w:t>
          </w:r>
          <w:r>
            <w:rPr>
              <w:noProof/>
            </w:rPr>
            <w:fldChar w:fldCharType="end"/>
          </w:r>
        </w:p>
        <w:p w14:paraId="6C10B550" w14:textId="77777777" w:rsidR="006D23FC" w:rsidRDefault="006D23FC">
          <w:pPr>
            <w:pStyle w:val="TOC3"/>
            <w:tabs>
              <w:tab w:val="right" w:pos="9016"/>
            </w:tabs>
            <w:rPr>
              <w:rFonts w:cstheme="minorBidi"/>
              <w:noProof/>
              <w:sz w:val="22"/>
              <w:szCs w:val="22"/>
              <w:lang w:eastAsia="en-AU"/>
            </w:rPr>
          </w:pPr>
          <w:r>
            <w:rPr>
              <w:noProof/>
            </w:rPr>
            <w:t>Employers</w:t>
          </w:r>
          <w:r>
            <w:rPr>
              <w:noProof/>
            </w:rPr>
            <w:tab/>
          </w:r>
          <w:r>
            <w:rPr>
              <w:noProof/>
            </w:rPr>
            <w:fldChar w:fldCharType="begin"/>
          </w:r>
          <w:r>
            <w:rPr>
              <w:noProof/>
            </w:rPr>
            <w:instrText xml:space="preserve"> PAGEREF _Toc406079713 \h </w:instrText>
          </w:r>
          <w:r>
            <w:rPr>
              <w:noProof/>
            </w:rPr>
          </w:r>
          <w:r>
            <w:rPr>
              <w:noProof/>
            </w:rPr>
            <w:fldChar w:fldCharType="separate"/>
          </w:r>
          <w:r>
            <w:rPr>
              <w:noProof/>
            </w:rPr>
            <w:t>13</w:t>
          </w:r>
          <w:r>
            <w:rPr>
              <w:noProof/>
            </w:rPr>
            <w:fldChar w:fldCharType="end"/>
          </w:r>
        </w:p>
        <w:p w14:paraId="5808B51F" w14:textId="77777777" w:rsidR="006D23FC" w:rsidRDefault="006D23FC">
          <w:pPr>
            <w:pStyle w:val="TOC3"/>
            <w:tabs>
              <w:tab w:val="right" w:pos="9016"/>
            </w:tabs>
            <w:rPr>
              <w:rFonts w:cstheme="minorBidi"/>
              <w:noProof/>
              <w:sz w:val="22"/>
              <w:szCs w:val="22"/>
              <w:lang w:eastAsia="en-AU"/>
            </w:rPr>
          </w:pPr>
          <w:r>
            <w:rPr>
              <w:noProof/>
            </w:rPr>
            <w:t>RTOs</w:t>
          </w:r>
          <w:r>
            <w:rPr>
              <w:noProof/>
            </w:rPr>
            <w:tab/>
          </w:r>
          <w:r>
            <w:rPr>
              <w:noProof/>
            </w:rPr>
            <w:fldChar w:fldCharType="begin"/>
          </w:r>
          <w:r>
            <w:rPr>
              <w:noProof/>
            </w:rPr>
            <w:instrText xml:space="preserve"> PAGEREF _Toc406079714 \h </w:instrText>
          </w:r>
          <w:r>
            <w:rPr>
              <w:noProof/>
            </w:rPr>
          </w:r>
          <w:r>
            <w:rPr>
              <w:noProof/>
            </w:rPr>
            <w:fldChar w:fldCharType="separate"/>
          </w:r>
          <w:r>
            <w:rPr>
              <w:noProof/>
            </w:rPr>
            <w:t>14</w:t>
          </w:r>
          <w:r>
            <w:rPr>
              <w:noProof/>
            </w:rPr>
            <w:fldChar w:fldCharType="end"/>
          </w:r>
        </w:p>
        <w:p w14:paraId="6119583A" w14:textId="77777777" w:rsidR="006D23FC" w:rsidRDefault="006D23FC">
          <w:pPr>
            <w:pStyle w:val="TOC3"/>
            <w:tabs>
              <w:tab w:val="right" w:pos="9016"/>
            </w:tabs>
            <w:rPr>
              <w:rFonts w:cstheme="minorBidi"/>
              <w:noProof/>
              <w:sz w:val="22"/>
              <w:szCs w:val="22"/>
              <w:lang w:eastAsia="en-AU"/>
            </w:rPr>
          </w:pPr>
          <w:r>
            <w:rPr>
              <w:noProof/>
            </w:rPr>
            <w:t>School-based apprenticeships and traineeships</w:t>
          </w:r>
          <w:r>
            <w:rPr>
              <w:noProof/>
            </w:rPr>
            <w:tab/>
          </w:r>
          <w:r>
            <w:rPr>
              <w:noProof/>
            </w:rPr>
            <w:fldChar w:fldCharType="begin"/>
          </w:r>
          <w:r>
            <w:rPr>
              <w:noProof/>
            </w:rPr>
            <w:instrText xml:space="preserve"> PAGEREF _Toc406079715 \h </w:instrText>
          </w:r>
          <w:r>
            <w:rPr>
              <w:noProof/>
            </w:rPr>
          </w:r>
          <w:r>
            <w:rPr>
              <w:noProof/>
            </w:rPr>
            <w:fldChar w:fldCharType="separate"/>
          </w:r>
          <w:r>
            <w:rPr>
              <w:noProof/>
            </w:rPr>
            <w:t>14</w:t>
          </w:r>
          <w:r>
            <w:rPr>
              <w:noProof/>
            </w:rPr>
            <w:fldChar w:fldCharType="end"/>
          </w:r>
        </w:p>
        <w:p w14:paraId="245A8D7A" w14:textId="77777777" w:rsidR="006D23FC" w:rsidRDefault="006D23FC">
          <w:pPr>
            <w:pStyle w:val="TOC3"/>
            <w:tabs>
              <w:tab w:val="right" w:pos="9016"/>
            </w:tabs>
            <w:rPr>
              <w:rFonts w:cstheme="minorBidi"/>
              <w:noProof/>
              <w:sz w:val="22"/>
              <w:szCs w:val="22"/>
              <w:lang w:eastAsia="en-AU"/>
            </w:rPr>
          </w:pPr>
          <w:r>
            <w:rPr>
              <w:noProof/>
            </w:rPr>
            <w:t>Quality outcomes</w:t>
          </w:r>
          <w:r>
            <w:rPr>
              <w:noProof/>
            </w:rPr>
            <w:tab/>
          </w:r>
          <w:r>
            <w:rPr>
              <w:noProof/>
            </w:rPr>
            <w:fldChar w:fldCharType="begin"/>
          </w:r>
          <w:r>
            <w:rPr>
              <w:noProof/>
            </w:rPr>
            <w:instrText xml:space="preserve"> PAGEREF _Toc406079716 \h </w:instrText>
          </w:r>
          <w:r>
            <w:rPr>
              <w:noProof/>
            </w:rPr>
          </w:r>
          <w:r>
            <w:rPr>
              <w:noProof/>
            </w:rPr>
            <w:fldChar w:fldCharType="separate"/>
          </w:r>
          <w:r>
            <w:rPr>
              <w:noProof/>
            </w:rPr>
            <w:t>15</w:t>
          </w:r>
          <w:r>
            <w:rPr>
              <w:noProof/>
            </w:rPr>
            <w:fldChar w:fldCharType="end"/>
          </w:r>
        </w:p>
        <w:p w14:paraId="40F24415" w14:textId="77777777" w:rsidR="006D23FC" w:rsidRDefault="006D23FC">
          <w:pPr>
            <w:pStyle w:val="TOC3"/>
            <w:tabs>
              <w:tab w:val="right" w:pos="9016"/>
            </w:tabs>
            <w:rPr>
              <w:rFonts w:cstheme="minorBidi"/>
              <w:noProof/>
              <w:sz w:val="22"/>
              <w:szCs w:val="22"/>
              <w:lang w:eastAsia="en-AU"/>
            </w:rPr>
          </w:pPr>
          <w:r>
            <w:rPr>
              <w:noProof/>
            </w:rPr>
            <w:t>Implications</w:t>
          </w:r>
          <w:r>
            <w:rPr>
              <w:noProof/>
            </w:rPr>
            <w:tab/>
          </w:r>
          <w:r>
            <w:rPr>
              <w:noProof/>
            </w:rPr>
            <w:fldChar w:fldCharType="begin"/>
          </w:r>
          <w:r>
            <w:rPr>
              <w:noProof/>
            </w:rPr>
            <w:instrText xml:space="preserve"> PAGEREF _Toc406079717 \h </w:instrText>
          </w:r>
          <w:r>
            <w:rPr>
              <w:noProof/>
            </w:rPr>
          </w:r>
          <w:r>
            <w:rPr>
              <w:noProof/>
            </w:rPr>
            <w:fldChar w:fldCharType="separate"/>
          </w:r>
          <w:r>
            <w:rPr>
              <w:noProof/>
            </w:rPr>
            <w:t>16</w:t>
          </w:r>
          <w:r>
            <w:rPr>
              <w:noProof/>
            </w:rPr>
            <w:fldChar w:fldCharType="end"/>
          </w:r>
        </w:p>
        <w:p w14:paraId="292AAD67" w14:textId="77777777" w:rsidR="006D23FC" w:rsidRDefault="006D23FC">
          <w:pPr>
            <w:pStyle w:val="TOC2"/>
            <w:rPr>
              <w:rFonts w:cstheme="minorBidi"/>
              <w:i w:val="0"/>
              <w:iCs w:val="0"/>
              <w:sz w:val="22"/>
              <w:szCs w:val="22"/>
              <w:lang w:eastAsia="en-AU"/>
            </w:rPr>
          </w:pPr>
          <w:r>
            <w:t>Core systems</w:t>
          </w:r>
          <w:r>
            <w:tab/>
          </w:r>
          <w:r>
            <w:fldChar w:fldCharType="begin"/>
          </w:r>
          <w:r>
            <w:instrText xml:space="preserve"> PAGEREF _Toc406079718 \h </w:instrText>
          </w:r>
          <w:r>
            <w:fldChar w:fldCharType="separate"/>
          </w:r>
          <w:r>
            <w:t>17</w:t>
          </w:r>
          <w:r>
            <w:fldChar w:fldCharType="end"/>
          </w:r>
        </w:p>
        <w:p w14:paraId="654AFEBD" w14:textId="77777777" w:rsidR="006D23FC" w:rsidRDefault="006D23FC">
          <w:pPr>
            <w:pStyle w:val="TOC3"/>
            <w:tabs>
              <w:tab w:val="right" w:pos="9016"/>
            </w:tabs>
            <w:rPr>
              <w:rFonts w:cstheme="minorBidi"/>
              <w:noProof/>
              <w:sz w:val="22"/>
              <w:szCs w:val="22"/>
              <w:lang w:eastAsia="en-AU"/>
            </w:rPr>
          </w:pPr>
          <w:r>
            <w:rPr>
              <w:noProof/>
            </w:rPr>
            <w:t>Roles and responsibilities</w:t>
          </w:r>
          <w:r>
            <w:rPr>
              <w:noProof/>
            </w:rPr>
            <w:tab/>
          </w:r>
          <w:r>
            <w:rPr>
              <w:noProof/>
            </w:rPr>
            <w:fldChar w:fldCharType="begin"/>
          </w:r>
          <w:r>
            <w:rPr>
              <w:noProof/>
            </w:rPr>
            <w:instrText xml:space="preserve"> PAGEREF _Toc406079719 \h </w:instrText>
          </w:r>
          <w:r>
            <w:rPr>
              <w:noProof/>
            </w:rPr>
          </w:r>
          <w:r>
            <w:rPr>
              <w:noProof/>
            </w:rPr>
            <w:fldChar w:fldCharType="separate"/>
          </w:r>
          <w:r>
            <w:rPr>
              <w:noProof/>
            </w:rPr>
            <w:t>17</w:t>
          </w:r>
          <w:r>
            <w:rPr>
              <w:noProof/>
            </w:rPr>
            <w:fldChar w:fldCharType="end"/>
          </w:r>
        </w:p>
        <w:p w14:paraId="091B8CF4" w14:textId="77777777" w:rsidR="006D23FC" w:rsidRDefault="006D23FC">
          <w:pPr>
            <w:pStyle w:val="TOC3"/>
            <w:tabs>
              <w:tab w:val="right" w:pos="9016"/>
            </w:tabs>
            <w:rPr>
              <w:rFonts w:cstheme="minorBidi"/>
              <w:noProof/>
              <w:sz w:val="22"/>
              <w:szCs w:val="22"/>
              <w:lang w:eastAsia="en-AU"/>
            </w:rPr>
          </w:pPr>
          <w:r>
            <w:rPr>
              <w:noProof/>
            </w:rPr>
            <w:t>Providing clear guidance</w:t>
          </w:r>
          <w:r>
            <w:rPr>
              <w:noProof/>
            </w:rPr>
            <w:tab/>
          </w:r>
          <w:r>
            <w:rPr>
              <w:noProof/>
            </w:rPr>
            <w:fldChar w:fldCharType="begin"/>
          </w:r>
          <w:r>
            <w:rPr>
              <w:noProof/>
            </w:rPr>
            <w:instrText xml:space="preserve"> PAGEREF _Toc406079720 \h </w:instrText>
          </w:r>
          <w:r>
            <w:rPr>
              <w:noProof/>
            </w:rPr>
          </w:r>
          <w:r>
            <w:rPr>
              <w:noProof/>
            </w:rPr>
            <w:fldChar w:fldCharType="separate"/>
          </w:r>
          <w:r>
            <w:rPr>
              <w:noProof/>
            </w:rPr>
            <w:t>18</w:t>
          </w:r>
          <w:r>
            <w:rPr>
              <w:noProof/>
            </w:rPr>
            <w:fldChar w:fldCharType="end"/>
          </w:r>
        </w:p>
        <w:p w14:paraId="00FB1C86" w14:textId="77777777" w:rsidR="006D23FC" w:rsidRDefault="006D23FC">
          <w:pPr>
            <w:pStyle w:val="TOC3"/>
            <w:tabs>
              <w:tab w:val="right" w:pos="9016"/>
            </w:tabs>
            <w:rPr>
              <w:rFonts w:cstheme="minorBidi"/>
              <w:noProof/>
              <w:sz w:val="22"/>
              <w:szCs w:val="22"/>
              <w:lang w:eastAsia="en-AU"/>
            </w:rPr>
          </w:pPr>
          <w:r>
            <w:rPr>
              <w:noProof/>
            </w:rPr>
            <w:t>Addressing tensions</w:t>
          </w:r>
          <w:r>
            <w:rPr>
              <w:noProof/>
            </w:rPr>
            <w:tab/>
          </w:r>
          <w:r>
            <w:rPr>
              <w:noProof/>
            </w:rPr>
            <w:fldChar w:fldCharType="begin"/>
          </w:r>
          <w:r>
            <w:rPr>
              <w:noProof/>
            </w:rPr>
            <w:instrText xml:space="preserve"> PAGEREF _Toc406079721 \h </w:instrText>
          </w:r>
          <w:r>
            <w:rPr>
              <w:noProof/>
            </w:rPr>
          </w:r>
          <w:r>
            <w:rPr>
              <w:noProof/>
            </w:rPr>
            <w:fldChar w:fldCharType="separate"/>
          </w:r>
          <w:r>
            <w:rPr>
              <w:noProof/>
            </w:rPr>
            <w:t>18</w:t>
          </w:r>
          <w:r>
            <w:rPr>
              <w:noProof/>
            </w:rPr>
            <w:fldChar w:fldCharType="end"/>
          </w:r>
        </w:p>
        <w:p w14:paraId="3C81F6C7" w14:textId="77777777" w:rsidR="006D23FC" w:rsidRDefault="006D23FC">
          <w:pPr>
            <w:pStyle w:val="TOC3"/>
            <w:tabs>
              <w:tab w:val="right" w:pos="9016"/>
            </w:tabs>
            <w:rPr>
              <w:rFonts w:cstheme="minorBidi"/>
              <w:noProof/>
              <w:sz w:val="22"/>
              <w:szCs w:val="22"/>
              <w:lang w:eastAsia="en-AU"/>
            </w:rPr>
          </w:pPr>
          <w:r>
            <w:rPr>
              <w:noProof/>
            </w:rPr>
            <w:t>Measuring performance</w:t>
          </w:r>
          <w:r>
            <w:rPr>
              <w:noProof/>
            </w:rPr>
            <w:tab/>
          </w:r>
          <w:r>
            <w:rPr>
              <w:noProof/>
            </w:rPr>
            <w:fldChar w:fldCharType="begin"/>
          </w:r>
          <w:r>
            <w:rPr>
              <w:noProof/>
            </w:rPr>
            <w:instrText xml:space="preserve"> PAGEREF _Toc406079722 \h </w:instrText>
          </w:r>
          <w:r>
            <w:rPr>
              <w:noProof/>
            </w:rPr>
          </w:r>
          <w:r>
            <w:rPr>
              <w:noProof/>
            </w:rPr>
            <w:fldChar w:fldCharType="separate"/>
          </w:r>
          <w:r>
            <w:rPr>
              <w:noProof/>
            </w:rPr>
            <w:t>19</w:t>
          </w:r>
          <w:r>
            <w:rPr>
              <w:noProof/>
            </w:rPr>
            <w:fldChar w:fldCharType="end"/>
          </w:r>
        </w:p>
        <w:p w14:paraId="60E50FAD" w14:textId="77777777" w:rsidR="006D23FC" w:rsidRDefault="006D23FC">
          <w:pPr>
            <w:pStyle w:val="TOC3"/>
            <w:tabs>
              <w:tab w:val="right" w:pos="9016"/>
            </w:tabs>
            <w:rPr>
              <w:rFonts w:cstheme="minorBidi"/>
              <w:noProof/>
              <w:sz w:val="22"/>
              <w:szCs w:val="22"/>
              <w:lang w:eastAsia="en-AU"/>
            </w:rPr>
          </w:pPr>
          <w:r>
            <w:rPr>
              <w:noProof/>
            </w:rPr>
            <w:t>Implications</w:t>
          </w:r>
          <w:r>
            <w:rPr>
              <w:noProof/>
            </w:rPr>
            <w:tab/>
          </w:r>
          <w:r>
            <w:rPr>
              <w:noProof/>
            </w:rPr>
            <w:fldChar w:fldCharType="begin"/>
          </w:r>
          <w:r>
            <w:rPr>
              <w:noProof/>
            </w:rPr>
            <w:instrText xml:space="preserve"> PAGEREF _Toc406079723 \h </w:instrText>
          </w:r>
          <w:r>
            <w:rPr>
              <w:noProof/>
            </w:rPr>
          </w:r>
          <w:r>
            <w:rPr>
              <w:noProof/>
            </w:rPr>
            <w:fldChar w:fldCharType="separate"/>
          </w:r>
          <w:r>
            <w:rPr>
              <w:noProof/>
            </w:rPr>
            <w:t>19</w:t>
          </w:r>
          <w:r>
            <w:rPr>
              <w:noProof/>
            </w:rPr>
            <w:fldChar w:fldCharType="end"/>
          </w:r>
        </w:p>
        <w:p w14:paraId="4E974DEB" w14:textId="77777777" w:rsidR="006D23FC" w:rsidRDefault="006D23FC">
          <w:pPr>
            <w:pStyle w:val="TOC1"/>
            <w:tabs>
              <w:tab w:val="right" w:pos="9016"/>
            </w:tabs>
            <w:rPr>
              <w:rFonts w:cstheme="minorBidi"/>
              <w:b w:val="0"/>
              <w:bCs w:val="0"/>
              <w:noProof/>
              <w:sz w:val="22"/>
              <w:szCs w:val="22"/>
              <w:lang w:eastAsia="en-AU"/>
            </w:rPr>
          </w:pPr>
          <w:r>
            <w:rPr>
              <w:noProof/>
            </w:rPr>
            <w:t>Appendix A: Creating clarity - vocational learning and VET</w:t>
          </w:r>
          <w:r>
            <w:rPr>
              <w:noProof/>
            </w:rPr>
            <w:tab/>
          </w:r>
          <w:r>
            <w:rPr>
              <w:noProof/>
            </w:rPr>
            <w:fldChar w:fldCharType="begin"/>
          </w:r>
          <w:r>
            <w:rPr>
              <w:noProof/>
            </w:rPr>
            <w:instrText xml:space="preserve"> PAGEREF _Toc406079724 \h </w:instrText>
          </w:r>
          <w:r>
            <w:rPr>
              <w:noProof/>
            </w:rPr>
          </w:r>
          <w:r>
            <w:rPr>
              <w:noProof/>
            </w:rPr>
            <w:fldChar w:fldCharType="separate"/>
          </w:r>
          <w:r>
            <w:rPr>
              <w:noProof/>
            </w:rPr>
            <w:t>21</w:t>
          </w:r>
          <w:r>
            <w:rPr>
              <w:noProof/>
            </w:rPr>
            <w:fldChar w:fldCharType="end"/>
          </w:r>
        </w:p>
        <w:p w14:paraId="1D9503B2" w14:textId="77777777" w:rsidR="006D23FC" w:rsidRDefault="006D23FC">
          <w:pPr>
            <w:pStyle w:val="TOC2"/>
            <w:rPr>
              <w:rFonts w:cstheme="minorBidi"/>
              <w:i w:val="0"/>
              <w:iCs w:val="0"/>
              <w:sz w:val="22"/>
              <w:szCs w:val="22"/>
              <w:lang w:eastAsia="en-AU"/>
            </w:rPr>
          </w:pPr>
          <w:r>
            <w:t>Vocational</w:t>
          </w:r>
          <w:r>
            <w:tab/>
          </w:r>
          <w:r>
            <w:fldChar w:fldCharType="begin"/>
          </w:r>
          <w:r>
            <w:instrText xml:space="preserve"> PAGEREF _Toc406079725 \h </w:instrText>
          </w:r>
          <w:r>
            <w:fldChar w:fldCharType="separate"/>
          </w:r>
          <w:r>
            <w:t>21</w:t>
          </w:r>
          <w:r>
            <w:fldChar w:fldCharType="end"/>
          </w:r>
        </w:p>
        <w:p w14:paraId="78BB768A" w14:textId="77777777" w:rsidR="006D23FC" w:rsidRDefault="006D23FC">
          <w:pPr>
            <w:pStyle w:val="TOC2"/>
            <w:rPr>
              <w:rFonts w:cstheme="minorBidi"/>
              <w:i w:val="0"/>
              <w:iCs w:val="0"/>
              <w:sz w:val="22"/>
              <w:szCs w:val="22"/>
              <w:lang w:eastAsia="en-AU"/>
            </w:rPr>
          </w:pPr>
          <w:r>
            <w:t>VET</w:t>
          </w:r>
          <w:r>
            <w:tab/>
          </w:r>
          <w:r>
            <w:fldChar w:fldCharType="begin"/>
          </w:r>
          <w:r>
            <w:instrText xml:space="preserve"> PAGEREF _Toc406079726 \h </w:instrText>
          </w:r>
          <w:r>
            <w:fldChar w:fldCharType="separate"/>
          </w:r>
          <w:r>
            <w:t>22</w:t>
          </w:r>
          <w:r>
            <w:fldChar w:fldCharType="end"/>
          </w:r>
        </w:p>
        <w:p w14:paraId="24749E4C" w14:textId="6D8B4ECA" w:rsidR="00731E24" w:rsidRDefault="00731E24">
          <w:r>
            <w:rPr>
              <w:rFonts w:asciiTheme="minorHAnsi" w:hAnsiTheme="minorHAnsi" w:cstheme="minorHAnsi"/>
              <w:b/>
              <w:bCs/>
              <w:sz w:val="20"/>
              <w:szCs w:val="20"/>
            </w:rPr>
            <w:fldChar w:fldCharType="end"/>
          </w:r>
        </w:p>
      </w:sdtContent>
    </w:sdt>
    <w:p w14:paraId="0FCF05AB" w14:textId="4A7A2180" w:rsidR="00EF4A38" w:rsidRDefault="00EF4A38" w:rsidP="001D473B">
      <w:pPr>
        <w:sectPr w:rsidR="00EF4A38" w:rsidSect="00692D90">
          <w:pgSz w:w="11906" w:h="16838"/>
          <w:pgMar w:top="2523" w:right="1440" w:bottom="1134" w:left="1440" w:header="709" w:footer="709" w:gutter="0"/>
          <w:pgNumType w:fmt="lowerRoman"/>
          <w:cols w:space="708"/>
          <w:docGrid w:linePitch="360"/>
        </w:sectPr>
      </w:pPr>
    </w:p>
    <w:p w14:paraId="141927E6" w14:textId="77777777" w:rsidR="0051328D" w:rsidRDefault="0051328D" w:rsidP="0051328D">
      <w:pPr>
        <w:pStyle w:val="Heading1"/>
      </w:pPr>
      <w:bookmarkStart w:id="1" w:name="_Toc406065035"/>
      <w:bookmarkStart w:id="2" w:name="_Toc406079692"/>
      <w:r w:rsidRPr="00E30ED0">
        <w:lastRenderedPageBreak/>
        <w:t>Glossary</w:t>
      </w:r>
      <w:bookmarkEnd w:id="1"/>
      <w:bookmarkEnd w:id="2"/>
    </w:p>
    <w:p w14:paraId="241C4D91" w14:textId="459B9536" w:rsidR="0051328D" w:rsidRPr="00B330F7" w:rsidRDefault="0051328D" w:rsidP="0051328D">
      <w:pPr>
        <w:rPr>
          <w:sz w:val="21"/>
          <w:szCs w:val="21"/>
        </w:rPr>
      </w:pPr>
      <w:proofErr w:type="spellStart"/>
      <w:r w:rsidRPr="00B330F7">
        <w:rPr>
          <w:rStyle w:val="Textemphasis"/>
          <w:sz w:val="21"/>
          <w:szCs w:val="21"/>
        </w:rPr>
        <w:t>ACACA</w:t>
      </w:r>
      <w:proofErr w:type="spellEnd"/>
      <w:r w:rsidRPr="00B330F7">
        <w:rPr>
          <w:sz w:val="21"/>
          <w:szCs w:val="21"/>
        </w:rPr>
        <w:t xml:space="preserve"> (Australasian Curriculum, Assessment and Certification Authorities) is the national body for the chief executives of the statutory bodies in the Australian states and territories and New Zealand responsible for </w:t>
      </w:r>
      <w:r w:rsidR="00E22471">
        <w:rPr>
          <w:sz w:val="21"/>
          <w:szCs w:val="21"/>
        </w:rPr>
        <w:t>s</w:t>
      </w:r>
      <w:r w:rsidR="00F34F2A" w:rsidRPr="006F3556">
        <w:rPr>
          <w:sz w:val="21"/>
          <w:szCs w:val="21"/>
        </w:rPr>
        <w:t xml:space="preserve">enior </w:t>
      </w:r>
      <w:r w:rsidR="00E22471">
        <w:rPr>
          <w:sz w:val="21"/>
          <w:szCs w:val="21"/>
        </w:rPr>
        <w:t>s</w:t>
      </w:r>
      <w:r w:rsidR="00F34F2A" w:rsidRPr="006F3556">
        <w:rPr>
          <w:sz w:val="21"/>
          <w:szCs w:val="21"/>
        </w:rPr>
        <w:t xml:space="preserve">econdary </w:t>
      </w:r>
      <w:r w:rsidR="00E22471">
        <w:rPr>
          <w:sz w:val="21"/>
          <w:szCs w:val="21"/>
        </w:rPr>
        <w:t>c</w:t>
      </w:r>
      <w:r w:rsidR="00F34F2A">
        <w:rPr>
          <w:sz w:val="21"/>
          <w:szCs w:val="21"/>
        </w:rPr>
        <w:t xml:space="preserve">ertificates of </w:t>
      </w:r>
      <w:r w:rsidR="00E22471">
        <w:rPr>
          <w:sz w:val="21"/>
          <w:szCs w:val="21"/>
        </w:rPr>
        <w:t>e</w:t>
      </w:r>
      <w:r w:rsidR="00F34F2A" w:rsidRPr="006F3556">
        <w:rPr>
          <w:sz w:val="21"/>
          <w:szCs w:val="21"/>
        </w:rPr>
        <w:t>ducation</w:t>
      </w:r>
      <w:r w:rsidRPr="00B330F7">
        <w:rPr>
          <w:sz w:val="21"/>
          <w:szCs w:val="21"/>
        </w:rPr>
        <w:t>.</w:t>
      </w:r>
    </w:p>
    <w:p w14:paraId="6CD87131" w14:textId="77777777" w:rsidR="0051328D" w:rsidRPr="00B330F7" w:rsidRDefault="0051328D" w:rsidP="0051328D">
      <w:pPr>
        <w:rPr>
          <w:sz w:val="21"/>
          <w:szCs w:val="21"/>
        </w:rPr>
      </w:pPr>
      <w:r w:rsidRPr="00B330F7">
        <w:rPr>
          <w:rStyle w:val="Textemphasis"/>
          <w:sz w:val="21"/>
          <w:szCs w:val="21"/>
        </w:rPr>
        <w:t>Accredited courses</w:t>
      </w:r>
      <w:r w:rsidRPr="00B330F7">
        <w:rPr>
          <w:sz w:val="21"/>
          <w:szCs w:val="21"/>
        </w:rPr>
        <w:t xml:space="preserve"> are developed to meet training needs that are not addressed by existing training packages. They are </w:t>
      </w:r>
      <w:r w:rsidR="00504BF6" w:rsidRPr="00B330F7">
        <w:rPr>
          <w:sz w:val="21"/>
          <w:szCs w:val="21"/>
        </w:rPr>
        <w:t xml:space="preserve">accredited </w:t>
      </w:r>
      <w:r w:rsidRPr="00B330F7">
        <w:rPr>
          <w:sz w:val="21"/>
          <w:szCs w:val="21"/>
        </w:rPr>
        <w:t>by VET regulators and comply with national and state quality assurance requirements.</w:t>
      </w:r>
    </w:p>
    <w:p w14:paraId="467B4383" w14:textId="3F3B268F" w:rsidR="002A4F56" w:rsidRPr="00B330F7" w:rsidRDefault="002A4F56" w:rsidP="0051328D">
      <w:pPr>
        <w:rPr>
          <w:sz w:val="21"/>
          <w:szCs w:val="21"/>
        </w:rPr>
      </w:pPr>
      <w:r w:rsidRPr="00B330F7">
        <w:rPr>
          <w:sz w:val="21"/>
          <w:szCs w:val="21"/>
        </w:rPr>
        <w:t>Current policy specifies that accredited courses should not duplicate coverage of a training package qualification but allow for a combination of ‘enterprise units of competency’ (developed by the course owner) and/or training package units of competency. Accredited courses may also include ‘modules’</w:t>
      </w:r>
      <w:r w:rsidR="00917BA0">
        <w:rPr>
          <w:sz w:val="21"/>
          <w:szCs w:val="21"/>
        </w:rPr>
        <w:t xml:space="preserve"> that</w:t>
      </w:r>
      <w:r w:rsidRPr="00B330F7">
        <w:rPr>
          <w:sz w:val="21"/>
          <w:szCs w:val="21"/>
        </w:rPr>
        <w:t xml:space="preserve"> are not competency based.</w:t>
      </w:r>
    </w:p>
    <w:p w14:paraId="01D9C2D9" w14:textId="7A5598F7" w:rsidR="0051328D" w:rsidRPr="00B330F7" w:rsidRDefault="00504BF6" w:rsidP="0051328D">
      <w:pPr>
        <w:rPr>
          <w:sz w:val="21"/>
          <w:szCs w:val="21"/>
        </w:rPr>
      </w:pPr>
      <w:r w:rsidRPr="00B330F7">
        <w:rPr>
          <w:sz w:val="21"/>
          <w:szCs w:val="21"/>
        </w:rPr>
        <w:t xml:space="preserve">Under an </w:t>
      </w:r>
      <w:r w:rsidRPr="00B330F7">
        <w:rPr>
          <w:rStyle w:val="Textemphasis"/>
          <w:sz w:val="21"/>
          <w:szCs w:val="21"/>
        </w:rPr>
        <w:t>auspice arrangement</w:t>
      </w:r>
      <w:r w:rsidRPr="00B330F7">
        <w:rPr>
          <w:sz w:val="21"/>
          <w:szCs w:val="21"/>
        </w:rPr>
        <w:t>, training and/or assessment is undertaken by a school, while a</w:t>
      </w:r>
      <w:r w:rsidR="00837064">
        <w:rPr>
          <w:sz w:val="21"/>
          <w:szCs w:val="21"/>
        </w:rPr>
        <w:t xml:space="preserve"> Registered Training Organisation</w:t>
      </w:r>
      <w:r w:rsidRPr="00B330F7">
        <w:rPr>
          <w:sz w:val="21"/>
          <w:szCs w:val="21"/>
        </w:rPr>
        <w:t xml:space="preserve"> </w:t>
      </w:r>
      <w:r w:rsidR="00837064">
        <w:rPr>
          <w:sz w:val="21"/>
          <w:szCs w:val="21"/>
        </w:rPr>
        <w:t>(</w:t>
      </w:r>
      <w:proofErr w:type="spellStart"/>
      <w:r w:rsidR="00262A7D">
        <w:rPr>
          <w:sz w:val="21"/>
          <w:szCs w:val="21"/>
        </w:rPr>
        <w:t>RTO</w:t>
      </w:r>
      <w:proofErr w:type="spellEnd"/>
      <w:r w:rsidR="00837064">
        <w:rPr>
          <w:sz w:val="21"/>
          <w:szCs w:val="21"/>
        </w:rPr>
        <w:t>)</w:t>
      </w:r>
      <w:r w:rsidRPr="00B330F7">
        <w:rPr>
          <w:sz w:val="21"/>
          <w:szCs w:val="21"/>
        </w:rPr>
        <w:t xml:space="preserve"> issues the qualification or Statement of Attainment.</w:t>
      </w:r>
    </w:p>
    <w:p w14:paraId="1A14B289" w14:textId="77777777" w:rsidR="009D7316" w:rsidRPr="00B330F7" w:rsidRDefault="009D7316" w:rsidP="00B330F7">
      <w:pPr>
        <w:ind w:right="-94"/>
        <w:rPr>
          <w:sz w:val="21"/>
          <w:szCs w:val="21"/>
        </w:rPr>
      </w:pPr>
      <w:r w:rsidRPr="00B330F7">
        <w:rPr>
          <w:sz w:val="21"/>
          <w:szCs w:val="21"/>
        </w:rPr>
        <w:t xml:space="preserve">The </w:t>
      </w:r>
      <w:r w:rsidRPr="00B330F7">
        <w:rPr>
          <w:rStyle w:val="Textemphasis"/>
          <w:sz w:val="21"/>
          <w:szCs w:val="21"/>
        </w:rPr>
        <w:t>Australian Qualifications Framework (</w:t>
      </w:r>
      <w:proofErr w:type="spellStart"/>
      <w:r w:rsidRPr="00B330F7">
        <w:rPr>
          <w:rStyle w:val="Textemphasis"/>
          <w:sz w:val="21"/>
          <w:szCs w:val="21"/>
        </w:rPr>
        <w:t>AQF</w:t>
      </w:r>
      <w:proofErr w:type="spellEnd"/>
      <w:r w:rsidRPr="00B330F7">
        <w:rPr>
          <w:rStyle w:val="Textemphasis"/>
          <w:sz w:val="21"/>
          <w:szCs w:val="21"/>
        </w:rPr>
        <w:t>)</w:t>
      </w:r>
      <w:r w:rsidRPr="00B330F7">
        <w:rPr>
          <w:sz w:val="21"/>
          <w:szCs w:val="21"/>
        </w:rPr>
        <w:t xml:space="preserve"> is the national policy for regulated qualifications in the Australian education and training system. It incorporates the quality assured qualifications from each education and training sector into a single comprehensive national qualifications framework.</w:t>
      </w:r>
    </w:p>
    <w:p w14:paraId="2711F1FD" w14:textId="20001D08" w:rsidR="0051328D" w:rsidRDefault="0051328D" w:rsidP="0051328D">
      <w:pPr>
        <w:rPr>
          <w:sz w:val="21"/>
          <w:szCs w:val="21"/>
        </w:rPr>
      </w:pPr>
      <w:proofErr w:type="gramStart"/>
      <w:r w:rsidRPr="00B330F7">
        <w:rPr>
          <w:rStyle w:val="Textemphasis"/>
          <w:sz w:val="21"/>
          <w:szCs w:val="21"/>
        </w:rPr>
        <w:t xml:space="preserve">Boards of </w:t>
      </w:r>
      <w:r w:rsidR="00C0038E" w:rsidRPr="00B330F7">
        <w:rPr>
          <w:rStyle w:val="Textemphasis"/>
          <w:sz w:val="21"/>
          <w:szCs w:val="21"/>
        </w:rPr>
        <w:t>studies</w:t>
      </w:r>
      <w:r w:rsidR="00C0038E" w:rsidRPr="00B330F7">
        <w:rPr>
          <w:sz w:val="21"/>
          <w:szCs w:val="21"/>
        </w:rPr>
        <w:t xml:space="preserve"> </w:t>
      </w:r>
      <w:r w:rsidR="00145184" w:rsidRPr="00B330F7">
        <w:rPr>
          <w:sz w:val="21"/>
          <w:szCs w:val="21"/>
        </w:rPr>
        <w:t>is</w:t>
      </w:r>
      <w:proofErr w:type="gramEnd"/>
      <w:r w:rsidR="00145184" w:rsidRPr="00B330F7">
        <w:rPr>
          <w:sz w:val="21"/>
          <w:szCs w:val="21"/>
        </w:rPr>
        <w:t xml:space="preserve"> the term used in this </w:t>
      </w:r>
      <w:r w:rsidR="00ED462B">
        <w:rPr>
          <w:sz w:val="21"/>
          <w:szCs w:val="21"/>
        </w:rPr>
        <w:t>document</w:t>
      </w:r>
      <w:r w:rsidR="00ED462B" w:rsidRPr="00B330F7">
        <w:rPr>
          <w:sz w:val="21"/>
          <w:szCs w:val="21"/>
        </w:rPr>
        <w:t xml:space="preserve"> </w:t>
      </w:r>
      <w:r w:rsidR="00145184" w:rsidRPr="00B330F7">
        <w:rPr>
          <w:sz w:val="21"/>
          <w:szCs w:val="21"/>
        </w:rPr>
        <w:t xml:space="preserve">to describe </w:t>
      </w:r>
      <w:r w:rsidRPr="00B330F7">
        <w:rPr>
          <w:sz w:val="21"/>
          <w:szCs w:val="21"/>
        </w:rPr>
        <w:t xml:space="preserve">the statutory bodies in the </w:t>
      </w:r>
      <w:r w:rsidR="00F34F2A" w:rsidRPr="006F3556">
        <w:rPr>
          <w:sz w:val="21"/>
          <w:szCs w:val="21"/>
        </w:rPr>
        <w:t xml:space="preserve">states </w:t>
      </w:r>
      <w:r w:rsidRPr="00B330F7">
        <w:rPr>
          <w:sz w:val="21"/>
          <w:szCs w:val="21"/>
        </w:rPr>
        <w:t xml:space="preserve">and </w:t>
      </w:r>
      <w:r w:rsidR="00F34F2A" w:rsidRPr="006F3556">
        <w:rPr>
          <w:sz w:val="21"/>
          <w:szCs w:val="21"/>
        </w:rPr>
        <w:t xml:space="preserve">territories </w:t>
      </w:r>
      <w:r w:rsidRPr="00B330F7">
        <w:rPr>
          <w:sz w:val="21"/>
          <w:szCs w:val="21"/>
        </w:rPr>
        <w:t xml:space="preserve">responsible for </w:t>
      </w:r>
      <w:r w:rsidR="00E22471">
        <w:rPr>
          <w:sz w:val="21"/>
          <w:szCs w:val="21"/>
        </w:rPr>
        <w:t>s</w:t>
      </w:r>
      <w:r w:rsidR="00F34F2A" w:rsidRPr="006F3556">
        <w:rPr>
          <w:sz w:val="21"/>
          <w:szCs w:val="21"/>
        </w:rPr>
        <w:t xml:space="preserve">enior </w:t>
      </w:r>
      <w:r w:rsidR="00E22471">
        <w:rPr>
          <w:sz w:val="21"/>
          <w:szCs w:val="21"/>
        </w:rPr>
        <w:t>s</w:t>
      </w:r>
      <w:r w:rsidR="00F34F2A" w:rsidRPr="006F3556">
        <w:rPr>
          <w:sz w:val="21"/>
          <w:szCs w:val="21"/>
        </w:rPr>
        <w:t xml:space="preserve">econdary </w:t>
      </w:r>
      <w:r w:rsidR="00E22471">
        <w:rPr>
          <w:sz w:val="21"/>
          <w:szCs w:val="21"/>
        </w:rPr>
        <w:t>c</w:t>
      </w:r>
      <w:r w:rsidR="00F34F2A">
        <w:rPr>
          <w:sz w:val="21"/>
          <w:szCs w:val="21"/>
        </w:rPr>
        <w:t xml:space="preserve">ertificates of </w:t>
      </w:r>
      <w:r w:rsidR="00E22471">
        <w:rPr>
          <w:sz w:val="21"/>
          <w:szCs w:val="21"/>
        </w:rPr>
        <w:t>e</w:t>
      </w:r>
      <w:r w:rsidR="00F34F2A" w:rsidRPr="006F3556">
        <w:rPr>
          <w:sz w:val="21"/>
          <w:szCs w:val="21"/>
        </w:rPr>
        <w:t>ducation</w:t>
      </w:r>
      <w:r w:rsidRPr="00B330F7">
        <w:rPr>
          <w:sz w:val="21"/>
          <w:szCs w:val="21"/>
        </w:rPr>
        <w:t>, including the recognition of VET in those certificates</w:t>
      </w:r>
      <w:r w:rsidR="002A5773" w:rsidRPr="00B330F7">
        <w:rPr>
          <w:sz w:val="21"/>
          <w:szCs w:val="21"/>
        </w:rPr>
        <w:t>.</w:t>
      </w:r>
      <w:r w:rsidR="00145184" w:rsidRPr="00B330F7">
        <w:rPr>
          <w:sz w:val="21"/>
          <w:szCs w:val="21"/>
        </w:rPr>
        <w:t xml:space="preserve"> </w:t>
      </w:r>
      <w:r w:rsidR="004F2DE6" w:rsidRPr="00B330F7">
        <w:rPr>
          <w:sz w:val="21"/>
          <w:szCs w:val="21"/>
        </w:rPr>
        <w:t>Related terms include</w:t>
      </w:r>
      <w:r w:rsidR="00145184" w:rsidRPr="00B330F7">
        <w:rPr>
          <w:sz w:val="21"/>
          <w:szCs w:val="21"/>
        </w:rPr>
        <w:t xml:space="preserve"> </w:t>
      </w:r>
      <w:r w:rsidR="000A3473">
        <w:rPr>
          <w:sz w:val="21"/>
          <w:szCs w:val="21"/>
        </w:rPr>
        <w:t>c</w:t>
      </w:r>
      <w:r w:rsidR="00145184" w:rsidRPr="00B330F7">
        <w:rPr>
          <w:sz w:val="21"/>
          <w:szCs w:val="21"/>
        </w:rPr>
        <w:t xml:space="preserve">urriculum and </w:t>
      </w:r>
      <w:r w:rsidR="000A3473">
        <w:rPr>
          <w:sz w:val="21"/>
          <w:szCs w:val="21"/>
        </w:rPr>
        <w:t>a</w:t>
      </w:r>
      <w:r w:rsidR="00145184" w:rsidRPr="00B330F7">
        <w:rPr>
          <w:sz w:val="21"/>
          <w:szCs w:val="21"/>
        </w:rPr>
        <w:t xml:space="preserve">ssessment </w:t>
      </w:r>
      <w:r w:rsidR="000A3473">
        <w:rPr>
          <w:sz w:val="21"/>
          <w:szCs w:val="21"/>
        </w:rPr>
        <w:t>a</w:t>
      </w:r>
      <w:r w:rsidR="00145184" w:rsidRPr="00B330F7">
        <w:rPr>
          <w:sz w:val="21"/>
          <w:szCs w:val="21"/>
        </w:rPr>
        <w:t xml:space="preserve">uthorities and </w:t>
      </w:r>
      <w:proofErr w:type="spellStart"/>
      <w:r w:rsidR="00145184" w:rsidRPr="00B330F7">
        <w:rPr>
          <w:sz w:val="21"/>
          <w:szCs w:val="21"/>
        </w:rPr>
        <w:t>ACACA</w:t>
      </w:r>
      <w:proofErr w:type="spellEnd"/>
      <w:r w:rsidR="00145184" w:rsidRPr="00B330F7">
        <w:rPr>
          <w:sz w:val="21"/>
          <w:szCs w:val="21"/>
        </w:rPr>
        <w:t xml:space="preserve"> agencies.</w:t>
      </w:r>
    </w:p>
    <w:p w14:paraId="295AAD9A" w14:textId="0EE1B51A" w:rsidR="000A3473" w:rsidRDefault="003A06A0" w:rsidP="00B330F7">
      <w:r w:rsidRPr="00B330F7">
        <w:rPr>
          <w:rStyle w:val="Textemphasis"/>
          <w:sz w:val="21"/>
          <w:szCs w:val="21"/>
        </w:rPr>
        <w:t>Career education</w:t>
      </w:r>
      <w:r w:rsidRPr="00B330F7">
        <w:rPr>
          <w:sz w:val="21"/>
        </w:rPr>
        <w:t xml:space="preserve"> describes the range of strategies or programs in schools that support career development through learning and development, and activities such as work experience </w:t>
      </w:r>
      <w:r w:rsidR="00860ACB">
        <w:rPr>
          <w:sz w:val="21"/>
        </w:rPr>
        <w:t>and</w:t>
      </w:r>
      <w:r w:rsidRPr="00B330F7">
        <w:rPr>
          <w:sz w:val="21"/>
        </w:rPr>
        <w:t xml:space="preserve"> employer visits. </w:t>
      </w:r>
      <w:r w:rsidRPr="004771FE">
        <w:rPr>
          <w:sz w:val="21"/>
        </w:rPr>
        <w:t>Career advice</w:t>
      </w:r>
      <w:r w:rsidRPr="00B330F7">
        <w:rPr>
          <w:sz w:val="21"/>
        </w:rPr>
        <w:t xml:space="preserve"> involves the provision of information, advice and guidance </w:t>
      </w:r>
      <w:r w:rsidR="00860ACB">
        <w:rPr>
          <w:sz w:val="21"/>
        </w:rPr>
        <w:t>by a qualified adviser in a one</w:t>
      </w:r>
      <w:r w:rsidR="00860ACB">
        <w:rPr>
          <w:sz w:val="21"/>
        </w:rPr>
        <w:noBreakHyphen/>
      </w:r>
      <w:r w:rsidRPr="00B330F7">
        <w:rPr>
          <w:sz w:val="21"/>
        </w:rPr>
        <w:t>on</w:t>
      </w:r>
      <w:r w:rsidR="00860ACB">
        <w:rPr>
          <w:sz w:val="21"/>
        </w:rPr>
        <w:noBreakHyphen/>
      </w:r>
      <w:r w:rsidRPr="00B330F7">
        <w:rPr>
          <w:sz w:val="21"/>
        </w:rPr>
        <w:t xml:space="preserve">one or small group setting. </w:t>
      </w:r>
      <w:r w:rsidRPr="004771FE">
        <w:rPr>
          <w:sz w:val="21"/>
        </w:rPr>
        <w:t>Career development</w:t>
      </w:r>
      <w:r w:rsidRPr="00B330F7">
        <w:rPr>
          <w:sz w:val="21"/>
        </w:rPr>
        <w:t xml:space="preserve"> enables students to acquire the </w:t>
      </w:r>
      <w:r w:rsidRPr="00B330F7">
        <w:rPr>
          <w:sz w:val="21"/>
        </w:rPr>
        <w:lastRenderedPageBreak/>
        <w:t>knowledge and develop the skills and capabilities for managing their future training, further education and employment pathways.</w:t>
      </w:r>
    </w:p>
    <w:p w14:paraId="3C56D80D" w14:textId="467FB77A" w:rsidR="002A5773" w:rsidRPr="00B330F7" w:rsidRDefault="002A5773" w:rsidP="0051328D">
      <w:pPr>
        <w:rPr>
          <w:sz w:val="21"/>
          <w:szCs w:val="21"/>
        </w:rPr>
      </w:pPr>
      <w:r w:rsidRPr="00B330F7">
        <w:rPr>
          <w:rStyle w:val="Textemphasis"/>
          <w:sz w:val="21"/>
          <w:szCs w:val="21"/>
        </w:rPr>
        <w:t>Core systems</w:t>
      </w:r>
      <w:r w:rsidRPr="00B330F7">
        <w:rPr>
          <w:sz w:val="21"/>
          <w:szCs w:val="21"/>
        </w:rPr>
        <w:t xml:space="preserve"> is </w:t>
      </w:r>
      <w:r w:rsidR="007D1271">
        <w:rPr>
          <w:sz w:val="21"/>
          <w:szCs w:val="21"/>
        </w:rPr>
        <w:t>the</w:t>
      </w:r>
      <w:r w:rsidR="007D1271" w:rsidRPr="00B330F7">
        <w:rPr>
          <w:sz w:val="21"/>
          <w:szCs w:val="21"/>
        </w:rPr>
        <w:t xml:space="preserve"> </w:t>
      </w:r>
      <w:r w:rsidRPr="00B330F7">
        <w:rPr>
          <w:sz w:val="21"/>
          <w:szCs w:val="21"/>
        </w:rPr>
        <w:t xml:space="preserve">term used in this document to refer to the policy settings, governance arrangements, regulatory environments and resourcing decisions </w:t>
      </w:r>
      <w:r w:rsidR="007D1271">
        <w:rPr>
          <w:sz w:val="21"/>
          <w:szCs w:val="21"/>
        </w:rPr>
        <w:t>with</w:t>
      </w:r>
      <w:r w:rsidRPr="00B330F7">
        <w:rPr>
          <w:sz w:val="21"/>
          <w:szCs w:val="21"/>
        </w:rPr>
        <w:t>in which vocational learning and VET are delivered to secondary students.</w:t>
      </w:r>
    </w:p>
    <w:p w14:paraId="6AAB2CE2" w14:textId="77777777" w:rsidR="004D49CF" w:rsidRPr="00B330F7" w:rsidRDefault="004D49CF" w:rsidP="0051328D">
      <w:pPr>
        <w:rPr>
          <w:sz w:val="21"/>
          <w:szCs w:val="21"/>
        </w:rPr>
      </w:pPr>
      <w:r w:rsidRPr="0085345E">
        <w:rPr>
          <w:rStyle w:val="Textemphasis"/>
          <w:sz w:val="21"/>
          <w:szCs w:val="21"/>
        </w:rPr>
        <w:t>Curriculum</w:t>
      </w:r>
      <w:r w:rsidRPr="00B330F7">
        <w:rPr>
          <w:rStyle w:val="Textemphasis"/>
          <w:sz w:val="21"/>
          <w:szCs w:val="21"/>
        </w:rPr>
        <w:t xml:space="preserve"> </w:t>
      </w:r>
      <w:r w:rsidRPr="0085345E">
        <w:rPr>
          <w:rStyle w:val="Textemphasis"/>
          <w:sz w:val="21"/>
          <w:szCs w:val="21"/>
        </w:rPr>
        <w:t>bodies</w:t>
      </w:r>
      <w:r w:rsidRPr="00B330F7">
        <w:rPr>
          <w:sz w:val="21"/>
          <w:szCs w:val="21"/>
        </w:rPr>
        <w:t xml:space="preserve"> comprise </w:t>
      </w:r>
      <w:r w:rsidR="006107F3" w:rsidRPr="00B330F7">
        <w:rPr>
          <w:sz w:val="21"/>
          <w:szCs w:val="21"/>
        </w:rPr>
        <w:t xml:space="preserve">boards </w:t>
      </w:r>
      <w:r w:rsidRPr="00B330F7">
        <w:rPr>
          <w:sz w:val="21"/>
          <w:szCs w:val="21"/>
        </w:rPr>
        <w:t xml:space="preserve">of </w:t>
      </w:r>
      <w:r w:rsidR="006107F3" w:rsidRPr="00B330F7">
        <w:rPr>
          <w:sz w:val="21"/>
          <w:szCs w:val="21"/>
        </w:rPr>
        <w:t xml:space="preserve">studies </w:t>
      </w:r>
      <w:r w:rsidRPr="00B330F7">
        <w:rPr>
          <w:sz w:val="21"/>
          <w:szCs w:val="21"/>
        </w:rPr>
        <w:t xml:space="preserve">and the </w:t>
      </w:r>
      <w:r w:rsidR="00DF751A" w:rsidRPr="00B330F7">
        <w:rPr>
          <w:sz w:val="21"/>
          <w:szCs w:val="21"/>
        </w:rPr>
        <w:t>Australian Curriculum and Reporting Authority (</w:t>
      </w:r>
      <w:proofErr w:type="spellStart"/>
      <w:r w:rsidR="00DF751A" w:rsidRPr="00B330F7">
        <w:rPr>
          <w:sz w:val="21"/>
          <w:szCs w:val="21"/>
        </w:rPr>
        <w:t>ACARA</w:t>
      </w:r>
      <w:proofErr w:type="spellEnd"/>
      <w:r w:rsidR="00DF751A" w:rsidRPr="00B330F7">
        <w:rPr>
          <w:sz w:val="21"/>
          <w:szCs w:val="21"/>
        </w:rPr>
        <w:t>).</w:t>
      </w:r>
    </w:p>
    <w:p w14:paraId="43E5C2DA" w14:textId="27A79841" w:rsidR="00F91AF9" w:rsidRPr="00B330F7" w:rsidRDefault="0051328D" w:rsidP="0051328D">
      <w:pPr>
        <w:rPr>
          <w:sz w:val="21"/>
          <w:szCs w:val="21"/>
        </w:rPr>
      </w:pPr>
      <w:r w:rsidRPr="00B330F7">
        <w:rPr>
          <w:sz w:val="21"/>
          <w:szCs w:val="21"/>
        </w:rPr>
        <w:t xml:space="preserve">The </w:t>
      </w:r>
      <w:r w:rsidRPr="00B330F7">
        <w:rPr>
          <w:rStyle w:val="Textemphasis"/>
          <w:sz w:val="21"/>
          <w:szCs w:val="21"/>
        </w:rPr>
        <w:t>Education Council</w:t>
      </w:r>
      <w:r w:rsidR="00105336" w:rsidRPr="00836E07">
        <w:rPr>
          <w:sz w:val="21"/>
          <w:szCs w:val="21"/>
        </w:rPr>
        <w:t>, which</w:t>
      </w:r>
      <w:r w:rsidRPr="00836E07">
        <w:rPr>
          <w:sz w:val="21"/>
          <w:szCs w:val="21"/>
        </w:rPr>
        <w:t xml:space="preserve"> </w:t>
      </w:r>
      <w:r w:rsidR="00C41DFC" w:rsidRPr="00836E07">
        <w:rPr>
          <w:sz w:val="21"/>
          <w:szCs w:val="21"/>
        </w:rPr>
        <w:t xml:space="preserve">reports </w:t>
      </w:r>
      <w:r w:rsidR="00C41DFC" w:rsidRPr="00B330F7">
        <w:rPr>
          <w:sz w:val="21"/>
          <w:szCs w:val="21"/>
        </w:rPr>
        <w:t>to the Council of Australian Governments (</w:t>
      </w:r>
      <w:proofErr w:type="spellStart"/>
      <w:r w:rsidR="00C41DFC" w:rsidRPr="00B330F7">
        <w:rPr>
          <w:sz w:val="21"/>
          <w:szCs w:val="21"/>
        </w:rPr>
        <w:t>COAG</w:t>
      </w:r>
      <w:proofErr w:type="spellEnd"/>
      <w:r w:rsidR="00C41DFC" w:rsidRPr="00B330F7">
        <w:rPr>
          <w:sz w:val="21"/>
          <w:szCs w:val="21"/>
        </w:rPr>
        <w:t>), provides a forum for national collaborative action to improve educational outcomes for all Australians, across all stages of the learning and development lifecycle. Previous names include the Standing Council on School Education and Early Childhood (</w:t>
      </w:r>
      <w:proofErr w:type="spellStart"/>
      <w:r w:rsidR="00C41DFC" w:rsidRPr="00B330F7">
        <w:rPr>
          <w:sz w:val="21"/>
          <w:szCs w:val="21"/>
        </w:rPr>
        <w:t>SCSEEC</w:t>
      </w:r>
      <w:proofErr w:type="spellEnd"/>
      <w:r w:rsidR="00C41DFC" w:rsidRPr="00B330F7">
        <w:rPr>
          <w:sz w:val="21"/>
          <w:szCs w:val="21"/>
        </w:rPr>
        <w:t>) and the Ministerial Council on Education, Employment, Training and Youth Affairs (</w:t>
      </w:r>
      <w:proofErr w:type="spellStart"/>
      <w:r w:rsidR="00C41DFC" w:rsidRPr="00B330F7">
        <w:rPr>
          <w:sz w:val="21"/>
          <w:szCs w:val="21"/>
        </w:rPr>
        <w:t>MCEETYA</w:t>
      </w:r>
      <w:proofErr w:type="spellEnd"/>
      <w:r w:rsidR="00C41DFC" w:rsidRPr="00B330F7">
        <w:rPr>
          <w:sz w:val="21"/>
          <w:szCs w:val="21"/>
        </w:rPr>
        <w:t xml:space="preserve">). </w:t>
      </w:r>
    </w:p>
    <w:p w14:paraId="6070FC7C" w14:textId="0DF3BBB6" w:rsidR="00F91AF9" w:rsidRPr="00B330F7" w:rsidRDefault="00F91AF9" w:rsidP="00F91AF9">
      <w:pPr>
        <w:keepNext/>
        <w:keepLines/>
        <w:rPr>
          <w:sz w:val="21"/>
          <w:szCs w:val="21"/>
        </w:rPr>
      </w:pPr>
      <w:r w:rsidRPr="00B330F7">
        <w:rPr>
          <w:rStyle w:val="Textemphasis"/>
          <w:sz w:val="21"/>
          <w:szCs w:val="21"/>
        </w:rPr>
        <w:t xml:space="preserve">Registered Training Organisations </w:t>
      </w:r>
      <w:r w:rsidR="00AB5365" w:rsidRPr="00B330F7">
        <w:rPr>
          <w:rStyle w:val="Textemphasis"/>
          <w:sz w:val="21"/>
          <w:szCs w:val="21"/>
        </w:rPr>
        <w:t>(</w:t>
      </w:r>
      <w:proofErr w:type="spellStart"/>
      <w:r w:rsidR="00AB5365" w:rsidRPr="00B330F7">
        <w:rPr>
          <w:rStyle w:val="Textemphasis"/>
          <w:sz w:val="21"/>
          <w:szCs w:val="21"/>
        </w:rPr>
        <w:t>RTOs</w:t>
      </w:r>
      <w:proofErr w:type="spellEnd"/>
      <w:r w:rsidR="00AB5365" w:rsidRPr="00B330F7">
        <w:rPr>
          <w:rStyle w:val="Textemphasis"/>
          <w:sz w:val="21"/>
          <w:szCs w:val="21"/>
        </w:rPr>
        <w:t>)</w:t>
      </w:r>
      <w:r w:rsidR="00AB5365" w:rsidRPr="00B330F7">
        <w:rPr>
          <w:sz w:val="21"/>
          <w:szCs w:val="21"/>
        </w:rPr>
        <w:t xml:space="preserve"> </w:t>
      </w:r>
      <w:r w:rsidRPr="00B330F7">
        <w:rPr>
          <w:sz w:val="21"/>
          <w:szCs w:val="21"/>
        </w:rPr>
        <w:t>are authorised to deliver training and/or conduct assessments and issue nationally recognised qualifications.</w:t>
      </w:r>
      <w:r w:rsidR="003632F6" w:rsidRPr="00B330F7">
        <w:rPr>
          <w:sz w:val="21"/>
          <w:szCs w:val="21"/>
        </w:rPr>
        <w:t xml:space="preserve"> </w:t>
      </w:r>
    </w:p>
    <w:p w14:paraId="69931256" w14:textId="4CCC3721" w:rsidR="0051328D" w:rsidRPr="00B330F7" w:rsidRDefault="0051328D" w:rsidP="0051328D">
      <w:pPr>
        <w:rPr>
          <w:sz w:val="21"/>
          <w:szCs w:val="21"/>
        </w:rPr>
      </w:pPr>
      <w:r w:rsidRPr="00B330F7">
        <w:rPr>
          <w:sz w:val="21"/>
          <w:szCs w:val="21"/>
        </w:rPr>
        <w:t xml:space="preserve">A </w:t>
      </w:r>
      <w:r w:rsidRPr="00B330F7">
        <w:rPr>
          <w:rStyle w:val="Textemphasis"/>
          <w:sz w:val="21"/>
          <w:szCs w:val="21"/>
        </w:rPr>
        <w:t>school-based apprenticeship</w:t>
      </w:r>
      <w:r w:rsidR="00C41DFC" w:rsidRPr="00B330F7">
        <w:rPr>
          <w:rStyle w:val="Textemphasis"/>
          <w:sz w:val="21"/>
          <w:szCs w:val="21"/>
        </w:rPr>
        <w:t xml:space="preserve"> or traineeship</w:t>
      </w:r>
      <w:r w:rsidRPr="00B330F7">
        <w:rPr>
          <w:sz w:val="21"/>
          <w:szCs w:val="21"/>
        </w:rPr>
        <w:t xml:space="preserve"> is </w:t>
      </w:r>
      <w:r w:rsidR="00F86999">
        <w:rPr>
          <w:sz w:val="21"/>
          <w:szCs w:val="21"/>
        </w:rPr>
        <w:t xml:space="preserve">the term used in this document to describe </w:t>
      </w:r>
      <w:r w:rsidRPr="00B330F7">
        <w:rPr>
          <w:sz w:val="21"/>
          <w:szCs w:val="21"/>
        </w:rPr>
        <w:t>a</w:t>
      </w:r>
      <w:r w:rsidR="00685130" w:rsidRPr="00B330F7">
        <w:rPr>
          <w:sz w:val="21"/>
          <w:szCs w:val="21"/>
        </w:rPr>
        <w:t xml:space="preserve"> qualification pathway</w:t>
      </w:r>
      <w:r w:rsidRPr="00B330F7">
        <w:rPr>
          <w:sz w:val="21"/>
          <w:szCs w:val="21"/>
        </w:rPr>
        <w:t xml:space="preserve"> that combines paid employment as an apprentice or a trainee, off-the-job vocational training and senior secondary school studies.</w:t>
      </w:r>
      <w:r w:rsidR="00F86999">
        <w:rPr>
          <w:sz w:val="21"/>
          <w:szCs w:val="21"/>
        </w:rPr>
        <w:t xml:space="preserve"> Related terms include Australian School-based Apprenticeship (</w:t>
      </w:r>
      <w:proofErr w:type="spellStart"/>
      <w:r w:rsidR="00F86999">
        <w:rPr>
          <w:sz w:val="21"/>
          <w:szCs w:val="21"/>
        </w:rPr>
        <w:t>ASbA</w:t>
      </w:r>
      <w:proofErr w:type="spellEnd"/>
      <w:r w:rsidR="00F86999">
        <w:rPr>
          <w:sz w:val="21"/>
          <w:szCs w:val="21"/>
        </w:rPr>
        <w:t>) and School-Based Apprenticeship and Traineeship (</w:t>
      </w:r>
      <w:proofErr w:type="spellStart"/>
      <w:r w:rsidR="00F86999">
        <w:rPr>
          <w:sz w:val="21"/>
          <w:szCs w:val="21"/>
        </w:rPr>
        <w:t>SBAT</w:t>
      </w:r>
      <w:proofErr w:type="spellEnd"/>
      <w:r w:rsidR="00F86999">
        <w:rPr>
          <w:sz w:val="21"/>
          <w:szCs w:val="21"/>
        </w:rPr>
        <w:t>).</w:t>
      </w:r>
    </w:p>
    <w:p w14:paraId="4A335FA8" w14:textId="44D44EA9" w:rsidR="0051328D" w:rsidRPr="00B330F7" w:rsidRDefault="0051328D" w:rsidP="0051328D">
      <w:pPr>
        <w:rPr>
          <w:sz w:val="21"/>
          <w:szCs w:val="21"/>
        </w:rPr>
      </w:pPr>
      <w:r w:rsidRPr="00B330F7">
        <w:rPr>
          <w:rStyle w:val="Textemphasis"/>
          <w:sz w:val="21"/>
          <w:szCs w:val="21"/>
        </w:rPr>
        <w:t>School systems</w:t>
      </w:r>
      <w:r w:rsidRPr="00B330F7">
        <w:rPr>
          <w:sz w:val="21"/>
          <w:szCs w:val="21"/>
        </w:rPr>
        <w:t xml:space="preserve"> are responsible for policies in relation to schools in state</w:t>
      </w:r>
      <w:r w:rsidR="00501995">
        <w:rPr>
          <w:sz w:val="21"/>
          <w:szCs w:val="21"/>
        </w:rPr>
        <w:t>/</w:t>
      </w:r>
      <w:r w:rsidRPr="00B330F7">
        <w:rPr>
          <w:sz w:val="21"/>
          <w:szCs w:val="21"/>
        </w:rPr>
        <w:t xml:space="preserve">territory, </w:t>
      </w:r>
      <w:r w:rsidR="00501995">
        <w:rPr>
          <w:sz w:val="21"/>
          <w:szCs w:val="21"/>
        </w:rPr>
        <w:t>C</w:t>
      </w:r>
      <w:r w:rsidRPr="00B330F7">
        <w:rPr>
          <w:sz w:val="21"/>
          <w:szCs w:val="21"/>
        </w:rPr>
        <w:t>atholic and independent school sectors. School systems include state and territory education departments and boards of studies.</w:t>
      </w:r>
    </w:p>
    <w:p w14:paraId="2FE997E2" w14:textId="2AE618CB" w:rsidR="0079239C" w:rsidRPr="0079239C" w:rsidRDefault="00F34F2A" w:rsidP="0079239C">
      <w:pPr>
        <w:rPr>
          <w:sz w:val="21"/>
          <w:szCs w:val="21"/>
        </w:rPr>
      </w:pPr>
      <w:r w:rsidRPr="00B330F7">
        <w:rPr>
          <w:sz w:val="21"/>
          <w:szCs w:val="21"/>
        </w:rPr>
        <w:t xml:space="preserve">The </w:t>
      </w:r>
      <w:r w:rsidR="00262A7D" w:rsidRPr="00B330F7">
        <w:rPr>
          <w:rStyle w:val="Textemphasis"/>
          <w:sz w:val="21"/>
          <w:szCs w:val="21"/>
        </w:rPr>
        <w:t>senior secondary certificate of education</w:t>
      </w:r>
      <w:r w:rsidR="00262A7D">
        <w:rPr>
          <w:rStyle w:val="Textemphasis"/>
          <w:sz w:val="21"/>
          <w:szCs w:val="21"/>
        </w:rPr>
        <w:t xml:space="preserve"> </w:t>
      </w:r>
      <w:r>
        <w:rPr>
          <w:rStyle w:val="Textemphasis"/>
          <w:sz w:val="21"/>
          <w:szCs w:val="21"/>
        </w:rPr>
        <w:t>(</w:t>
      </w:r>
      <w:proofErr w:type="spellStart"/>
      <w:r>
        <w:rPr>
          <w:rStyle w:val="Textemphasis"/>
          <w:sz w:val="21"/>
          <w:szCs w:val="21"/>
        </w:rPr>
        <w:t>SSCE</w:t>
      </w:r>
      <w:proofErr w:type="spellEnd"/>
      <w:r>
        <w:rPr>
          <w:rStyle w:val="Textemphasis"/>
          <w:sz w:val="21"/>
          <w:szCs w:val="21"/>
        </w:rPr>
        <w:t>)</w:t>
      </w:r>
      <w:r w:rsidRPr="00B330F7">
        <w:rPr>
          <w:sz w:val="21"/>
          <w:szCs w:val="21"/>
        </w:rPr>
        <w:t xml:space="preserve"> </w:t>
      </w:r>
      <w:r w:rsidR="0079239C" w:rsidRPr="0079239C">
        <w:rPr>
          <w:sz w:val="21"/>
          <w:szCs w:val="21"/>
        </w:rPr>
        <w:t xml:space="preserve">is the graduation certificate awarded to students in Australian schools. Students completing the </w:t>
      </w:r>
      <w:proofErr w:type="spellStart"/>
      <w:r w:rsidR="0079239C" w:rsidRPr="0079239C">
        <w:rPr>
          <w:sz w:val="21"/>
          <w:szCs w:val="21"/>
        </w:rPr>
        <w:t>SSCE</w:t>
      </w:r>
      <w:proofErr w:type="spellEnd"/>
      <w:r w:rsidR="0079239C" w:rsidRPr="0079239C">
        <w:rPr>
          <w:sz w:val="21"/>
          <w:szCs w:val="21"/>
        </w:rPr>
        <w:t xml:space="preserve"> are usually aged 16 to 18 and study full-time for two years. In some states adults may gain the certificate </w:t>
      </w:r>
      <w:r w:rsidR="0079239C">
        <w:rPr>
          <w:sz w:val="21"/>
          <w:szCs w:val="21"/>
        </w:rPr>
        <w:t xml:space="preserve">outside of school, such as through an </w:t>
      </w:r>
      <w:proofErr w:type="spellStart"/>
      <w:r w:rsidR="0079239C">
        <w:rPr>
          <w:sz w:val="21"/>
          <w:szCs w:val="21"/>
        </w:rPr>
        <w:t>RTO</w:t>
      </w:r>
      <w:proofErr w:type="spellEnd"/>
      <w:r w:rsidR="0079239C" w:rsidRPr="0079239C">
        <w:rPr>
          <w:sz w:val="21"/>
          <w:szCs w:val="21"/>
        </w:rPr>
        <w:t>.</w:t>
      </w:r>
    </w:p>
    <w:p w14:paraId="2F748980" w14:textId="40DA37D0" w:rsidR="00F34F2A" w:rsidRDefault="0079239C" w:rsidP="0079239C">
      <w:pPr>
        <w:rPr>
          <w:sz w:val="21"/>
          <w:szCs w:val="21"/>
        </w:rPr>
      </w:pPr>
      <w:r w:rsidRPr="0079239C">
        <w:rPr>
          <w:sz w:val="21"/>
          <w:szCs w:val="21"/>
        </w:rPr>
        <w:t xml:space="preserve">The curriculum, assessment and name of the </w:t>
      </w:r>
      <w:r w:rsidR="00262A7D">
        <w:rPr>
          <w:sz w:val="21"/>
          <w:szCs w:val="21"/>
        </w:rPr>
        <w:t>senior secondary certificate</w:t>
      </w:r>
      <w:r w:rsidR="00837064">
        <w:rPr>
          <w:sz w:val="21"/>
          <w:szCs w:val="21"/>
        </w:rPr>
        <w:t xml:space="preserve"> of education</w:t>
      </w:r>
      <w:r w:rsidRPr="0079239C">
        <w:rPr>
          <w:sz w:val="21"/>
          <w:szCs w:val="21"/>
        </w:rPr>
        <w:t xml:space="preserve"> </w:t>
      </w:r>
      <w:proofErr w:type="gramStart"/>
      <w:r w:rsidRPr="0079239C">
        <w:rPr>
          <w:sz w:val="21"/>
          <w:szCs w:val="21"/>
        </w:rPr>
        <w:t>is</w:t>
      </w:r>
      <w:proofErr w:type="gramEnd"/>
      <w:r w:rsidRPr="0079239C">
        <w:rPr>
          <w:sz w:val="21"/>
          <w:szCs w:val="21"/>
        </w:rPr>
        <w:t xml:space="preserve"> </w:t>
      </w:r>
      <w:r w:rsidRPr="0079239C">
        <w:rPr>
          <w:sz w:val="21"/>
          <w:szCs w:val="21"/>
        </w:rPr>
        <w:lastRenderedPageBreak/>
        <w:t>different in each state and territory.</w:t>
      </w:r>
      <w:r w:rsidR="005068CE">
        <w:rPr>
          <w:sz w:val="21"/>
          <w:szCs w:val="21"/>
        </w:rPr>
        <w:t xml:space="preserve"> Related terms include Year 12 Certificate</w:t>
      </w:r>
      <w:r w:rsidR="00D761AA">
        <w:rPr>
          <w:sz w:val="21"/>
          <w:szCs w:val="21"/>
        </w:rPr>
        <w:t>.</w:t>
      </w:r>
    </w:p>
    <w:p w14:paraId="24CBC985" w14:textId="77777777" w:rsidR="00113913" w:rsidRPr="00B330F7" w:rsidRDefault="0051328D" w:rsidP="00113913">
      <w:pPr>
        <w:rPr>
          <w:sz w:val="21"/>
          <w:szCs w:val="21"/>
        </w:rPr>
      </w:pPr>
      <w:r w:rsidRPr="00B330F7">
        <w:rPr>
          <w:rStyle w:val="Textemphasis"/>
          <w:sz w:val="21"/>
          <w:szCs w:val="21"/>
        </w:rPr>
        <w:t>Training packages</w:t>
      </w:r>
      <w:r w:rsidRPr="00B330F7">
        <w:rPr>
          <w:sz w:val="21"/>
          <w:szCs w:val="21"/>
        </w:rPr>
        <w:t xml:space="preserve"> </w:t>
      </w:r>
      <w:r w:rsidR="00113913" w:rsidRPr="00B330F7">
        <w:rPr>
          <w:sz w:val="21"/>
          <w:szCs w:val="21"/>
        </w:rPr>
        <w:t xml:space="preserve">define the range of knowledge and skills (known as competencies) required by different occupations and industries and, in some cases, the circumstances under which competency can be assessed. They also describe how these competencies can be packaged into nationally recognised qualifications that are aligned to the Australian Qualifications Framework. </w:t>
      </w:r>
    </w:p>
    <w:p w14:paraId="38FEBAE0" w14:textId="712C7BEB" w:rsidR="0051328D" w:rsidRPr="00B330F7" w:rsidRDefault="00113913" w:rsidP="009202EA">
      <w:pPr>
        <w:rPr>
          <w:sz w:val="21"/>
          <w:szCs w:val="21"/>
        </w:rPr>
      </w:pPr>
      <w:r w:rsidRPr="00B330F7">
        <w:rPr>
          <w:sz w:val="21"/>
          <w:szCs w:val="21"/>
        </w:rPr>
        <w:t xml:space="preserve">Training packages are not curriculum and do not prescribe the way training is delivered to an individual. </w:t>
      </w:r>
      <w:proofErr w:type="spellStart"/>
      <w:r w:rsidR="00D77A4D">
        <w:rPr>
          <w:sz w:val="21"/>
          <w:szCs w:val="21"/>
        </w:rPr>
        <w:t>RTOs</w:t>
      </w:r>
      <w:proofErr w:type="spellEnd"/>
      <w:r w:rsidRPr="00B330F7">
        <w:rPr>
          <w:sz w:val="21"/>
          <w:szCs w:val="21"/>
        </w:rPr>
        <w:t xml:space="preserve"> design courses that deliver the skills and knowledge identified in training packages, while tailoring training to individual learner needs and the needs of local or rel</w:t>
      </w:r>
      <w:r w:rsidR="00AE1576">
        <w:rPr>
          <w:sz w:val="21"/>
          <w:szCs w:val="21"/>
        </w:rPr>
        <w:t>evant employers and industries.</w:t>
      </w:r>
    </w:p>
    <w:p w14:paraId="1F53E8C3" w14:textId="77323F64" w:rsidR="0051328D" w:rsidRPr="00B330F7" w:rsidRDefault="0051328D" w:rsidP="0051328D">
      <w:pPr>
        <w:rPr>
          <w:sz w:val="21"/>
          <w:szCs w:val="21"/>
        </w:rPr>
      </w:pPr>
      <w:r w:rsidRPr="00B330F7">
        <w:rPr>
          <w:rStyle w:val="Textemphasis"/>
          <w:sz w:val="21"/>
          <w:szCs w:val="21"/>
        </w:rPr>
        <w:t>Training package developers</w:t>
      </w:r>
      <w:r w:rsidRPr="00B330F7">
        <w:rPr>
          <w:sz w:val="21"/>
          <w:szCs w:val="21"/>
        </w:rPr>
        <w:t xml:space="preserve"> are responsible for the development, implementation and continuous improvement of training packages. In 2014 there were </w:t>
      </w:r>
      <w:r w:rsidR="00AD7285">
        <w:rPr>
          <w:sz w:val="21"/>
          <w:szCs w:val="21"/>
        </w:rPr>
        <w:t>12</w:t>
      </w:r>
      <w:r w:rsidR="00AD7285" w:rsidRPr="00B330F7">
        <w:rPr>
          <w:sz w:val="21"/>
          <w:szCs w:val="21"/>
        </w:rPr>
        <w:t xml:space="preserve"> </w:t>
      </w:r>
      <w:r w:rsidR="00A11F04" w:rsidRPr="00B330F7">
        <w:rPr>
          <w:sz w:val="21"/>
          <w:szCs w:val="21"/>
        </w:rPr>
        <w:t xml:space="preserve">national industry skills councils </w:t>
      </w:r>
      <w:r w:rsidR="00AD7285">
        <w:rPr>
          <w:sz w:val="21"/>
          <w:szCs w:val="21"/>
        </w:rPr>
        <w:t>that</w:t>
      </w:r>
      <w:r w:rsidR="00AD7285" w:rsidRPr="00B330F7">
        <w:rPr>
          <w:sz w:val="21"/>
          <w:szCs w:val="21"/>
        </w:rPr>
        <w:t xml:space="preserve"> </w:t>
      </w:r>
      <w:r w:rsidR="00A11F04" w:rsidRPr="00B330F7">
        <w:rPr>
          <w:sz w:val="21"/>
          <w:szCs w:val="21"/>
        </w:rPr>
        <w:t>wer</w:t>
      </w:r>
      <w:r w:rsidRPr="00B330F7">
        <w:rPr>
          <w:sz w:val="21"/>
          <w:szCs w:val="21"/>
        </w:rPr>
        <w:t xml:space="preserve">e approved to develop training packages. </w:t>
      </w:r>
    </w:p>
    <w:p w14:paraId="71153BF5" w14:textId="48267E8F" w:rsidR="0051328D" w:rsidRPr="00B330F7" w:rsidRDefault="0051328D" w:rsidP="0051328D">
      <w:pPr>
        <w:rPr>
          <w:sz w:val="21"/>
          <w:szCs w:val="21"/>
        </w:rPr>
      </w:pPr>
      <w:r w:rsidRPr="00B330F7">
        <w:rPr>
          <w:rStyle w:val="Textemphasis"/>
          <w:sz w:val="21"/>
          <w:szCs w:val="21"/>
        </w:rPr>
        <w:t xml:space="preserve">Units of </w:t>
      </w:r>
      <w:r w:rsidR="00C55E52" w:rsidRPr="006F3556">
        <w:rPr>
          <w:rStyle w:val="Textemphasis"/>
          <w:sz w:val="21"/>
          <w:szCs w:val="21"/>
        </w:rPr>
        <w:t xml:space="preserve">competency </w:t>
      </w:r>
      <w:r w:rsidRPr="00B330F7">
        <w:rPr>
          <w:sz w:val="21"/>
          <w:szCs w:val="21"/>
        </w:rPr>
        <w:t>are the smallest unit</w:t>
      </w:r>
      <w:r w:rsidR="00D63BD7">
        <w:rPr>
          <w:sz w:val="21"/>
          <w:szCs w:val="21"/>
        </w:rPr>
        <w:t>s</w:t>
      </w:r>
      <w:r w:rsidRPr="00B330F7">
        <w:rPr>
          <w:sz w:val="21"/>
          <w:szCs w:val="21"/>
        </w:rPr>
        <w:t xml:space="preserve"> that can be assessed and recognised as part of a training package. They specify the knowledge and skill, and the application of that knowledge and skill, to the standard of performance expected in the workplace.</w:t>
      </w:r>
    </w:p>
    <w:p w14:paraId="56AA0BE8" w14:textId="77777777" w:rsidR="00CC6A80" w:rsidRPr="00B330F7" w:rsidRDefault="00CC6A80" w:rsidP="00CC6A80">
      <w:pPr>
        <w:rPr>
          <w:sz w:val="21"/>
          <w:szCs w:val="21"/>
        </w:rPr>
      </w:pPr>
      <w:r w:rsidRPr="00B330F7">
        <w:rPr>
          <w:rStyle w:val="Textemphasis"/>
          <w:sz w:val="21"/>
          <w:szCs w:val="21"/>
        </w:rPr>
        <w:t>VET delivered to secondary students</w:t>
      </w:r>
      <w:r w:rsidRPr="00B330F7">
        <w:rPr>
          <w:sz w:val="21"/>
          <w:szCs w:val="21"/>
        </w:rPr>
        <w:t xml:space="preserve"> is </w:t>
      </w:r>
      <w:r w:rsidR="00C55E52">
        <w:rPr>
          <w:sz w:val="21"/>
          <w:szCs w:val="21"/>
        </w:rPr>
        <w:t>the same as all other VET</w:t>
      </w:r>
      <w:r w:rsidRPr="00B330F7">
        <w:rPr>
          <w:sz w:val="21"/>
          <w:szCs w:val="21"/>
        </w:rPr>
        <w:t>, and the same quality standards apply.</w:t>
      </w:r>
    </w:p>
    <w:p w14:paraId="54979E51" w14:textId="07D1FEE2" w:rsidR="009E7257" w:rsidRPr="00B330F7" w:rsidRDefault="009E7257" w:rsidP="0051328D">
      <w:pPr>
        <w:rPr>
          <w:sz w:val="21"/>
          <w:szCs w:val="21"/>
        </w:rPr>
      </w:pPr>
      <w:r w:rsidRPr="00B330F7">
        <w:rPr>
          <w:sz w:val="21"/>
          <w:szCs w:val="21"/>
        </w:rPr>
        <w:t xml:space="preserve">The </w:t>
      </w:r>
      <w:r w:rsidRPr="00B330F7">
        <w:rPr>
          <w:rStyle w:val="Textemphasis"/>
          <w:sz w:val="21"/>
          <w:szCs w:val="21"/>
        </w:rPr>
        <w:t>VET Quality Framework</w:t>
      </w:r>
      <w:r w:rsidRPr="00B330F7">
        <w:rPr>
          <w:sz w:val="21"/>
          <w:szCs w:val="21"/>
        </w:rPr>
        <w:t xml:space="preserve"> is aimed at achieving greater national consistency in the way providers are registered and monitored and in how standards in the VET sector are enforced.</w:t>
      </w:r>
    </w:p>
    <w:p w14:paraId="57A17DDD" w14:textId="10E9323D" w:rsidR="000F6A78" w:rsidRPr="00B330F7" w:rsidRDefault="000F6A78" w:rsidP="000F6A78">
      <w:pPr>
        <w:rPr>
          <w:sz w:val="21"/>
          <w:szCs w:val="21"/>
        </w:rPr>
      </w:pPr>
      <w:r w:rsidRPr="00B330F7">
        <w:rPr>
          <w:rStyle w:val="Textemphasis"/>
          <w:sz w:val="21"/>
          <w:szCs w:val="21"/>
        </w:rPr>
        <w:t>VET regulators</w:t>
      </w:r>
      <w:r w:rsidRPr="00B330F7">
        <w:rPr>
          <w:sz w:val="21"/>
          <w:szCs w:val="21"/>
        </w:rPr>
        <w:t xml:space="preserve"> enforce the quality standards for </w:t>
      </w:r>
      <w:proofErr w:type="spellStart"/>
      <w:r w:rsidR="00D77A4D">
        <w:rPr>
          <w:sz w:val="21"/>
          <w:szCs w:val="21"/>
        </w:rPr>
        <w:t>RTOs</w:t>
      </w:r>
      <w:proofErr w:type="spellEnd"/>
      <w:r w:rsidRPr="00B330F7">
        <w:rPr>
          <w:sz w:val="21"/>
          <w:szCs w:val="21"/>
        </w:rPr>
        <w:t xml:space="preserve"> and accredit VET courses. In 2014 the Australian Skills Quality Authority (</w:t>
      </w:r>
      <w:proofErr w:type="spellStart"/>
      <w:r w:rsidRPr="00B330F7">
        <w:rPr>
          <w:sz w:val="21"/>
          <w:szCs w:val="21"/>
        </w:rPr>
        <w:t>ASQA</w:t>
      </w:r>
      <w:proofErr w:type="spellEnd"/>
      <w:r w:rsidRPr="00B330F7">
        <w:rPr>
          <w:sz w:val="21"/>
          <w:szCs w:val="21"/>
        </w:rPr>
        <w:t>) is the national regulator. The Training Accreditation Council (</w:t>
      </w:r>
      <w:proofErr w:type="spellStart"/>
      <w:r w:rsidRPr="00B330F7">
        <w:rPr>
          <w:sz w:val="21"/>
          <w:szCs w:val="21"/>
        </w:rPr>
        <w:t>TAC</w:t>
      </w:r>
      <w:proofErr w:type="spellEnd"/>
      <w:r w:rsidRPr="00B330F7">
        <w:rPr>
          <w:sz w:val="21"/>
          <w:szCs w:val="21"/>
        </w:rPr>
        <w:t xml:space="preserve">) in Western Australia and the </w:t>
      </w:r>
      <w:r w:rsidRPr="00B330F7">
        <w:rPr>
          <w:sz w:val="21"/>
          <w:szCs w:val="21"/>
          <w:lang w:val="en-US"/>
        </w:rPr>
        <w:t>Victorian Registration and Qualifications Authority (</w:t>
      </w:r>
      <w:proofErr w:type="spellStart"/>
      <w:r w:rsidRPr="00B330F7">
        <w:rPr>
          <w:sz w:val="21"/>
          <w:szCs w:val="21"/>
          <w:lang w:val="en-US"/>
        </w:rPr>
        <w:t>VRQA</w:t>
      </w:r>
      <w:proofErr w:type="spellEnd"/>
      <w:r w:rsidRPr="00B330F7">
        <w:rPr>
          <w:sz w:val="21"/>
          <w:szCs w:val="21"/>
          <w:lang w:val="en-US"/>
        </w:rPr>
        <w:t xml:space="preserve">) </w:t>
      </w:r>
      <w:r w:rsidRPr="00B330F7">
        <w:rPr>
          <w:sz w:val="21"/>
          <w:szCs w:val="21"/>
        </w:rPr>
        <w:t>maintain some regulatory responsibility in their respective jurisdictions.</w:t>
      </w:r>
    </w:p>
    <w:p w14:paraId="69666B76" w14:textId="3C7BCB7A" w:rsidR="00CC6A80" w:rsidRPr="00B330F7" w:rsidRDefault="00CC6A80" w:rsidP="00CC6A80">
      <w:pPr>
        <w:rPr>
          <w:sz w:val="21"/>
          <w:szCs w:val="21"/>
        </w:rPr>
      </w:pPr>
      <w:r w:rsidRPr="00B330F7">
        <w:rPr>
          <w:rStyle w:val="Emphasis"/>
          <w:sz w:val="21"/>
          <w:szCs w:val="21"/>
        </w:rPr>
        <w:t>Vocational Education and Training (VET)</w:t>
      </w:r>
      <w:r w:rsidRPr="00B330F7">
        <w:rPr>
          <w:sz w:val="21"/>
          <w:szCs w:val="21"/>
        </w:rPr>
        <w:t xml:space="preserve"> </w:t>
      </w:r>
      <w:r w:rsidR="00C86F8E">
        <w:rPr>
          <w:sz w:val="21"/>
          <w:szCs w:val="21"/>
        </w:rPr>
        <w:t>enables</w:t>
      </w:r>
      <w:r w:rsidRPr="00B330F7">
        <w:rPr>
          <w:sz w:val="21"/>
          <w:szCs w:val="21"/>
        </w:rPr>
        <w:t xml:space="preserve"> students to acquire workplace skills through nationally</w:t>
      </w:r>
      <w:r w:rsidR="0098743A">
        <w:rPr>
          <w:sz w:val="21"/>
          <w:szCs w:val="21"/>
        </w:rPr>
        <w:t xml:space="preserve"> </w:t>
      </w:r>
      <w:r w:rsidRPr="00B330F7">
        <w:rPr>
          <w:sz w:val="21"/>
          <w:szCs w:val="21"/>
        </w:rPr>
        <w:t xml:space="preserve">recognised training </w:t>
      </w:r>
      <w:r w:rsidR="00C86F8E">
        <w:rPr>
          <w:sz w:val="21"/>
          <w:szCs w:val="21"/>
        </w:rPr>
        <w:lastRenderedPageBreak/>
        <w:t xml:space="preserve">described within </w:t>
      </w:r>
      <w:r w:rsidRPr="00B330F7">
        <w:rPr>
          <w:sz w:val="21"/>
          <w:szCs w:val="21"/>
        </w:rPr>
        <w:t>a</w:t>
      </w:r>
      <w:r w:rsidR="000F6A78">
        <w:rPr>
          <w:sz w:val="21"/>
          <w:szCs w:val="21"/>
        </w:rPr>
        <w:t>n industry-developed</w:t>
      </w:r>
      <w:r w:rsidRPr="00B330F7">
        <w:rPr>
          <w:sz w:val="21"/>
          <w:szCs w:val="21"/>
        </w:rPr>
        <w:t xml:space="preserve"> training package or an accredited course. </w:t>
      </w:r>
      <w:r w:rsidR="00C86F8E">
        <w:rPr>
          <w:sz w:val="21"/>
          <w:szCs w:val="21"/>
        </w:rPr>
        <w:t xml:space="preserve">A VET qualification is </w:t>
      </w:r>
      <w:r w:rsidR="00C86F8E" w:rsidRPr="003A0E5E">
        <w:rPr>
          <w:sz w:val="21"/>
          <w:szCs w:val="21"/>
        </w:rPr>
        <w:t>issued by a</w:t>
      </w:r>
      <w:r w:rsidR="00F2177F">
        <w:rPr>
          <w:sz w:val="21"/>
          <w:szCs w:val="21"/>
        </w:rPr>
        <w:t xml:space="preserve">n </w:t>
      </w:r>
      <w:proofErr w:type="spellStart"/>
      <w:r w:rsidR="00F2177F">
        <w:rPr>
          <w:sz w:val="21"/>
          <w:szCs w:val="21"/>
        </w:rPr>
        <w:t>RTO</w:t>
      </w:r>
      <w:proofErr w:type="spellEnd"/>
      <w:r w:rsidR="00C86F8E">
        <w:rPr>
          <w:sz w:val="21"/>
          <w:szCs w:val="21"/>
        </w:rPr>
        <w:t xml:space="preserve">. </w:t>
      </w:r>
      <w:r w:rsidRPr="00B330F7">
        <w:rPr>
          <w:sz w:val="21"/>
          <w:szCs w:val="21"/>
        </w:rPr>
        <w:t xml:space="preserve">The </w:t>
      </w:r>
      <w:r w:rsidR="00C86F8E">
        <w:rPr>
          <w:sz w:val="21"/>
          <w:szCs w:val="21"/>
        </w:rPr>
        <w:t xml:space="preserve">achievement of a </w:t>
      </w:r>
      <w:r w:rsidRPr="00B330F7">
        <w:rPr>
          <w:sz w:val="21"/>
          <w:szCs w:val="21"/>
        </w:rPr>
        <w:t>VET qualification</w:t>
      </w:r>
      <w:r w:rsidR="00C86F8E">
        <w:rPr>
          <w:sz w:val="21"/>
          <w:szCs w:val="21"/>
        </w:rPr>
        <w:t xml:space="preserve"> signifies </w:t>
      </w:r>
      <w:r w:rsidR="00AD7285">
        <w:rPr>
          <w:sz w:val="21"/>
          <w:szCs w:val="21"/>
        </w:rPr>
        <w:t xml:space="preserve">that </w:t>
      </w:r>
      <w:r w:rsidR="00C86F8E">
        <w:rPr>
          <w:sz w:val="21"/>
          <w:szCs w:val="21"/>
        </w:rPr>
        <w:t>a student has demonstrated competency against</w:t>
      </w:r>
      <w:r w:rsidR="00C86F8E" w:rsidRPr="003A0E5E">
        <w:rPr>
          <w:sz w:val="21"/>
          <w:szCs w:val="21"/>
        </w:rPr>
        <w:t xml:space="preserve"> the skills and knowledge required to perform effectively in the workplace</w:t>
      </w:r>
      <w:r w:rsidR="00C86F8E">
        <w:rPr>
          <w:sz w:val="21"/>
          <w:szCs w:val="21"/>
        </w:rPr>
        <w:t>.</w:t>
      </w:r>
    </w:p>
    <w:p w14:paraId="19358874" w14:textId="2665F1DD" w:rsidR="0051328D" w:rsidRPr="00836E07" w:rsidRDefault="0051328D" w:rsidP="0051328D">
      <w:pPr>
        <w:rPr>
          <w:sz w:val="21"/>
          <w:szCs w:val="21"/>
        </w:rPr>
      </w:pPr>
      <w:r w:rsidRPr="00836E07">
        <w:rPr>
          <w:rStyle w:val="Emphasis"/>
          <w:sz w:val="21"/>
          <w:szCs w:val="21"/>
        </w:rPr>
        <w:t>Vocational learning</w:t>
      </w:r>
      <w:r w:rsidRPr="00836E07">
        <w:rPr>
          <w:sz w:val="21"/>
          <w:szCs w:val="21"/>
        </w:rPr>
        <w:t xml:space="preserve"> helps secondary students explore the world of work, identify career options and pathways, and build career development skills. </w:t>
      </w:r>
      <w:r w:rsidR="00CB2999" w:rsidRPr="00836E07">
        <w:rPr>
          <w:sz w:val="21"/>
          <w:szCs w:val="21"/>
        </w:rPr>
        <w:t xml:space="preserve">Vocational learning is delivered within the broader curriculum. </w:t>
      </w:r>
      <w:r w:rsidRPr="00836E07">
        <w:rPr>
          <w:sz w:val="21"/>
          <w:szCs w:val="21"/>
        </w:rPr>
        <w:t>It support</w:t>
      </w:r>
      <w:r w:rsidR="00CB2999" w:rsidRPr="00836E07">
        <w:rPr>
          <w:sz w:val="21"/>
          <w:szCs w:val="21"/>
        </w:rPr>
        <w:t>s</w:t>
      </w:r>
      <w:r w:rsidRPr="00836E07">
        <w:rPr>
          <w:sz w:val="21"/>
          <w:szCs w:val="21"/>
        </w:rPr>
        <w:t xml:space="preserve"> students to gain career development skills and provides opportunities for students to ‘taste’ the world of work through one-off events, initiatives such as enterprise learning, or</w:t>
      </w:r>
      <w:r w:rsidR="0098743A" w:rsidRPr="00836E07">
        <w:rPr>
          <w:sz w:val="21"/>
          <w:szCs w:val="21"/>
        </w:rPr>
        <w:t xml:space="preserve"> </w:t>
      </w:r>
      <w:r w:rsidRPr="00836E07">
        <w:rPr>
          <w:sz w:val="21"/>
          <w:szCs w:val="21"/>
        </w:rPr>
        <w:t>spending time in a real or simulated workplace.</w:t>
      </w:r>
    </w:p>
    <w:p w14:paraId="35C083E9" w14:textId="027571DE" w:rsidR="002C73EA" w:rsidRPr="00B330F7" w:rsidRDefault="001F7E34" w:rsidP="0051328D">
      <w:pPr>
        <w:rPr>
          <w:sz w:val="21"/>
          <w:szCs w:val="21"/>
        </w:rPr>
      </w:pPr>
      <w:r w:rsidRPr="00836E07">
        <w:rPr>
          <w:rStyle w:val="Textemphasis"/>
          <w:sz w:val="21"/>
          <w:szCs w:val="21"/>
        </w:rPr>
        <w:t>Volume of learning</w:t>
      </w:r>
      <w:r w:rsidR="00E11A47" w:rsidRPr="00836E07">
        <w:rPr>
          <w:sz w:val="21"/>
          <w:szCs w:val="21"/>
        </w:rPr>
        <w:t xml:space="preserve">, a technical term in the </w:t>
      </w:r>
      <w:proofErr w:type="spellStart"/>
      <w:r w:rsidR="00E11A47" w:rsidRPr="00836E07">
        <w:rPr>
          <w:sz w:val="21"/>
          <w:szCs w:val="21"/>
        </w:rPr>
        <w:t>AQF</w:t>
      </w:r>
      <w:proofErr w:type="spellEnd"/>
      <w:r w:rsidR="00E11A47" w:rsidRPr="00836E07">
        <w:rPr>
          <w:sz w:val="21"/>
          <w:szCs w:val="21"/>
        </w:rPr>
        <w:t>,</w:t>
      </w:r>
      <w:r w:rsidRPr="00836E07">
        <w:rPr>
          <w:sz w:val="21"/>
          <w:szCs w:val="21"/>
        </w:rPr>
        <w:t xml:space="preserve"> is a dimension of the complexity of a qualification. It is used with the level criteria and qualification type descriptor to determine the depth and breadth of the learning outcomes of a qualification. The volume of learning identifies the notional duration of all activities required for the achievement of the learning outcomes specified for a particular </w:t>
      </w:r>
      <w:proofErr w:type="spellStart"/>
      <w:r w:rsidRPr="00836E07">
        <w:rPr>
          <w:sz w:val="21"/>
          <w:szCs w:val="21"/>
        </w:rPr>
        <w:t>AQF</w:t>
      </w:r>
      <w:proofErr w:type="spellEnd"/>
      <w:r w:rsidRPr="00836E07">
        <w:rPr>
          <w:sz w:val="21"/>
          <w:szCs w:val="21"/>
        </w:rPr>
        <w:t xml:space="preserve"> qualification type. It is expressed in equivalent full-time years</w:t>
      </w:r>
      <w:r w:rsidRPr="00B330F7">
        <w:rPr>
          <w:sz w:val="21"/>
          <w:szCs w:val="21"/>
        </w:rPr>
        <w:t>.</w:t>
      </w:r>
    </w:p>
    <w:p w14:paraId="24B192BF" w14:textId="6E9DF310" w:rsidR="0051328D" w:rsidRPr="00B330F7" w:rsidRDefault="0051328D" w:rsidP="00FB0C79">
      <w:pPr>
        <w:spacing w:before="480"/>
        <w:ind w:right="-374"/>
        <w:rPr>
          <w:i/>
          <w:sz w:val="21"/>
          <w:szCs w:val="21"/>
        </w:rPr>
      </w:pPr>
      <w:r w:rsidRPr="00B330F7">
        <w:rPr>
          <w:i/>
          <w:sz w:val="21"/>
          <w:szCs w:val="21"/>
        </w:rPr>
        <w:t>The following terms</w:t>
      </w:r>
      <w:r w:rsidR="001059C4" w:rsidRPr="00B330F7">
        <w:rPr>
          <w:i/>
          <w:sz w:val="21"/>
          <w:szCs w:val="21"/>
        </w:rPr>
        <w:t xml:space="preserve"> u</w:t>
      </w:r>
      <w:r w:rsidRPr="00B330F7">
        <w:rPr>
          <w:i/>
          <w:sz w:val="21"/>
          <w:szCs w:val="21"/>
        </w:rPr>
        <w:t>sed in the 2001 framework have been replaced by new terminology to provide greater clarity for stakeholders.</w:t>
      </w:r>
    </w:p>
    <w:p w14:paraId="4B5770B8" w14:textId="76CD90DF" w:rsidR="0051328D" w:rsidRPr="00B330F7" w:rsidRDefault="0051328D" w:rsidP="0051328D">
      <w:pPr>
        <w:rPr>
          <w:i/>
          <w:sz w:val="21"/>
          <w:szCs w:val="21"/>
        </w:rPr>
      </w:pPr>
      <w:r w:rsidRPr="00B330F7">
        <w:rPr>
          <w:rStyle w:val="Textemphasis"/>
          <w:i/>
          <w:sz w:val="21"/>
          <w:szCs w:val="21"/>
        </w:rPr>
        <w:t>Vocational education</w:t>
      </w:r>
      <w:r w:rsidRPr="00B330F7">
        <w:rPr>
          <w:i/>
          <w:sz w:val="21"/>
          <w:szCs w:val="21"/>
        </w:rPr>
        <w:t xml:space="preserve"> (2001 framework) was an overarching term which encompassed vocational learning, enterprise education and VET.</w:t>
      </w:r>
    </w:p>
    <w:p w14:paraId="67A8BAA6" w14:textId="3259E7C6" w:rsidR="008D5BF5" w:rsidRPr="00FB0C79" w:rsidRDefault="0051328D" w:rsidP="001D473B">
      <w:pPr>
        <w:rPr>
          <w:i/>
          <w:sz w:val="21"/>
          <w:szCs w:val="21"/>
        </w:rPr>
        <w:sectPr w:rsidR="008D5BF5" w:rsidRPr="00FB0C79" w:rsidSect="00786D8C">
          <w:headerReference w:type="even" r:id="rId20"/>
          <w:pgSz w:w="11906" w:h="16838"/>
          <w:pgMar w:top="1389" w:right="1440" w:bottom="1418" w:left="1440" w:header="709" w:footer="709" w:gutter="0"/>
          <w:pgNumType w:fmt="lowerRoman"/>
          <w:cols w:num="2" w:space="708"/>
          <w:docGrid w:linePitch="360"/>
        </w:sectPr>
      </w:pPr>
      <w:r w:rsidRPr="00B330F7">
        <w:rPr>
          <w:rStyle w:val="Textemphasis"/>
          <w:i/>
          <w:sz w:val="21"/>
          <w:szCs w:val="21"/>
        </w:rPr>
        <w:t>VET in Schools</w:t>
      </w:r>
      <w:r w:rsidRPr="00B330F7">
        <w:rPr>
          <w:i/>
          <w:sz w:val="21"/>
          <w:szCs w:val="21"/>
        </w:rPr>
        <w:t xml:space="preserve"> (2001 framework) was the term used to describe the VET provided to school students that resulted in a VET qualification. The 2001 framework also referred to ‘VET in Schools qualifications’</w:t>
      </w:r>
      <w:r w:rsidR="0034116E">
        <w:rPr>
          <w:i/>
          <w:sz w:val="21"/>
          <w:szCs w:val="21"/>
        </w:rPr>
        <w:t>,</w:t>
      </w:r>
      <w:r w:rsidRPr="00B330F7">
        <w:rPr>
          <w:i/>
          <w:sz w:val="21"/>
          <w:szCs w:val="21"/>
        </w:rPr>
        <w:t xml:space="preserve"> which suggested these were different t</w:t>
      </w:r>
      <w:r w:rsidR="00FB0C79">
        <w:rPr>
          <w:i/>
          <w:sz w:val="21"/>
          <w:szCs w:val="21"/>
        </w:rPr>
        <w:t>o all other VET qualifications.</w:t>
      </w:r>
    </w:p>
    <w:p w14:paraId="4F0D4F97" w14:textId="77777777" w:rsidR="00E30ED0" w:rsidRDefault="00E30ED0" w:rsidP="001D473B">
      <w:pPr>
        <w:pStyle w:val="Heading1"/>
      </w:pPr>
      <w:bookmarkStart w:id="3" w:name="_Toc406065036"/>
      <w:bookmarkStart w:id="4" w:name="_Toc406079693"/>
      <w:r>
        <w:lastRenderedPageBreak/>
        <w:t>Background</w:t>
      </w:r>
      <w:bookmarkEnd w:id="3"/>
      <w:bookmarkEnd w:id="4"/>
    </w:p>
    <w:p w14:paraId="4CB3332A" w14:textId="264D17B1" w:rsidR="00E30ED0" w:rsidRDefault="00E30ED0" w:rsidP="001D473B">
      <w:r>
        <w:rPr>
          <w:i/>
        </w:rPr>
        <w:t>Preparing Secondary Students for Work</w:t>
      </w:r>
      <w:r>
        <w:t xml:space="preserve"> sets out a framework for vocational learning and </w:t>
      </w:r>
      <w:r w:rsidR="00FE082C">
        <w:t>v</w:t>
      </w:r>
      <w:r w:rsidR="00CC70B1">
        <w:t xml:space="preserve">ocational </w:t>
      </w:r>
      <w:r w:rsidR="00FE082C">
        <w:t>e</w:t>
      </w:r>
      <w:r w:rsidR="00CC70B1">
        <w:t xml:space="preserve">ducation and </w:t>
      </w:r>
      <w:r w:rsidR="00FE082C">
        <w:t>t</w:t>
      </w:r>
      <w:r w:rsidR="00CC70B1">
        <w:t>raining (V</w:t>
      </w:r>
      <w:r>
        <w:t>ET</w:t>
      </w:r>
      <w:r w:rsidR="00CC70B1">
        <w:t>)</w:t>
      </w:r>
      <w:r>
        <w:t xml:space="preserve"> delivered to secondary students. It updates the</w:t>
      </w:r>
      <w:r w:rsidRPr="00442253">
        <w:t xml:space="preserve"> </w:t>
      </w:r>
      <w:r w:rsidRPr="00C7611B">
        <w:rPr>
          <w:i/>
        </w:rPr>
        <w:t>New Framework for Vocational Education in Schools</w:t>
      </w:r>
      <w:r w:rsidRPr="00442253">
        <w:t xml:space="preserve"> </w:t>
      </w:r>
      <w:r>
        <w:t>released</w:t>
      </w:r>
      <w:r w:rsidR="00C03EC0">
        <w:t xml:space="preserve"> in 2001</w:t>
      </w:r>
      <w:r>
        <w:t xml:space="preserve"> by the Ministerial Council on Education, Employment, Training and Youth Affairs</w:t>
      </w:r>
      <w:r w:rsidR="00C03EC0">
        <w:t>.</w:t>
      </w:r>
      <w:r>
        <w:rPr>
          <w:rStyle w:val="FootnoteReference"/>
        </w:rPr>
        <w:footnoteReference w:id="1"/>
      </w:r>
      <w:r>
        <w:t xml:space="preserve"> The 2001 framework was introduced at a time when the VET sector, including vocational education in schools</w:t>
      </w:r>
      <w:r w:rsidR="00C03EC0">
        <w:t>,</w:t>
      </w:r>
      <w:r>
        <w:rPr>
          <w:rStyle w:val="FootnoteReference"/>
        </w:rPr>
        <w:footnoteReference w:id="2"/>
      </w:r>
      <w:r w:rsidR="0034116E">
        <w:t xml:space="preserve"> was expanding.</w:t>
      </w:r>
      <w:r>
        <w:t xml:space="preserve"> </w:t>
      </w:r>
    </w:p>
    <w:p w14:paraId="11BEADE6" w14:textId="5AF4E5AA" w:rsidR="00A3441F" w:rsidRDefault="00E30ED0" w:rsidP="001D473B">
      <w:r>
        <w:t xml:space="preserve">In 2014 the Education Council decided to update the framework to </w:t>
      </w:r>
      <w:r w:rsidRPr="009077DD">
        <w:t>ensure</w:t>
      </w:r>
      <w:r>
        <w:t xml:space="preserve"> that vocational learning and VET delivered to secondary students reflect modern schools and workplaces. Like the earlier framework, </w:t>
      </w:r>
      <w:r w:rsidRPr="00EB39B1">
        <w:rPr>
          <w:i/>
        </w:rPr>
        <w:t>Preparing Secondary Students for Work</w:t>
      </w:r>
      <w:r>
        <w:rPr>
          <w:i/>
        </w:rPr>
        <w:t xml:space="preserve"> </w:t>
      </w:r>
      <w:r>
        <w:t xml:space="preserve">is a policy document. It is likely to be of most value to people who set policies, design </w:t>
      </w:r>
      <w:r w:rsidR="00A93CE9">
        <w:t>program</w:t>
      </w:r>
      <w:r>
        <w:t>s and implement vocational learning and VET</w:t>
      </w:r>
      <w:r w:rsidR="00E36A84">
        <w:t xml:space="preserve">, whether they </w:t>
      </w:r>
      <w:r w:rsidR="00B2127A">
        <w:t>are</w:t>
      </w:r>
      <w:r w:rsidR="00E36A84">
        <w:t xml:space="preserve"> within schools, schooling systems, </w:t>
      </w:r>
      <w:proofErr w:type="gramStart"/>
      <w:r w:rsidR="00E36A84">
        <w:t>industry</w:t>
      </w:r>
      <w:proofErr w:type="gramEnd"/>
      <w:r w:rsidR="00E36A84">
        <w:t xml:space="preserve"> bodies, training package developers or VET regulators. </w:t>
      </w:r>
    </w:p>
    <w:p w14:paraId="5B2209A6" w14:textId="026E3BE5" w:rsidR="00E30ED0" w:rsidRDefault="00E36A84" w:rsidP="001D473B">
      <w:r>
        <w:t>The framework</w:t>
      </w:r>
      <w:r w:rsidR="00E30ED0">
        <w:t xml:space="preserve"> will be followed by practical documents </w:t>
      </w:r>
      <w:r w:rsidR="00D64688">
        <w:t xml:space="preserve">and resources </w:t>
      </w:r>
      <w:r w:rsidR="00E30ED0">
        <w:t xml:space="preserve">for specific audiences such as </w:t>
      </w:r>
      <w:r w:rsidR="00CF3AFF">
        <w:t xml:space="preserve">students, </w:t>
      </w:r>
      <w:r w:rsidR="00E30ED0">
        <w:t xml:space="preserve">parents, schools, employers and </w:t>
      </w:r>
      <w:proofErr w:type="spellStart"/>
      <w:r w:rsidR="00C7611B">
        <w:t>RTO</w:t>
      </w:r>
      <w:r w:rsidR="00E30ED0">
        <w:t>s</w:t>
      </w:r>
      <w:proofErr w:type="spellEnd"/>
      <w:r w:rsidR="00E30ED0">
        <w:t>.</w:t>
      </w:r>
    </w:p>
    <w:p w14:paraId="43D90EE1" w14:textId="79862A35" w:rsidR="00E30ED0" w:rsidRDefault="00E30ED0" w:rsidP="001D473B">
      <w:r>
        <w:t xml:space="preserve">The framework has been </w:t>
      </w:r>
      <w:r w:rsidR="00A3441F">
        <w:t>developed</w:t>
      </w:r>
      <w:r>
        <w:t xml:space="preserve"> by a working group </w:t>
      </w:r>
      <w:r w:rsidR="00CF3AFF">
        <w:t xml:space="preserve">of the Education Council. The group has been </w:t>
      </w:r>
      <w:r w:rsidR="00415242">
        <w:t xml:space="preserve">chaired by the Australian Government and </w:t>
      </w:r>
      <w:r>
        <w:t>bring</w:t>
      </w:r>
      <w:r w:rsidR="0034116E">
        <w:t>s</w:t>
      </w:r>
      <w:r>
        <w:t xml:space="preserve"> together representatives from</w:t>
      </w:r>
      <w:r w:rsidR="00D93AA7">
        <w:t xml:space="preserve"> the</w:t>
      </w:r>
      <w:r>
        <w:t xml:space="preserve"> state</w:t>
      </w:r>
      <w:r w:rsidR="00A635D6">
        <w:t>/</w:t>
      </w:r>
      <w:r>
        <w:t xml:space="preserve"> territory, independent and </w:t>
      </w:r>
      <w:r w:rsidR="00D93AA7">
        <w:t>C</w:t>
      </w:r>
      <w:r>
        <w:t>atholic school sectors</w:t>
      </w:r>
      <w:r w:rsidR="00D93AA7">
        <w:t>;</w:t>
      </w:r>
      <w:r>
        <w:t xml:space="preserve"> industry organisations</w:t>
      </w:r>
      <w:r w:rsidR="00D93AA7">
        <w:t>;</w:t>
      </w:r>
      <w:r>
        <w:t xml:space="preserve"> training package develo</w:t>
      </w:r>
      <w:r w:rsidR="00415242">
        <w:t>pers</w:t>
      </w:r>
      <w:r w:rsidR="00D93AA7">
        <w:t>;</w:t>
      </w:r>
      <w:r w:rsidR="00415242">
        <w:t xml:space="preserve"> and training organisations</w:t>
      </w:r>
      <w:r>
        <w:t xml:space="preserve">. Their work </w:t>
      </w:r>
      <w:r w:rsidR="00D93AA7">
        <w:t xml:space="preserve">has been </w:t>
      </w:r>
      <w:r>
        <w:t>informed by:</w:t>
      </w:r>
    </w:p>
    <w:p w14:paraId="791CA4F4" w14:textId="77777777" w:rsidR="004B2F44" w:rsidRDefault="004B2F44" w:rsidP="001D473B">
      <w:pPr>
        <w:pStyle w:val="ListBullet"/>
      </w:pPr>
      <w:r>
        <w:t>stakeholder consultations, including a national roundtable and roundtables in each state and territory chaired by the Australian Government Assistant Minister for Education, the Hon </w:t>
      </w:r>
      <w:proofErr w:type="spellStart"/>
      <w:r>
        <w:t>Sussan</w:t>
      </w:r>
      <w:proofErr w:type="spellEnd"/>
      <w:r>
        <w:t> Ley MP</w:t>
      </w:r>
    </w:p>
    <w:p w14:paraId="5AF10EF6" w14:textId="77777777" w:rsidR="00E30ED0" w:rsidRDefault="00E30ED0" w:rsidP="001D473B">
      <w:pPr>
        <w:pStyle w:val="ListBullet"/>
      </w:pPr>
      <w:r>
        <w:lastRenderedPageBreak/>
        <w:t>recent reviews and reforms at the state/territory level</w:t>
      </w:r>
    </w:p>
    <w:p w14:paraId="6CD7E9FA" w14:textId="77777777" w:rsidR="00E30ED0" w:rsidRDefault="00E30ED0" w:rsidP="004B2F44">
      <w:pPr>
        <w:pStyle w:val="ListBullet"/>
      </w:pPr>
      <w:proofErr w:type="gramStart"/>
      <w:r>
        <w:t>broader</w:t>
      </w:r>
      <w:proofErr w:type="gramEnd"/>
      <w:r>
        <w:t xml:space="preserve"> VET reform processes underway at the national level. </w:t>
      </w:r>
    </w:p>
    <w:p w14:paraId="32380A44" w14:textId="2B0E2239" w:rsidR="00E30ED0" w:rsidRPr="00177288" w:rsidRDefault="00266B26" w:rsidP="001D473B">
      <w:r>
        <w:t xml:space="preserve">The world </w:t>
      </w:r>
      <w:r w:rsidR="00D93AA7">
        <w:t xml:space="preserve">that </w:t>
      </w:r>
      <w:r>
        <w:t xml:space="preserve">shaped </w:t>
      </w:r>
      <w:r w:rsidRPr="00177288">
        <w:t xml:space="preserve">current delivery </w:t>
      </w:r>
      <w:r>
        <w:t xml:space="preserve">models </w:t>
      </w:r>
      <w:r w:rsidRPr="00177288">
        <w:t>of vocational education</w:t>
      </w:r>
      <w:r>
        <w:t xml:space="preserve"> has </w:t>
      </w:r>
      <w:r w:rsidR="00E30ED0">
        <w:t>changed</w:t>
      </w:r>
      <w:r>
        <w:t>,</w:t>
      </w:r>
      <w:r w:rsidR="00E30ED0">
        <w:t xml:space="preserve"> </w:t>
      </w:r>
      <w:r w:rsidR="00E30ED0" w:rsidRPr="00177288">
        <w:t>and continue</w:t>
      </w:r>
      <w:r w:rsidR="00593B38">
        <w:t>s</w:t>
      </w:r>
      <w:r w:rsidR="00E30ED0" w:rsidRPr="00177288">
        <w:t xml:space="preserve"> to do so. </w:t>
      </w:r>
      <w:r>
        <w:t xml:space="preserve">Technology, globalisation and </w:t>
      </w:r>
      <w:r w:rsidR="003B44E0">
        <w:t>socio</w:t>
      </w:r>
      <w:r w:rsidR="004C26E2">
        <w:noBreakHyphen/>
      </w:r>
      <w:r w:rsidR="00181991">
        <w:t xml:space="preserve">economic demands </w:t>
      </w:r>
      <w:r w:rsidR="00E30ED0">
        <w:t>are driving changes in schooling, vocational learning and VET.</w:t>
      </w:r>
      <w:r>
        <w:t xml:space="preserve"> </w:t>
      </w:r>
      <w:r w:rsidR="004B2F44">
        <w:t>S</w:t>
      </w:r>
      <w:r w:rsidR="004B2F44" w:rsidRPr="00177288">
        <w:t>takeholders</w:t>
      </w:r>
      <w:r w:rsidR="004B2F44">
        <w:t xml:space="preserve"> </w:t>
      </w:r>
      <w:r w:rsidR="00E30ED0">
        <w:t xml:space="preserve">expressed </w:t>
      </w:r>
      <w:r w:rsidR="00E30ED0" w:rsidRPr="00177288">
        <w:t xml:space="preserve">a sense of urgency that </w:t>
      </w:r>
      <w:r>
        <w:t xml:space="preserve">both school and </w:t>
      </w:r>
      <w:r w:rsidR="00E30ED0">
        <w:t xml:space="preserve">VET </w:t>
      </w:r>
      <w:r w:rsidR="00E30ED0" w:rsidRPr="00177288">
        <w:t>systems</w:t>
      </w:r>
      <w:r w:rsidR="00E30ED0">
        <w:t xml:space="preserve"> need to </w:t>
      </w:r>
      <w:r w:rsidR="00E30ED0" w:rsidRPr="00177288">
        <w:t xml:space="preserve">respond </w:t>
      </w:r>
      <w:r w:rsidR="004B2F44" w:rsidRPr="00177288">
        <w:t xml:space="preserve">strategically </w:t>
      </w:r>
      <w:r w:rsidR="00E30ED0" w:rsidRPr="00177288">
        <w:t>to</w:t>
      </w:r>
      <w:r w:rsidR="00E30ED0">
        <w:t xml:space="preserve"> the changes affecting students, schooling, employment and society</w:t>
      </w:r>
      <w:r w:rsidR="00E30ED0" w:rsidRPr="00177288">
        <w:t>.</w:t>
      </w:r>
    </w:p>
    <w:p w14:paraId="2AEEA2A7" w14:textId="744B198B" w:rsidR="00E30ED0" w:rsidRDefault="00E30ED0" w:rsidP="001D473B">
      <w:r>
        <w:t>The consultations highlighted similarities and differences between states and territories,</w:t>
      </w:r>
      <w:r w:rsidR="00486B09">
        <w:t xml:space="preserve"> </w:t>
      </w:r>
      <w:r>
        <w:t>and found many instances of effective collaboration, quality delivery and valued outcomes for students. Stakeholders also identified areas where there were problems, sometimes of long standing, and shared their knowledge and experience in a constructive way.</w:t>
      </w:r>
    </w:p>
    <w:p w14:paraId="1FE2B33E" w14:textId="3A0311C2" w:rsidR="00E30ED0" w:rsidRDefault="00D64688" w:rsidP="001D473B">
      <w:r>
        <w:t>T</w:t>
      </w:r>
      <w:r w:rsidR="00E30ED0">
        <w:t xml:space="preserve">here was a consensus that students need to be at the centre of vocational learning and VET, with decisions guided by their long-term interests. Meeting the needs and expectations of employers is also vital, as they make the ultimate assessment of quality when deciding whether to offer jobs to young people. The interests of students and employers are best met by involving and taking account of the needs of all those who influence and deliver vocational learning and VET, including parents, schools, school systems, training package developers, </w:t>
      </w:r>
      <w:proofErr w:type="spellStart"/>
      <w:r w:rsidR="00A635D6">
        <w:t>RTOs</w:t>
      </w:r>
      <w:proofErr w:type="spellEnd"/>
      <w:r w:rsidR="00E30ED0">
        <w:t xml:space="preserve"> and VET regulators. </w:t>
      </w:r>
    </w:p>
    <w:p w14:paraId="57030B71" w14:textId="77777777" w:rsidR="00A43E99" w:rsidRDefault="00A43E99" w:rsidP="001D473B">
      <w:pPr>
        <w:sectPr w:rsidR="00A43E99" w:rsidSect="00786D8C">
          <w:headerReference w:type="default" r:id="rId21"/>
          <w:footerReference w:type="default" r:id="rId22"/>
          <w:pgSz w:w="11906" w:h="16838"/>
          <w:pgMar w:top="1389" w:right="1440" w:bottom="1418" w:left="1440" w:header="709" w:footer="709" w:gutter="0"/>
          <w:pgNumType w:start="1"/>
          <w:cols w:num="2" w:space="708"/>
          <w:docGrid w:linePitch="360"/>
        </w:sectPr>
      </w:pPr>
    </w:p>
    <w:p w14:paraId="2ADAD78D" w14:textId="13BDD152" w:rsidR="00785439" w:rsidRDefault="00785439" w:rsidP="00473E6C">
      <w:pPr>
        <w:pStyle w:val="Heading1"/>
        <w:spacing w:after="120"/>
      </w:pPr>
      <w:bookmarkStart w:id="5" w:name="_Toc406065037"/>
      <w:bookmarkStart w:id="6" w:name="_Toc406079694"/>
      <w:r>
        <w:lastRenderedPageBreak/>
        <w:t xml:space="preserve">The </w:t>
      </w:r>
      <w:r w:rsidR="003F1148">
        <w:t>Imperative</w:t>
      </w:r>
      <w:bookmarkEnd w:id="5"/>
      <w:bookmarkEnd w:id="6"/>
    </w:p>
    <w:p w14:paraId="288C0C79" w14:textId="77777777" w:rsidR="00785439" w:rsidRDefault="00785439" w:rsidP="001D473B">
      <w:pPr>
        <w:pStyle w:val="Heading2"/>
      </w:pPr>
      <w:bookmarkStart w:id="7" w:name="_Toc406065038"/>
      <w:bookmarkStart w:id="8" w:name="_Toc406079695"/>
      <w:r>
        <w:t>What has changed</w:t>
      </w:r>
      <w:bookmarkEnd w:id="7"/>
      <w:bookmarkEnd w:id="8"/>
    </w:p>
    <w:p w14:paraId="1FC7460A" w14:textId="77777777" w:rsidR="00785439" w:rsidRDefault="00E90580" w:rsidP="001D473B">
      <w:r>
        <w:t xml:space="preserve">Schooling </w:t>
      </w:r>
      <w:r w:rsidR="00746F13">
        <w:t xml:space="preserve">is changing and must continue to change to meet the demands of the 21st century. </w:t>
      </w:r>
      <w:r>
        <w:t xml:space="preserve">Global competition, technological change, </w:t>
      </w:r>
      <w:r w:rsidR="006B3CED">
        <w:t xml:space="preserve">increasing consumer demands </w:t>
      </w:r>
      <w:r>
        <w:t>and the shift to a knowledge-based economy continue to drive changes in the nature of work, the requirements of employers, and the skills that workers need.</w:t>
      </w:r>
    </w:p>
    <w:p w14:paraId="3AD6BD6F" w14:textId="28F47F3F" w:rsidR="00785439" w:rsidRDefault="00746F13" w:rsidP="001D473B">
      <w:r>
        <w:t xml:space="preserve">Schools </w:t>
      </w:r>
      <w:r w:rsidR="00E90580">
        <w:t>have always prepared students for work, but</w:t>
      </w:r>
      <w:r w:rsidR="00287067">
        <w:t xml:space="preserve"> </w:t>
      </w:r>
      <w:r w:rsidR="00E90580">
        <w:t xml:space="preserve">now </w:t>
      </w:r>
      <w:r>
        <w:t xml:space="preserve">need to </w:t>
      </w:r>
      <w:r w:rsidR="009C4BF9">
        <w:t>prepare</w:t>
      </w:r>
      <w:r>
        <w:t xml:space="preserve"> students to meet higher demands </w:t>
      </w:r>
      <w:r w:rsidR="009C4BF9">
        <w:t xml:space="preserve">in </w:t>
      </w:r>
      <w:r>
        <w:t>the workplace</w:t>
      </w:r>
      <w:r w:rsidR="00785439">
        <w:t xml:space="preserve">. </w:t>
      </w:r>
      <w:r w:rsidR="009C4BF9">
        <w:t xml:space="preserve">The proportion of </w:t>
      </w:r>
      <w:r>
        <w:t xml:space="preserve">low-skilled entry-level jobs </w:t>
      </w:r>
      <w:r w:rsidR="009C4BF9">
        <w:t>is falling, and e</w:t>
      </w:r>
      <w:r w:rsidR="00785439">
        <w:t xml:space="preserve">mployers </w:t>
      </w:r>
      <w:r w:rsidR="009C4BF9">
        <w:t xml:space="preserve">look for </w:t>
      </w:r>
      <w:r w:rsidR="00785439">
        <w:t>skilled and flexible workers who can navigate the world of work; interact with others; plan and organise; make decisions; identify and solve problems; create and innovate; and work in a digital world.</w:t>
      </w:r>
      <w:r>
        <w:t xml:space="preserve"> Many </w:t>
      </w:r>
      <w:r w:rsidR="00785439">
        <w:t xml:space="preserve">employers expect </w:t>
      </w:r>
      <w:r>
        <w:t xml:space="preserve">school leavers </w:t>
      </w:r>
      <w:r w:rsidR="00785439">
        <w:t xml:space="preserve">to have already had </w:t>
      </w:r>
      <w:r w:rsidR="009C4BF9">
        <w:t xml:space="preserve">some </w:t>
      </w:r>
      <w:r w:rsidR="00785439">
        <w:t>practical experience</w:t>
      </w:r>
      <w:r w:rsidR="009C4BF9">
        <w:t>, enabling</w:t>
      </w:r>
      <w:r w:rsidR="00785439">
        <w:t xml:space="preserve"> them to quickly become productive in a new job.</w:t>
      </w:r>
    </w:p>
    <w:p w14:paraId="5B2E0FF5" w14:textId="653C269C" w:rsidR="00785439" w:rsidRDefault="00D35322" w:rsidP="001D473B">
      <w:r>
        <w:t>Students</w:t>
      </w:r>
      <w:r w:rsidR="00785439">
        <w:t xml:space="preserve"> and </w:t>
      </w:r>
      <w:r w:rsidR="00602D9B">
        <w:t xml:space="preserve">their </w:t>
      </w:r>
      <w:r w:rsidR="00785439">
        <w:t xml:space="preserve">parents also </w:t>
      </w:r>
      <w:r w:rsidR="00746F13">
        <w:t xml:space="preserve">demand more from </w:t>
      </w:r>
      <w:r w:rsidR="00785439">
        <w:t xml:space="preserve">schooling. </w:t>
      </w:r>
      <w:r>
        <w:t xml:space="preserve">Both know that </w:t>
      </w:r>
      <w:r w:rsidR="006C60E0">
        <w:t>the</w:t>
      </w:r>
      <w:r w:rsidR="006613A1">
        <w:t xml:space="preserve"> </w:t>
      </w:r>
      <w:r w:rsidR="00785439">
        <w:t xml:space="preserve">working lives </w:t>
      </w:r>
      <w:r w:rsidR="006C60E0">
        <w:t xml:space="preserve">of today’s young people </w:t>
      </w:r>
      <w:r w:rsidR="006613A1">
        <w:t>will be</w:t>
      </w:r>
      <w:r>
        <w:t xml:space="preserve"> </w:t>
      </w:r>
      <w:r w:rsidR="006613A1">
        <w:t>full of change and</w:t>
      </w:r>
      <w:r w:rsidR="00442253">
        <w:t xml:space="preserve"> that</w:t>
      </w:r>
      <w:r w:rsidR="00785439">
        <w:t xml:space="preserve"> </w:t>
      </w:r>
      <w:r w:rsidR="006613A1">
        <w:t>they will</w:t>
      </w:r>
      <w:r>
        <w:t xml:space="preserve"> </w:t>
      </w:r>
      <w:r w:rsidR="00785439">
        <w:t>need to be flexible</w:t>
      </w:r>
      <w:r w:rsidR="009C4BF9">
        <w:t xml:space="preserve"> and</w:t>
      </w:r>
      <w:r w:rsidR="00785439">
        <w:t xml:space="preserve"> responsive</w:t>
      </w:r>
      <w:r w:rsidR="009C4BF9">
        <w:t xml:space="preserve">. </w:t>
      </w:r>
      <w:r w:rsidR="004B2F44">
        <w:t>Everyone</w:t>
      </w:r>
      <w:r>
        <w:t xml:space="preserve"> </w:t>
      </w:r>
      <w:r w:rsidR="009C4BF9">
        <w:t>need</w:t>
      </w:r>
      <w:r w:rsidR="004B2F44">
        <w:t>s</w:t>
      </w:r>
      <w:r w:rsidR="009C4BF9">
        <w:t xml:space="preserve"> to </w:t>
      </w:r>
      <w:r w:rsidR="00785439">
        <w:t>active</w:t>
      </w:r>
      <w:r w:rsidR="009C4BF9">
        <w:t>ly manage</w:t>
      </w:r>
      <w:r w:rsidR="00785439">
        <w:t xml:space="preserve"> </w:t>
      </w:r>
      <w:r w:rsidR="00602D9B">
        <w:t xml:space="preserve">their </w:t>
      </w:r>
      <w:r w:rsidR="00785439">
        <w:t>career</w:t>
      </w:r>
      <w:r w:rsidR="009C4BF9">
        <w:t>, moving</w:t>
      </w:r>
      <w:r w:rsidR="00785439" w:rsidRPr="00C955A8">
        <w:t xml:space="preserve"> between </w:t>
      </w:r>
      <w:r w:rsidR="00785439">
        <w:t>or combining</w:t>
      </w:r>
      <w:r w:rsidR="00785439" w:rsidRPr="00C955A8">
        <w:t xml:space="preserve"> work</w:t>
      </w:r>
      <w:r w:rsidR="00785439">
        <w:t xml:space="preserve"> and </w:t>
      </w:r>
      <w:r w:rsidR="009C4BF9">
        <w:t>further study in order to add to their skills and qualifications</w:t>
      </w:r>
      <w:r w:rsidR="00785439" w:rsidRPr="00C955A8">
        <w:t xml:space="preserve">. </w:t>
      </w:r>
    </w:p>
    <w:p w14:paraId="11271288" w14:textId="77777777" w:rsidR="00785439" w:rsidRPr="00C955A8" w:rsidRDefault="00785439" w:rsidP="001D473B">
      <w:r>
        <w:t xml:space="preserve">Schools </w:t>
      </w:r>
      <w:r w:rsidR="00E635F5">
        <w:t xml:space="preserve">must </w:t>
      </w:r>
      <w:r w:rsidR="00602D9B">
        <w:t>equip</w:t>
      </w:r>
      <w:r>
        <w:t xml:space="preserve"> students to make informed </w:t>
      </w:r>
      <w:r w:rsidR="009C4BF9">
        <w:t xml:space="preserve">work and </w:t>
      </w:r>
      <w:r>
        <w:t>study choices throughout their lives</w:t>
      </w:r>
      <w:r w:rsidRPr="00C955A8">
        <w:t>.</w:t>
      </w:r>
      <w:r>
        <w:t xml:space="preserve"> </w:t>
      </w:r>
      <w:r w:rsidR="009C4BF9">
        <w:t xml:space="preserve">Career </w:t>
      </w:r>
      <w:r w:rsidR="00773DE8">
        <w:t>education</w:t>
      </w:r>
      <w:r w:rsidR="00100732">
        <w:t>, work exploration</w:t>
      </w:r>
      <w:r w:rsidR="009C4BF9">
        <w:t xml:space="preserve"> and work</w:t>
      </w:r>
      <w:r>
        <w:t xml:space="preserve">-related </w:t>
      </w:r>
      <w:r w:rsidR="00100732">
        <w:t xml:space="preserve">curriculum </w:t>
      </w:r>
      <w:r w:rsidR="009C4BF9">
        <w:t xml:space="preserve">are vital so that </w:t>
      </w:r>
      <w:r>
        <w:t xml:space="preserve">students can explore career options and understand the nature and expectations of different jobs and industries. </w:t>
      </w:r>
      <w:r w:rsidR="009C4BF9">
        <w:t xml:space="preserve">Interested </w:t>
      </w:r>
      <w:r>
        <w:t xml:space="preserve">students </w:t>
      </w:r>
      <w:r w:rsidR="009C4BF9">
        <w:t xml:space="preserve">also need to be able </w:t>
      </w:r>
      <w:r>
        <w:t xml:space="preserve">to </w:t>
      </w:r>
      <w:r w:rsidR="009C4BF9">
        <w:t>begin acquiring</w:t>
      </w:r>
      <w:r>
        <w:t xml:space="preserve"> </w:t>
      </w:r>
      <w:r w:rsidRPr="00BA215E">
        <w:t>workplace skills</w:t>
      </w:r>
      <w:r>
        <w:t xml:space="preserve"> </w:t>
      </w:r>
      <w:r w:rsidR="009C4BF9">
        <w:t xml:space="preserve">while still at school, </w:t>
      </w:r>
      <w:r>
        <w:t xml:space="preserve">through </w:t>
      </w:r>
      <w:r w:rsidR="009C4BF9">
        <w:t xml:space="preserve">nationally recognised </w:t>
      </w:r>
      <w:r>
        <w:t>training that provides a clear line of sight to a</w:t>
      </w:r>
      <w:r w:rsidR="00E635F5">
        <w:t xml:space="preserve"> job</w:t>
      </w:r>
      <w:r>
        <w:t xml:space="preserve">. </w:t>
      </w:r>
    </w:p>
    <w:p w14:paraId="22FEADCB" w14:textId="0842291B" w:rsidR="00785439" w:rsidRDefault="00785439" w:rsidP="001D473B">
      <w:r>
        <w:t xml:space="preserve">The importance of this preparation is borne out by the evidence. Students who have achieved </w:t>
      </w:r>
      <w:r w:rsidR="00D627C9">
        <w:t xml:space="preserve">a senior secondary certificate of </w:t>
      </w:r>
      <w:r w:rsidR="00D627C9">
        <w:lastRenderedPageBreak/>
        <w:t>ed</w:t>
      </w:r>
      <w:r w:rsidR="00081E66">
        <w:t>ucation</w:t>
      </w:r>
      <w:r>
        <w:t xml:space="preserve"> (or equivalent) are substantially more likely to </w:t>
      </w:r>
      <w:r w:rsidR="004F2154">
        <w:t>make</w:t>
      </w:r>
      <w:r>
        <w:t xml:space="preserve"> a </w:t>
      </w:r>
      <w:r w:rsidR="009C4BF9">
        <w:t>successful</w:t>
      </w:r>
      <w:r>
        <w:t xml:space="preserve"> transition to further education, training and work than early school leavers</w:t>
      </w:r>
      <w:r w:rsidR="00442253">
        <w:t>.</w:t>
      </w:r>
      <w:r>
        <w:rPr>
          <w:rStyle w:val="FootnoteReference"/>
        </w:rPr>
        <w:footnoteReference w:id="3"/>
      </w:r>
      <w:r>
        <w:t xml:space="preserve"> Governments have recognised the importance </w:t>
      </w:r>
      <w:r w:rsidR="001B49AD">
        <w:t xml:space="preserve">of </w:t>
      </w:r>
      <w:r w:rsidR="004B2F44">
        <w:t>this</w:t>
      </w:r>
      <w:r>
        <w:t xml:space="preserve"> and introduced changes to increase the numbers of students who </w:t>
      </w:r>
      <w:r w:rsidR="004B2F44">
        <w:t>complete Year 12</w:t>
      </w:r>
      <w:r>
        <w:t>, including raising the school leaving age</w:t>
      </w:r>
      <w:r w:rsidR="009C4BF9">
        <w:t xml:space="preserve"> to 17</w:t>
      </w:r>
      <w:r>
        <w:t xml:space="preserve">. </w:t>
      </w:r>
    </w:p>
    <w:p w14:paraId="1F5E1C0A" w14:textId="06BED9D0" w:rsidR="00785439" w:rsidRDefault="00785439" w:rsidP="001D473B">
      <w:r>
        <w:t xml:space="preserve">This has driven changes in the population of secondary schools. Students who would once have left school early to go to an apprenticeship or a job, or disengaged entirely from education, training and employment, now remain in school. Forty </w:t>
      </w:r>
      <w:r w:rsidRPr="00EB2A3E">
        <w:t xml:space="preserve">per cent of </w:t>
      </w:r>
      <w:r>
        <w:t xml:space="preserve">secondary </w:t>
      </w:r>
      <w:r w:rsidRPr="00EB2A3E">
        <w:t xml:space="preserve">students </w:t>
      </w:r>
      <w:r>
        <w:t xml:space="preserve">go directly on </w:t>
      </w:r>
      <w:r w:rsidRPr="00EB2A3E">
        <w:t>to university</w:t>
      </w:r>
      <w:r w:rsidR="00442253">
        <w:t>;</w:t>
      </w:r>
      <w:r>
        <w:t xml:space="preserve"> </w:t>
      </w:r>
      <w:r w:rsidR="00442253">
        <w:t>60 </w:t>
      </w:r>
      <w:r w:rsidRPr="00EB2A3E">
        <w:t xml:space="preserve">per cent </w:t>
      </w:r>
      <w:r>
        <w:t xml:space="preserve">do not. Schooling must meet the needs of all these students so that they can successfully transition to a job, a university degree, a VET course, or a combination of these. </w:t>
      </w:r>
    </w:p>
    <w:p w14:paraId="7866768F" w14:textId="756A0A05" w:rsidR="00785439" w:rsidRDefault="00785439" w:rsidP="006613A1">
      <w:pPr>
        <w:spacing w:before="240"/>
      </w:pPr>
      <w:r>
        <w:t xml:space="preserve">These concepts are embedded in the </w:t>
      </w:r>
      <w:r w:rsidRPr="007E33B9">
        <w:rPr>
          <w:i/>
        </w:rPr>
        <w:t>Melbourne Declaration on</w:t>
      </w:r>
      <w:r w:rsidRPr="00442253">
        <w:t xml:space="preserve"> </w:t>
      </w:r>
      <w:r w:rsidRPr="007E33B9">
        <w:rPr>
          <w:i/>
        </w:rPr>
        <w:t>Educational Goals for Young Australians</w:t>
      </w:r>
      <w:r>
        <w:t xml:space="preserve">, in which Australian </w:t>
      </w:r>
      <w:r w:rsidR="00580FA0">
        <w:t>g</w:t>
      </w:r>
      <w:r>
        <w:t>overnments agreed that young Australians should:</w:t>
      </w:r>
    </w:p>
    <w:p w14:paraId="0DDF3E5E" w14:textId="77777777" w:rsidR="00E70B7F" w:rsidRPr="0060403A" w:rsidRDefault="00785439" w:rsidP="00AB2141">
      <w:pPr>
        <w:pStyle w:val="ListBullet"/>
        <w:numPr>
          <w:ilvl w:val="0"/>
          <w:numId w:val="0"/>
        </w:numPr>
        <w:ind w:left="284" w:hanging="284"/>
        <w:rPr>
          <w:i/>
        </w:rPr>
      </w:pPr>
      <w:r w:rsidRPr="0060403A">
        <w:rPr>
          <w:i/>
        </w:rPr>
        <w:t>…</w:t>
      </w:r>
      <w:r w:rsidR="00E70B7F" w:rsidRPr="0060403A">
        <w:rPr>
          <w:i/>
        </w:rPr>
        <w:tab/>
      </w:r>
      <w:r w:rsidRPr="0060403A">
        <w:rPr>
          <w:i/>
        </w:rPr>
        <w:t>be on a pathway towards continued success in further education, training or employment, and acquire the skills to make informed learning and employment d</w:t>
      </w:r>
      <w:r w:rsidR="000C71EC" w:rsidRPr="0060403A">
        <w:rPr>
          <w:i/>
        </w:rPr>
        <w:t>ecisions throughout their lives</w:t>
      </w:r>
    </w:p>
    <w:p w14:paraId="48685DB6" w14:textId="77777777" w:rsidR="00785439" w:rsidRPr="0060403A" w:rsidRDefault="00785439" w:rsidP="00AB2141">
      <w:pPr>
        <w:pStyle w:val="ListBullet"/>
        <w:numPr>
          <w:ilvl w:val="0"/>
          <w:numId w:val="0"/>
        </w:numPr>
        <w:ind w:left="284" w:hanging="284"/>
        <w:rPr>
          <w:i/>
        </w:rPr>
      </w:pPr>
      <w:r w:rsidRPr="0060403A">
        <w:rPr>
          <w:i/>
        </w:rPr>
        <w:t>…</w:t>
      </w:r>
      <w:r w:rsidR="00E70B7F" w:rsidRPr="0060403A">
        <w:rPr>
          <w:i/>
        </w:rPr>
        <w:tab/>
      </w:r>
      <w:proofErr w:type="gramStart"/>
      <w:r w:rsidRPr="0060403A">
        <w:rPr>
          <w:i/>
        </w:rPr>
        <w:t>have</w:t>
      </w:r>
      <w:proofErr w:type="gramEnd"/>
      <w:r w:rsidRPr="0060403A">
        <w:rPr>
          <w:i/>
        </w:rPr>
        <w:t xml:space="preserve"> the confidence and capability to pursue university or post-secondary vocational qualifications leading to rewar</w:t>
      </w:r>
      <w:r w:rsidR="00AB2141">
        <w:rPr>
          <w:i/>
        </w:rPr>
        <w:t>ding and productive employment.</w:t>
      </w:r>
    </w:p>
    <w:p w14:paraId="66DFE67B" w14:textId="043A041E" w:rsidR="00785439" w:rsidRDefault="00785439" w:rsidP="001D473B">
      <w:r>
        <w:t xml:space="preserve">More than </w:t>
      </w:r>
      <w:r w:rsidR="00580FA0">
        <w:t xml:space="preserve">90 </w:t>
      </w:r>
      <w:r>
        <w:t>per cent of schools now offer VET in Years 11 and 12</w:t>
      </w:r>
      <w:r w:rsidR="00CD113D">
        <w:t xml:space="preserve">. All states </w:t>
      </w:r>
      <w:r>
        <w:t xml:space="preserve">and territories </w:t>
      </w:r>
      <w:r w:rsidR="00CD113D">
        <w:t xml:space="preserve">have introduced reforms </w:t>
      </w:r>
      <w:r>
        <w:t>to increase the number of students who participate</w:t>
      </w:r>
      <w:r w:rsidR="00CD113D">
        <w:t xml:space="preserve"> in vocational learning and VET</w:t>
      </w:r>
      <w:r>
        <w:t xml:space="preserve">. Though specific arrangements differ, VET can be counted towards senior secondary certificates of education in </w:t>
      </w:r>
      <w:r w:rsidR="004860A3">
        <w:t xml:space="preserve">all states and territories. </w:t>
      </w:r>
      <w:r w:rsidR="003E5C5D">
        <w:t xml:space="preserve">Increasingly, </w:t>
      </w:r>
      <w:r w:rsidR="004860A3">
        <w:t>universities</w:t>
      </w:r>
      <w:r>
        <w:t xml:space="preserve"> </w:t>
      </w:r>
      <w:r w:rsidR="004860A3">
        <w:t xml:space="preserve">allow VET to </w:t>
      </w:r>
      <w:r w:rsidR="003E5C5D">
        <w:t>contribute</w:t>
      </w:r>
      <w:r w:rsidR="004860A3">
        <w:t xml:space="preserve"> </w:t>
      </w:r>
      <w:r>
        <w:t>tow</w:t>
      </w:r>
      <w:r w:rsidR="002E72E1">
        <w:t>ard</w:t>
      </w:r>
      <w:r w:rsidR="004860A3">
        <w:t>s</w:t>
      </w:r>
      <w:r w:rsidR="002E72E1">
        <w:t xml:space="preserve"> university entrance</w:t>
      </w:r>
      <w:r>
        <w:t xml:space="preserve">. These changes are reflected in participation data, which show a 38 per cent increase in </w:t>
      </w:r>
      <w:r>
        <w:lastRenderedPageBreak/>
        <w:t xml:space="preserve">the number of secondary students undertaking VET </w:t>
      </w:r>
      <w:proofErr w:type="gramStart"/>
      <w:r>
        <w:t>between 2005 to 2012,</w:t>
      </w:r>
      <w:proofErr w:type="gramEnd"/>
      <w:r>
        <w:t xml:space="preserve"> and a </w:t>
      </w:r>
      <w:r w:rsidR="00256D84">
        <w:t>77</w:t>
      </w:r>
      <w:r>
        <w:t xml:space="preserve"> per cent increase in</w:t>
      </w:r>
      <w:r w:rsidR="00580FA0">
        <w:t xml:space="preserve"> the number of</w:t>
      </w:r>
      <w:r>
        <w:t xml:space="preserve"> school-based apprentices over the same period</w:t>
      </w:r>
      <w:r w:rsidR="00580FA0">
        <w:t>.</w:t>
      </w:r>
      <w:r>
        <w:rPr>
          <w:rStyle w:val="FootnoteReference"/>
        </w:rPr>
        <w:footnoteReference w:id="4"/>
      </w:r>
      <w:r>
        <w:t xml:space="preserve"> </w:t>
      </w:r>
    </w:p>
    <w:p w14:paraId="3699F4F2" w14:textId="77777777" w:rsidR="00785439" w:rsidRPr="007E1976" w:rsidRDefault="009C0542" w:rsidP="001D473B">
      <w:pPr>
        <w:rPr>
          <w:color w:val="000000" w:themeColor="text1"/>
        </w:rPr>
      </w:pPr>
      <w:r>
        <w:t xml:space="preserve">In many ways, assessments of </w:t>
      </w:r>
      <w:r w:rsidR="00785439">
        <w:t xml:space="preserve">school performance </w:t>
      </w:r>
      <w:r>
        <w:t xml:space="preserve">no longer reflect what schools are expected to achieve. </w:t>
      </w:r>
      <w:r w:rsidR="004B2F44">
        <w:t>Although s</w:t>
      </w:r>
      <w:r>
        <w:t xml:space="preserve">ome </w:t>
      </w:r>
      <w:r w:rsidR="00785439">
        <w:t xml:space="preserve">measures include factors such as participation in VET and </w:t>
      </w:r>
      <w:r w:rsidR="000C0BB3">
        <w:t>school-based apprenticeship</w:t>
      </w:r>
      <w:r w:rsidR="00DC743D">
        <w:t>s</w:t>
      </w:r>
      <w:r w:rsidR="000C0BB3">
        <w:t xml:space="preserve"> or traineeship</w:t>
      </w:r>
      <w:r w:rsidR="00785439">
        <w:t xml:space="preserve">s, many still focus on </w:t>
      </w:r>
      <w:r w:rsidR="00C648F5">
        <w:t>higher education</w:t>
      </w:r>
      <w:r w:rsidR="00785439">
        <w:t xml:space="preserve"> achievements such as university entrance.</w:t>
      </w:r>
      <w:r w:rsidRPr="009C0542">
        <w:t xml:space="preserve"> </w:t>
      </w:r>
      <w:r>
        <w:t xml:space="preserve">This creates a tension for schools, </w:t>
      </w:r>
      <w:proofErr w:type="gramStart"/>
      <w:r>
        <w:t>who</w:t>
      </w:r>
      <w:proofErr w:type="gramEnd"/>
      <w:r>
        <w:t xml:space="preserve"> still have to meet the needs of all students, while only being measured on how well they meet the needs of some.</w:t>
      </w:r>
    </w:p>
    <w:p w14:paraId="4B56AFD8" w14:textId="77777777" w:rsidR="00785439" w:rsidRDefault="00785439" w:rsidP="001D473B">
      <w:pPr>
        <w:pStyle w:val="Heading2"/>
      </w:pPr>
      <w:bookmarkStart w:id="9" w:name="_Toc406065039"/>
      <w:bookmarkStart w:id="10" w:name="_Toc406079696"/>
      <w:r>
        <w:t>What needs to change</w:t>
      </w:r>
      <w:bookmarkEnd w:id="9"/>
      <w:bookmarkEnd w:id="10"/>
    </w:p>
    <w:p w14:paraId="57A4D9B1" w14:textId="3339D20C" w:rsidR="00785439" w:rsidRDefault="00785439" w:rsidP="001D473B">
      <w:r>
        <w:t xml:space="preserve">The </w:t>
      </w:r>
      <w:r w:rsidR="003E5C5D">
        <w:t xml:space="preserve">increased interest in </w:t>
      </w:r>
      <w:r>
        <w:t xml:space="preserve">vocational learning and </w:t>
      </w:r>
      <w:r w:rsidR="003E5C5D">
        <w:t xml:space="preserve">the expansion of </w:t>
      </w:r>
      <w:r>
        <w:t xml:space="preserve">VET </w:t>
      </w:r>
      <w:r w:rsidR="00415518">
        <w:t>delivered to</w:t>
      </w:r>
      <w:r>
        <w:t xml:space="preserve"> secondary students has been encouraging. Nevertheless, stakeholders continue to raise concerns about quality, relevance and employer involvement. Some believe that VET in schools is different </w:t>
      </w:r>
      <w:r w:rsidR="00580FA0">
        <w:t>from,</w:t>
      </w:r>
      <w:r>
        <w:t xml:space="preserve"> and somehow inferior to</w:t>
      </w:r>
      <w:r w:rsidR="00580FA0">
        <w:t>,</w:t>
      </w:r>
      <w:r>
        <w:t xml:space="preserve"> other VET</w:t>
      </w:r>
      <w:r w:rsidR="00580FA0">
        <w:t>.</w:t>
      </w:r>
      <w:r>
        <w:t xml:space="preserve"> </w:t>
      </w:r>
      <w:r w:rsidR="00580FA0">
        <w:t>O</w:t>
      </w:r>
      <w:r>
        <w:t>thers are concerned that VET is less valued by students and parents than other options</w:t>
      </w:r>
      <w:r w:rsidR="00580FA0">
        <w:t>,</w:t>
      </w:r>
      <w:r>
        <w:t xml:space="preserve"> or that VET courses do not deliver the outcomes that students or employers expect. Still others point to areas where policies and regulations exacerbate, or even create, some of these problems. </w:t>
      </w:r>
    </w:p>
    <w:p w14:paraId="6A404E8A" w14:textId="150B77A0" w:rsidR="00CD113D" w:rsidRDefault="00CD113D" w:rsidP="001D473B">
      <w:r>
        <w:t>Some of these issues will be addressed by current reforms to the VET system, but many are specific to the delivery of vocational learning and VET to secondary students.</w:t>
      </w:r>
    </w:p>
    <w:p w14:paraId="4011EBE9" w14:textId="1CD04712" w:rsidR="00785439" w:rsidRDefault="00785439" w:rsidP="001D473B">
      <w:r w:rsidRPr="007E1976">
        <w:t xml:space="preserve">Underlying </w:t>
      </w:r>
      <w:r>
        <w:t>many of these concerns</w:t>
      </w:r>
      <w:r w:rsidRPr="007E1976">
        <w:t xml:space="preserve"> is the funda</w:t>
      </w:r>
      <w:r>
        <w:t>mental question of definition</w:t>
      </w:r>
      <w:r w:rsidR="0060403A">
        <w:t>.</w:t>
      </w:r>
      <w:r w:rsidRPr="007E1976">
        <w:t xml:space="preserve"> The terms ‘VET in Schools’ and ‘</w:t>
      </w:r>
      <w:proofErr w:type="spellStart"/>
      <w:r w:rsidRPr="007E1976">
        <w:t>VETiS</w:t>
      </w:r>
      <w:proofErr w:type="spellEnd"/>
      <w:r w:rsidRPr="007E1976">
        <w:t xml:space="preserve">’ are </w:t>
      </w:r>
      <w:r w:rsidR="00580FA0" w:rsidRPr="007E1976">
        <w:t>wide</w:t>
      </w:r>
      <w:r w:rsidR="00580FA0">
        <w:t>ly used</w:t>
      </w:r>
      <w:r w:rsidRPr="007E1976">
        <w:t xml:space="preserve">, but contribute to the misconception that VET delivered to secondary students is different </w:t>
      </w:r>
      <w:r w:rsidR="00580FA0">
        <w:t>from</w:t>
      </w:r>
      <w:r w:rsidRPr="007E1976">
        <w:t xml:space="preserve"> </w:t>
      </w:r>
      <w:r>
        <w:t>all other</w:t>
      </w:r>
      <w:r w:rsidRPr="007E1976">
        <w:t xml:space="preserve"> VET. The lack of clear terminology also contributes to the differing views </w:t>
      </w:r>
      <w:r w:rsidR="00580FA0">
        <w:t>among</w:t>
      </w:r>
      <w:r w:rsidRPr="007E1976">
        <w:t xml:space="preserve"> stakeholders about the </w:t>
      </w:r>
      <w:r w:rsidRPr="007E1976">
        <w:lastRenderedPageBreak/>
        <w:t>purpose, expectations, outcomes</w:t>
      </w:r>
      <w:r>
        <w:t xml:space="preserve"> and responsibility of </w:t>
      </w:r>
      <w:r w:rsidRPr="007E1976">
        <w:t>‘</w:t>
      </w:r>
      <w:proofErr w:type="spellStart"/>
      <w:r w:rsidRPr="007E1976">
        <w:t>VETiS</w:t>
      </w:r>
      <w:proofErr w:type="spellEnd"/>
      <w:r w:rsidRPr="007E1976">
        <w:t>’</w:t>
      </w:r>
      <w:r>
        <w:t xml:space="preserve">, as they are often using the same term to talk about different activities </w:t>
      </w:r>
      <w:r w:rsidR="00580FA0">
        <w:t xml:space="preserve">that </w:t>
      </w:r>
      <w:r>
        <w:rPr>
          <w:i/>
        </w:rPr>
        <w:t>do</w:t>
      </w:r>
      <w:r>
        <w:t xml:space="preserve"> have different purposes.</w:t>
      </w:r>
    </w:p>
    <w:p w14:paraId="0A941314" w14:textId="77777777" w:rsidR="008E74B1" w:rsidRDefault="0051790D" w:rsidP="001D473B">
      <w:r>
        <w:t xml:space="preserve">The need for a new national framework is clear. </w:t>
      </w:r>
      <w:r w:rsidR="00785439" w:rsidRPr="00EB39B1">
        <w:rPr>
          <w:i/>
        </w:rPr>
        <w:t>Preparing Secondary Students for Work</w:t>
      </w:r>
      <w:r w:rsidR="00785439">
        <w:t xml:space="preserve"> unpack</w:t>
      </w:r>
      <w:r>
        <w:t>s the current issues, identifies</w:t>
      </w:r>
      <w:r w:rsidR="00785439">
        <w:t xml:space="preserve"> the underlying causes, and provide</w:t>
      </w:r>
      <w:r>
        <w:t>s</w:t>
      </w:r>
      <w:r w:rsidR="00785439">
        <w:t xml:space="preserve"> guidance on how to resolve them. It creates shared understanding by clearly distinguishing between </w:t>
      </w:r>
      <w:r w:rsidR="00785439" w:rsidRPr="00712CA3">
        <w:rPr>
          <w:b/>
        </w:rPr>
        <w:t>vocational learning</w:t>
      </w:r>
      <w:r w:rsidR="00785439">
        <w:t xml:space="preserve"> and </w:t>
      </w:r>
      <w:r w:rsidR="00785439" w:rsidRPr="00712CA3">
        <w:rPr>
          <w:b/>
        </w:rPr>
        <w:t>VET</w:t>
      </w:r>
      <w:r w:rsidR="00785439">
        <w:t xml:space="preserve">, and noting that the VET delivered to secondary students is the same as all other VET. </w:t>
      </w:r>
    </w:p>
    <w:p w14:paraId="6DAC9A0A" w14:textId="77777777" w:rsidR="00FC4D58" w:rsidRDefault="00FC4D58" w:rsidP="007C060F">
      <w:pPr>
        <w:keepNext/>
        <w:keepLines/>
        <w:rPr>
          <w:i/>
        </w:rPr>
        <w:sectPr w:rsidR="00FC4D58" w:rsidSect="00786D8C">
          <w:headerReference w:type="even" r:id="rId23"/>
          <w:headerReference w:type="default" r:id="rId24"/>
          <w:footerReference w:type="even" r:id="rId25"/>
          <w:pgSz w:w="11906" w:h="16838"/>
          <w:pgMar w:top="1389" w:right="1440" w:bottom="1418" w:left="1440" w:header="709" w:footer="709" w:gutter="0"/>
          <w:cols w:num="2" w:space="708"/>
          <w:docGrid w:linePitch="360"/>
        </w:sectPr>
      </w:pPr>
    </w:p>
    <w:p w14:paraId="119E5F2E" w14:textId="77777777" w:rsidR="00785439" w:rsidRPr="00FB0C79" w:rsidRDefault="008E74B1" w:rsidP="00FB0C79">
      <w:r>
        <w:rPr>
          <w:i/>
        </w:rPr>
        <w:lastRenderedPageBreak/>
        <w:t xml:space="preserve">Preparing Secondary Students for Work </w:t>
      </w:r>
      <w:r w:rsidR="00785439">
        <w:t>establishes a vision which all stakeholders can support.</w:t>
      </w:r>
    </w:p>
    <w:p w14:paraId="7F79ACDC" w14:textId="2C12DA8D" w:rsidR="00FC4D58" w:rsidRPr="00FB0C79" w:rsidRDefault="00FC4D58" w:rsidP="00147CA4">
      <w:pPr>
        <w:spacing w:after="480"/>
        <w:jc w:val="center"/>
      </w:pPr>
      <w:r w:rsidRPr="00FB0C79">
        <w:rPr>
          <w:noProof/>
          <w:lang w:eastAsia="en-AU"/>
        </w:rPr>
        <w:drawing>
          <wp:inline distT="0" distB="0" distL="0" distR="0" wp14:anchorId="0994E720" wp14:editId="3FD6BCB9">
            <wp:extent cx="4332852" cy="5326626"/>
            <wp:effectExtent l="0" t="0" r="0" b="7620"/>
            <wp:docPr id="14" name="Picture 14" descr="Vision Statement.&#10;&#10;All secondary students experience quality vocational learning and have access to quality VET courses.&#10;&#10;Both vocational learning and VET are seamlessly integrated into secondary schooling and valued by students, parents, teachers and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with background.png"/>
                    <pic:cNvPicPr/>
                  </pic:nvPicPr>
                  <pic:blipFill>
                    <a:blip r:embed="rId26">
                      <a:extLst>
                        <a:ext uri="{28A0092B-C50C-407E-A947-70E740481C1C}">
                          <a14:useLocalDpi xmlns:a14="http://schemas.microsoft.com/office/drawing/2010/main" val="0"/>
                        </a:ext>
                      </a:extLst>
                    </a:blip>
                    <a:stretch>
                      <a:fillRect/>
                    </a:stretch>
                  </pic:blipFill>
                  <pic:spPr>
                    <a:xfrm>
                      <a:off x="0" y="0"/>
                      <a:ext cx="4332852" cy="5326626"/>
                    </a:xfrm>
                    <a:prstGeom prst="rect">
                      <a:avLst/>
                    </a:prstGeom>
                  </pic:spPr>
                </pic:pic>
              </a:graphicData>
            </a:graphic>
          </wp:inline>
        </w:drawing>
      </w:r>
    </w:p>
    <w:p w14:paraId="79E97612" w14:textId="77777777" w:rsidR="00FC4D58" w:rsidRDefault="00FC4D58" w:rsidP="001D473B">
      <w:pPr>
        <w:sectPr w:rsidR="00FC4D58" w:rsidSect="00786D8C">
          <w:type w:val="continuous"/>
          <w:pgSz w:w="11906" w:h="16838"/>
          <w:pgMar w:top="1389" w:right="1440" w:bottom="1418" w:left="1440" w:header="709" w:footer="709" w:gutter="0"/>
          <w:cols w:space="708"/>
          <w:docGrid w:linePitch="360"/>
        </w:sectPr>
      </w:pPr>
    </w:p>
    <w:p w14:paraId="0C637E03" w14:textId="77777777" w:rsidR="00785439" w:rsidRPr="00785E15" w:rsidRDefault="00785439" w:rsidP="001D473B">
      <w:r>
        <w:lastRenderedPageBreak/>
        <w:t>Th</w:t>
      </w:r>
      <w:r w:rsidR="00F3103B">
        <w:t>is</w:t>
      </w:r>
      <w:r>
        <w:t xml:space="preserve"> framework sets out what is needed </w:t>
      </w:r>
      <w:r w:rsidR="00F3103B">
        <w:t>to achieve the vision</w:t>
      </w:r>
      <w:r>
        <w:t>:</w:t>
      </w:r>
    </w:p>
    <w:p w14:paraId="5FE5FB1A" w14:textId="77777777" w:rsidR="00785439" w:rsidRDefault="00785439" w:rsidP="001D473B">
      <w:pPr>
        <w:pStyle w:val="ListBullet"/>
      </w:pPr>
      <w:r w:rsidRPr="00856E74">
        <w:rPr>
          <w:rStyle w:val="Emphasis"/>
        </w:rPr>
        <w:t>clarity</w:t>
      </w:r>
      <w:r w:rsidRPr="00856E74">
        <w:rPr>
          <w:color w:val="58317F"/>
        </w:rPr>
        <w:t xml:space="preserve"> </w:t>
      </w:r>
      <w:r>
        <w:t xml:space="preserve">of terminology, </w:t>
      </w:r>
      <w:r w:rsidRPr="0082351B">
        <w:t xml:space="preserve">purpose </w:t>
      </w:r>
      <w:r>
        <w:t>and expected</w:t>
      </w:r>
      <w:r w:rsidRPr="0082351B">
        <w:t xml:space="preserve"> outcomes</w:t>
      </w:r>
    </w:p>
    <w:p w14:paraId="14DEEF43" w14:textId="77777777" w:rsidR="00785439" w:rsidRDefault="00785439" w:rsidP="001D473B">
      <w:pPr>
        <w:pStyle w:val="ListBullet"/>
      </w:pPr>
      <w:r w:rsidRPr="00856E74">
        <w:rPr>
          <w:rStyle w:val="Emphasis"/>
        </w:rPr>
        <w:t>collaboration</w:t>
      </w:r>
      <w:r w:rsidRPr="0082351B">
        <w:t xml:space="preserve"> to meet the needs of students, schools, and employers</w:t>
      </w:r>
    </w:p>
    <w:p w14:paraId="478D9683" w14:textId="77777777" w:rsidR="00785439" w:rsidRDefault="00785439" w:rsidP="001D473B">
      <w:pPr>
        <w:pStyle w:val="ListBullet"/>
      </w:pPr>
      <w:r w:rsidRPr="00856E74">
        <w:rPr>
          <w:rStyle w:val="Emphasis"/>
        </w:rPr>
        <w:t>confidence</w:t>
      </w:r>
      <w:r w:rsidRPr="0082351B">
        <w:t xml:space="preserve"> in the quality, value and long-term benefit </w:t>
      </w:r>
      <w:r>
        <w:t>of vocational learning and VET</w:t>
      </w:r>
    </w:p>
    <w:p w14:paraId="1DD3E9C5" w14:textId="184E7A83" w:rsidR="00785439" w:rsidRPr="0082351B" w:rsidRDefault="00785439" w:rsidP="001D473B">
      <w:pPr>
        <w:pStyle w:val="ListBullet"/>
      </w:pPr>
      <w:proofErr w:type="gramStart"/>
      <w:r w:rsidRPr="00856E74">
        <w:rPr>
          <w:rStyle w:val="Emphasis"/>
        </w:rPr>
        <w:t>core</w:t>
      </w:r>
      <w:proofErr w:type="gramEnd"/>
      <w:r w:rsidRPr="00856E74">
        <w:rPr>
          <w:rStyle w:val="Emphasis"/>
        </w:rPr>
        <w:t xml:space="preserve"> systems</w:t>
      </w:r>
      <w:r w:rsidR="00BE725D">
        <w:rPr>
          <w:rStyle w:val="FootnoteReference"/>
          <w:b/>
          <w:color w:val="58317F"/>
        </w:rPr>
        <w:footnoteReference w:id="5"/>
      </w:r>
      <w:r w:rsidRPr="0082351B">
        <w:t xml:space="preserve"> </w:t>
      </w:r>
      <w:r>
        <w:t xml:space="preserve">that are </w:t>
      </w:r>
      <w:r w:rsidRPr="0082351B">
        <w:t>efficient, streamlined and support the best interests of students</w:t>
      </w:r>
      <w:r w:rsidR="002C02CC">
        <w:t xml:space="preserve"> and employers</w:t>
      </w:r>
      <w:r w:rsidRPr="0082351B">
        <w:t>.</w:t>
      </w:r>
    </w:p>
    <w:p w14:paraId="65BBFDA9" w14:textId="56F021BA" w:rsidR="00785439" w:rsidRDefault="00FB0C79" w:rsidP="001D473B">
      <w:r>
        <w:rPr>
          <w:i/>
          <w:color w:val="000000" w:themeColor="text1"/>
        </w:rPr>
        <w:br w:type="column"/>
      </w:r>
      <w:r w:rsidR="00785439">
        <w:rPr>
          <w:i/>
          <w:color w:val="000000" w:themeColor="text1"/>
        </w:rPr>
        <w:lastRenderedPageBreak/>
        <w:t>Preparing Secondary Students for Work</w:t>
      </w:r>
      <w:r w:rsidR="00785439">
        <w:t xml:space="preserve"> creates a platform for change, but cannot in itself create the change. This will come from the individual and collective actions of stakeholders</w:t>
      </w:r>
      <w:r w:rsidR="00EB39B1">
        <w:t>—</w:t>
      </w:r>
      <w:r w:rsidR="00785439">
        <w:t xml:space="preserve">taking the principles </w:t>
      </w:r>
      <w:r w:rsidR="00F3103B">
        <w:t xml:space="preserve">and shared understandings </w:t>
      </w:r>
      <w:r w:rsidR="00785439">
        <w:t>set out in this document, discussing them with other stakeholders, reflecting on current practices,</w:t>
      </w:r>
      <w:r w:rsidR="004A5ED4">
        <w:t xml:space="preserve"> and</w:t>
      </w:r>
      <w:r w:rsidR="00785439">
        <w:t xml:space="preserve"> identifying </w:t>
      </w:r>
      <w:r w:rsidR="004A5ED4">
        <w:t xml:space="preserve">and implementing </w:t>
      </w:r>
      <w:r w:rsidR="00785439">
        <w:t xml:space="preserve">potential improvements. Judging by the willingness and commitment of the many people and organisations that have participated in the development of this framework, the signs for the future are </w:t>
      </w:r>
      <w:r w:rsidR="00120B32">
        <w:t>bright</w:t>
      </w:r>
      <w:r w:rsidR="00785439">
        <w:t>.</w:t>
      </w:r>
    </w:p>
    <w:p w14:paraId="77FF2717" w14:textId="77777777" w:rsidR="00D328BA" w:rsidRDefault="00D328BA" w:rsidP="001D473B">
      <w:pPr>
        <w:sectPr w:rsidR="00D328BA" w:rsidSect="00786D8C">
          <w:type w:val="continuous"/>
          <w:pgSz w:w="11906" w:h="16838"/>
          <w:pgMar w:top="1389" w:right="1440" w:bottom="1418" w:left="1440" w:header="709" w:footer="709" w:gutter="0"/>
          <w:cols w:num="2" w:space="708"/>
          <w:docGrid w:linePitch="360"/>
        </w:sectPr>
      </w:pPr>
    </w:p>
    <w:p w14:paraId="128B9060" w14:textId="2FA1FD20" w:rsidR="00182075" w:rsidRDefault="00182075" w:rsidP="001D473B">
      <w:pPr>
        <w:pStyle w:val="Heading1"/>
      </w:pPr>
      <w:bookmarkStart w:id="11" w:name="_Toc406065040"/>
      <w:bookmarkStart w:id="12" w:name="_Toc406079697"/>
      <w:r w:rsidRPr="0061041D">
        <w:lastRenderedPageBreak/>
        <w:t>The</w:t>
      </w:r>
      <w:r>
        <w:t xml:space="preserve"> </w:t>
      </w:r>
      <w:r w:rsidR="003F1148">
        <w:t>Components</w:t>
      </w:r>
      <w:bookmarkEnd w:id="11"/>
      <w:bookmarkEnd w:id="12"/>
    </w:p>
    <w:p w14:paraId="0F2E5F76" w14:textId="77777777" w:rsidR="006948D9" w:rsidRDefault="006948D9" w:rsidP="001D473B">
      <w:pPr>
        <w:sectPr w:rsidR="006948D9" w:rsidSect="00786D8C">
          <w:headerReference w:type="default" r:id="rId27"/>
          <w:pgSz w:w="11906" w:h="16838"/>
          <w:pgMar w:top="1387" w:right="1440" w:bottom="1418" w:left="1440" w:header="708" w:footer="709" w:gutter="0"/>
          <w:cols w:num="2" w:space="708"/>
          <w:docGrid w:linePitch="360"/>
        </w:sectPr>
      </w:pPr>
    </w:p>
    <w:p w14:paraId="0110E845" w14:textId="4AA5BF7A" w:rsidR="00ED1C34" w:rsidRDefault="00ED1C34" w:rsidP="006948D9">
      <w:r>
        <w:lastRenderedPageBreak/>
        <w:t xml:space="preserve">To achieve the vision for vocational learning and VET delivered to secondary students, this framework focuses on four fundamental components: </w:t>
      </w:r>
      <w:r w:rsidRPr="000657CB">
        <w:rPr>
          <w:rStyle w:val="Componentcross-reference"/>
          <w:rFonts w:asciiTheme="minorHAnsi" w:hAnsiTheme="minorHAnsi" w:cstheme="minorHAnsi"/>
          <w:b/>
        </w:rPr>
        <w:t>clarity</w:t>
      </w:r>
      <w:r w:rsidRPr="004920AF">
        <w:t>,</w:t>
      </w:r>
      <w:r>
        <w:t xml:space="preserve"> </w:t>
      </w:r>
      <w:r w:rsidRPr="000657CB">
        <w:rPr>
          <w:rStyle w:val="Componentcross-reference"/>
          <w:rFonts w:asciiTheme="minorHAnsi" w:hAnsiTheme="minorHAnsi" w:cstheme="minorHAnsi"/>
          <w:b/>
        </w:rPr>
        <w:t>collaboration</w:t>
      </w:r>
      <w:r w:rsidRPr="004920AF">
        <w:t>,</w:t>
      </w:r>
      <w:r>
        <w:t xml:space="preserve"> </w:t>
      </w:r>
      <w:r w:rsidRPr="000657CB">
        <w:rPr>
          <w:rStyle w:val="Componentcross-reference"/>
          <w:rFonts w:asciiTheme="minorHAnsi" w:hAnsiTheme="minorHAnsi" w:cstheme="minorHAnsi"/>
          <w:b/>
        </w:rPr>
        <w:t>confidence</w:t>
      </w:r>
      <w:r>
        <w:t xml:space="preserve"> and </w:t>
      </w:r>
      <w:r w:rsidRPr="000657CB">
        <w:rPr>
          <w:rStyle w:val="Componentcross-reference"/>
          <w:rFonts w:asciiTheme="minorHAnsi" w:hAnsiTheme="minorHAnsi" w:cstheme="minorHAnsi"/>
          <w:b/>
        </w:rPr>
        <w:t>core systems</w:t>
      </w:r>
      <w:r>
        <w:t xml:space="preserve">. </w:t>
      </w:r>
    </w:p>
    <w:p w14:paraId="00AB4D9A" w14:textId="1E0553A2" w:rsidR="00944391" w:rsidRDefault="00B2127A" w:rsidP="001D473B">
      <w:r>
        <w:t>This</w:t>
      </w:r>
      <w:r w:rsidR="00ED1C34">
        <w:t xml:space="preserve"> helps to make sense of the complex environment </w:t>
      </w:r>
      <w:r w:rsidR="004A5ED4">
        <w:t xml:space="preserve">in which </w:t>
      </w:r>
      <w:r w:rsidR="00ED1C34">
        <w:t>v</w:t>
      </w:r>
      <w:r w:rsidR="00944391">
        <w:t xml:space="preserve">ocational </w:t>
      </w:r>
      <w:r w:rsidR="00182075">
        <w:t xml:space="preserve">learning and VET </w:t>
      </w:r>
      <w:r w:rsidR="004A5ED4">
        <w:t xml:space="preserve">are </w:t>
      </w:r>
      <w:r w:rsidR="00944391">
        <w:t xml:space="preserve">delivered to </w:t>
      </w:r>
      <w:r w:rsidR="00182075">
        <w:t>secondary students</w:t>
      </w:r>
      <w:r w:rsidR="004C6EB4">
        <w:t xml:space="preserve">. Both </w:t>
      </w:r>
      <w:r w:rsidR="00A0048D">
        <w:t xml:space="preserve">have to take account of </w:t>
      </w:r>
      <w:r w:rsidR="00182075">
        <w:t>multiple regulatory and operational settings</w:t>
      </w:r>
      <w:r w:rsidR="00ED1C34">
        <w:t xml:space="preserve"> and </w:t>
      </w:r>
      <w:r w:rsidR="00A0048D">
        <w:t xml:space="preserve">involve </w:t>
      </w:r>
      <w:r w:rsidR="00944391">
        <w:t xml:space="preserve">many stakeholders at different levels, including students, parents, schools, school systems, employers, </w:t>
      </w:r>
      <w:proofErr w:type="spellStart"/>
      <w:r w:rsidR="000F2A9A">
        <w:t>RTOs</w:t>
      </w:r>
      <w:proofErr w:type="spellEnd"/>
      <w:r w:rsidR="00944391">
        <w:t>, training package developers and VET regulators.</w:t>
      </w:r>
    </w:p>
    <w:p w14:paraId="46CCB8B4" w14:textId="55772C37" w:rsidR="003A519E" w:rsidRDefault="00FA7372" w:rsidP="006948D9">
      <w:r>
        <w:t xml:space="preserve">This section </w:t>
      </w:r>
      <w:r w:rsidR="00564074">
        <w:t>analyses</w:t>
      </w:r>
      <w:r w:rsidR="004B5180">
        <w:t xml:space="preserve"> e</w:t>
      </w:r>
      <w:r w:rsidR="00182075">
        <w:t>ach component</w:t>
      </w:r>
      <w:r w:rsidR="004920AF">
        <w:t xml:space="preserve"> and </w:t>
      </w:r>
      <w:r>
        <w:t>identif</w:t>
      </w:r>
      <w:r w:rsidR="004920AF">
        <w:t>ies</w:t>
      </w:r>
      <w:r>
        <w:t xml:space="preserve"> what is needed, </w:t>
      </w:r>
      <w:r w:rsidR="000F2A9A">
        <w:t xml:space="preserve">what </w:t>
      </w:r>
      <w:r w:rsidR="00D9091D">
        <w:t>good practice</w:t>
      </w:r>
      <w:r w:rsidR="000F2A9A">
        <w:t xml:space="preserve"> look</w:t>
      </w:r>
      <w:r w:rsidR="00D9091D">
        <w:t>s</w:t>
      </w:r>
      <w:r w:rsidR="000F2A9A">
        <w:t xml:space="preserve"> like</w:t>
      </w:r>
      <w:r w:rsidR="00D9091D">
        <w:t>,</w:t>
      </w:r>
      <w:r w:rsidR="000F2A9A">
        <w:t xml:space="preserve"> what challenges can arise</w:t>
      </w:r>
      <w:r>
        <w:t xml:space="preserve">, </w:t>
      </w:r>
      <w:r w:rsidR="00182075">
        <w:t xml:space="preserve">and </w:t>
      </w:r>
      <w:r w:rsidR="002F71BC">
        <w:t>w</w:t>
      </w:r>
      <w:r>
        <w:t>hat</w:t>
      </w:r>
      <w:r w:rsidR="00182075">
        <w:t xml:space="preserve"> stakeholders </w:t>
      </w:r>
      <w:r>
        <w:t>need to</w:t>
      </w:r>
      <w:r w:rsidR="002F71BC">
        <w:t xml:space="preserve"> do</w:t>
      </w:r>
      <w:r w:rsidR="00182075">
        <w:t>.</w:t>
      </w:r>
      <w:r w:rsidR="004064F3" w:rsidRPr="004064F3">
        <w:t xml:space="preserve"> </w:t>
      </w:r>
      <w:r w:rsidR="004064F3">
        <w:t xml:space="preserve">The </w:t>
      </w:r>
      <w:r w:rsidR="004064F3">
        <w:lastRenderedPageBreak/>
        <w:t>analysis is informed by stakeholder consultations, existing practice and research.</w:t>
      </w:r>
    </w:p>
    <w:p w14:paraId="36D6B9BA" w14:textId="5547C3F5" w:rsidR="00182075" w:rsidRDefault="000F0CE1" w:rsidP="00E26706">
      <w:r>
        <w:t>While each component i</w:t>
      </w:r>
      <w:r w:rsidR="00182075">
        <w:t xml:space="preserve">s presented separately, </w:t>
      </w:r>
      <w:r w:rsidR="00AA56E6">
        <w:t xml:space="preserve">references to other components are </w:t>
      </w:r>
      <w:r w:rsidR="004920AF" w:rsidRPr="00AA56E6">
        <w:t>highlighted</w:t>
      </w:r>
      <w:r w:rsidR="004920AF" w:rsidRPr="000657CB">
        <w:rPr>
          <w:rStyle w:val="Componentcross-reference"/>
          <w:rFonts w:asciiTheme="minorHAnsi" w:hAnsiTheme="minorHAnsi" w:cstheme="minorHAnsi"/>
          <w:b/>
        </w:rPr>
        <w:t xml:space="preserve"> </w:t>
      </w:r>
      <w:r w:rsidR="004920AF">
        <w:t>to recognise their interdependence</w:t>
      </w:r>
      <w:r w:rsidR="00182075">
        <w:t xml:space="preserve">. </w:t>
      </w:r>
      <w:r>
        <w:t xml:space="preserve">For example, </w:t>
      </w:r>
      <w:r w:rsidR="00182075" w:rsidRPr="000657CB">
        <w:rPr>
          <w:rStyle w:val="Componentcross-reference"/>
          <w:rFonts w:asciiTheme="minorHAnsi" w:hAnsiTheme="minorHAnsi" w:cstheme="minorHAnsi"/>
          <w:b/>
        </w:rPr>
        <w:t>clarity</w:t>
      </w:r>
      <w:r w:rsidR="00182075">
        <w:t xml:space="preserve"> is </w:t>
      </w:r>
      <w:r w:rsidR="00564074">
        <w:t xml:space="preserve">both </w:t>
      </w:r>
      <w:r w:rsidR="00182075">
        <w:t xml:space="preserve">important in and of itself, </w:t>
      </w:r>
      <w:r>
        <w:t xml:space="preserve">and </w:t>
      </w:r>
      <w:r w:rsidR="00182075">
        <w:t xml:space="preserve">essential </w:t>
      </w:r>
      <w:r w:rsidR="00564074">
        <w:t xml:space="preserve">to effective </w:t>
      </w:r>
      <w:r w:rsidR="00564074" w:rsidRPr="000657CB">
        <w:rPr>
          <w:rStyle w:val="Componentcross-reference"/>
          <w:rFonts w:asciiTheme="minorHAnsi" w:hAnsiTheme="minorHAnsi" w:cstheme="minorHAnsi"/>
          <w:b/>
        </w:rPr>
        <w:t>collaboration</w:t>
      </w:r>
      <w:r w:rsidR="00182075">
        <w:t xml:space="preserve">. Similarly, </w:t>
      </w:r>
      <w:r w:rsidR="00182075" w:rsidRPr="004920AF">
        <w:t>clarity</w:t>
      </w:r>
      <w:r w:rsidR="00182075">
        <w:t xml:space="preserve"> and </w:t>
      </w:r>
      <w:r w:rsidR="00182075" w:rsidRPr="00EB7696">
        <w:t xml:space="preserve">collaboration build </w:t>
      </w:r>
      <w:r w:rsidR="00182075" w:rsidRPr="000657CB">
        <w:rPr>
          <w:rStyle w:val="Componentcross-reference"/>
          <w:rFonts w:asciiTheme="minorHAnsi" w:hAnsiTheme="minorHAnsi" w:cstheme="minorHAnsi"/>
          <w:b/>
        </w:rPr>
        <w:t>confidence</w:t>
      </w:r>
      <w:r w:rsidR="00182075" w:rsidRPr="00EB7696">
        <w:t xml:space="preserve"> in the quality of vocational learning and VET. And it is only through collaboration that </w:t>
      </w:r>
      <w:r w:rsidR="00182075" w:rsidRPr="000657CB">
        <w:rPr>
          <w:rStyle w:val="Componentcross-reference"/>
          <w:rFonts w:asciiTheme="minorHAnsi" w:hAnsiTheme="minorHAnsi" w:cstheme="minorHAnsi"/>
          <w:b/>
        </w:rPr>
        <w:t>core systems</w:t>
      </w:r>
      <w:r w:rsidR="00182075" w:rsidRPr="00EB7696">
        <w:t xml:space="preserve"> can provide the policy and regulatory settings </w:t>
      </w:r>
      <w:r w:rsidR="00564074">
        <w:t xml:space="preserve">that support </w:t>
      </w:r>
      <w:r w:rsidR="00182075" w:rsidRPr="00EB7696">
        <w:t>success.</w:t>
      </w:r>
    </w:p>
    <w:p w14:paraId="4BA49DA4" w14:textId="77777777" w:rsidR="008F05A5" w:rsidRDefault="00730B3F" w:rsidP="00E26706">
      <w:pPr>
        <w:sectPr w:rsidR="008F05A5" w:rsidSect="00786D8C">
          <w:type w:val="continuous"/>
          <w:pgSz w:w="11906" w:h="16838"/>
          <w:pgMar w:top="1387" w:right="1440" w:bottom="1418" w:left="1440" w:header="708" w:footer="709" w:gutter="0"/>
          <w:cols w:num="2" w:space="708"/>
          <w:docGrid w:linePitch="360"/>
        </w:sectPr>
      </w:pPr>
      <w:r>
        <w:t xml:space="preserve">The discussion of each component ends with a list of implications. </w:t>
      </w:r>
      <w:r w:rsidR="00CA3E83">
        <w:t>T</w:t>
      </w:r>
      <w:r>
        <w:t xml:space="preserve">hey indicate priority areas for action, </w:t>
      </w:r>
      <w:r w:rsidR="00564074">
        <w:t xml:space="preserve">and provide a basis for </w:t>
      </w:r>
      <w:r w:rsidR="004920AF">
        <w:t xml:space="preserve">stakeholders to work together </w:t>
      </w:r>
      <w:r w:rsidR="00564074">
        <w:t xml:space="preserve">to </w:t>
      </w:r>
      <w:r w:rsidR="004920AF">
        <w:t xml:space="preserve">further improve the </w:t>
      </w:r>
      <w:r w:rsidR="00564074">
        <w:t>vocational learning and VET</w:t>
      </w:r>
      <w:r w:rsidR="004920AF">
        <w:t xml:space="preserve"> delivered to secondary students</w:t>
      </w:r>
      <w:r w:rsidR="00A86924">
        <w:t>.</w:t>
      </w:r>
    </w:p>
    <w:p w14:paraId="1F988EAF" w14:textId="3D356C1D" w:rsidR="00B1080F" w:rsidRDefault="008F05A5" w:rsidP="008F05A5">
      <w:pPr>
        <w:jc w:val="center"/>
        <w:sectPr w:rsidR="00B1080F" w:rsidSect="008F05A5">
          <w:type w:val="continuous"/>
          <w:pgSz w:w="11906" w:h="16838"/>
          <w:pgMar w:top="1387" w:right="1440" w:bottom="1418" w:left="1440" w:header="708" w:footer="709" w:gutter="0"/>
          <w:cols w:space="708"/>
          <w:docGrid w:linePitch="360"/>
        </w:sectPr>
      </w:pPr>
      <w:r>
        <w:rPr>
          <w:noProof/>
          <w:lang w:eastAsia="en-AU"/>
        </w:rPr>
        <w:lastRenderedPageBreak/>
        <w:drawing>
          <wp:inline distT="0" distB="0" distL="0" distR="0" wp14:anchorId="458173C5" wp14:editId="1243213D">
            <wp:extent cx="4380865" cy="4324985"/>
            <wp:effectExtent l="0" t="0" r="635" b="0"/>
            <wp:docPr id="15" name="Picture 15" descr="Four overlapping circles: 'Clarity', 'Collaboration', 'Confidence' and 'Core systems'" title="Visual representation of the four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ur circle plus words.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80865" cy="4324985"/>
                    </a:xfrm>
                    <a:prstGeom prst="rect">
                      <a:avLst/>
                    </a:prstGeom>
                  </pic:spPr>
                </pic:pic>
              </a:graphicData>
            </a:graphic>
          </wp:inline>
        </w:drawing>
      </w:r>
    </w:p>
    <w:p w14:paraId="3AA68380" w14:textId="77777777" w:rsidR="00E26706" w:rsidRDefault="00E26706" w:rsidP="001D473B">
      <w:pPr>
        <w:pStyle w:val="Heading2"/>
        <w:sectPr w:rsidR="00E26706" w:rsidSect="00786D8C">
          <w:headerReference w:type="default" r:id="rId29"/>
          <w:type w:val="continuous"/>
          <w:pgSz w:w="11906" w:h="16838"/>
          <w:pgMar w:top="1388" w:right="1440" w:bottom="1418" w:left="1440" w:header="708" w:footer="709" w:gutter="0"/>
          <w:cols w:num="2" w:space="708"/>
          <w:docGrid w:linePitch="360"/>
        </w:sectPr>
      </w:pPr>
    </w:p>
    <w:p w14:paraId="210F9A9F" w14:textId="77777777" w:rsidR="001F463F" w:rsidRPr="00687A97" w:rsidRDefault="00227657" w:rsidP="001D473B">
      <w:pPr>
        <w:pStyle w:val="Heading2"/>
      </w:pPr>
      <w:bookmarkStart w:id="13" w:name="_Toc406065041"/>
      <w:bookmarkStart w:id="14" w:name="_Toc406079698"/>
      <w:r>
        <w:rPr>
          <w:noProof/>
          <w:lang w:eastAsia="en-AU"/>
        </w:rPr>
        <w:lastRenderedPageBreak/>
        <w:drawing>
          <wp:anchor distT="0" distB="0" distL="114300" distR="114300" simplePos="0" relativeHeight="251664896" behindDoc="1" locked="0" layoutInCell="1" allowOverlap="1" wp14:anchorId="514E884D" wp14:editId="4E13BF5D">
            <wp:simplePos x="0" y="0"/>
            <wp:positionH relativeFrom="column">
              <wp:posOffset>-434544</wp:posOffset>
            </wp:positionH>
            <wp:positionV relativeFrom="paragraph">
              <wp:posOffset>-635899</wp:posOffset>
            </wp:positionV>
            <wp:extent cx="1554480" cy="1558290"/>
            <wp:effectExtent l="0" t="0" r="7620" b="3810"/>
            <wp:wrapNone/>
            <wp:docPr id="11" name="Picture 11" title="Coloured circle underneath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lue circle.png"/>
                    <pic:cNvPicPr/>
                  </pic:nvPicPr>
                  <pic:blipFill>
                    <a:blip r:embed="rId30">
                      <a:extLst>
                        <a:ext uri="{28A0092B-C50C-407E-A947-70E740481C1C}">
                          <a14:useLocalDpi xmlns:a14="http://schemas.microsoft.com/office/drawing/2010/main" val="0"/>
                        </a:ext>
                      </a:extLst>
                    </a:blip>
                    <a:stretch>
                      <a:fillRect/>
                    </a:stretch>
                  </pic:blipFill>
                  <pic:spPr>
                    <a:xfrm>
                      <a:off x="0" y="0"/>
                      <a:ext cx="1554480" cy="1558290"/>
                    </a:xfrm>
                    <a:prstGeom prst="rect">
                      <a:avLst/>
                    </a:prstGeom>
                  </pic:spPr>
                </pic:pic>
              </a:graphicData>
            </a:graphic>
            <wp14:sizeRelH relativeFrom="page">
              <wp14:pctWidth>0</wp14:pctWidth>
            </wp14:sizeRelH>
            <wp14:sizeRelV relativeFrom="page">
              <wp14:pctHeight>0</wp14:pctHeight>
            </wp14:sizeRelV>
          </wp:anchor>
        </w:drawing>
      </w:r>
      <w:r w:rsidR="001F463F" w:rsidRPr="00687A97">
        <w:t>Clarity</w:t>
      </w:r>
      <w:bookmarkEnd w:id="13"/>
      <w:bookmarkEnd w:id="14"/>
    </w:p>
    <w:p w14:paraId="6EAB866C" w14:textId="0CFF57AF" w:rsidR="001F463F" w:rsidRDefault="003E44CB" w:rsidP="001D473B">
      <w:r>
        <w:t xml:space="preserve">The words used to describe </w:t>
      </w:r>
      <w:r w:rsidR="00B80B7D" w:rsidRPr="00B80B7D">
        <w:t>vocational learning and VET</w:t>
      </w:r>
      <w:r>
        <w:t xml:space="preserve"> shape perceptions </w:t>
      </w:r>
      <w:r w:rsidR="00B80B7D" w:rsidRPr="00B80B7D">
        <w:t>and expectation</w:t>
      </w:r>
      <w:r w:rsidR="00B80B7D">
        <w:t>s</w:t>
      </w:r>
      <w:r w:rsidR="001F463F">
        <w:t xml:space="preserve">. When a term means different things to different people, or carries implications </w:t>
      </w:r>
      <w:r w:rsidR="00C46A6F">
        <w:t xml:space="preserve">that </w:t>
      </w:r>
      <w:r w:rsidR="001F463F">
        <w:t>are not accurate, problems arise.</w:t>
      </w:r>
    </w:p>
    <w:p w14:paraId="4550D412" w14:textId="00EFE9A5" w:rsidR="001F463F" w:rsidRDefault="006F1137" w:rsidP="001D473B">
      <w:r w:rsidRPr="0017166F">
        <w:t>T</w:t>
      </w:r>
      <w:r w:rsidR="001F463F" w:rsidRPr="0017166F">
        <w:t xml:space="preserve">he terms </w:t>
      </w:r>
      <w:r w:rsidR="0017166F" w:rsidRPr="0017166F">
        <w:t>‘</w:t>
      </w:r>
      <w:r w:rsidR="001F463F" w:rsidRPr="0017166F">
        <w:t>VET in Schools</w:t>
      </w:r>
      <w:r w:rsidR="0017166F" w:rsidRPr="0017166F">
        <w:t>’</w:t>
      </w:r>
      <w:r w:rsidR="001F463F" w:rsidRPr="0017166F">
        <w:t xml:space="preserve"> and </w:t>
      </w:r>
      <w:r w:rsidR="0017166F" w:rsidRPr="0017166F">
        <w:t>‘</w:t>
      </w:r>
      <w:proofErr w:type="spellStart"/>
      <w:r w:rsidR="0017166F" w:rsidRPr="0017166F">
        <w:t>VETiS</w:t>
      </w:r>
      <w:proofErr w:type="spellEnd"/>
      <w:r w:rsidR="0017166F" w:rsidRPr="0017166F">
        <w:t>’</w:t>
      </w:r>
      <w:r w:rsidR="001F463F">
        <w:t xml:space="preserve"> have become catch-all term</w:t>
      </w:r>
      <w:r w:rsidR="00D36227">
        <w:t>s</w:t>
      </w:r>
      <w:r w:rsidR="001F463F">
        <w:t xml:space="preserve"> for quite different </w:t>
      </w:r>
      <w:r w:rsidR="00A93CE9">
        <w:t>program</w:t>
      </w:r>
      <w:r w:rsidR="001F463F">
        <w:t>s and activities</w:t>
      </w:r>
      <w:r w:rsidR="003E44CB">
        <w:t>. This includes</w:t>
      </w:r>
      <w:r w:rsidR="001F463F">
        <w:t xml:space="preserve"> </w:t>
      </w:r>
      <w:r w:rsidR="001F463F" w:rsidRPr="0061074B">
        <w:t xml:space="preserve">VET </w:t>
      </w:r>
      <w:r w:rsidR="001F463F">
        <w:t>delivered to secondary students;</w:t>
      </w:r>
      <w:r w:rsidR="001F463F" w:rsidRPr="0061074B">
        <w:t xml:space="preserve"> </w:t>
      </w:r>
      <w:r w:rsidR="000C0BB3">
        <w:t>school-based apprenticeship</w:t>
      </w:r>
      <w:r w:rsidR="00C46A6F">
        <w:t>s</w:t>
      </w:r>
      <w:r w:rsidR="000C0BB3">
        <w:t xml:space="preserve"> and traineeship</w:t>
      </w:r>
      <w:r w:rsidR="001F463F">
        <w:t>s; learning about work and employability skills;</w:t>
      </w:r>
      <w:r w:rsidR="001F463F" w:rsidRPr="0061074B">
        <w:t xml:space="preserve"> student support services such as career </w:t>
      </w:r>
      <w:r w:rsidR="001F463F" w:rsidRPr="001D473B">
        <w:t>counselling</w:t>
      </w:r>
      <w:r w:rsidR="001F463F">
        <w:t>; and exploratory activities such as try-a-trade and work experience</w:t>
      </w:r>
      <w:r w:rsidR="001F463F" w:rsidRPr="0061074B">
        <w:t xml:space="preserve">. </w:t>
      </w:r>
    </w:p>
    <w:p w14:paraId="48E493AD" w14:textId="40D5D736" w:rsidR="001F463F" w:rsidRDefault="001F463F" w:rsidP="001D473B">
      <w:r>
        <w:t xml:space="preserve">The use of </w:t>
      </w:r>
      <w:r w:rsidR="00463744">
        <w:t>‘</w:t>
      </w:r>
      <w:r>
        <w:t>VET in Schools</w:t>
      </w:r>
      <w:r w:rsidR="00463744">
        <w:t>’</w:t>
      </w:r>
      <w:r>
        <w:t xml:space="preserve"> to cover such a wide range of </w:t>
      </w:r>
      <w:r w:rsidR="00A93CE9">
        <w:t>program</w:t>
      </w:r>
      <w:r>
        <w:t>s and activities has caused confusion about their purpose, led to different expectations of their outcomes and contributed to concerns about their quality.</w:t>
      </w:r>
      <w:r w:rsidRPr="002E6573">
        <w:t xml:space="preserve"> </w:t>
      </w:r>
    </w:p>
    <w:p w14:paraId="04022539" w14:textId="77777777" w:rsidR="001F463F" w:rsidRPr="00687A97" w:rsidRDefault="001F463F" w:rsidP="003C0D44">
      <w:pPr>
        <w:pStyle w:val="Heading3"/>
      </w:pPr>
      <w:bookmarkStart w:id="15" w:name="_Toc406065042"/>
      <w:bookmarkStart w:id="16" w:name="_Toc406079699"/>
      <w:r w:rsidRPr="00687A97">
        <w:t>Terminology</w:t>
      </w:r>
      <w:bookmarkEnd w:id="15"/>
      <w:bookmarkEnd w:id="16"/>
    </w:p>
    <w:p w14:paraId="615AB939" w14:textId="77777777" w:rsidR="00B80B7D" w:rsidRDefault="00B80B7D" w:rsidP="001D473B">
      <w:r w:rsidRPr="00B80B7D">
        <w:t xml:space="preserve">Common </w:t>
      </w:r>
      <w:r>
        <w:t xml:space="preserve">and consistent terminology </w:t>
      </w:r>
      <w:r w:rsidRPr="00B80B7D">
        <w:t xml:space="preserve">is paramount to </w:t>
      </w:r>
      <w:r>
        <w:t xml:space="preserve">achieving a shared understanding </w:t>
      </w:r>
      <w:r w:rsidRPr="00B80B7D">
        <w:t xml:space="preserve">of vocational activities and </w:t>
      </w:r>
      <w:r w:rsidR="00A93CE9">
        <w:t>program</w:t>
      </w:r>
      <w:r w:rsidRPr="00B80B7D">
        <w:t>s provided to secondary students</w:t>
      </w:r>
      <w:r>
        <w:t>.</w:t>
      </w:r>
    </w:p>
    <w:p w14:paraId="70809E6A" w14:textId="66AE00C4" w:rsidR="001F463F" w:rsidRDefault="001F463F" w:rsidP="001D473B">
      <w:r>
        <w:t xml:space="preserve">This framework moves away from terms such as vocational education and VET in Schools, replacing them with terms that clearly distinguish between two different areas: </w:t>
      </w:r>
      <w:r w:rsidRPr="003C6476">
        <w:rPr>
          <w:b/>
        </w:rPr>
        <w:t>vocational learning</w:t>
      </w:r>
      <w:r>
        <w:t xml:space="preserve"> and </w:t>
      </w:r>
      <w:r w:rsidRPr="003C6476">
        <w:rPr>
          <w:b/>
        </w:rPr>
        <w:t>VET</w:t>
      </w:r>
      <w:r>
        <w:t>.</w:t>
      </w:r>
    </w:p>
    <w:p w14:paraId="0BA3CD44" w14:textId="77777777" w:rsidR="00147CA4" w:rsidRPr="00147CA4" w:rsidRDefault="001F463F" w:rsidP="00147CA4">
      <w:pPr>
        <w:pStyle w:val="Heading3"/>
      </w:pPr>
      <w:bookmarkStart w:id="17" w:name="_Toc406065043"/>
      <w:bookmarkStart w:id="18" w:name="_Toc406079700"/>
      <w:r w:rsidRPr="00147CA4">
        <w:rPr>
          <w:rStyle w:val="Emphasis"/>
          <w:b/>
        </w:rPr>
        <w:t>Vocational learning</w:t>
      </w:r>
      <w:bookmarkEnd w:id="17"/>
      <w:bookmarkEnd w:id="18"/>
    </w:p>
    <w:p w14:paraId="114A3921" w14:textId="26065E14" w:rsidR="001F463F" w:rsidRDefault="00147CA4" w:rsidP="001D473B">
      <w:r w:rsidRPr="00147CA4">
        <w:t xml:space="preserve">Vocational learning </w:t>
      </w:r>
      <w:r w:rsidR="00B475CE" w:rsidRPr="00E03414">
        <w:t>includes career</w:t>
      </w:r>
      <w:r w:rsidR="00B475CE">
        <w:t xml:space="preserve"> </w:t>
      </w:r>
      <w:r w:rsidR="00B475CE" w:rsidRPr="00E03414">
        <w:t>education</w:t>
      </w:r>
      <w:r w:rsidR="00B475CE">
        <w:t xml:space="preserve"> </w:t>
      </w:r>
      <w:r w:rsidR="00A93CE9">
        <w:t>program</w:t>
      </w:r>
      <w:r w:rsidR="00B475CE">
        <w:t>s</w:t>
      </w:r>
      <w:r w:rsidR="00B475CE" w:rsidRPr="00E03414">
        <w:t xml:space="preserve">, through which </w:t>
      </w:r>
      <w:r w:rsidR="00B475CE">
        <w:t xml:space="preserve">secondary </w:t>
      </w:r>
      <w:r w:rsidR="00B475CE" w:rsidRPr="00E03414">
        <w:t xml:space="preserve">students </w:t>
      </w:r>
      <w:r w:rsidR="001F463F" w:rsidRPr="00E03414">
        <w:t>explore the world of work</w:t>
      </w:r>
      <w:r w:rsidR="001F463F">
        <w:t>,</w:t>
      </w:r>
      <w:r w:rsidR="001F463F" w:rsidRPr="00E03414">
        <w:t xml:space="preserve"> identify career options and pathways</w:t>
      </w:r>
      <w:r w:rsidR="001F463F">
        <w:t xml:space="preserve">, </w:t>
      </w:r>
      <w:r w:rsidR="001F463F" w:rsidRPr="00E03414">
        <w:t xml:space="preserve">and build career </w:t>
      </w:r>
      <w:r w:rsidR="001F463F">
        <w:t>development skills</w:t>
      </w:r>
      <w:r w:rsidR="001F463F" w:rsidRPr="00E03414">
        <w:t>.</w:t>
      </w:r>
      <w:r w:rsidR="001F463F" w:rsidRPr="00F4365D">
        <w:t xml:space="preserve"> </w:t>
      </w:r>
      <w:r w:rsidR="00753569">
        <w:t xml:space="preserve">Vocational learning is delivered within the broader curriculum. </w:t>
      </w:r>
      <w:r w:rsidR="00916813" w:rsidRPr="00F4365D">
        <w:t xml:space="preserve">Career </w:t>
      </w:r>
      <w:r w:rsidR="001F463F" w:rsidRPr="00F4365D">
        <w:t xml:space="preserve">exploration </w:t>
      </w:r>
      <w:r w:rsidR="00916813">
        <w:t>needs to begin</w:t>
      </w:r>
      <w:r w:rsidR="001F463F" w:rsidRPr="00F4365D">
        <w:t xml:space="preserve"> </w:t>
      </w:r>
      <w:r w:rsidR="00916813">
        <w:t xml:space="preserve">early in secondary school, if not </w:t>
      </w:r>
      <w:r w:rsidR="006F1137">
        <w:t>before</w:t>
      </w:r>
      <w:r w:rsidR="00916813">
        <w:t>, while</w:t>
      </w:r>
      <w:r w:rsidR="001F463F" w:rsidRPr="00F4365D">
        <w:t xml:space="preserve"> students are </w:t>
      </w:r>
      <w:r w:rsidR="00916813">
        <w:t xml:space="preserve">still </w:t>
      </w:r>
      <w:r w:rsidR="001F463F" w:rsidRPr="00F4365D">
        <w:t xml:space="preserve">forming their sense of identity, </w:t>
      </w:r>
      <w:r w:rsidR="001F463F">
        <w:t xml:space="preserve">their </w:t>
      </w:r>
      <w:r w:rsidR="001F463F" w:rsidRPr="00F4365D">
        <w:t xml:space="preserve">beliefs about work and their </w:t>
      </w:r>
      <w:r w:rsidR="009A6431">
        <w:t xml:space="preserve">ideas </w:t>
      </w:r>
      <w:r w:rsidR="001F463F">
        <w:t xml:space="preserve">about their own </w:t>
      </w:r>
      <w:r w:rsidR="001F463F" w:rsidRPr="00F4365D">
        <w:t>future possibilities.</w:t>
      </w:r>
      <w:r w:rsidR="001F463F" w:rsidRPr="00BA215E">
        <w:t xml:space="preserve"> </w:t>
      </w:r>
    </w:p>
    <w:p w14:paraId="677E5AC3" w14:textId="0EE308AE" w:rsidR="001F463F" w:rsidRDefault="001F463F" w:rsidP="001D473B">
      <w:r w:rsidRPr="007F775D">
        <w:t xml:space="preserve">Vocational learning also includes subjects </w:t>
      </w:r>
      <w:r>
        <w:t xml:space="preserve">that allow </w:t>
      </w:r>
      <w:r w:rsidRPr="007F775D">
        <w:t>secondary students</w:t>
      </w:r>
      <w:r>
        <w:t xml:space="preserve"> to undertake </w:t>
      </w:r>
      <w:r>
        <w:lastRenderedPageBreak/>
        <w:t xml:space="preserve">general work-related </w:t>
      </w:r>
      <w:r w:rsidR="00F36AE5">
        <w:t>curriculum</w:t>
      </w:r>
      <w:r>
        <w:t xml:space="preserve">, or explore particular occupations or industries. </w:t>
      </w:r>
      <w:r w:rsidRPr="007F775D">
        <w:t>The Work Studies curriculum developed under the national curriculum is an example. Vocational learning include</w:t>
      </w:r>
      <w:r w:rsidR="00F715C9">
        <w:t>s</w:t>
      </w:r>
      <w:r w:rsidRPr="007F775D">
        <w:t xml:space="preserve"> opportunities for students to ‘taste’ the world of work through one-off events</w:t>
      </w:r>
      <w:r w:rsidR="009A6431">
        <w:t xml:space="preserve">, </w:t>
      </w:r>
      <w:r w:rsidR="00440213">
        <w:t>initiatives</w:t>
      </w:r>
      <w:r w:rsidR="009A6431">
        <w:t xml:space="preserve"> such as enterprise learning</w:t>
      </w:r>
      <w:r w:rsidR="00756589">
        <w:t>,</w:t>
      </w:r>
      <w:r w:rsidRPr="007F775D">
        <w:t xml:space="preserve"> or spending time in a real or simulated workplace.</w:t>
      </w:r>
    </w:p>
    <w:p w14:paraId="756CD862" w14:textId="708BF53C" w:rsidR="007533F3" w:rsidRPr="007F775D" w:rsidRDefault="007533F3" w:rsidP="001D473B">
      <w:r w:rsidRPr="00B0152F">
        <w:t xml:space="preserve">Strong vocational learning </w:t>
      </w:r>
      <w:r w:rsidR="00A93CE9">
        <w:t>program</w:t>
      </w:r>
      <w:r w:rsidRPr="00B0152F">
        <w:t>s ensure</w:t>
      </w:r>
      <w:r w:rsidR="00B0152F">
        <w:t xml:space="preserve"> that student</w:t>
      </w:r>
      <w:r w:rsidRPr="00B0152F">
        <w:t xml:space="preserve"> choices about school subjects and post-school education, training and employment </w:t>
      </w:r>
      <w:r w:rsidR="00B0152F">
        <w:t xml:space="preserve">are </w:t>
      </w:r>
      <w:r w:rsidRPr="00B0152F">
        <w:t>based on a thorough understanding of the</w:t>
      </w:r>
      <w:r w:rsidR="00B0152F">
        <w:t>ir</w:t>
      </w:r>
      <w:r w:rsidRPr="00B0152F">
        <w:t xml:space="preserve"> options</w:t>
      </w:r>
      <w:r w:rsidR="00B0152F">
        <w:t>;</w:t>
      </w:r>
      <w:r w:rsidRPr="00B0152F">
        <w:t xml:space="preserve"> the occupations and industries they are considering</w:t>
      </w:r>
      <w:r w:rsidR="00B0152F">
        <w:t>;</w:t>
      </w:r>
      <w:r w:rsidRPr="00B0152F">
        <w:t xml:space="preserve"> the different pathways they can </w:t>
      </w:r>
      <w:r w:rsidR="00CE1042" w:rsidRPr="00B0152F">
        <w:t xml:space="preserve">follow </w:t>
      </w:r>
      <w:r w:rsidRPr="00B0152F">
        <w:t xml:space="preserve">to achieve career </w:t>
      </w:r>
      <w:r w:rsidR="00CE1042" w:rsidRPr="00B0152F">
        <w:t>objectives</w:t>
      </w:r>
      <w:r w:rsidR="00B0152F">
        <w:t>;</w:t>
      </w:r>
      <w:r w:rsidR="00CE1042" w:rsidRPr="00B0152F">
        <w:t xml:space="preserve"> and the </w:t>
      </w:r>
      <w:r w:rsidR="00B0152F">
        <w:t xml:space="preserve">variety of </w:t>
      </w:r>
      <w:r w:rsidR="00BE2A6F">
        <w:t xml:space="preserve">training and employment </w:t>
      </w:r>
      <w:r w:rsidR="00CE1042" w:rsidRPr="00B0152F">
        <w:t xml:space="preserve">pathways </w:t>
      </w:r>
      <w:r w:rsidR="00BE2A6F">
        <w:t>that they can follow with a particular qualification</w:t>
      </w:r>
      <w:r w:rsidR="00CE1042" w:rsidRPr="00B0152F">
        <w:t>.</w:t>
      </w:r>
    </w:p>
    <w:p w14:paraId="53BBA21E" w14:textId="77777777" w:rsidR="003C0D44" w:rsidRPr="003C0D44" w:rsidRDefault="001F463F" w:rsidP="003C0D44">
      <w:pPr>
        <w:pStyle w:val="Heading3"/>
      </w:pPr>
      <w:bookmarkStart w:id="19" w:name="_Toc406065044"/>
      <w:bookmarkStart w:id="20" w:name="_Toc406079701"/>
      <w:r w:rsidRPr="003C0D44">
        <w:t xml:space="preserve">Vocational </w:t>
      </w:r>
      <w:r w:rsidR="00DE1D24" w:rsidRPr="003C0D44">
        <w:t>e</w:t>
      </w:r>
      <w:r w:rsidRPr="003C0D44">
        <w:t xml:space="preserve">ducation and </w:t>
      </w:r>
      <w:r w:rsidR="00DE1D24" w:rsidRPr="003C0D44">
        <w:t>t</w:t>
      </w:r>
      <w:r w:rsidRPr="003C0D44">
        <w:t>raining (VET)</w:t>
      </w:r>
      <w:bookmarkEnd w:id="19"/>
      <w:bookmarkEnd w:id="20"/>
    </w:p>
    <w:p w14:paraId="6BB616DE" w14:textId="307C2BD6" w:rsidR="001F463F" w:rsidRDefault="00147CA4" w:rsidP="001D473B">
      <w:r w:rsidRPr="00147CA4">
        <w:t>Vo</w:t>
      </w:r>
      <w:r w:rsidR="003C0D44">
        <w:t>cational education and training</w:t>
      </w:r>
      <w:r>
        <w:t xml:space="preserve"> </w:t>
      </w:r>
      <w:r w:rsidR="00C86F8E" w:rsidRPr="00B330F7">
        <w:t>enables students to acquire workplace skills through nationally</w:t>
      </w:r>
      <w:r w:rsidR="00DE1D24">
        <w:t xml:space="preserve"> </w:t>
      </w:r>
      <w:r w:rsidR="00C86F8E" w:rsidRPr="00B330F7">
        <w:t>recognised training described within a</w:t>
      </w:r>
      <w:r w:rsidR="00694CDE">
        <w:t>n industry-developed</w:t>
      </w:r>
      <w:r w:rsidR="00C86F8E" w:rsidRPr="00B330F7">
        <w:t xml:space="preserve"> training package or an accredited course</w:t>
      </w:r>
      <w:r w:rsidR="00DE1D24">
        <w:t>.</w:t>
      </w:r>
      <w:r w:rsidR="00EB6159" w:rsidRPr="00795FF4">
        <w:rPr>
          <w:rStyle w:val="FootnoteReference"/>
        </w:rPr>
        <w:footnoteReference w:id="6"/>
      </w:r>
      <w:r w:rsidR="00E02B9C" w:rsidRPr="00795FF4">
        <w:t xml:space="preserve"> </w:t>
      </w:r>
      <w:r w:rsidR="00C86F8E" w:rsidRPr="003A0E5E">
        <w:t>The achievement of a VET qualification signifies</w:t>
      </w:r>
      <w:r w:rsidR="00DE1D24">
        <w:t xml:space="preserve"> that</w:t>
      </w:r>
      <w:r w:rsidR="00C86F8E" w:rsidRPr="003A0E5E">
        <w:t xml:space="preserve"> a student has demonstrated competency against the skills and knowledge required to perform effectively in the workplace</w:t>
      </w:r>
      <w:r w:rsidR="009A2E74">
        <w:t>.</w:t>
      </w:r>
      <w:r w:rsidR="00A2630E">
        <w:t xml:space="preserve"> All VET qualifications must be issued by </w:t>
      </w:r>
      <w:proofErr w:type="spellStart"/>
      <w:r w:rsidR="0017166F">
        <w:t>RTO</w:t>
      </w:r>
      <w:r w:rsidR="00A2630E">
        <w:t>s</w:t>
      </w:r>
      <w:proofErr w:type="spellEnd"/>
      <w:r w:rsidR="00DE1D24">
        <w:t>.</w:t>
      </w:r>
      <w:r w:rsidR="00EB6159">
        <w:rPr>
          <w:rStyle w:val="FootnoteReference"/>
        </w:rPr>
        <w:footnoteReference w:id="7"/>
      </w:r>
    </w:p>
    <w:p w14:paraId="439838CF" w14:textId="77777777" w:rsidR="00E02B9C" w:rsidRDefault="00325175" w:rsidP="001D473B">
      <w:r>
        <w:t xml:space="preserve">Secondary students undertaking VET courses may complete a full VET qualification, or some units of competency from within a qualification. Similarly, </w:t>
      </w:r>
      <w:r w:rsidR="001F463F">
        <w:t xml:space="preserve">students who start a VET qualification may complete it while at school or after they have graduated. </w:t>
      </w:r>
    </w:p>
    <w:p w14:paraId="41C84846" w14:textId="355A00F7" w:rsidR="00A2630E" w:rsidRDefault="001F463F" w:rsidP="001D473B">
      <w:r>
        <w:t>The</w:t>
      </w:r>
      <w:r w:rsidR="00581E67">
        <w:t xml:space="preserve"> </w:t>
      </w:r>
      <w:r w:rsidR="00230DF8">
        <w:t xml:space="preserve">location where </w:t>
      </w:r>
      <w:r>
        <w:t xml:space="preserve">VET </w:t>
      </w:r>
      <w:r w:rsidR="00230DF8">
        <w:t xml:space="preserve">is </w:t>
      </w:r>
      <w:r w:rsidR="00F429FB">
        <w:t xml:space="preserve">delivered </w:t>
      </w:r>
      <w:r w:rsidR="00230DF8">
        <w:t>may vary</w:t>
      </w:r>
      <w:r w:rsidR="00B54FF4" w:rsidRPr="005E577D">
        <w:sym w:font="Symbol" w:char="F02D"/>
      </w:r>
      <w:r w:rsidR="000850D3">
        <w:t>in the</w:t>
      </w:r>
      <w:r>
        <w:t xml:space="preserve"> school, at a</w:t>
      </w:r>
      <w:r w:rsidR="00FB66BF">
        <w:t>n external</w:t>
      </w:r>
      <w:r>
        <w:t xml:space="preserve"> </w:t>
      </w:r>
      <w:proofErr w:type="spellStart"/>
      <w:r w:rsidR="00337CFA">
        <w:t>RTO</w:t>
      </w:r>
      <w:r w:rsidR="00FB66BF">
        <w:t>’s</w:t>
      </w:r>
      <w:proofErr w:type="spellEnd"/>
      <w:r w:rsidR="00FB66BF">
        <w:t xml:space="preserve"> premises</w:t>
      </w:r>
      <w:r w:rsidR="00325175">
        <w:t>,</w:t>
      </w:r>
      <w:r>
        <w:t xml:space="preserve"> in a workplace</w:t>
      </w:r>
      <w:r w:rsidR="00325175">
        <w:t xml:space="preserve"> or even online</w:t>
      </w:r>
      <w:r w:rsidR="00E02B9C">
        <w:t xml:space="preserve">. Regardless of the location of delivery, </w:t>
      </w:r>
      <w:r w:rsidR="00230DF8">
        <w:t>the same quality standards apply.</w:t>
      </w:r>
      <w:r>
        <w:t xml:space="preserve"> </w:t>
      </w:r>
    </w:p>
    <w:p w14:paraId="3B896E8F" w14:textId="59A2F152" w:rsidR="001F463F" w:rsidRDefault="000850D3" w:rsidP="001D473B">
      <w:r>
        <w:lastRenderedPageBreak/>
        <w:t xml:space="preserve">Students </w:t>
      </w:r>
      <w:r w:rsidR="001F463F">
        <w:t xml:space="preserve">may also be able to undertake VET </w:t>
      </w:r>
      <w:r w:rsidR="00325175">
        <w:t>through</w:t>
      </w:r>
      <w:r w:rsidR="001F463F">
        <w:t xml:space="preserve"> a </w:t>
      </w:r>
      <w:r w:rsidR="000C0BB3">
        <w:t>school-based apprenticeship or traineeship</w:t>
      </w:r>
      <w:r w:rsidR="001F463F">
        <w:t>, which enables them to combine school studies; paid work and on-the-job learning with an employer; and structured learning and assessment delivered by a</w:t>
      </w:r>
      <w:r w:rsidR="00337CFA">
        <w:t>n</w:t>
      </w:r>
      <w:r w:rsidR="001F463F">
        <w:t xml:space="preserve"> </w:t>
      </w:r>
      <w:proofErr w:type="spellStart"/>
      <w:r w:rsidR="00337CFA">
        <w:t>RTO</w:t>
      </w:r>
      <w:proofErr w:type="spellEnd"/>
      <w:r w:rsidR="001F463F">
        <w:t>.</w:t>
      </w:r>
    </w:p>
    <w:p w14:paraId="22634894" w14:textId="6966366F" w:rsidR="001F463F" w:rsidRDefault="001F463F" w:rsidP="001D473B">
      <w:r w:rsidRPr="00A6543E">
        <w:rPr>
          <w:b/>
        </w:rPr>
        <w:t>VET</w:t>
      </w:r>
      <w:r>
        <w:t xml:space="preserve"> delivered to secondary students is regulated by the VET sector, and </w:t>
      </w:r>
      <w:r w:rsidR="00A86924">
        <w:t xml:space="preserve">is </w:t>
      </w:r>
      <w:r>
        <w:t>identical to VET</w:t>
      </w:r>
      <w:r w:rsidR="009306B8">
        <w:t xml:space="preserve"> offered in any other context</w:t>
      </w:r>
      <w:r>
        <w:t>.</w:t>
      </w:r>
      <w:r w:rsidR="001D55DD">
        <w:t xml:space="preserve"> This framework therefore uses the term </w:t>
      </w:r>
      <w:r w:rsidR="001D55DD">
        <w:rPr>
          <w:b/>
        </w:rPr>
        <w:t>VET</w:t>
      </w:r>
      <w:r w:rsidR="001D55DD">
        <w:t xml:space="preserve">, avoiding the confusion and quality concerns created by the term VET in Schools, which led </w:t>
      </w:r>
      <w:r w:rsidR="001D55DD">
        <w:lastRenderedPageBreak/>
        <w:t>to perceptions that a different standard applied.</w:t>
      </w:r>
    </w:p>
    <w:p w14:paraId="55E42D6E" w14:textId="4DC9023D" w:rsidR="00460FC5" w:rsidRPr="001D55DD" w:rsidRDefault="00460FC5" w:rsidP="001D473B">
      <w:r>
        <w:t>This will help to address any concerns stakeholders may have around issues such as standards, trainer qualifications, workplace assessment and quality assurance</w:t>
      </w:r>
      <w:r w:rsidR="00DE1D24">
        <w:t>—</w:t>
      </w:r>
      <w:r>
        <w:t>all of which are managed by the VET sector.</w:t>
      </w:r>
    </w:p>
    <w:p w14:paraId="09CFF533" w14:textId="77777777" w:rsidR="00A57724" w:rsidRDefault="007533F3" w:rsidP="00130548">
      <w:pPr>
        <w:sectPr w:rsidR="00A57724" w:rsidSect="00786D8C">
          <w:pgSz w:w="11906" w:h="16838"/>
          <w:pgMar w:top="1388" w:right="1440" w:bottom="1418" w:left="1440" w:header="708" w:footer="709" w:gutter="0"/>
          <w:cols w:num="2" w:space="708"/>
          <w:docGrid w:linePitch="360"/>
        </w:sectPr>
      </w:pPr>
      <w:r>
        <w:t xml:space="preserve">Many secondary students also develop work-related skills through volunteering or part-time employment, complementing the vocational learning </w:t>
      </w:r>
      <w:r w:rsidR="006404DF">
        <w:t xml:space="preserve">and VET </w:t>
      </w:r>
      <w:r>
        <w:t>they participate in at school.</w:t>
      </w:r>
    </w:p>
    <w:p w14:paraId="04DEEDC5" w14:textId="471B5F4B" w:rsidR="003C0D44" w:rsidRPr="003C0D44" w:rsidRDefault="003C0D44" w:rsidP="003C0D44">
      <w:pPr>
        <w:pStyle w:val="Caption"/>
      </w:pPr>
      <w:r w:rsidRPr="003C0D44">
        <w:lastRenderedPageBreak/>
        <w:t>Vocational learning and VET delivered to secondary students</w:t>
      </w:r>
    </w:p>
    <w:p w14:paraId="6C4C2581" w14:textId="4047BBA7" w:rsidR="00147CA4" w:rsidRDefault="00147CA4" w:rsidP="00130548">
      <w:r>
        <w:rPr>
          <w:noProof/>
          <w:lang w:eastAsia="en-AU"/>
        </w:rPr>
        <w:drawing>
          <wp:inline distT="0" distB="0" distL="0" distR="0" wp14:anchorId="364A7AC0" wp14:editId="6253DA6F">
            <wp:extent cx="5229279" cy="1840205"/>
            <wp:effectExtent l="0" t="0" r="0" b="8255"/>
            <wp:docPr id="57" name="Picture 57" descr="Vocational learning contains two elements: &#10;career education and work exploration;&#10;work-related curriculum.&#10;&#10;VET contains two elements:&#10;training packages and accredited courses;&#10;school-based apprenticeships and traineeships.&#10;&#10;Both contain volunteering and part-time work.&#10;&#10;Volunteering and part-time work go across both vocational learning and 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Vocational learning contains two elements: &#10;career education and work exploration;&#10;work-related curriculum.&#10;&#10;VET contains two elements:&#10;training packages and accredited courses;&#10;school-based apprenticeships and traineeships.&#10;&#10;Both contain volunteering and part-time work.&#10;&#10;Volunteering and part-time work go across both vocational learning and VET."/>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29279" cy="1840205"/>
                    </a:xfrm>
                    <a:prstGeom prst="rect">
                      <a:avLst/>
                    </a:prstGeom>
                  </pic:spPr>
                </pic:pic>
              </a:graphicData>
            </a:graphic>
          </wp:inline>
        </w:drawing>
      </w:r>
    </w:p>
    <w:p w14:paraId="10612D18" w14:textId="77777777" w:rsidR="00A57724" w:rsidRDefault="00A57724" w:rsidP="00130548">
      <w:pPr>
        <w:pStyle w:val="Heading3"/>
        <w:sectPr w:rsidR="00A57724" w:rsidSect="00A57724">
          <w:type w:val="continuous"/>
          <w:pgSz w:w="11906" w:h="16838"/>
          <w:pgMar w:top="1388" w:right="1440" w:bottom="1418" w:left="1440" w:header="708" w:footer="709" w:gutter="0"/>
          <w:cols w:space="708"/>
          <w:docGrid w:linePitch="360"/>
        </w:sectPr>
      </w:pPr>
    </w:p>
    <w:p w14:paraId="0133C2F6" w14:textId="77777777" w:rsidR="008040E1" w:rsidRPr="008D011B" w:rsidRDefault="008040E1" w:rsidP="008D011B">
      <w:r>
        <w:lastRenderedPageBreak/>
        <w:br w:type="page"/>
      </w:r>
    </w:p>
    <w:p w14:paraId="4ACE5DBE" w14:textId="30427949" w:rsidR="001F463F" w:rsidRPr="0060695D" w:rsidRDefault="001F463F" w:rsidP="00130548">
      <w:pPr>
        <w:pStyle w:val="Heading3"/>
      </w:pPr>
      <w:bookmarkStart w:id="21" w:name="_Toc406065045"/>
      <w:bookmarkStart w:id="22" w:name="_Toc406079702"/>
      <w:r w:rsidRPr="0060695D">
        <w:lastRenderedPageBreak/>
        <w:t>Purpose</w:t>
      </w:r>
      <w:r>
        <w:t xml:space="preserve"> and expectations</w:t>
      </w:r>
      <w:bookmarkEnd w:id="21"/>
      <w:bookmarkEnd w:id="22"/>
    </w:p>
    <w:p w14:paraId="69EF2BBF" w14:textId="242CEFDB" w:rsidR="001F463F" w:rsidRDefault="00466D0B" w:rsidP="001D473B">
      <w:r>
        <w:t xml:space="preserve">Parents, students, schools and employers need to be able to distinguish between vocational learning and VET. </w:t>
      </w:r>
      <w:r w:rsidR="001F463F">
        <w:t>Clarity about the</w:t>
      </w:r>
      <w:r>
        <w:t>ir</w:t>
      </w:r>
      <w:r w:rsidR="001F463F">
        <w:t xml:space="preserve"> </w:t>
      </w:r>
      <w:r>
        <w:t xml:space="preserve">different </w:t>
      </w:r>
      <w:r w:rsidR="001F463F">
        <w:t>purpose</w:t>
      </w:r>
      <w:r>
        <w:t>s</w:t>
      </w:r>
      <w:r w:rsidR="001F463F">
        <w:t xml:space="preserve"> helps to ensure </w:t>
      </w:r>
      <w:r>
        <w:t xml:space="preserve">common </w:t>
      </w:r>
      <w:r w:rsidR="001F463F" w:rsidRPr="001B55F1">
        <w:t xml:space="preserve">expectations </w:t>
      </w:r>
      <w:r>
        <w:t xml:space="preserve">about </w:t>
      </w:r>
      <w:r w:rsidR="001F463F" w:rsidRPr="001B55F1">
        <w:t xml:space="preserve">what </w:t>
      </w:r>
      <w:r w:rsidR="001F463F">
        <w:t>secondary</w:t>
      </w:r>
      <w:r w:rsidR="001F463F" w:rsidRPr="001B55F1">
        <w:t xml:space="preserve"> students will </w:t>
      </w:r>
      <w:r w:rsidR="001F463F">
        <w:t>experience</w:t>
      </w:r>
      <w:r w:rsidR="001F463F" w:rsidRPr="001B55F1">
        <w:t xml:space="preserve"> </w:t>
      </w:r>
      <w:r w:rsidR="00DE1D24">
        <w:t>through these</w:t>
      </w:r>
      <w:r w:rsidR="001F463F" w:rsidRPr="001B55F1">
        <w:t xml:space="preserve"> </w:t>
      </w:r>
      <w:r w:rsidR="001F463F">
        <w:t>activities, what outcomes they will achieve and</w:t>
      </w:r>
      <w:r w:rsidR="001F463F" w:rsidRPr="001B55F1">
        <w:t xml:space="preserve"> what they will be able to do in the workplace as a result</w:t>
      </w:r>
      <w:r w:rsidR="001F463F">
        <w:t xml:space="preserve">. </w:t>
      </w:r>
    </w:p>
    <w:p w14:paraId="176E238B" w14:textId="2F0459A5" w:rsidR="00521B60" w:rsidRDefault="001F463F" w:rsidP="001D473B">
      <w:r>
        <w:t xml:space="preserve">Schools have a critical role in </w:t>
      </w:r>
      <w:r w:rsidR="00521B60">
        <w:t>ensuring that students, parents and employers understand the exploratory purpose of vocational learning, and the skills acquisition purpose of VET. They need to communicate</w:t>
      </w:r>
      <w:r>
        <w:t xml:space="preserve"> whether particular activities are vocational learning or VET, and what the purpose and expected outcomes are. </w:t>
      </w:r>
    </w:p>
    <w:p w14:paraId="77564736" w14:textId="52BFDEF3" w:rsidR="00551E5D" w:rsidRDefault="00551E5D" w:rsidP="001D473B">
      <w:r>
        <w:t>For example, work experience and structured work placements are different in nature and intent</w:t>
      </w:r>
      <w:r w:rsidR="00DE1D24">
        <w:t>.</w:t>
      </w:r>
      <w:r>
        <w:t xml:space="preserve"> </w:t>
      </w:r>
      <w:r w:rsidR="00DE1D24">
        <w:t>W</w:t>
      </w:r>
      <w:r>
        <w:t>ork experience is part of vocational learning and its purpose is career exploration</w:t>
      </w:r>
      <w:r w:rsidR="00403B7E">
        <w:t>;</w:t>
      </w:r>
      <w:r>
        <w:t xml:space="preserve"> while structured work placements are part of VET and focus on skills acquisition and</w:t>
      </w:r>
      <w:r w:rsidR="00061A6B">
        <w:t xml:space="preserve"> practical</w:t>
      </w:r>
      <w:r>
        <w:t xml:space="preserve"> experience. When schools arrange work experience or structured work placements, they need to ensure that students, parents and employers </w:t>
      </w:r>
      <w:r w:rsidR="006A58AF">
        <w:t>are clear about</w:t>
      </w:r>
      <w:r>
        <w:t xml:space="preserve"> the purpose, the benefits and the expected outcomes.</w:t>
      </w:r>
    </w:p>
    <w:p w14:paraId="688B1711" w14:textId="74C88C71" w:rsidR="008F2024" w:rsidRDefault="00D91946" w:rsidP="001D473B">
      <w:r>
        <w:t xml:space="preserve">Clearly distinguishing between vocational learning and VET </w:t>
      </w:r>
      <w:r w:rsidR="001F463F">
        <w:t>may be a particular challenge with some accredited courses</w:t>
      </w:r>
      <w:r>
        <w:t xml:space="preserve">. </w:t>
      </w:r>
    </w:p>
    <w:p w14:paraId="604CC6E9" w14:textId="3B00DBFD" w:rsidR="006E5817" w:rsidRDefault="00D91946" w:rsidP="001D473B">
      <w:r>
        <w:t>W</w:t>
      </w:r>
      <w:r w:rsidR="001F463F">
        <w:t xml:space="preserve">hile all accredited courses are </w:t>
      </w:r>
      <w:r w:rsidR="00B2127A">
        <w:t xml:space="preserve">nationally recognised </w:t>
      </w:r>
      <w:r w:rsidR="001F463F">
        <w:t>VET qualifications, some are more focused on general work-related learning rather than acquisition of workplace skills</w:t>
      </w:r>
      <w:r w:rsidR="00786144">
        <w:t>.</w:t>
      </w:r>
      <w:r w:rsidR="00996B98">
        <w:rPr>
          <w:rStyle w:val="FootnoteReference"/>
        </w:rPr>
        <w:footnoteReference w:id="8"/>
      </w:r>
      <w:r w:rsidR="00996B98">
        <w:t xml:space="preserve"> In terms of their purpose, the</w:t>
      </w:r>
      <w:r w:rsidR="00786144">
        <w:t>se courses</w:t>
      </w:r>
      <w:r w:rsidR="00996B98">
        <w:t xml:space="preserve"> </w:t>
      </w:r>
      <w:r w:rsidR="001F463F">
        <w:t xml:space="preserve">align more with </w:t>
      </w:r>
      <w:r w:rsidR="00996B98">
        <w:t xml:space="preserve">vocational learning, </w:t>
      </w:r>
      <w:r w:rsidR="000A10F4">
        <w:t>and this</w:t>
      </w:r>
      <w:r w:rsidR="00996B98">
        <w:t xml:space="preserve"> </w:t>
      </w:r>
      <w:r w:rsidR="000A10F4">
        <w:t>has contributed to the perception</w:t>
      </w:r>
      <w:r w:rsidR="00996B98">
        <w:t xml:space="preserve"> </w:t>
      </w:r>
      <w:r w:rsidR="000A10F4">
        <w:t xml:space="preserve">among some employers </w:t>
      </w:r>
      <w:r w:rsidR="00996B98">
        <w:t xml:space="preserve">that </w:t>
      </w:r>
      <w:r w:rsidR="00670434">
        <w:t xml:space="preserve">the </w:t>
      </w:r>
      <w:r w:rsidR="00996B98">
        <w:t xml:space="preserve">VET delivered </w:t>
      </w:r>
      <w:r w:rsidR="00670434">
        <w:t>to secondary students</w:t>
      </w:r>
      <w:r w:rsidR="00996B98">
        <w:t xml:space="preserve"> is a ‘diluted’ form</w:t>
      </w:r>
      <w:r w:rsidR="00670434">
        <w:t xml:space="preserve"> of VET</w:t>
      </w:r>
      <w:r w:rsidR="00996B98">
        <w:t>.</w:t>
      </w:r>
      <w:r w:rsidR="00BB22E9">
        <w:t xml:space="preserve"> </w:t>
      </w:r>
    </w:p>
    <w:p w14:paraId="43F6D9E7" w14:textId="7C77C91C" w:rsidR="001F463F" w:rsidRDefault="00BB22E9" w:rsidP="001D473B">
      <w:r>
        <w:lastRenderedPageBreak/>
        <w:t>Industry has a strong preference that all VET courses draw on training package</w:t>
      </w:r>
      <w:r w:rsidR="002E5F2C">
        <w:t xml:space="preserve"> competencie</w:t>
      </w:r>
      <w:r>
        <w:t>s</w:t>
      </w:r>
      <w:r w:rsidR="002E5F2C">
        <w:t xml:space="preserve"> to provide a clear line of sight to a job</w:t>
      </w:r>
      <w:r>
        <w:t>.</w:t>
      </w:r>
      <w:r w:rsidR="001A1FC8">
        <w:t xml:space="preserve"> </w:t>
      </w:r>
      <w:r w:rsidR="001A1FC8" w:rsidRPr="001A1FC8">
        <w:t>VET based on national training packages directly articulate</w:t>
      </w:r>
      <w:r w:rsidR="001A1FC8">
        <w:t>s</w:t>
      </w:r>
      <w:r w:rsidR="001A1FC8" w:rsidRPr="001A1FC8">
        <w:t xml:space="preserve"> or connect</w:t>
      </w:r>
      <w:r w:rsidR="001A1FC8">
        <w:t>s</w:t>
      </w:r>
      <w:r w:rsidR="001A1FC8" w:rsidRPr="001A1FC8">
        <w:t xml:space="preserve"> to further VET qualifications, whereas most accredited courses </w:t>
      </w:r>
      <w:r w:rsidR="001A1FC8">
        <w:t xml:space="preserve">that are </w:t>
      </w:r>
      <w:r w:rsidR="001A1FC8" w:rsidRPr="001A1FC8">
        <w:t>not based on training packages do not.</w:t>
      </w:r>
    </w:p>
    <w:p w14:paraId="70125359" w14:textId="77777777" w:rsidR="007232E7" w:rsidRDefault="000D40AC" w:rsidP="001D473B">
      <w:r>
        <w:t xml:space="preserve">Schools and employers agree that </w:t>
      </w:r>
      <w:r w:rsidR="00263DB6" w:rsidRPr="00AE4391">
        <w:t xml:space="preserve">the purpose of VET is to </w:t>
      </w:r>
      <w:r>
        <w:t>develop the</w:t>
      </w:r>
      <w:r w:rsidR="00263DB6" w:rsidRPr="00AE4391">
        <w:t xml:space="preserve"> skills </w:t>
      </w:r>
      <w:r>
        <w:t xml:space="preserve">required in the workplace. While this is the main priority </w:t>
      </w:r>
      <w:r w:rsidR="00A73346" w:rsidRPr="00AE4391">
        <w:t>for employers</w:t>
      </w:r>
      <w:r w:rsidR="006404DF" w:rsidRPr="00AE4391">
        <w:t xml:space="preserve">, </w:t>
      </w:r>
      <w:r w:rsidR="007232E7">
        <w:t xml:space="preserve">schools also value VET as a way to improve student engagement by offering a wide range of subject choices and different ways of learning. </w:t>
      </w:r>
    </w:p>
    <w:p w14:paraId="0A1474C5" w14:textId="6246BA2D" w:rsidR="00DF3E82" w:rsidRDefault="007232E7" w:rsidP="001D473B">
      <w:r>
        <w:t xml:space="preserve">Students </w:t>
      </w:r>
      <w:r w:rsidR="000D40AC">
        <w:t xml:space="preserve">may also choose </w:t>
      </w:r>
      <w:r w:rsidR="00716FC6" w:rsidRPr="00AE4391">
        <w:t xml:space="preserve">VET </w:t>
      </w:r>
      <w:r w:rsidR="000D40AC">
        <w:t>as a way of experiencing</w:t>
      </w:r>
      <w:r w:rsidR="00716FC6" w:rsidRPr="00AE4391">
        <w:t xml:space="preserve"> </w:t>
      </w:r>
      <w:r w:rsidR="00263DB6" w:rsidRPr="00AE4391">
        <w:t>an industry</w:t>
      </w:r>
      <w:r w:rsidR="000D40AC">
        <w:t xml:space="preserve"> and deciding</w:t>
      </w:r>
      <w:r w:rsidR="00716FC6" w:rsidRPr="00AE4391">
        <w:t xml:space="preserve"> whether it is right for them. </w:t>
      </w:r>
      <w:r w:rsidR="000D40AC">
        <w:t>This exploration through VET reduces</w:t>
      </w:r>
      <w:r w:rsidR="00716FC6" w:rsidRPr="00AE4391">
        <w:t xml:space="preserve"> </w:t>
      </w:r>
      <w:r w:rsidR="000D40AC">
        <w:t xml:space="preserve">the likelihood of </w:t>
      </w:r>
      <w:r w:rsidR="00716FC6" w:rsidRPr="00AE4391">
        <w:t xml:space="preserve">students </w:t>
      </w:r>
      <w:r w:rsidR="000D40AC">
        <w:t xml:space="preserve">making uninformed choices about </w:t>
      </w:r>
      <w:r w:rsidR="008F6E6E">
        <w:t xml:space="preserve">post-school </w:t>
      </w:r>
      <w:r w:rsidR="000D40AC">
        <w:t>education or employment</w:t>
      </w:r>
      <w:r w:rsidR="00716FC6" w:rsidRPr="00AE4391">
        <w:t xml:space="preserve"> and subsequently drop</w:t>
      </w:r>
      <w:r w:rsidR="000D40AC">
        <w:t>ping</w:t>
      </w:r>
      <w:r w:rsidR="00716FC6" w:rsidRPr="00AE4391">
        <w:t xml:space="preserve"> out. </w:t>
      </w:r>
      <w:r w:rsidR="000D40AC">
        <w:t xml:space="preserve">Students, further education providers and employers all benefit. </w:t>
      </w:r>
    </w:p>
    <w:p w14:paraId="4DD071B9" w14:textId="77777777" w:rsidR="00716FC6" w:rsidRDefault="00716FC6" w:rsidP="001D473B">
      <w:r w:rsidRPr="00AE4391">
        <w:t>For this reason, some school</w:t>
      </w:r>
      <w:r w:rsidR="009A4A31" w:rsidRPr="00AE4391">
        <w:t>s and school</w:t>
      </w:r>
      <w:r w:rsidRPr="00AE4391">
        <w:t xml:space="preserve"> systems </w:t>
      </w:r>
      <w:r w:rsidR="009273ED" w:rsidRPr="00AE4391">
        <w:t xml:space="preserve">require </w:t>
      </w:r>
      <w:r w:rsidRPr="00AE4391">
        <w:t xml:space="preserve">students </w:t>
      </w:r>
      <w:r w:rsidR="009A4A31" w:rsidRPr="00AE4391">
        <w:t>who want</w:t>
      </w:r>
      <w:r w:rsidR="009273ED" w:rsidRPr="00AE4391">
        <w:t xml:space="preserve"> to do </w:t>
      </w:r>
      <w:r w:rsidRPr="00AE4391">
        <w:t xml:space="preserve">VET </w:t>
      </w:r>
      <w:r w:rsidR="009273ED" w:rsidRPr="00AE4391">
        <w:t xml:space="preserve">to first demonstrate an understanding of why they want to do a particular course, and how it will contribute to their career </w:t>
      </w:r>
      <w:r w:rsidR="000D736B" w:rsidRPr="00AE4391">
        <w:t xml:space="preserve">or pathways </w:t>
      </w:r>
      <w:r w:rsidR="009273ED" w:rsidRPr="00AE4391">
        <w:t>plans.</w:t>
      </w:r>
      <w:r w:rsidR="009273ED">
        <w:t xml:space="preserve"> </w:t>
      </w:r>
    </w:p>
    <w:p w14:paraId="50A79CF9" w14:textId="05031FB8" w:rsidR="00EB023D" w:rsidRPr="00AF6183" w:rsidRDefault="00EB023D" w:rsidP="00AF6183">
      <w:pPr>
        <w:pStyle w:val="BoxHeading"/>
      </w:pPr>
      <w:bookmarkStart w:id="23" w:name="_Toc406065046"/>
      <w:bookmarkStart w:id="24" w:name="_Toc406079703"/>
      <w:r w:rsidRPr="00AF6183">
        <w:t>Implications</w:t>
      </w:r>
      <w:bookmarkEnd w:id="23"/>
      <w:bookmarkEnd w:id="24"/>
    </w:p>
    <w:p w14:paraId="493DE355" w14:textId="77777777" w:rsidR="00EB023D" w:rsidRDefault="000301B1" w:rsidP="00AF6183">
      <w:pPr>
        <w:pStyle w:val="BoxBody"/>
      </w:pPr>
      <w:r w:rsidRPr="000657CB">
        <w:rPr>
          <w:rStyle w:val="Componentcross-reference"/>
          <w:rFonts w:asciiTheme="minorHAnsi" w:hAnsiTheme="minorHAnsi" w:cstheme="minorHAnsi"/>
          <w:b/>
        </w:rPr>
        <w:t>Clarity</w:t>
      </w:r>
      <w:r>
        <w:t xml:space="preserve"> </w:t>
      </w:r>
      <w:r w:rsidR="00EB023D">
        <w:t xml:space="preserve">of </w:t>
      </w:r>
      <w:r w:rsidR="00EB023D" w:rsidRPr="00AF6183">
        <w:t>terminology</w:t>
      </w:r>
      <w:r w:rsidR="00EB023D">
        <w:t>, purpose and expectations</w:t>
      </w:r>
      <w:r w:rsidR="00067933">
        <w:t xml:space="preserve"> for vocational learning and VET delivered to secondary students </w:t>
      </w:r>
      <w:r w:rsidR="00EB023D">
        <w:t>requires</w:t>
      </w:r>
      <w:r w:rsidR="00533FD2">
        <w:t xml:space="preserve"> that</w:t>
      </w:r>
      <w:r w:rsidR="00EB023D">
        <w:t>:</w:t>
      </w:r>
    </w:p>
    <w:p w14:paraId="66471CC7" w14:textId="192B55E4" w:rsidR="00533FD2" w:rsidRPr="00533FD2" w:rsidRDefault="00AF6C41" w:rsidP="00AF6183">
      <w:pPr>
        <w:pStyle w:val="Boxbullets"/>
        <w:rPr>
          <w:color w:val="58317F"/>
        </w:rPr>
      </w:pPr>
      <w:r>
        <w:t xml:space="preserve">schools, school systems, employers and </w:t>
      </w:r>
      <w:proofErr w:type="spellStart"/>
      <w:r w:rsidR="00337CFA">
        <w:t>RTOs</w:t>
      </w:r>
      <w:proofErr w:type="spellEnd"/>
      <w:r w:rsidR="00233807">
        <w:t xml:space="preserve"> incorporate </w:t>
      </w:r>
      <w:r w:rsidR="00EB023D">
        <w:t xml:space="preserve">the distinction between vocational learning and </w:t>
      </w:r>
      <w:r w:rsidR="00EB023D" w:rsidRPr="008B59C0">
        <w:t>VET</w:t>
      </w:r>
      <w:r w:rsidR="00233807">
        <w:t xml:space="preserve"> into </w:t>
      </w:r>
      <w:r>
        <w:t>what they do and how they communicate</w:t>
      </w:r>
    </w:p>
    <w:p w14:paraId="5127E385" w14:textId="66DAC4F6" w:rsidR="00F0611E" w:rsidRPr="00533FD2" w:rsidRDefault="00533FD2" w:rsidP="00AF6183">
      <w:pPr>
        <w:pStyle w:val="Boxbullets"/>
        <w:rPr>
          <w:color w:val="58317F"/>
        </w:rPr>
        <w:sectPr w:rsidR="00F0611E" w:rsidRPr="00533FD2" w:rsidSect="00A57724">
          <w:type w:val="continuous"/>
          <w:pgSz w:w="11906" w:h="16838"/>
          <w:pgMar w:top="1388" w:right="1440" w:bottom="1418" w:left="1440" w:header="708" w:footer="709" w:gutter="0"/>
          <w:cols w:num="2" w:space="708"/>
          <w:docGrid w:linePitch="360"/>
        </w:sectPr>
      </w:pPr>
      <w:proofErr w:type="gramStart"/>
      <w:r>
        <w:t>schools</w:t>
      </w:r>
      <w:proofErr w:type="gramEnd"/>
      <w:r>
        <w:t xml:space="preserve">, school systems, employers and </w:t>
      </w:r>
      <w:proofErr w:type="spellStart"/>
      <w:r w:rsidR="00337CFA">
        <w:t>RTOs</w:t>
      </w:r>
      <w:proofErr w:type="spellEnd"/>
      <w:r>
        <w:t xml:space="preserve"> </w:t>
      </w:r>
      <w:r w:rsidR="00D536E0">
        <w:t xml:space="preserve">recognise the different purpose of </w:t>
      </w:r>
      <w:r>
        <w:t>work experience and structured work placements</w:t>
      </w:r>
      <w:r w:rsidR="0089487D">
        <w:t>, and the different outcomes expected from them</w:t>
      </w:r>
      <w:r>
        <w:t>.</w:t>
      </w:r>
    </w:p>
    <w:p w14:paraId="5DDB38F3" w14:textId="77777777" w:rsidR="003D4C12" w:rsidRDefault="00227657" w:rsidP="001D473B">
      <w:pPr>
        <w:pStyle w:val="Heading2"/>
      </w:pPr>
      <w:bookmarkStart w:id="25" w:name="_Toc398568891"/>
      <w:bookmarkStart w:id="26" w:name="_Toc406065047"/>
      <w:bookmarkStart w:id="27" w:name="_Toc406079704"/>
      <w:r>
        <w:rPr>
          <w:noProof/>
          <w:lang w:eastAsia="en-AU"/>
        </w:rPr>
        <w:lastRenderedPageBreak/>
        <w:drawing>
          <wp:anchor distT="0" distB="0" distL="114300" distR="114300" simplePos="0" relativeHeight="251656704" behindDoc="1" locked="0" layoutInCell="1" allowOverlap="1" wp14:anchorId="4EB8C478" wp14:editId="66A1202F">
            <wp:simplePos x="0" y="0"/>
            <wp:positionH relativeFrom="column">
              <wp:posOffset>-141605</wp:posOffset>
            </wp:positionH>
            <wp:positionV relativeFrom="paragraph">
              <wp:posOffset>-662626</wp:posOffset>
            </wp:positionV>
            <wp:extent cx="1554480" cy="1558290"/>
            <wp:effectExtent l="0" t="0" r="7620" b="3810"/>
            <wp:wrapNone/>
            <wp:docPr id="8" name="Picture 8" title="Coloured circle underneath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een circle 1.png"/>
                    <pic:cNvPicPr/>
                  </pic:nvPicPr>
                  <pic:blipFill>
                    <a:blip r:embed="rId32">
                      <a:extLst>
                        <a:ext uri="{28A0092B-C50C-407E-A947-70E740481C1C}">
                          <a14:useLocalDpi xmlns:a14="http://schemas.microsoft.com/office/drawing/2010/main" val="0"/>
                        </a:ext>
                      </a:extLst>
                    </a:blip>
                    <a:stretch>
                      <a:fillRect/>
                    </a:stretch>
                  </pic:blipFill>
                  <pic:spPr>
                    <a:xfrm>
                      <a:off x="0" y="0"/>
                      <a:ext cx="1554480" cy="1558290"/>
                    </a:xfrm>
                    <a:prstGeom prst="rect">
                      <a:avLst/>
                    </a:prstGeom>
                  </pic:spPr>
                </pic:pic>
              </a:graphicData>
            </a:graphic>
            <wp14:sizeRelH relativeFrom="page">
              <wp14:pctWidth>0</wp14:pctWidth>
            </wp14:sizeRelH>
            <wp14:sizeRelV relativeFrom="page">
              <wp14:pctHeight>0</wp14:pctHeight>
            </wp14:sizeRelV>
          </wp:anchor>
        </w:drawing>
      </w:r>
      <w:r w:rsidR="003D4C12" w:rsidRPr="002B1451">
        <w:t>Collaboration</w:t>
      </w:r>
      <w:bookmarkEnd w:id="25"/>
      <w:bookmarkEnd w:id="26"/>
      <w:bookmarkEnd w:id="27"/>
    </w:p>
    <w:p w14:paraId="3E24A316" w14:textId="4FD82E63" w:rsidR="00833E67" w:rsidRDefault="003534D8" w:rsidP="001D473B">
      <w:r>
        <w:t>Effective v</w:t>
      </w:r>
      <w:r w:rsidR="00833E67" w:rsidRPr="0052232F">
        <w:t xml:space="preserve">ocational </w:t>
      </w:r>
      <w:r w:rsidR="003D4C12" w:rsidRPr="0052232F">
        <w:t xml:space="preserve">learning and VET </w:t>
      </w:r>
      <w:r w:rsidR="00833E67">
        <w:t xml:space="preserve">depend on collaboration. </w:t>
      </w:r>
      <w:r w:rsidR="00DE68E9">
        <w:t>Central</w:t>
      </w:r>
      <w:r>
        <w:t xml:space="preserve"> to this is bringing </w:t>
      </w:r>
      <w:r w:rsidR="00833E67">
        <w:t>schools and employers</w:t>
      </w:r>
      <w:r w:rsidR="00E57DBE">
        <w:t xml:space="preserve"> together</w:t>
      </w:r>
      <w:r w:rsidR="003D4C12">
        <w:t>.</w:t>
      </w:r>
    </w:p>
    <w:p w14:paraId="1E91678C" w14:textId="2B459443" w:rsidR="003D4C12" w:rsidRDefault="00CD568B" w:rsidP="001D473B">
      <w:r>
        <w:t xml:space="preserve">School </w:t>
      </w:r>
      <w:r w:rsidR="003D4C12">
        <w:t xml:space="preserve">systems, industry, </w:t>
      </w:r>
      <w:proofErr w:type="spellStart"/>
      <w:r w:rsidR="00FD57CE">
        <w:t>RTO</w:t>
      </w:r>
      <w:r w:rsidR="003D4C12">
        <w:t>s</w:t>
      </w:r>
      <w:proofErr w:type="spellEnd"/>
      <w:r w:rsidR="003D4C12">
        <w:t>, training package developers</w:t>
      </w:r>
      <w:r w:rsidR="00283F27">
        <w:t>, curriculum bodies</w:t>
      </w:r>
      <w:r w:rsidR="003D4C12">
        <w:t xml:space="preserve"> and VET regulators </w:t>
      </w:r>
      <w:r>
        <w:t>also need to collaborate to ensure</w:t>
      </w:r>
      <w:r w:rsidR="003D4C12">
        <w:t xml:space="preserve"> the quality, value and relevance of vocational learning and VET delivered to secondary students. This collaboration needs to occur at all levels, from local to national.</w:t>
      </w:r>
    </w:p>
    <w:p w14:paraId="4B3E368F" w14:textId="77777777" w:rsidR="003D4C12" w:rsidRPr="0029289C" w:rsidRDefault="003D4C12" w:rsidP="001D473B">
      <w:pPr>
        <w:pStyle w:val="Heading3"/>
      </w:pPr>
      <w:bookmarkStart w:id="28" w:name="_Toc406065048"/>
      <w:bookmarkStart w:id="29" w:name="_Toc406079705"/>
      <w:r w:rsidRPr="0029289C">
        <w:t>Collaboration</w:t>
      </w:r>
      <w:r>
        <w:t xml:space="preserve"> at the local level</w:t>
      </w:r>
      <w:bookmarkEnd w:id="28"/>
      <w:bookmarkEnd w:id="29"/>
    </w:p>
    <w:p w14:paraId="2CBFD77A" w14:textId="19A0BB3A" w:rsidR="00833E67" w:rsidRDefault="003D4C12" w:rsidP="001D473B">
      <w:r>
        <w:t xml:space="preserve">Students reap greater benefits from vocational learning </w:t>
      </w:r>
      <w:r w:rsidR="00A93CE9">
        <w:t>program</w:t>
      </w:r>
      <w:r w:rsidR="00BE25A5">
        <w:t xml:space="preserve">s </w:t>
      </w:r>
      <w:r>
        <w:t xml:space="preserve">when </w:t>
      </w:r>
      <w:r w:rsidR="00BE25A5">
        <w:t xml:space="preserve">these are based on </w:t>
      </w:r>
      <w:r>
        <w:t xml:space="preserve">strong collaboration with employers. Contact with employers gives students a real-world insight into what jobs exist (and may exist in the future), what those jobs are like, and what skills and qualifications they require. </w:t>
      </w:r>
    </w:p>
    <w:p w14:paraId="56BA40C1" w14:textId="1B5A2775" w:rsidR="003D4C12" w:rsidRDefault="003D4C12" w:rsidP="001D473B">
      <w:r>
        <w:t>There are many ways to build in contact with employers—</w:t>
      </w:r>
      <w:r w:rsidR="00FD57CE">
        <w:t xml:space="preserve">including </w:t>
      </w:r>
      <w:r>
        <w:t>career expos, workplace visits</w:t>
      </w:r>
      <w:r w:rsidR="00E57DBE">
        <w:t xml:space="preserve"> and</w:t>
      </w:r>
      <w:r w:rsidR="006C397A" w:rsidDel="006C397A">
        <w:t xml:space="preserve"> </w:t>
      </w:r>
      <w:r w:rsidR="001D31B8">
        <w:t xml:space="preserve">practical </w:t>
      </w:r>
      <w:r>
        <w:t>activities such as try-a-trade—</w:t>
      </w:r>
      <w:r w:rsidR="00E57DBE">
        <w:t xml:space="preserve">and </w:t>
      </w:r>
      <w:r>
        <w:t>to draw connections with the workplace within individual lessons. All enhance students</w:t>
      </w:r>
      <w:r w:rsidR="00B2127A">
        <w:t>’</w:t>
      </w:r>
      <w:r>
        <w:t xml:space="preserve"> career exploration and build their understanding of how what they learn at school is relevant to their work </w:t>
      </w:r>
      <w:r w:rsidR="00626818">
        <w:t>beyond</w:t>
      </w:r>
      <w:r>
        <w:t xml:space="preserve"> school. </w:t>
      </w:r>
    </w:p>
    <w:p w14:paraId="4253195C" w14:textId="6CA8724B" w:rsidR="003D4C12" w:rsidRDefault="003D0DCE" w:rsidP="001D473B">
      <w:r>
        <w:t xml:space="preserve">Schools also need to engage actively with parents as they help their children make career decisions. </w:t>
      </w:r>
      <w:proofErr w:type="spellStart"/>
      <w:r w:rsidR="003D4C12">
        <w:t>Parents</w:t>
      </w:r>
      <w:proofErr w:type="spellEnd"/>
      <w:r w:rsidR="003D4C12">
        <w:t xml:space="preserve"> guide their children based on their personal experiences and general understanding of the workplace, </w:t>
      </w:r>
      <w:r w:rsidR="004A5D1B">
        <w:t xml:space="preserve">which may </w:t>
      </w:r>
      <w:r w:rsidR="003D4C12">
        <w:t xml:space="preserve">not </w:t>
      </w:r>
      <w:r w:rsidR="004A5D1B">
        <w:t xml:space="preserve">be </w:t>
      </w:r>
      <w:r w:rsidR="003D4C12">
        <w:t xml:space="preserve">current or comprehensive. Schools need to help </w:t>
      </w:r>
      <w:r w:rsidR="004A5D1B">
        <w:t xml:space="preserve">parents </w:t>
      </w:r>
      <w:r w:rsidR="003D4C12">
        <w:t>update and broaden their knowledge of the range of opportunities available to their children</w:t>
      </w:r>
      <w:r>
        <w:t xml:space="preserve">. This means </w:t>
      </w:r>
      <w:r w:rsidR="004A5D1B">
        <w:t>enga</w:t>
      </w:r>
      <w:r>
        <w:t>ging</w:t>
      </w:r>
      <w:r w:rsidR="004A5D1B">
        <w:t xml:space="preserve"> them as effective partners in career </w:t>
      </w:r>
      <w:r w:rsidR="00891E89">
        <w:t>education</w:t>
      </w:r>
      <w:r w:rsidR="003D4C12">
        <w:t>.</w:t>
      </w:r>
      <w:r w:rsidR="00F720DD">
        <w:t xml:space="preserve"> In particular, </w:t>
      </w:r>
      <w:r>
        <w:t xml:space="preserve">schools </w:t>
      </w:r>
      <w:r w:rsidR="00F720DD">
        <w:t xml:space="preserve">need to give parents </w:t>
      </w:r>
      <w:r w:rsidR="00F720DD" w:rsidRPr="000657CB">
        <w:rPr>
          <w:rStyle w:val="Componentcross-reference"/>
          <w:rFonts w:asciiTheme="minorHAnsi" w:hAnsiTheme="minorHAnsi" w:cstheme="minorHAnsi"/>
          <w:b/>
        </w:rPr>
        <w:t>confidence</w:t>
      </w:r>
      <w:r w:rsidR="00F720DD">
        <w:t xml:space="preserve"> that VET is a valuable option for their children by providing information about what VET is, how it works, the broad range of fields that it covers, and how it can benefit students.</w:t>
      </w:r>
    </w:p>
    <w:p w14:paraId="0900B1D2" w14:textId="41E22C83" w:rsidR="007175B2" w:rsidRDefault="003D4C12" w:rsidP="001D473B">
      <w:r>
        <w:t>Local collaboration</w:t>
      </w:r>
      <w:r w:rsidR="003D0DCE">
        <w:t xml:space="preserve"> with employers</w:t>
      </w:r>
      <w:r>
        <w:t xml:space="preserve"> is also critical for VET. Employer </w:t>
      </w:r>
      <w:r w:rsidR="007175B2">
        <w:t xml:space="preserve">engagement gives </w:t>
      </w:r>
      <w:r w:rsidR="007175B2">
        <w:lastRenderedPageBreak/>
        <w:t xml:space="preserve">schools </w:t>
      </w:r>
      <w:r w:rsidR="007175B2" w:rsidRPr="000657CB">
        <w:rPr>
          <w:rStyle w:val="Componentcross-reference"/>
          <w:rFonts w:asciiTheme="minorHAnsi" w:hAnsiTheme="minorHAnsi" w:cstheme="minorHAnsi"/>
          <w:b/>
        </w:rPr>
        <w:t>confidence</w:t>
      </w:r>
      <w:r w:rsidR="007175B2">
        <w:t xml:space="preserve"> that the qualifications</w:t>
      </w:r>
      <w:r w:rsidR="001F0132">
        <w:t xml:space="preserve"> </w:t>
      </w:r>
      <w:r w:rsidR="00FE49D5">
        <w:t xml:space="preserve">they </w:t>
      </w:r>
      <w:r w:rsidR="003D0DCE">
        <w:t xml:space="preserve">offer </w:t>
      </w:r>
      <w:r w:rsidR="007175B2">
        <w:t xml:space="preserve">will </w:t>
      </w:r>
      <w:r w:rsidRPr="005E55BB">
        <w:t xml:space="preserve">give </w:t>
      </w:r>
      <w:r w:rsidR="001F0132">
        <w:t>their students</w:t>
      </w:r>
      <w:r w:rsidRPr="005E55BB">
        <w:t xml:space="preserve"> </w:t>
      </w:r>
      <w:r w:rsidR="007175B2">
        <w:t xml:space="preserve">the strongest pathways to sustainable employment </w:t>
      </w:r>
      <w:r w:rsidRPr="005E55BB">
        <w:t>in their local community</w:t>
      </w:r>
      <w:r w:rsidR="002A097C">
        <w:t>—</w:t>
      </w:r>
      <w:r w:rsidRPr="005E55BB">
        <w:t>be it a capital city</w:t>
      </w:r>
      <w:r>
        <w:t>, a regional centre</w:t>
      </w:r>
      <w:r w:rsidRPr="005E55BB">
        <w:t xml:space="preserve"> or a remote town</w:t>
      </w:r>
      <w:r w:rsidR="002A097C">
        <w:t>—</w:t>
      </w:r>
      <w:r>
        <w:t xml:space="preserve">while also being </w:t>
      </w:r>
      <w:r w:rsidRPr="005E55BB">
        <w:t>valued by employers</w:t>
      </w:r>
      <w:r>
        <w:t xml:space="preserve"> in other parts of the country</w:t>
      </w:r>
      <w:r w:rsidRPr="005E55BB">
        <w:t>.</w:t>
      </w:r>
      <w:r w:rsidR="007175B2">
        <w:t xml:space="preserve"> </w:t>
      </w:r>
    </w:p>
    <w:p w14:paraId="7AB27F21" w14:textId="11270E63" w:rsidR="009F0BFF" w:rsidRDefault="001F0132" w:rsidP="001D473B">
      <w:r>
        <w:t xml:space="preserve">Collaboration </w:t>
      </w:r>
      <w:r w:rsidR="007175B2">
        <w:t xml:space="preserve">is </w:t>
      </w:r>
      <w:r w:rsidR="00B02CC3">
        <w:t>fundamental</w:t>
      </w:r>
      <w:r w:rsidR="007175B2">
        <w:t xml:space="preserve"> to s</w:t>
      </w:r>
      <w:r w:rsidR="003D4C12">
        <w:t>tructured work placements</w:t>
      </w:r>
      <w:r w:rsidR="007175B2">
        <w:t>, which</w:t>
      </w:r>
      <w:r w:rsidR="003D4C12">
        <w:t xml:space="preserve"> are a central element of many VET courses and highly regarded by employers</w:t>
      </w:r>
      <w:r w:rsidR="00D90357">
        <w:t xml:space="preserve">. </w:t>
      </w:r>
      <w:r w:rsidR="003D4C12">
        <w:t>Th</w:t>
      </w:r>
      <w:r w:rsidR="00D90357">
        <w:t>e placements provide on</w:t>
      </w:r>
      <w:r w:rsidR="00D90357">
        <w:noBreakHyphen/>
        <w:t>the</w:t>
      </w:r>
      <w:r w:rsidR="00D90357">
        <w:noBreakHyphen/>
        <w:t xml:space="preserve">job learning </w:t>
      </w:r>
      <w:r w:rsidR="003D4C12">
        <w:t>in an authentic environment</w:t>
      </w:r>
      <w:r w:rsidR="00D90357">
        <w:t xml:space="preserve"> and ensure that students develop skills to the standard expected by industry. Schools, employers and </w:t>
      </w:r>
      <w:proofErr w:type="spellStart"/>
      <w:r w:rsidR="00337CFA">
        <w:t>RTOs</w:t>
      </w:r>
      <w:proofErr w:type="spellEnd"/>
      <w:r w:rsidR="00D90357">
        <w:t xml:space="preserve"> need to collaborate to ensure that there are sufficient structured work placements for the number of VET stude</w:t>
      </w:r>
      <w:r w:rsidR="007175B2">
        <w:t>nts, and that they are quality</w:t>
      </w:r>
      <w:r w:rsidR="00D90357">
        <w:t xml:space="preserve"> </w:t>
      </w:r>
      <w:r w:rsidR="007175B2">
        <w:t>placements</w:t>
      </w:r>
      <w:r w:rsidR="00D90357">
        <w:t>.</w:t>
      </w:r>
    </w:p>
    <w:p w14:paraId="2CC41DE2" w14:textId="77777777" w:rsidR="00F94BF1" w:rsidRDefault="004D1883" w:rsidP="001D473B">
      <w:r>
        <w:t xml:space="preserve">When </w:t>
      </w:r>
      <w:r w:rsidRPr="000657CB">
        <w:rPr>
          <w:rStyle w:val="Componentcross-reference"/>
          <w:rFonts w:asciiTheme="minorHAnsi" w:hAnsiTheme="minorHAnsi" w:cstheme="minorHAnsi"/>
          <w:b/>
        </w:rPr>
        <w:t xml:space="preserve">core systems </w:t>
      </w:r>
      <w:r>
        <w:t xml:space="preserve">ensure that training packages and units of competency specify work placement requirements, the need for schools and employers to collaborate on </w:t>
      </w:r>
      <w:r w:rsidR="00D90357">
        <w:t>structured work placements</w:t>
      </w:r>
      <w:r>
        <w:t xml:space="preserve"> is clearer.</w:t>
      </w:r>
      <w:r w:rsidR="00D90357">
        <w:t xml:space="preserve"> </w:t>
      </w:r>
      <w:r w:rsidR="00F94BF1">
        <w:t xml:space="preserve">Schooling systems can also choose to make work placements mandatory for VET courses that can be counted towards senior secondary certificates of education, and some have done so. This </w:t>
      </w:r>
      <w:r w:rsidR="006D0AAC">
        <w:t>has</w:t>
      </w:r>
      <w:r w:rsidR="00F94BF1">
        <w:t xml:space="preserve"> resourcing and </w:t>
      </w:r>
      <w:r w:rsidR="006D0AAC">
        <w:t xml:space="preserve">coordination </w:t>
      </w:r>
      <w:r w:rsidR="00F94BF1">
        <w:t>implications for schools</w:t>
      </w:r>
      <w:r w:rsidR="006C397A">
        <w:t xml:space="preserve"> and employers</w:t>
      </w:r>
      <w:r w:rsidR="00F94BF1">
        <w:t>.</w:t>
      </w:r>
    </w:p>
    <w:p w14:paraId="3D696956" w14:textId="77777777" w:rsidR="009079A2" w:rsidRDefault="003D4C12" w:rsidP="001D473B">
      <w:r>
        <w:t xml:space="preserve">Schools, </w:t>
      </w:r>
      <w:proofErr w:type="spellStart"/>
      <w:r w:rsidR="00337CFA">
        <w:t>RTOs</w:t>
      </w:r>
      <w:proofErr w:type="spellEnd"/>
      <w:r>
        <w:t xml:space="preserve"> and employers also need to collaborate on practical issues such as timetabling </w:t>
      </w:r>
      <w:r w:rsidR="006C397A">
        <w:t xml:space="preserve">and flexible delivery </w:t>
      </w:r>
      <w:r>
        <w:t xml:space="preserve">so that students can do the VET they want without missing out on other aspects of their schooling. Collaboration </w:t>
      </w:r>
      <w:r w:rsidR="00F14E8C">
        <w:t xml:space="preserve">with other schools, </w:t>
      </w:r>
      <w:proofErr w:type="spellStart"/>
      <w:r w:rsidR="00337CFA">
        <w:t>RTOs</w:t>
      </w:r>
      <w:proofErr w:type="spellEnd"/>
      <w:r w:rsidR="00F14E8C">
        <w:t xml:space="preserve"> and/or employers </w:t>
      </w:r>
      <w:r>
        <w:t>can increase access to physical infrastructure, skilled people and other resources that may not be available otherwise. Such arrangements can offer students a greater choice of VET courses and exposure to a wider range of training settings.</w:t>
      </w:r>
    </w:p>
    <w:p w14:paraId="261F188B" w14:textId="77777777" w:rsidR="009079A2" w:rsidRDefault="009079A2">
      <w:pPr>
        <w:spacing w:after="200" w:line="276" w:lineRule="auto"/>
      </w:pPr>
      <w:r>
        <w:br w:type="page"/>
      </w:r>
    </w:p>
    <w:p w14:paraId="7BE83888" w14:textId="0FFADDE3" w:rsidR="00E64839" w:rsidRDefault="003D4C12" w:rsidP="001D473B">
      <w:r>
        <w:lastRenderedPageBreak/>
        <w:t xml:space="preserve">Collaboration can and should benefit </w:t>
      </w:r>
      <w:r w:rsidR="00E64839">
        <w:t xml:space="preserve">employers </w:t>
      </w:r>
      <w:r>
        <w:t xml:space="preserve">as well as students. For example, by engaging with secondary students, employers gain an insight into their potential future workforce, promote job opportunities in their industry, and enhance the relevance and quality of training. </w:t>
      </w:r>
    </w:p>
    <w:p w14:paraId="16CDAF1F" w14:textId="37066329" w:rsidR="003D4C12" w:rsidRDefault="003D4C12" w:rsidP="001D473B">
      <w:r>
        <w:t xml:space="preserve">Employers who take on a </w:t>
      </w:r>
      <w:r w:rsidRPr="00034CB4">
        <w:t>school-based apprentice</w:t>
      </w:r>
      <w:r>
        <w:t xml:space="preserve"> </w:t>
      </w:r>
      <w:r w:rsidR="00DD34A4">
        <w:t xml:space="preserve">or trainee </w:t>
      </w:r>
      <w:r>
        <w:t xml:space="preserve">not only gain a part-time worker, but directly influence the skills they obtain. </w:t>
      </w:r>
    </w:p>
    <w:p w14:paraId="6BC3F986" w14:textId="5DF90028" w:rsidR="003D4C12" w:rsidRDefault="003D4C12" w:rsidP="001D473B">
      <w:r>
        <w:t xml:space="preserve">Whether collaboration to support vocational learning and VET delivered to secondary students occurs through informal relationships or formal partnerships, the </w:t>
      </w:r>
      <w:r w:rsidR="002A097C">
        <w:t xml:space="preserve">arrangements </w:t>
      </w:r>
      <w:r>
        <w:t xml:space="preserve">work best when they: </w:t>
      </w:r>
    </w:p>
    <w:p w14:paraId="58486B89" w14:textId="77777777" w:rsidR="003D4C12" w:rsidRDefault="003D4C12" w:rsidP="001D473B">
      <w:pPr>
        <w:pStyle w:val="ListBullet"/>
      </w:pPr>
      <w:r w:rsidRPr="002351B5">
        <w:t>consider</w:t>
      </w:r>
      <w:r>
        <w:t xml:space="preserve"> the needs, aspirations and interests of </w:t>
      </w:r>
      <w:r w:rsidRPr="00856E74">
        <w:rPr>
          <w:rStyle w:val="Emphasis"/>
        </w:rPr>
        <w:t>students</w:t>
      </w:r>
    </w:p>
    <w:p w14:paraId="6D52494C" w14:textId="77777777" w:rsidR="003D4C12" w:rsidRDefault="003D4C12" w:rsidP="001D473B">
      <w:pPr>
        <w:pStyle w:val="ListBullet"/>
      </w:pPr>
      <w:r>
        <w:t xml:space="preserve">are </w:t>
      </w:r>
      <w:r w:rsidRPr="002D3909">
        <w:t xml:space="preserve">built on </w:t>
      </w:r>
      <w:r w:rsidRPr="00856E74">
        <w:rPr>
          <w:rStyle w:val="Emphasis"/>
        </w:rPr>
        <w:t>strong foundations</w:t>
      </w:r>
      <w:r w:rsidRPr="002D3909">
        <w:t xml:space="preserve"> including trust, shared goals, mutual benefit, accountability </w:t>
      </w:r>
      <w:r>
        <w:t>and</w:t>
      </w:r>
      <w:r w:rsidR="00486B09">
        <w:t xml:space="preserve"> </w:t>
      </w:r>
      <w:r w:rsidRPr="002D3909">
        <w:t>evaluation</w:t>
      </w:r>
    </w:p>
    <w:p w14:paraId="08D2E358" w14:textId="77777777" w:rsidR="003D4C12" w:rsidRDefault="003D4C12" w:rsidP="001D473B">
      <w:pPr>
        <w:pStyle w:val="ListBullet"/>
      </w:pPr>
      <w:r w:rsidRPr="002D3909">
        <w:t xml:space="preserve">have </w:t>
      </w:r>
      <w:r w:rsidRPr="00856E74">
        <w:rPr>
          <w:rStyle w:val="Emphasis"/>
        </w:rPr>
        <w:t>commitment</w:t>
      </w:r>
      <w:r w:rsidRPr="002D3909">
        <w:t xml:space="preserve"> and </w:t>
      </w:r>
      <w:r w:rsidRPr="00420D05">
        <w:t>support</w:t>
      </w:r>
      <w:r w:rsidRPr="002D3909">
        <w:t xml:space="preserve"> from</w:t>
      </w:r>
      <w:r>
        <w:t xml:space="preserve"> stakeholders</w:t>
      </w:r>
    </w:p>
    <w:p w14:paraId="1D686ED4" w14:textId="77777777" w:rsidR="003D4C12" w:rsidRDefault="003D4C12" w:rsidP="001D473B">
      <w:pPr>
        <w:pStyle w:val="ListBullet"/>
      </w:pPr>
      <w:r>
        <w:t xml:space="preserve">are based on open lines of </w:t>
      </w:r>
      <w:r w:rsidRPr="00856E74">
        <w:rPr>
          <w:rStyle w:val="Emphasis"/>
        </w:rPr>
        <w:t>communication</w:t>
      </w:r>
      <w:r>
        <w:t xml:space="preserve">, including with </w:t>
      </w:r>
      <w:r w:rsidRPr="002D3909">
        <w:t>students, parents and employers</w:t>
      </w:r>
    </w:p>
    <w:p w14:paraId="4A7075E9" w14:textId="77777777" w:rsidR="003D4C12" w:rsidRPr="002D3909" w:rsidRDefault="003D4C12" w:rsidP="001D473B">
      <w:pPr>
        <w:pStyle w:val="ListBullet"/>
      </w:pPr>
      <w:r w:rsidRPr="00856E74">
        <w:rPr>
          <w:rStyle w:val="Emphasis"/>
        </w:rPr>
        <w:t>connect</w:t>
      </w:r>
      <w:r w:rsidRPr="002D3909">
        <w:t xml:space="preserve"> learning to the workplace</w:t>
      </w:r>
      <w:r>
        <w:t xml:space="preserve"> and </w:t>
      </w:r>
      <w:r w:rsidRPr="002D3909">
        <w:t xml:space="preserve">provide a range of opportunities to </w:t>
      </w:r>
      <w:r w:rsidRPr="00420D05">
        <w:t>engage</w:t>
      </w:r>
      <w:r w:rsidRPr="002D3909">
        <w:t xml:space="preserve"> with the world of </w:t>
      </w:r>
      <w:r w:rsidRPr="00420D05">
        <w:t>work</w:t>
      </w:r>
    </w:p>
    <w:p w14:paraId="57683CA4" w14:textId="77777777" w:rsidR="003D4C12" w:rsidRPr="002D3909" w:rsidRDefault="003D4C12" w:rsidP="001D473B">
      <w:pPr>
        <w:pStyle w:val="ListBullet"/>
      </w:pPr>
      <w:r w:rsidRPr="002D3909">
        <w:t xml:space="preserve">take account of local, regional or national </w:t>
      </w:r>
      <w:r w:rsidRPr="00856E74">
        <w:rPr>
          <w:rStyle w:val="Emphasis"/>
        </w:rPr>
        <w:t>industry needs</w:t>
      </w:r>
    </w:p>
    <w:p w14:paraId="54EB46FA" w14:textId="77777777" w:rsidR="003D4C12" w:rsidRDefault="003D4C12" w:rsidP="001D473B">
      <w:pPr>
        <w:pStyle w:val="ListBullet"/>
      </w:pPr>
      <w:proofErr w:type="gramStart"/>
      <w:r w:rsidRPr="002D3909">
        <w:t>have</w:t>
      </w:r>
      <w:proofErr w:type="gramEnd"/>
      <w:r w:rsidRPr="002D3909">
        <w:t xml:space="preserve"> </w:t>
      </w:r>
      <w:r w:rsidRPr="006A7C18">
        <w:t>sufficient</w:t>
      </w:r>
      <w:r w:rsidRPr="002D3909">
        <w:t xml:space="preserve"> </w:t>
      </w:r>
      <w:r w:rsidRPr="00856E74">
        <w:rPr>
          <w:rStyle w:val="Emphasis"/>
        </w:rPr>
        <w:t>resources</w:t>
      </w:r>
      <w:r>
        <w:t>.</w:t>
      </w:r>
    </w:p>
    <w:p w14:paraId="610ED822" w14:textId="77777777" w:rsidR="003D4C12" w:rsidRDefault="003D4C12" w:rsidP="001D473B">
      <w:pPr>
        <w:pStyle w:val="Heading3"/>
      </w:pPr>
      <w:bookmarkStart w:id="30" w:name="_Toc406065049"/>
      <w:bookmarkStart w:id="31" w:name="_Toc406079706"/>
      <w:r>
        <w:t>Collaboration at state/territory level</w:t>
      </w:r>
      <w:bookmarkEnd w:id="30"/>
      <w:bookmarkEnd w:id="31"/>
      <w:r>
        <w:t xml:space="preserve"> </w:t>
      </w:r>
    </w:p>
    <w:p w14:paraId="11867F19" w14:textId="77777777" w:rsidR="003D4C12" w:rsidRDefault="003D4C12" w:rsidP="001D473B">
      <w:r>
        <w:t>Both vocational learning and VET delivered to secondary students are strengthened when there is collaboration at the state/territory level. Areas for focus include information on education, training and employment opportunities; priority setting for training and workforce development; the articulation between schooling and VET systems; and the interaction between policies, rules and regulations at the state/territory level.</w:t>
      </w:r>
    </w:p>
    <w:p w14:paraId="6FC6A763" w14:textId="19D411F5" w:rsidR="003D4C12" w:rsidRDefault="003D4C12" w:rsidP="001D473B">
      <w:r>
        <w:t>When school systems collaborate with employers</w:t>
      </w:r>
      <w:r w:rsidR="002A097C">
        <w:t xml:space="preserve"> and with</w:t>
      </w:r>
      <w:r>
        <w:t xml:space="preserve"> training and higher education </w:t>
      </w:r>
      <w:r w:rsidR="00942025">
        <w:t xml:space="preserve">providers </w:t>
      </w:r>
      <w:r>
        <w:t xml:space="preserve">on career information </w:t>
      </w:r>
      <w:r>
        <w:lastRenderedPageBreak/>
        <w:t>specific to their state/territory, th</w:t>
      </w:r>
      <w:r w:rsidR="006F343D">
        <w:t>ey maximise the relevance of this</w:t>
      </w:r>
      <w:r>
        <w:t xml:space="preserve"> information</w:t>
      </w:r>
      <w:r w:rsidR="006F343D">
        <w:t xml:space="preserve"> to their students. </w:t>
      </w:r>
      <w:r w:rsidR="00C7448D">
        <w:t xml:space="preserve">Formal or informal mechanisms </w:t>
      </w:r>
      <w:r w:rsidR="002A097C">
        <w:t xml:space="preserve">that </w:t>
      </w:r>
      <w:r w:rsidR="00C7448D">
        <w:t xml:space="preserve">allow industries and employers to </w:t>
      </w:r>
      <w:r w:rsidR="002A097C">
        <w:t>advise</w:t>
      </w:r>
      <w:r w:rsidR="00C7448D">
        <w:t xml:space="preserve"> state and territory authorities</w:t>
      </w:r>
      <w:r w:rsidR="002A097C">
        <w:t xml:space="preserve"> of</w:t>
      </w:r>
      <w:r w:rsidR="00C7448D">
        <w:t xml:space="preserve"> their </w:t>
      </w:r>
      <w:r>
        <w:t>current and future workforce needs help school systems set priorities for public funding of VET courses, as well as informing the content of vocational learning.</w:t>
      </w:r>
      <w:r w:rsidRPr="00E62E40">
        <w:t xml:space="preserve"> </w:t>
      </w:r>
    </w:p>
    <w:p w14:paraId="331081D8" w14:textId="321B95C7" w:rsidR="00C7448D" w:rsidRDefault="00C7448D" w:rsidP="00C7448D">
      <w:r>
        <w:t>Mechanisms also need</w:t>
      </w:r>
      <w:r w:rsidR="00DB4EA6">
        <w:t xml:space="preserve"> to be in place</w:t>
      </w:r>
      <w:r>
        <w:t xml:space="preserve"> to allow stakeholders to agree what VET courses are appropriate for delivery to secondary students. This is particularly important where there </w:t>
      </w:r>
      <w:proofErr w:type="gramStart"/>
      <w:r>
        <w:t>are occupational health</w:t>
      </w:r>
      <w:proofErr w:type="gramEnd"/>
      <w:r>
        <w:t xml:space="preserve"> and safety or age-related issues associated with a particular occupation or industry</w:t>
      </w:r>
      <w:r w:rsidR="00BF6ED6">
        <w:t>;</w:t>
      </w:r>
      <w:r>
        <w:t xml:space="preserve"> where access to necessary equipment may be unavailable to secondary students</w:t>
      </w:r>
      <w:r w:rsidR="00BF6ED6">
        <w:t>; or where the complexity of learning outcomes requires considerable experience in a work environment</w:t>
      </w:r>
      <w:r>
        <w:t xml:space="preserve">. </w:t>
      </w:r>
      <w:r w:rsidR="00A43AF3" w:rsidRPr="00A43AF3">
        <w:t xml:space="preserve">These </w:t>
      </w:r>
      <w:r w:rsidR="00A43AF3">
        <w:t xml:space="preserve">issues </w:t>
      </w:r>
      <w:r w:rsidR="00A43AF3" w:rsidRPr="00A43AF3">
        <w:t xml:space="preserve">are not different from those for VET </w:t>
      </w:r>
      <w:r w:rsidR="00A43AF3">
        <w:t>delivered to other students</w:t>
      </w:r>
      <w:r w:rsidR="00A43AF3" w:rsidRPr="00A43AF3">
        <w:t xml:space="preserve">, but there may be some issues that are </w:t>
      </w:r>
      <w:r w:rsidR="00A43AF3" w:rsidRPr="00375729">
        <w:t xml:space="preserve">more </w:t>
      </w:r>
      <w:r w:rsidR="00B54FF4" w:rsidRPr="00375729">
        <w:t>rele</w:t>
      </w:r>
      <w:r w:rsidR="00A43AF3" w:rsidRPr="00375729">
        <w:t>vant for</w:t>
      </w:r>
      <w:r w:rsidR="00A43AF3" w:rsidRPr="00A43AF3">
        <w:t xml:space="preserve"> </w:t>
      </w:r>
      <w:r w:rsidR="00A43AF3">
        <w:t>VET delivered to secondary students</w:t>
      </w:r>
      <w:r w:rsidR="00A43AF3" w:rsidRPr="00A43AF3">
        <w:t>.</w:t>
      </w:r>
    </w:p>
    <w:p w14:paraId="1B51FF22" w14:textId="35D4C6EC" w:rsidR="00C4070B" w:rsidRDefault="003D4C12" w:rsidP="001D473B">
      <w:r>
        <w:t xml:space="preserve">Schools are not all alike, and nor are employers, students, school systems or </w:t>
      </w:r>
      <w:proofErr w:type="spellStart"/>
      <w:r w:rsidR="00337CFA">
        <w:t>RTOs</w:t>
      </w:r>
      <w:proofErr w:type="spellEnd"/>
      <w:r>
        <w:t>. Collaborative approaches therefore need to take account of the differences within these stakeholder groups.</w:t>
      </w:r>
      <w:r w:rsidR="00486B09">
        <w:t xml:space="preserve"> </w:t>
      </w:r>
    </w:p>
    <w:p w14:paraId="33B56FA7" w14:textId="05C618FB" w:rsidR="003D4C12" w:rsidRPr="00ED23C5" w:rsidRDefault="00BD652A" w:rsidP="001D473B">
      <w:r w:rsidRPr="000657CB">
        <w:rPr>
          <w:rStyle w:val="Componentcross-reference"/>
          <w:rFonts w:asciiTheme="minorHAnsi" w:hAnsiTheme="minorHAnsi" w:cstheme="minorHAnsi"/>
          <w:b/>
        </w:rPr>
        <w:t>Core system</w:t>
      </w:r>
      <w:r>
        <w:t xml:space="preserve"> </w:t>
      </w:r>
      <w:r w:rsidR="00D9430B">
        <w:t xml:space="preserve">policies </w:t>
      </w:r>
      <w:r>
        <w:t>at the state/territory level</w:t>
      </w:r>
      <w:r w:rsidR="00903E9A">
        <w:t>—</w:t>
      </w:r>
      <w:r w:rsidR="00D9430B">
        <w:t xml:space="preserve">such as recognition </w:t>
      </w:r>
      <w:r w:rsidR="00285528">
        <w:t xml:space="preserve">arrangements for </w:t>
      </w:r>
      <w:r w:rsidR="00D9430B">
        <w:t>VET in senior secondary certificates of education</w:t>
      </w:r>
      <w:r w:rsidR="00E22471">
        <w:t>—</w:t>
      </w:r>
      <w:r w:rsidR="003D4C12">
        <w:t xml:space="preserve">interact with </w:t>
      </w:r>
      <w:r w:rsidR="00FB1A71">
        <w:t xml:space="preserve">national </w:t>
      </w:r>
      <w:r w:rsidRPr="00BD652A">
        <w:t>core systems</w:t>
      </w:r>
      <w:r w:rsidR="003D4C12">
        <w:t xml:space="preserve"> </w:t>
      </w:r>
      <w:r w:rsidR="00D9430B">
        <w:t xml:space="preserve">such as </w:t>
      </w:r>
      <w:r w:rsidR="00285528">
        <w:t>VET regulators and</w:t>
      </w:r>
      <w:r w:rsidR="003D4C12">
        <w:t xml:space="preserve"> training package developers. Collaboration at these intersections can identify </w:t>
      </w:r>
      <w:r w:rsidR="00D9430B">
        <w:t xml:space="preserve">areas where increased consistency would be beneficial, and </w:t>
      </w:r>
      <w:r w:rsidR="003D4C12">
        <w:t xml:space="preserve">ways to </w:t>
      </w:r>
      <w:r w:rsidR="00D9430B">
        <w:t xml:space="preserve">achieve this </w:t>
      </w:r>
      <w:r w:rsidR="003D4C12">
        <w:t xml:space="preserve">while </w:t>
      </w:r>
      <w:r w:rsidR="00843F3B">
        <w:t>preserving</w:t>
      </w:r>
      <w:r w:rsidR="003D4C12">
        <w:t xml:space="preserve"> </w:t>
      </w:r>
      <w:r w:rsidR="00D9430B">
        <w:t xml:space="preserve">local </w:t>
      </w:r>
      <w:r w:rsidR="003D4C12">
        <w:t>flexibility</w:t>
      </w:r>
      <w:r w:rsidR="00D9430B">
        <w:t xml:space="preserve">. Collaboration can also </w:t>
      </w:r>
      <w:r w:rsidR="003D4C12">
        <w:t>address any tensions between the different approaches of school systems and the VET system, and improve clarity, value and outcomes for students and employers alike.</w:t>
      </w:r>
    </w:p>
    <w:p w14:paraId="7F85F59E" w14:textId="77777777" w:rsidR="009079A2" w:rsidRDefault="009079A2">
      <w:pPr>
        <w:spacing w:after="200" w:line="276" w:lineRule="auto"/>
        <w:rPr>
          <w:rFonts w:eastAsiaTheme="majorEastAsia" w:cstheme="majorBidi"/>
          <w:b/>
          <w:bCs/>
          <w:color w:val="58317F"/>
          <w:sz w:val="24"/>
        </w:rPr>
      </w:pPr>
      <w:bookmarkStart w:id="32" w:name="_Toc406065050"/>
      <w:r>
        <w:br w:type="page"/>
      </w:r>
    </w:p>
    <w:p w14:paraId="52892B44" w14:textId="3B607C1B" w:rsidR="003D4C12" w:rsidRDefault="00E05C8A" w:rsidP="001D473B">
      <w:pPr>
        <w:pStyle w:val="Heading3"/>
      </w:pPr>
      <w:bookmarkStart w:id="33" w:name="_Toc406079707"/>
      <w:r>
        <w:lastRenderedPageBreak/>
        <w:t xml:space="preserve">Collaboration </w:t>
      </w:r>
      <w:r w:rsidR="003D4C12">
        <w:t>at national level</w:t>
      </w:r>
      <w:bookmarkEnd w:id="32"/>
      <w:bookmarkEnd w:id="33"/>
      <w:r w:rsidR="003D4C12">
        <w:t xml:space="preserve"> </w:t>
      </w:r>
    </w:p>
    <w:p w14:paraId="734DA21F" w14:textId="12781775" w:rsidR="007A2B5D" w:rsidRDefault="00C7448D" w:rsidP="001D473B">
      <w:r>
        <w:t xml:space="preserve">It is essential </w:t>
      </w:r>
      <w:r w:rsidR="003D4C12">
        <w:t>at the national level</w:t>
      </w:r>
      <w:r w:rsidR="00713DED">
        <w:t xml:space="preserve"> to </w:t>
      </w:r>
      <w:r w:rsidR="00713DED" w:rsidRPr="00713DED">
        <w:t>build a shared understanding</w:t>
      </w:r>
      <w:r w:rsidR="00713DED">
        <w:t xml:space="preserve">, take advantage of economies of scale, and address issues </w:t>
      </w:r>
      <w:r w:rsidR="00686F09">
        <w:t xml:space="preserve">that </w:t>
      </w:r>
      <w:r w:rsidR="00713DED">
        <w:t>arise from intersections with national policies and processes.</w:t>
      </w:r>
      <w:r w:rsidR="003D4C12">
        <w:t xml:space="preserve"> </w:t>
      </w:r>
      <w:r w:rsidR="007A2B5D">
        <w:t xml:space="preserve">This needs to include the national </w:t>
      </w:r>
      <w:r w:rsidR="003D4C12">
        <w:t xml:space="preserve">organisations </w:t>
      </w:r>
      <w:r w:rsidR="00686F09">
        <w:t>that</w:t>
      </w:r>
      <w:r w:rsidR="007A2B5D">
        <w:t xml:space="preserve"> make </w:t>
      </w:r>
      <w:r w:rsidR="003D4C12">
        <w:t xml:space="preserve">decisions </w:t>
      </w:r>
      <w:r w:rsidR="00686F09">
        <w:t>affecting</w:t>
      </w:r>
      <w:r w:rsidR="003D4C12">
        <w:t xml:space="preserve"> the local delivery of vocational learning and VET to secondary students</w:t>
      </w:r>
      <w:r w:rsidR="007A2B5D">
        <w:t xml:space="preserve">, such as VET regulators and training package developers. </w:t>
      </w:r>
    </w:p>
    <w:p w14:paraId="045177FA" w14:textId="3AB625A5" w:rsidR="00C4070B" w:rsidRDefault="003D4C12" w:rsidP="001D473B">
      <w:r>
        <w:t>Collaboration underpins the development of training packages and accredited courses, but needs to take account of the differences within stakeholder groups</w:t>
      </w:r>
      <w:r w:rsidR="00C4070B">
        <w:t xml:space="preserve">. VET regulators and training package developers must consult widely with schools, school systems, employers and </w:t>
      </w:r>
      <w:proofErr w:type="spellStart"/>
      <w:r w:rsidR="00337CFA">
        <w:t>RTOs</w:t>
      </w:r>
      <w:proofErr w:type="spellEnd"/>
      <w:r w:rsidR="00C4070B">
        <w:t xml:space="preserve"> to ensure that all voices are heard, and</w:t>
      </w:r>
      <w:r w:rsidR="00686F09">
        <w:t xml:space="preserve"> </w:t>
      </w:r>
      <w:r w:rsidR="00C4070B">
        <w:t xml:space="preserve">differences in potential impact </w:t>
      </w:r>
      <w:r w:rsidR="00686F09">
        <w:t xml:space="preserve">are </w:t>
      </w:r>
      <w:r w:rsidR="00843F3B">
        <w:t>understood</w:t>
      </w:r>
      <w:r w:rsidR="00C4070B">
        <w:t>.</w:t>
      </w:r>
    </w:p>
    <w:p w14:paraId="447456E9" w14:textId="56963BBA" w:rsidR="0077469F" w:rsidRDefault="0077469F" w:rsidP="001D473B">
      <w:r>
        <w:t>National collaboration on developing resources such as the Work Studies curriculum can increase their quality by drawing on a wider range of skills and expertise, as well as reducing costs and increasing access. Collaboration on products to build a shared understanding of vocational learning and VET delivered to secondary students is likely to provide similar benefits.</w:t>
      </w:r>
    </w:p>
    <w:p w14:paraId="3E36FF1D" w14:textId="5C7E45B4" w:rsidR="003D4C12" w:rsidRDefault="003D4C12" w:rsidP="001D473B">
      <w:r>
        <w:t xml:space="preserve">Students and parents often move schools and communities or plan for a future that will take them across </w:t>
      </w:r>
      <w:r w:rsidR="00B0671C">
        <w:t>state borders</w:t>
      </w:r>
      <w:r>
        <w:t xml:space="preserve">. Similarly, many employers are national businesses or operate in a </w:t>
      </w:r>
      <w:r w:rsidR="00B0671C">
        <w:t xml:space="preserve">geographic location that </w:t>
      </w:r>
      <w:r>
        <w:t>cross</w:t>
      </w:r>
      <w:r w:rsidR="00B0671C">
        <w:t xml:space="preserve">es </w:t>
      </w:r>
      <w:r>
        <w:t>border</w:t>
      </w:r>
      <w:r w:rsidR="00B0671C">
        <w:t>s</w:t>
      </w:r>
      <w:r>
        <w:t>. All will notice any inconsistencies</w:t>
      </w:r>
      <w:r w:rsidR="00B0671C">
        <w:t xml:space="preserve"> between states and territories</w:t>
      </w:r>
      <w:r>
        <w:t>, and may be confused or frustrated by them. Collaboration between school systems</w:t>
      </w:r>
      <w:r w:rsidR="001562D4">
        <w:t>, within industries</w:t>
      </w:r>
      <w:r>
        <w:t xml:space="preserve"> and across VET is an important way to address this by facilitating consistency where appropriate while preserving local flexibility</w:t>
      </w:r>
      <w:r w:rsidR="00B0671C">
        <w:t>. Collaboration can also reduce frustration by ensuring</w:t>
      </w:r>
      <w:r>
        <w:t xml:space="preserve"> understanding of the reasons for and benefits of any differences.</w:t>
      </w:r>
    </w:p>
    <w:p w14:paraId="5EE5C689" w14:textId="48B6BCC7" w:rsidR="003D1A59" w:rsidRPr="00631411" w:rsidRDefault="003D1A59" w:rsidP="00AF6183">
      <w:pPr>
        <w:pStyle w:val="BoxHeading"/>
      </w:pPr>
      <w:bookmarkStart w:id="34" w:name="_Toc406065051"/>
      <w:bookmarkStart w:id="35" w:name="_Toc406079708"/>
      <w:r w:rsidRPr="00631411">
        <w:lastRenderedPageBreak/>
        <w:t>Implications</w:t>
      </w:r>
      <w:bookmarkEnd w:id="34"/>
      <w:bookmarkEnd w:id="35"/>
    </w:p>
    <w:p w14:paraId="2FFE6F28" w14:textId="77777777" w:rsidR="003D1A59" w:rsidRPr="008B59C0" w:rsidRDefault="000301B1" w:rsidP="00AF6183">
      <w:pPr>
        <w:pStyle w:val="BoxBody"/>
        <w:rPr>
          <w:color w:val="58317F"/>
        </w:rPr>
      </w:pPr>
      <w:r w:rsidRPr="000657CB">
        <w:rPr>
          <w:rStyle w:val="Componentcross-reference"/>
          <w:rFonts w:asciiTheme="minorHAnsi" w:hAnsiTheme="minorHAnsi" w:cstheme="minorHAnsi"/>
          <w:b/>
        </w:rPr>
        <w:t>Collaboration</w:t>
      </w:r>
      <w:r>
        <w:t xml:space="preserve"> is most effective </w:t>
      </w:r>
      <w:r w:rsidR="0077469F">
        <w:t>in</w:t>
      </w:r>
      <w:r>
        <w:t xml:space="preserve"> supporting v</w:t>
      </w:r>
      <w:r w:rsidR="003D1A59">
        <w:t>ocational learning and VET delivered to secondary students when:</w:t>
      </w:r>
    </w:p>
    <w:p w14:paraId="4EFB0EE6" w14:textId="77777777" w:rsidR="003D1A59" w:rsidRPr="008B59C0" w:rsidRDefault="003D1A59" w:rsidP="00AF6183">
      <w:pPr>
        <w:pStyle w:val="Boxbullets"/>
        <w:rPr>
          <w:color w:val="58317F"/>
        </w:rPr>
      </w:pPr>
      <w:r>
        <w:t>schools create opportunities for student engagement with employers</w:t>
      </w:r>
    </w:p>
    <w:p w14:paraId="10775E55" w14:textId="79827A4D" w:rsidR="003D1A59" w:rsidRDefault="003D1A59" w:rsidP="00AF6183">
      <w:pPr>
        <w:pStyle w:val="Boxbullets"/>
      </w:pPr>
      <w:r>
        <w:t xml:space="preserve">schools, school systems, </w:t>
      </w:r>
      <w:proofErr w:type="spellStart"/>
      <w:r w:rsidR="00337CFA">
        <w:t>RTOs</w:t>
      </w:r>
      <w:proofErr w:type="spellEnd"/>
      <w:r>
        <w:t xml:space="preserve"> and employers </w:t>
      </w:r>
      <w:r w:rsidR="00D536E0">
        <w:t>understand the benefits of collaboratin</w:t>
      </w:r>
      <w:r w:rsidR="00346368">
        <w:t>g</w:t>
      </w:r>
      <w:r w:rsidR="00D536E0">
        <w:t xml:space="preserve"> and seek opportunities to do so</w:t>
      </w:r>
    </w:p>
    <w:p w14:paraId="4E6A8F03" w14:textId="77777777" w:rsidR="003D1A59" w:rsidRDefault="003D1A59" w:rsidP="00AF6183">
      <w:pPr>
        <w:pStyle w:val="Boxbullets"/>
      </w:pPr>
      <w:r>
        <w:t>consultation is an integral part of national, state and territor</w:t>
      </w:r>
      <w:r w:rsidR="0077469F">
        <w:t>y policy development processes</w:t>
      </w:r>
    </w:p>
    <w:p w14:paraId="68FD3F67" w14:textId="77777777" w:rsidR="0077469F" w:rsidRDefault="0077469F" w:rsidP="00AF6183">
      <w:pPr>
        <w:pStyle w:val="Boxbullets"/>
      </w:pPr>
      <w:r>
        <w:t>consultation on changes to the VET system includes schools and school systems</w:t>
      </w:r>
    </w:p>
    <w:p w14:paraId="56764009" w14:textId="77777777" w:rsidR="00F0611E" w:rsidRDefault="003C1933" w:rsidP="00AF6183">
      <w:pPr>
        <w:pStyle w:val="Boxbullets"/>
        <w:sectPr w:rsidR="00F0611E" w:rsidSect="00786D8C">
          <w:headerReference w:type="default" r:id="rId33"/>
          <w:type w:val="continuous"/>
          <w:pgSz w:w="11906" w:h="16838"/>
          <w:pgMar w:top="1397" w:right="1440" w:bottom="1418" w:left="1440" w:header="708" w:footer="709" w:gutter="0"/>
          <w:cols w:num="2" w:space="708"/>
          <w:docGrid w:linePitch="360"/>
        </w:sectPr>
      </w:pPr>
      <w:proofErr w:type="gramStart"/>
      <w:r>
        <w:t>school</w:t>
      </w:r>
      <w:proofErr w:type="gramEnd"/>
      <w:r>
        <w:t xml:space="preserve"> systems, VET regulators, training package developers and other stakeholders </w:t>
      </w:r>
      <w:r w:rsidR="00D536E0">
        <w:t xml:space="preserve">collaborate to resolve issues at </w:t>
      </w:r>
      <w:r w:rsidR="003D1A59">
        <w:t>the</w:t>
      </w:r>
      <w:r w:rsidR="00D536E0">
        <w:t xml:space="preserve"> intersections between policies. </w:t>
      </w:r>
    </w:p>
    <w:p w14:paraId="11838F82" w14:textId="77777777" w:rsidR="00F401F0" w:rsidRPr="00351972" w:rsidRDefault="00227657" w:rsidP="001D473B">
      <w:pPr>
        <w:pStyle w:val="Heading2"/>
      </w:pPr>
      <w:bookmarkStart w:id="36" w:name="_Toc406065052"/>
      <w:bookmarkStart w:id="37" w:name="_Toc406079709"/>
      <w:r>
        <w:rPr>
          <w:noProof/>
          <w:lang w:eastAsia="en-AU"/>
        </w:rPr>
        <w:lastRenderedPageBreak/>
        <w:drawing>
          <wp:anchor distT="0" distB="0" distL="114300" distR="114300" simplePos="0" relativeHeight="251658752" behindDoc="1" locked="0" layoutInCell="1" allowOverlap="1" wp14:anchorId="7D80DB46" wp14:editId="4E5C9D44">
            <wp:simplePos x="0" y="0"/>
            <wp:positionH relativeFrom="column">
              <wp:posOffset>-266700</wp:posOffset>
            </wp:positionH>
            <wp:positionV relativeFrom="paragraph">
              <wp:posOffset>-623570</wp:posOffset>
            </wp:positionV>
            <wp:extent cx="1554480" cy="1558290"/>
            <wp:effectExtent l="0" t="0" r="7620" b="3810"/>
            <wp:wrapNone/>
            <wp:docPr id="9" name="Picture 9" title="Coloured circle underneath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ange circle 1.png"/>
                    <pic:cNvPicPr/>
                  </pic:nvPicPr>
                  <pic:blipFill>
                    <a:blip r:embed="rId34">
                      <a:extLst>
                        <a:ext uri="{28A0092B-C50C-407E-A947-70E740481C1C}">
                          <a14:useLocalDpi xmlns:a14="http://schemas.microsoft.com/office/drawing/2010/main" val="0"/>
                        </a:ext>
                      </a:extLst>
                    </a:blip>
                    <a:stretch>
                      <a:fillRect/>
                    </a:stretch>
                  </pic:blipFill>
                  <pic:spPr>
                    <a:xfrm>
                      <a:off x="0" y="0"/>
                      <a:ext cx="1554480" cy="1558290"/>
                    </a:xfrm>
                    <a:prstGeom prst="rect">
                      <a:avLst/>
                    </a:prstGeom>
                  </pic:spPr>
                </pic:pic>
              </a:graphicData>
            </a:graphic>
            <wp14:sizeRelH relativeFrom="page">
              <wp14:pctWidth>0</wp14:pctWidth>
            </wp14:sizeRelH>
            <wp14:sizeRelV relativeFrom="page">
              <wp14:pctHeight>0</wp14:pctHeight>
            </wp14:sizeRelV>
          </wp:anchor>
        </w:drawing>
      </w:r>
      <w:r w:rsidR="00F401F0">
        <w:t>Confidence</w:t>
      </w:r>
      <w:bookmarkEnd w:id="36"/>
      <w:bookmarkEnd w:id="37"/>
    </w:p>
    <w:p w14:paraId="7F2539D3" w14:textId="1D9AD895" w:rsidR="00904393" w:rsidRDefault="00904393" w:rsidP="00904393">
      <w:r>
        <w:t xml:space="preserve">There are two essential elements required for stakeholders to have confidence in vocational learning and VET: the </w:t>
      </w:r>
      <w:r w:rsidRPr="00904393">
        <w:rPr>
          <w:i/>
        </w:rPr>
        <w:t>quality</w:t>
      </w:r>
      <w:r>
        <w:t xml:space="preserve"> of the </w:t>
      </w:r>
      <w:r w:rsidR="00A93CE9">
        <w:t>program</w:t>
      </w:r>
      <w:r>
        <w:t xml:space="preserve">s offered and the </w:t>
      </w:r>
      <w:r w:rsidRPr="00904393">
        <w:rPr>
          <w:i/>
        </w:rPr>
        <w:t>information</w:t>
      </w:r>
      <w:r>
        <w:t xml:space="preserve"> available to help them understand the purpose and outcomes </w:t>
      </w:r>
      <w:r w:rsidR="004D74A9">
        <w:t xml:space="preserve">of </w:t>
      </w:r>
      <w:r>
        <w:t xml:space="preserve">these </w:t>
      </w:r>
      <w:r w:rsidR="00A93CE9">
        <w:t>program</w:t>
      </w:r>
      <w:r>
        <w:t>s.</w:t>
      </w:r>
    </w:p>
    <w:p w14:paraId="52285E6B" w14:textId="77777777" w:rsidR="002018E4" w:rsidRDefault="00904393" w:rsidP="001D473B">
      <w:r>
        <w:t>When secondary students, parents, schools, training organisations and employers are part of an ‘informed marketplace’, they will be working from a shared understanding and have common expectations.</w:t>
      </w:r>
      <w:r w:rsidR="002018E4">
        <w:t xml:space="preserve"> </w:t>
      </w:r>
    </w:p>
    <w:p w14:paraId="71BB17FE" w14:textId="77777777" w:rsidR="002018E4" w:rsidRPr="00B7116B" w:rsidRDefault="002018E4" w:rsidP="001D473B">
      <w:pPr>
        <w:pStyle w:val="Heading3"/>
      </w:pPr>
      <w:bookmarkStart w:id="38" w:name="_Toc402602718"/>
      <w:bookmarkStart w:id="39" w:name="_Toc406065053"/>
      <w:bookmarkStart w:id="40" w:name="_Toc406079710"/>
      <w:r w:rsidRPr="008D6ABE">
        <w:t>Students</w:t>
      </w:r>
      <w:bookmarkEnd w:id="38"/>
      <w:bookmarkEnd w:id="39"/>
      <w:bookmarkEnd w:id="40"/>
    </w:p>
    <w:p w14:paraId="31946568" w14:textId="4B4510A3" w:rsidR="00904393" w:rsidRDefault="00904393" w:rsidP="001D473B">
      <w:r>
        <w:t>Quality vocational learning enables secondary students to make choices for their future with confidence, based on access to the best information, advice and experiences at the right time for them.</w:t>
      </w:r>
      <w:r w:rsidRPr="00364BEC">
        <w:t xml:space="preserve"> </w:t>
      </w:r>
      <w:r>
        <w:t xml:space="preserve">This involves developing the skills </w:t>
      </w:r>
      <w:r w:rsidR="004D74A9">
        <w:t xml:space="preserve">they need </w:t>
      </w:r>
      <w:r>
        <w:t xml:space="preserve">to manage their careers and to explore options, confident that the pathways they take will lead to the attainment of their goals. </w:t>
      </w:r>
    </w:p>
    <w:p w14:paraId="2503239F" w14:textId="30196C8D" w:rsidR="00E75AB0" w:rsidRDefault="00E75AB0" w:rsidP="001D473B">
      <w:r w:rsidRPr="00E75AB0">
        <w:t xml:space="preserve">Vocational learning is </w:t>
      </w:r>
      <w:r w:rsidR="00BB4F5D">
        <w:t>most effective when it provides</w:t>
      </w:r>
      <w:r w:rsidRPr="00E75AB0">
        <w:t xml:space="preserve"> opportunities for secondary students to have conversations with employers and people who work in industries they are interested in, as well as direct experience in workplaces. These </w:t>
      </w:r>
      <w:r w:rsidR="00346368">
        <w:t xml:space="preserve">activities </w:t>
      </w:r>
      <w:r w:rsidRPr="00E75AB0">
        <w:t>help build the confidence of students that they are on the right track.</w:t>
      </w:r>
    </w:p>
    <w:p w14:paraId="047A4044" w14:textId="3E7F921A" w:rsidR="00843F3B" w:rsidRDefault="00EF29C4" w:rsidP="001D473B">
      <w:r>
        <w:t>To decide whether to undertake VET, s</w:t>
      </w:r>
      <w:r w:rsidR="002018E4">
        <w:t xml:space="preserve">tudents need </w:t>
      </w:r>
      <w:r w:rsidR="002018E4" w:rsidRPr="004A1E14">
        <w:t>information</w:t>
      </w:r>
      <w:r w:rsidR="002018E4">
        <w:t xml:space="preserve"> </w:t>
      </w:r>
      <w:r w:rsidR="002018E4" w:rsidRPr="004A1E14">
        <w:t>about what VET is</w:t>
      </w:r>
      <w:r w:rsidR="00843F3B">
        <w:t>;</w:t>
      </w:r>
      <w:r w:rsidR="002018E4" w:rsidRPr="004A1E14">
        <w:t xml:space="preserve"> how it works</w:t>
      </w:r>
      <w:r w:rsidR="00843F3B">
        <w:t>;</w:t>
      </w:r>
      <w:r w:rsidR="002018E4" w:rsidRPr="004A1E14">
        <w:t xml:space="preserve"> the different ways it can be accessed</w:t>
      </w:r>
      <w:r w:rsidR="00E22471">
        <w:t>,</w:t>
      </w:r>
      <w:r w:rsidR="002018E4" w:rsidRPr="004A1E14">
        <w:t xml:space="preserve"> </w:t>
      </w:r>
      <w:r w:rsidR="007A5172">
        <w:t xml:space="preserve">including </w:t>
      </w:r>
      <w:r w:rsidR="000C0BB3">
        <w:t>school-based apprenticeship</w:t>
      </w:r>
      <w:r w:rsidR="00491C38">
        <w:t>s</w:t>
      </w:r>
      <w:r w:rsidR="000C0BB3">
        <w:t xml:space="preserve"> or traineeship</w:t>
      </w:r>
      <w:r w:rsidR="007A5172">
        <w:t>s</w:t>
      </w:r>
      <w:r w:rsidR="00843F3B">
        <w:t>;</w:t>
      </w:r>
      <w:r w:rsidR="007A5172" w:rsidRPr="004A1E14">
        <w:t xml:space="preserve"> </w:t>
      </w:r>
      <w:r w:rsidR="002018E4" w:rsidRPr="004A1E14">
        <w:t xml:space="preserve">how it </w:t>
      </w:r>
      <w:r w:rsidR="00A4289B">
        <w:t xml:space="preserve">can contribute </w:t>
      </w:r>
      <w:r w:rsidR="002018E4" w:rsidRPr="004A1E14">
        <w:t xml:space="preserve">to </w:t>
      </w:r>
      <w:r w:rsidR="007A5172">
        <w:t>their senior secondary certificate</w:t>
      </w:r>
      <w:r w:rsidR="007A5172" w:rsidRPr="004A1E14">
        <w:t xml:space="preserve"> of education</w:t>
      </w:r>
      <w:r w:rsidR="00843F3B">
        <w:t>;</w:t>
      </w:r>
      <w:r w:rsidR="00065ED8">
        <w:t xml:space="preserve"> and how it can benefit them</w:t>
      </w:r>
      <w:r w:rsidR="002018E4" w:rsidRPr="004A1E14">
        <w:t xml:space="preserve">. </w:t>
      </w:r>
    </w:p>
    <w:p w14:paraId="61001857" w14:textId="1B07CC5E" w:rsidR="00E94ED2" w:rsidRDefault="00E94ED2" w:rsidP="001D473B">
      <w:r>
        <w:t>When choosing between VET options</w:t>
      </w:r>
      <w:r w:rsidR="004D74A9">
        <w:t>,</w:t>
      </w:r>
      <w:r>
        <w:t xml:space="preserve"> students need information about </w:t>
      </w:r>
      <w:r w:rsidRPr="00FA35FE">
        <w:t xml:space="preserve">what jobs </w:t>
      </w:r>
      <w:r>
        <w:t>a particular VET qualification can</w:t>
      </w:r>
      <w:r w:rsidRPr="00FA35FE">
        <w:t xml:space="preserve"> lead</w:t>
      </w:r>
      <w:r>
        <w:t xml:space="preserve"> to; </w:t>
      </w:r>
      <w:r w:rsidRPr="004A1E14">
        <w:t>how widely the qualification is recognised</w:t>
      </w:r>
      <w:r>
        <w:t>;</w:t>
      </w:r>
      <w:r w:rsidRPr="004A1E14">
        <w:t xml:space="preserve"> how it is valued by employers</w:t>
      </w:r>
      <w:r>
        <w:t>;</w:t>
      </w:r>
      <w:r w:rsidRPr="004A1E14">
        <w:t xml:space="preserve"> and any implications for </w:t>
      </w:r>
      <w:r>
        <w:t xml:space="preserve">further </w:t>
      </w:r>
      <w:r w:rsidRPr="004A1E14">
        <w:t>training</w:t>
      </w:r>
      <w:r>
        <w:t>, higher education</w:t>
      </w:r>
      <w:r w:rsidRPr="004A1E14">
        <w:t xml:space="preserve"> and employment</w:t>
      </w:r>
      <w:r>
        <w:t xml:space="preserve">. Such information gives students confidence </w:t>
      </w:r>
      <w:r w:rsidRPr="004A1E14">
        <w:t xml:space="preserve">that the VET </w:t>
      </w:r>
      <w:r>
        <w:t xml:space="preserve">they undertake while at school </w:t>
      </w:r>
      <w:r w:rsidRPr="004A1E14">
        <w:t xml:space="preserve">can provide direct </w:t>
      </w:r>
      <w:r w:rsidRPr="004A1E14">
        <w:lastRenderedPageBreak/>
        <w:t xml:space="preserve">entry to employment or open doors to future study, including further vocational or </w:t>
      </w:r>
      <w:r>
        <w:t>higher education</w:t>
      </w:r>
      <w:r w:rsidRPr="004A1E14">
        <w:t xml:space="preserve"> qualifications. </w:t>
      </w:r>
    </w:p>
    <w:p w14:paraId="5BB29ED1" w14:textId="77777777" w:rsidR="005C6980" w:rsidRDefault="005C6980" w:rsidP="001D473B">
      <w:r>
        <w:t>Students gain confidence in VET as an option when they understand that it</w:t>
      </w:r>
      <w:r w:rsidR="00EF29C4">
        <w:t xml:space="preserve"> is </w:t>
      </w:r>
      <w:r w:rsidR="00BB4F5D">
        <w:t xml:space="preserve">simply </w:t>
      </w:r>
      <w:r w:rsidR="00EF29C4">
        <w:t xml:space="preserve">a </w:t>
      </w:r>
      <w:r w:rsidR="00EF29C4" w:rsidRPr="00BB4F5D">
        <w:rPr>
          <w:i/>
        </w:rPr>
        <w:t>different</w:t>
      </w:r>
      <w:r w:rsidR="00EF29C4">
        <w:t xml:space="preserve"> way of learning</w:t>
      </w:r>
      <w:r>
        <w:t xml:space="preserve">, not an inferior one. By providing </w:t>
      </w:r>
      <w:r w:rsidR="00EF29C4">
        <w:t xml:space="preserve">a different way to apply concepts such as literacy and numeracy, </w:t>
      </w:r>
      <w:r>
        <w:t xml:space="preserve">VET </w:t>
      </w:r>
      <w:r w:rsidR="00EF29C4">
        <w:t xml:space="preserve">can </w:t>
      </w:r>
      <w:r w:rsidR="00A70057">
        <w:t xml:space="preserve">help students connect theory and practice, and </w:t>
      </w:r>
      <w:r w:rsidR="00EF29C4">
        <w:t xml:space="preserve">make education more relevant and meaningful. </w:t>
      </w:r>
    </w:p>
    <w:p w14:paraId="6E839044" w14:textId="77777777" w:rsidR="00EF29C4" w:rsidRDefault="00065ED8" w:rsidP="001D473B">
      <w:r>
        <w:t xml:space="preserve">Students can study VET courses </w:t>
      </w:r>
      <w:r w:rsidR="00EF29C4">
        <w:t xml:space="preserve">alongside core curriculum, </w:t>
      </w:r>
      <w:r>
        <w:t>opening</w:t>
      </w:r>
      <w:r w:rsidR="00EF29C4">
        <w:t xml:space="preserve"> up a wide range of work and education opportunities</w:t>
      </w:r>
      <w:r>
        <w:t xml:space="preserve">. VET qualifications </w:t>
      </w:r>
      <w:r w:rsidR="00EF29C4">
        <w:t xml:space="preserve">provide a </w:t>
      </w:r>
      <w:r w:rsidR="00BE1B3F">
        <w:t>clear</w:t>
      </w:r>
      <w:r w:rsidR="00EF29C4">
        <w:t xml:space="preserve"> line of sight to a job</w:t>
      </w:r>
      <w:r>
        <w:t>, but can also provide entry into higher education</w:t>
      </w:r>
      <w:r w:rsidR="00EF29C4">
        <w:t xml:space="preserve">. Students are more confident in the value of VET when these benefits are </w:t>
      </w:r>
      <w:r w:rsidR="00EA077C">
        <w:t>explained</w:t>
      </w:r>
      <w:r w:rsidR="00EF29C4">
        <w:t xml:space="preserve">. </w:t>
      </w:r>
    </w:p>
    <w:p w14:paraId="48426076" w14:textId="1537F091" w:rsidR="002018E4" w:rsidRDefault="00BC12D6" w:rsidP="001D473B">
      <w:r>
        <w:t>While t</w:t>
      </w:r>
      <w:r w:rsidR="00EA077C">
        <w:t xml:space="preserve">he VET system can be complex, information </w:t>
      </w:r>
      <w:r>
        <w:t xml:space="preserve">about </w:t>
      </w:r>
      <w:r w:rsidR="009610F4">
        <w:t xml:space="preserve">it written for secondary students </w:t>
      </w:r>
      <w:r w:rsidR="002018E4">
        <w:t>needs to be</w:t>
      </w:r>
      <w:r w:rsidR="00EA077C">
        <w:t xml:space="preserve"> </w:t>
      </w:r>
      <w:r>
        <w:t xml:space="preserve">easily understood by students and their </w:t>
      </w:r>
      <w:r w:rsidR="00E64839">
        <w:t>parents</w:t>
      </w:r>
      <w:r>
        <w:t xml:space="preserve">. It needs to be clear, </w:t>
      </w:r>
      <w:r w:rsidR="004D74A9">
        <w:t xml:space="preserve">be </w:t>
      </w:r>
      <w:r w:rsidR="00EA077C">
        <w:t xml:space="preserve">written </w:t>
      </w:r>
      <w:r w:rsidR="002018E4">
        <w:t>from the perspective of the student, and not assume a</w:t>
      </w:r>
      <w:r w:rsidR="00EA077C">
        <w:t xml:space="preserve"> familiarity with</w:t>
      </w:r>
      <w:r w:rsidR="002018E4">
        <w:t xml:space="preserve"> VET terminology or structures.</w:t>
      </w:r>
    </w:p>
    <w:p w14:paraId="357B6E1A" w14:textId="77777777" w:rsidR="002018E4" w:rsidRPr="00B7116B" w:rsidRDefault="002018E4" w:rsidP="001D473B">
      <w:pPr>
        <w:pStyle w:val="Heading3"/>
      </w:pPr>
      <w:bookmarkStart w:id="41" w:name="_Toc402602719"/>
      <w:bookmarkStart w:id="42" w:name="_Toc406065054"/>
      <w:bookmarkStart w:id="43" w:name="_Toc406079711"/>
      <w:r>
        <w:t>Parents</w:t>
      </w:r>
      <w:bookmarkEnd w:id="41"/>
      <w:bookmarkEnd w:id="42"/>
      <w:bookmarkEnd w:id="43"/>
    </w:p>
    <w:p w14:paraId="5B3BB01D" w14:textId="1E14A9EB" w:rsidR="0040766F" w:rsidRDefault="0040766F" w:rsidP="0040766F">
      <w:r w:rsidRPr="009610F4">
        <w:t xml:space="preserve">It is important for schools to provide parents with opportunities to be involved in their child’s vocational learning. Parents need to be confident that if their child pursues a VET pathway it will open up opportunities for sustainable and meaningful employment in a valued occupation and leave the door open for future study in related and </w:t>
      </w:r>
      <w:r w:rsidR="00710CC8">
        <w:t>un</w:t>
      </w:r>
      <w:r w:rsidRPr="009610F4">
        <w:t>related fields</w:t>
      </w:r>
      <w:r>
        <w:t xml:space="preserve">. </w:t>
      </w:r>
    </w:p>
    <w:p w14:paraId="1BE02C1E" w14:textId="100F7555" w:rsidR="00B5380F" w:rsidRDefault="0040766F" w:rsidP="0040766F">
      <w:r>
        <w:t xml:space="preserve">Parents also </w:t>
      </w:r>
      <w:r w:rsidR="00964363">
        <w:t xml:space="preserve">need information on what </w:t>
      </w:r>
      <w:r w:rsidR="002018E4">
        <w:t xml:space="preserve">VET options are available, how these are integrated with other aspects of schooling, and what outcomes to expect from VET </w:t>
      </w:r>
      <w:r w:rsidR="00964363">
        <w:t>delivered</w:t>
      </w:r>
      <w:r w:rsidR="002018E4">
        <w:t xml:space="preserve"> to secondary students.</w:t>
      </w:r>
      <w:r w:rsidR="00964363">
        <w:t xml:space="preserve"> </w:t>
      </w:r>
    </w:p>
    <w:p w14:paraId="02093DBD" w14:textId="0BCF3279" w:rsidR="002018E4" w:rsidRDefault="00964363" w:rsidP="001D473B">
      <w:r>
        <w:t xml:space="preserve">Schools, school systems, </w:t>
      </w:r>
      <w:proofErr w:type="spellStart"/>
      <w:r w:rsidR="00346368">
        <w:t>RTO</w:t>
      </w:r>
      <w:r>
        <w:t>s</w:t>
      </w:r>
      <w:proofErr w:type="spellEnd"/>
      <w:r>
        <w:t>, training package developers and employers can all contribute to developing information that addresses the needs of parents.</w:t>
      </w:r>
      <w:r w:rsidR="00B5380F">
        <w:t xml:space="preserve"> This information needs to be made available to parents before their children begin to make </w:t>
      </w:r>
      <w:r w:rsidR="00B5380F">
        <w:lastRenderedPageBreak/>
        <w:t xml:space="preserve">subject choices that will affect their later options. </w:t>
      </w:r>
    </w:p>
    <w:p w14:paraId="37923009" w14:textId="77777777" w:rsidR="002018E4" w:rsidRPr="0067391F" w:rsidRDefault="002018E4" w:rsidP="001D473B">
      <w:pPr>
        <w:pStyle w:val="Heading3"/>
      </w:pPr>
      <w:bookmarkStart w:id="44" w:name="_Toc402602720"/>
      <w:bookmarkStart w:id="45" w:name="_Toc406065055"/>
      <w:bookmarkStart w:id="46" w:name="_Toc406079712"/>
      <w:r w:rsidRPr="0067391F">
        <w:t>Schools</w:t>
      </w:r>
      <w:bookmarkEnd w:id="44"/>
      <w:bookmarkEnd w:id="45"/>
      <w:bookmarkEnd w:id="46"/>
    </w:p>
    <w:p w14:paraId="7E49A1D5" w14:textId="46C5FB99" w:rsidR="002018E4" w:rsidRDefault="006F343D" w:rsidP="001D473B">
      <w:r>
        <w:t xml:space="preserve">Schools need to be confident that they </w:t>
      </w:r>
      <w:r w:rsidR="003D5EA0">
        <w:t>are providing</w:t>
      </w:r>
      <w:r>
        <w:t xml:space="preserve"> students </w:t>
      </w:r>
      <w:r w:rsidR="003D5EA0">
        <w:t xml:space="preserve">with </w:t>
      </w:r>
      <w:r>
        <w:t xml:space="preserve">comprehensive, accurate and impartial </w:t>
      </w:r>
      <w:r w:rsidR="0036405F">
        <w:t>information</w:t>
      </w:r>
      <w:r>
        <w:t xml:space="preserve"> on occupations, qualification requirements, education and training pathways, and labour market trends. This confidence is increased when the information </w:t>
      </w:r>
      <w:r w:rsidR="00B5380F">
        <w:t>is</w:t>
      </w:r>
      <w:r>
        <w:t xml:space="preserve"> developed in collabo</w:t>
      </w:r>
      <w:r w:rsidRPr="006F343D">
        <w:t xml:space="preserve">ration with </w:t>
      </w:r>
      <w:r w:rsidR="002018E4" w:rsidRPr="006F343D">
        <w:t xml:space="preserve">employers and training </w:t>
      </w:r>
      <w:r w:rsidR="00B5380F">
        <w:t xml:space="preserve">and higher education </w:t>
      </w:r>
      <w:r w:rsidR="002018E4" w:rsidRPr="006F343D">
        <w:t>providers</w:t>
      </w:r>
      <w:r w:rsidR="002018E4">
        <w:t xml:space="preserve"> </w:t>
      </w:r>
      <w:r>
        <w:t>and is regularly updated.</w:t>
      </w:r>
    </w:p>
    <w:p w14:paraId="69D2740B" w14:textId="488F7196" w:rsidR="002018E4" w:rsidRPr="004A1E14" w:rsidRDefault="001D0E40" w:rsidP="001D473B">
      <w:r>
        <w:t xml:space="preserve">Schools also need to be confident that their teachers and career advisers </w:t>
      </w:r>
      <w:r w:rsidR="0080116B">
        <w:t xml:space="preserve">are able to link learning content to the workplace and give sound career advice based on </w:t>
      </w:r>
      <w:r>
        <w:t>a good understanding of contemporary work</w:t>
      </w:r>
      <w:r w:rsidR="0080116B">
        <w:t xml:space="preserve">places and </w:t>
      </w:r>
      <w:r>
        <w:t>practices</w:t>
      </w:r>
      <w:r w:rsidR="0080116B">
        <w:t>. This understanding</w:t>
      </w:r>
      <w:r>
        <w:t xml:space="preserve"> can be fostered through professional development activities such as industry placements</w:t>
      </w:r>
      <w:r w:rsidR="008910CD">
        <w:t>, studies in career development and the delivery and assessment of VET</w:t>
      </w:r>
      <w:r>
        <w:t>, as well as engagement with employers.</w:t>
      </w:r>
      <w:r w:rsidR="002018E4">
        <w:t xml:space="preserve"> </w:t>
      </w:r>
    </w:p>
    <w:p w14:paraId="49BABA03" w14:textId="4589EC40" w:rsidR="002A5C9D" w:rsidRDefault="00BE2F2A" w:rsidP="001D473B">
      <w:r>
        <w:t xml:space="preserve">Schools have a complex task in planning </w:t>
      </w:r>
      <w:r w:rsidR="0043717F">
        <w:t>what VET courses to make available to students</w:t>
      </w:r>
      <w:r w:rsidR="00D526A3">
        <w:t>. The</w:t>
      </w:r>
      <w:r w:rsidR="00235A8E">
        <w:t xml:space="preserve">y </w:t>
      </w:r>
      <w:r>
        <w:t xml:space="preserve">have to take many factors into account including the interests and aspirations of their students, the expectations of their community, their access to qualified trainers and to infrastructure, the availability of work placements, and the cost of delivery. </w:t>
      </w:r>
    </w:p>
    <w:p w14:paraId="1B7EF423" w14:textId="2697772D" w:rsidR="002A5C9D" w:rsidRDefault="00BE2F2A" w:rsidP="001D473B">
      <w:r>
        <w:t xml:space="preserve">To have </w:t>
      </w:r>
      <w:r w:rsidR="002018E4">
        <w:t xml:space="preserve">confidence </w:t>
      </w:r>
      <w:r w:rsidR="002A5C9D">
        <w:t xml:space="preserve">in </w:t>
      </w:r>
      <w:r w:rsidR="0043717F">
        <w:t xml:space="preserve">the </w:t>
      </w:r>
      <w:r w:rsidR="002018E4">
        <w:t xml:space="preserve">VET courses </w:t>
      </w:r>
      <w:r w:rsidR="0043717F">
        <w:t xml:space="preserve">they </w:t>
      </w:r>
      <w:r w:rsidR="00235A8E">
        <w:t>offer</w:t>
      </w:r>
      <w:r>
        <w:t xml:space="preserve">, schools need </w:t>
      </w:r>
      <w:r w:rsidR="0043717F">
        <w:t xml:space="preserve">information from school systems and employers on the industries and occupations that are in demand in their community, </w:t>
      </w:r>
      <w:r w:rsidR="00D526A3">
        <w:t xml:space="preserve">in </w:t>
      </w:r>
      <w:r w:rsidR="0043717F">
        <w:t>their state and nationally</w:t>
      </w:r>
      <w:r w:rsidR="002A5C9D">
        <w:t xml:space="preserve">. They must also understand </w:t>
      </w:r>
      <w:r w:rsidR="0043717F">
        <w:t>the skills that employers value</w:t>
      </w:r>
      <w:r w:rsidR="00EB5A1A">
        <w:t xml:space="preserve">, </w:t>
      </w:r>
      <w:r w:rsidR="00EB5A1A" w:rsidRPr="00EB5A1A">
        <w:t xml:space="preserve">and that </w:t>
      </w:r>
      <w:r w:rsidR="00BB4F5D">
        <w:t>if they offer</w:t>
      </w:r>
      <w:r w:rsidR="00EB5A1A">
        <w:t xml:space="preserve"> </w:t>
      </w:r>
      <w:r w:rsidR="00EB5A1A" w:rsidRPr="00EB5A1A">
        <w:t>accredited courses</w:t>
      </w:r>
      <w:r w:rsidR="00EB5A1A">
        <w:t xml:space="preserve">, employers most value </w:t>
      </w:r>
      <w:r w:rsidR="00A31A07">
        <w:t>courses</w:t>
      </w:r>
      <w:r w:rsidR="00EB5A1A" w:rsidRPr="00EB5A1A">
        <w:t xml:space="preserve"> based on national training packages.</w:t>
      </w:r>
    </w:p>
    <w:p w14:paraId="70689D88" w14:textId="4EBA7A3F" w:rsidR="0043717F" w:rsidRDefault="002A5C9D" w:rsidP="001D473B">
      <w:r w:rsidRPr="000657CB">
        <w:rPr>
          <w:rStyle w:val="Componentcross-reference"/>
          <w:rFonts w:asciiTheme="minorHAnsi" w:hAnsiTheme="minorHAnsi" w:cstheme="minorHAnsi"/>
          <w:b/>
        </w:rPr>
        <w:t xml:space="preserve">Core </w:t>
      </w:r>
      <w:r w:rsidR="0043717F" w:rsidRPr="000657CB">
        <w:rPr>
          <w:rStyle w:val="Componentcross-reference"/>
          <w:rFonts w:asciiTheme="minorHAnsi" w:hAnsiTheme="minorHAnsi" w:cstheme="minorHAnsi"/>
          <w:b/>
        </w:rPr>
        <w:t>systems</w:t>
      </w:r>
      <w:r w:rsidR="0043717F">
        <w:t xml:space="preserve"> </w:t>
      </w:r>
      <w:r>
        <w:t xml:space="preserve">must </w:t>
      </w:r>
      <w:r w:rsidR="0043717F">
        <w:t xml:space="preserve">provide advice on the different ways that </w:t>
      </w:r>
      <w:r>
        <w:t>schools</w:t>
      </w:r>
      <w:r w:rsidR="0043717F">
        <w:t xml:space="preserve"> can make VET available to their students</w:t>
      </w:r>
      <w:r w:rsidR="00B0187E">
        <w:t xml:space="preserve">; how to assess the quality of external </w:t>
      </w:r>
      <w:proofErr w:type="spellStart"/>
      <w:r w:rsidR="00337CFA">
        <w:t>RTO</w:t>
      </w:r>
      <w:r w:rsidR="00B0187E">
        <w:t>s</w:t>
      </w:r>
      <w:proofErr w:type="spellEnd"/>
      <w:r w:rsidR="00B0187E">
        <w:t xml:space="preserve">; </w:t>
      </w:r>
      <w:r w:rsidR="00BE2F2A">
        <w:t xml:space="preserve">and the appropriateness of </w:t>
      </w:r>
      <w:r w:rsidR="00B0187E">
        <w:t>individual</w:t>
      </w:r>
      <w:r w:rsidR="00BE2F2A">
        <w:t xml:space="preserve"> VET courses for delivery to secondary students.</w:t>
      </w:r>
    </w:p>
    <w:p w14:paraId="78705ACC" w14:textId="5320302C" w:rsidR="002018E4" w:rsidRDefault="00BE2F2A" w:rsidP="001D473B">
      <w:r>
        <w:lastRenderedPageBreak/>
        <w:t>A crucial factor for s</w:t>
      </w:r>
      <w:r w:rsidR="002018E4" w:rsidRPr="004D6A6F">
        <w:t xml:space="preserve">chools </w:t>
      </w:r>
      <w:r>
        <w:t xml:space="preserve">is whether employers will </w:t>
      </w:r>
      <w:r w:rsidRPr="00BE2F2A">
        <w:t>engage in the vocational learning and VET</w:t>
      </w:r>
      <w:r>
        <w:t xml:space="preserve"> they </w:t>
      </w:r>
      <w:r w:rsidR="001B4597">
        <w:t xml:space="preserve">wish to </w:t>
      </w:r>
      <w:r>
        <w:t xml:space="preserve">offer. </w:t>
      </w:r>
      <w:r w:rsidR="00ED1A13" w:rsidRPr="004D6A6F">
        <w:t xml:space="preserve">Employers </w:t>
      </w:r>
      <w:r w:rsidR="00ED1A13">
        <w:t>can significant</w:t>
      </w:r>
      <w:r w:rsidR="001B4597">
        <w:t>ly increase the relevance and quality</w:t>
      </w:r>
      <w:r w:rsidR="00ED1A13">
        <w:t xml:space="preserve"> </w:t>
      </w:r>
      <w:r w:rsidR="001B4597">
        <w:t xml:space="preserve">of these </w:t>
      </w:r>
      <w:r w:rsidR="00ED1A13">
        <w:t xml:space="preserve">by </w:t>
      </w:r>
      <w:r w:rsidR="002018E4" w:rsidRPr="004D6A6F">
        <w:t>p</w:t>
      </w:r>
      <w:r w:rsidR="00ED1A13">
        <w:t xml:space="preserve">articipating in </w:t>
      </w:r>
      <w:r w:rsidR="002018E4" w:rsidRPr="004D6A6F">
        <w:t>design and delivery</w:t>
      </w:r>
      <w:r w:rsidR="00ED1A13">
        <w:t>, providing</w:t>
      </w:r>
      <w:r w:rsidR="002018E4" w:rsidRPr="004D6A6F">
        <w:t xml:space="preserve"> </w:t>
      </w:r>
      <w:r w:rsidR="001B4597">
        <w:t xml:space="preserve">local </w:t>
      </w:r>
      <w:r w:rsidR="00ED1A13">
        <w:t>information, and</w:t>
      </w:r>
      <w:r w:rsidR="002018E4">
        <w:t xml:space="preserve"> </w:t>
      </w:r>
      <w:r w:rsidR="00ED1A13">
        <w:t xml:space="preserve">making </w:t>
      </w:r>
      <w:r w:rsidR="002018E4" w:rsidRPr="004D6A6F">
        <w:t>facilities</w:t>
      </w:r>
      <w:r w:rsidR="00ED1A13">
        <w:t xml:space="preserve"> and equipment available. Most critical, however, is their willingness to directly engage with students</w:t>
      </w:r>
      <w:r w:rsidR="00F83176" w:rsidRPr="00ED1A13">
        <w:t>, particularly to provide sufficient workplace experience opportunities and structured work placements.</w:t>
      </w:r>
    </w:p>
    <w:p w14:paraId="09582FA3" w14:textId="14E4E679" w:rsidR="002444A3" w:rsidRDefault="00BE2F2A" w:rsidP="001D473B">
      <w:bookmarkStart w:id="47" w:name="_Toc402602721"/>
      <w:r w:rsidRPr="000657CB">
        <w:rPr>
          <w:rStyle w:val="Componentcross-reference"/>
          <w:rFonts w:asciiTheme="minorHAnsi" w:hAnsiTheme="minorHAnsi" w:cstheme="minorHAnsi"/>
          <w:b/>
        </w:rPr>
        <w:t>Core systems</w:t>
      </w:r>
      <w:r>
        <w:t xml:space="preserve"> also need to ensure that schools understand any potentially negative consequences for students of obtaining VET qualifications</w:t>
      </w:r>
      <w:r w:rsidR="00AD21BF">
        <w:t xml:space="preserve">. </w:t>
      </w:r>
      <w:r w:rsidR="002444A3">
        <w:t>For example, some certificate</w:t>
      </w:r>
      <w:r w:rsidR="000E03DE">
        <w:t>-</w:t>
      </w:r>
      <w:r w:rsidR="002444A3">
        <w:t xml:space="preserve">level qualifications may affect a young person’s ability to access a subsidised place for post-school training in a different field. </w:t>
      </w:r>
    </w:p>
    <w:p w14:paraId="17282682" w14:textId="2C6A654F" w:rsidR="00BE2F2A" w:rsidRDefault="002444A3" w:rsidP="001D473B">
      <w:r>
        <w:t xml:space="preserve">These issues must be factored into school decisions about </w:t>
      </w:r>
      <w:r w:rsidR="00BB4F5D">
        <w:t>which</w:t>
      </w:r>
      <w:r>
        <w:t xml:space="preserve"> VET courses to offer. Information about them must also be built into the advice that schools provide to secondary students and parents.</w:t>
      </w:r>
    </w:p>
    <w:p w14:paraId="7A59F5BB" w14:textId="77777777" w:rsidR="002018E4" w:rsidRPr="00B7116B" w:rsidRDefault="002018E4" w:rsidP="001D473B">
      <w:pPr>
        <w:pStyle w:val="Heading3"/>
      </w:pPr>
      <w:bookmarkStart w:id="48" w:name="_Toc406065056"/>
      <w:bookmarkStart w:id="49" w:name="_Toc406079713"/>
      <w:r>
        <w:t>Employers</w:t>
      </w:r>
      <w:bookmarkEnd w:id="47"/>
      <w:bookmarkEnd w:id="48"/>
      <w:bookmarkEnd w:id="49"/>
      <w:r>
        <w:t xml:space="preserve"> </w:t>
      </w:r>
    </w:p>
    <w:p w14:paraId="68350316" w14:textId="77777777" w:rsidR="00FF45A5" w:rsidRDefault="002018E4" w:rsidP="001D473B">
      <w:r>
        <w:t xml:space="preserve">Employers need to be confident that </w:t>
      </w:r>
      <w:r w:rsidR="00BB4F5D">
        <w:t>schools have prepared young people to be skilled and capable workers</w:t>
      </w:r>
      <w:r w:rsidR="008D03EB" w:rsidRPr="008D03EB">
        <w:t>.</w:t>
      </w:r>
      <w:r w:rsidR="008D03EB">
        <w:t xml:space="preserve"> This confidence </w:t>
      </w:r>
      <w:r w:rsidR="001351B4">
        <w:t xml:space="preserve">is increased when </w:t>
      </w:r>
      <w:r w:rsidRPr="009021D7">
        <w:t xml:space="preserve">students </w:t>
      </w:r>
      <w:r w:rsidR="001351B4">
        <w:t xml:space="preserve">demonstrate that they </w:t>
      </w:r>
      <w:r>
        <w:t xml:space="preserve">have </w:t>
      </w:r>
      <w:r w:rsidR="001351B4">
        <w:t>chosen an occupation</w:t>
      </w:r>
      <w:r>
        <w:t xml:space="preserve"> based on career exploration</w:t>
      </w:r>
      <w:r w:rsidR="001351B4">
        <w:t xml:space="preserve"> and </w:t>
      </w:r>
      <w:r>
        <w:t xml:space="preserve">a sound understanding of the workplace </w:t>
      </w:r>
      <w:r w:rsidR="001351B4">
        <w:t xml:space="preserve">and are prepared </w:t>
      </w:r>
      <w:r>
        <w:t xml:space="preserve">to adapt to the employer’s specific needs. </w:t>
      </w:r>
    </w:p>
    <w:p w14:paraId="2F1EBDEE" w14:textId="77777777" w:rsidR="009079A2" w:rsidRDefault="00FF45A5" w:rsidP="001D473B">
      <w:r>
        <w:t xml:space="preserve">Employer confidence </w:t>
      </w:r>
      <w:r w:rsidR="001351B4">
        <w:t xml:space="preserve">is also increased when </w:t>
      </w:r>
      <w:r>
        <w:t xml:space="preserve">they are </w:t>
      </w:r>
      <w:r w:rsidR="001351B4">
        <w:t xml:space="preserve">directly </w:t>
      </w:r>
      <w:r>
        <w:t xml:space="preserve">involved in </w:t>
      </w:r>
      <w:r w:rsidR="001351B4">
        <w:t>vocational learning</w:t>
      </w:r>
      <w:r>
        <w:t>. This may be by</w:t>
      </w:r>
      <w:r w:rsidR="001351B4">
        <w:t xml:space="preserve"> providing </w:t>
      </w:r>
      <w:r>
        <w:t xml:space="preserve">input to career information, </w:t>
      </w:r>
      <w:r w:rsidR="0042057F">
        <w:t xml:space="preserve">helping </w:t>
      </w:r>
      <w:r>
        <w:t>schools identify local skills needs, or engaging with students in career exploration activiti</w:t>
      </w:r>
      <w:r w:rsidR="009079A2">
        <w:t>es and work-related curriculum.</w:t>
      </w:r>
    </w:p>
    <w:p w14:paraId="612449DA" w14:textId="77777777" w:rsidR="009079A2" w:rsidRDefault="009079A2">
      <w:pPr>
        <w:spacing w:after="200" w:line="276" w:lineRule="auto"/>
      </w:pPr>
      <w:r>
        <w:br w:type="page"/>
      </w:r>
    </w:p>
    <w:p w14:paraId="0D018822" w14:textId="49692103" w:rsidR="0016287E" w:rsidRDefault="0016287E" w:rsidP="001D473B">
      <w:r>
        <w:lastRenderedPageBreak/>
        <w:t xml:space="preserve">To be confident about providing work experience or structured work placements, </w:t>
      </w:r>
      <w:r w:rsidR="0042057F">
        <w:t>employers</w:t>
      </w:r>
      <w:r>
        <w:t xml:space="preserve"> need information about the purpose of each, the different expectations in terms of activities and outcomes, any regulatory requirements, and how to make the work experience or placement successful for both student and employer.</w:t>
      </w:r>
    </w:p>
    <w:p w14:paraId="0ED0363A" w14:textId="0664E3AE" w:rsidR="00260794" w:rsidRDefault="00CB7C79" w:rsidP="001D473B">
      <w:r>
        <w:t xml:space="preserve">Employer confidence is increased when the outcomes of vocational learning and VET reflect their </w:t>
      </w:r>
      <w:r w:rsidR="001351B4">
        <w:t xml:space="preserve">expectations of </w:t>
      </w:r>
      <w:r>
        <w:t xml:space="preserve">the </w:t>
      </w:r>
      <w:r w:rsidR="001351B4">
        <w:t>skills and work</w:t>
      </w:r>
      <w:r w:rsidR="001351B4">
        <w:noBreakHyphen/>
        <w:t xml:space="preserve">related competencies </w:t>
      </w:r>
      <w:r>
        <w:t xml:space="preserve">that </w:t>
      </w:r>
      <w:r w:rsidR="001351B4">
        <w:t>students</w:t>
      </w:r>
      <w:r>
        <w:t xml:space="preserve"> will develop</w:t>
      </w:r>
      <w:r w:rsidR="001351B4">
        <w:t xml:space="preserve">. </w:t>
      </w:r>
      <w:r w:rsidR="000D131A">
        <w:t>G</w:t>
      </w:r>
      <w:r w:rsidR="00260794">
        <w:t xml:space="preserve">eneral employability </w:t>
      </w:r>
      <w:r>
        <w:t xml:space="preserve">skills are set out in the </w:t>
      </w:r>
      <w:r w:rsidR="001916DE" w:rsidRPr="00375729">
        <w:rPr>
          <w:i/>
        </w:rPr>
        <w:t xml:space="preserve">Core Skills for Work </w:t>
      </w:r>
      <w:r w:rsidR="004463A1" w:rsidRPr="00375729">
        <w:rPr>
          <w:i/>
        </w:rPr>
        <w:t>Development</w:t>
      </w:r>
      <w:r w:rsidR="000D131A">
        <w:rPr>
          <w:i/>
        </w:rPr>
        <w:t>al</w:t>
      </w:r>
      <w:r w:rsidR="004463A1" w:rsidRPr="00375729">
        <w:rPr>
          <w:i/>
        </w:rPr>
        <w:t xml:space="preserve"> </w:t>
      </w:r>
      <w:r w:rsidR="001916DE" w:rsidRPr="00375729">
        <w:rPr>
          <w:i/>
        </w:rPr>
        <w:t>Framework</w:t>
      </w:r>
      <w:r w:rsidR="0042057F">
        <w:t>—</w:t>
      </w:r>
      <w:r w:rsidR="004463A1">
        <w:t>a set of non-technical skills, knowledge and understanding that underpin successful participation in the workplace.</w:t>
      </w:r>
      <w:r w:rsidR="001916DE">
        <w:t xml:space="preserve"> </w:t>
      </w:r>
      <w:r w:rsidR="00260794">
        <w:t>For VET, the</w:t>
      </w:r>
      <w:r w:rsidR="00735989">
        <w:t xml:space="preserve"> work-related </w:t>
      </w:r>
      <w:r w:rsidR="00260794">
        <w:t xml:space="preserve">competencies </w:t>
      </w:r>
      <w:r w:rsidR="00735989">
        <w:t xml:space="preserve">are </w:t>
      </w:r>
      <w:r w:rsidR="00260794">
        <w:t>set out in training packages.</w:t>
      </w:r>
    </w:p>
    <w:p w14:paraId="64BD198C" w14:textId="404B7E89" w:rsidR="00F118E7" w:rsidRDefault="00CB7C79" w:rsidP="001D473B">
      <w:r>
        <w:t xml:space="preserve">Local </w:t>
      </w:r>
      <w:r w:rsidR="001916DE">
        <w:t>employer</w:t>
      </w:r>
      <w:r>
        <w:t>s</w:t>
      </w:r>
      <w:r w:rsidR="001916DE">
        <w:t xml:space="preserve"> </w:t>
      </w:r>
      <w:r>
        <w:t xml:space="preserve">also appreciate </w:t>
      </w:r>
      <w:r w:rsidR="001916DE">
        <w:t xml:space="preserve">opportunities to talk to </w:t>
      </w:r>
      <w:r w:rsidR="001351B4">
        <w:t xml:space="preserve">schools and school systems </w:t>
      </w:r>
      <w:r w:rsidR="001916DE">
        <w:t xml:space="preserve">about the generic and specific </w:t>
      </w:r>
      <w:r w:rsidR="001351B4">
        <w:t xml:space="preserve">skills </w:t>
      </w:r>
      <w:r w:rsidR="001916DE">
        <w:t xml:space="preserve">that </w:t>
      </w:r>
      <w:r w:rsidR="001351B4">
        <w:t>they need students to develop.</w:t>
      </w:r>
    </w:p>
    <w:p w14:paraId="4589FED4" w14:textId="33C8EEB7" w:rsidR="002018E4" w:rsidRDefault="00877677" w:rsidP="001D473B">
      <w:r>
        <w:t xml:space="preserve">Employers </w:t>
      </w:r>
      <w:r w:rsidR="001916DE">
        <w:t xml:space="preserve">have more confidence in VET delivered to secondary students when it gives </w:t>
      </w:r>
      <w:r w:rsidR="002018E4" w:rsidRPr="00B10C97">
        <w:t xml:space="preserve">students access </w:t>
      </w:r>
      <w:r w:rsidR="007428B3" w:rsidRPr="00B10C97">
        <w:t xml:space="preserve">to </w:t>
      </w:r>
      <w:r w:rsidR="002018E4" w:rsidRPr="00B10C97">
        <w:t xml:space="preserve">industry-standard equipment, </w:t>
      </w:r>
      <w:r w:rsidR="001916DE" w:rsidRPr="00B10C97">
        <w:t xml:space="preserve">is </w:t>
      </w:r>
      <w:r w:rsidR="002018E4" w:rsidRPr="00B10C97">
        <w:t>supported by people with relevant and current industry experience</w:t>
      </w:r>
      <w:r w:rsidR="001916DE" w:rsidRPr="00B10C97">
        <w:t>,</w:t>
      </w:r>
      <w:r w:rsidR="002018E4" w:rsidRPr="00B10C97">
        <w:t xml:space="preserve"> </w:t>
      </w:r>
      <w:r w:rsidR="00260794" w:rsidRPr="00B10C97">
        <w:t xml:space="preserve">meets expectations regarding volume of learning, </w:t>
      </w:r>
      <w:r w:rsidR="002018E4" w:rsidRPr="00B10C97">
        <w:t xml:space="preserve">and </w:t>
      </w:r>
      <w:r w:rsidR="001916DE" w:rsidRPr="00B10C97">
        <w:t xml:space="preserve">includes </w:t>
      </w:r>
      <w:r w:rsidR="002018E4" w:rsidRPr="00B10C97">
        <w:t xml:space="preserve">time in actual workplaces. </w:t>
      </w:r>
      <w:r w:rsidR="00B1306D" w:rsidRPr="00B1306D">
        <w:t xml:space="preserve">These are the essential elements of quality VET delivery. </w:t>
      </w:r>
      <w:r w:rsidR="002018E4" w:rsidRPr="00B10C97">
        <w:t>Schools</w:t>
      </w:r>
      <w:r w:rsidR="002018E4">
        <w:t xml:space="preserve"> can</w:t>
      </w:r>
      <w:r w:rsidR="001916DE">
        <w:t xml:space="preserve"> meet these expectations through </w:t>
      </w:r>
      <w:r w:rsidR="00B91AAB">
        <w:t xml:space="preserve">training </w:t>
      </w:r>
      <w:r w:rsidR="002018E4">
        <w:t xml:space="preserve">facilities </w:t>
      </w:r>
      <w:r w:rsidR="00B91AAB">
        <w:t>and</w:t>
      </w:r>
      <w:r w:rsidR="002018E4">
        <w:t xml:space="preserve"> through collaboration with other schools, external </w:t>
      </w:r>
      <w:proofErr w:type="spellStart"/>
      <w:r w:rsidR="00337CFA">
        <w:t>RTOs</w:t>
      </w:r>
      <w:proofErr w:type="spellEnd"/>
      <w:r w:rsidR="002018E4">
        <w:t xml:space="preserve"> and </w:t>
      </w:r>
      <w:r w:rsidR="00B91AAB">
        <w:t xml:space="preserve">especially </w:t>
      </w:r>
      <w:r w:rsidR="002018E4">
        <w:t>employers.</w:t>
      </w:r>
    </w:p>
    <w:p w14:paraId="5A01E53A" w14:textId="7AC35DA0" w:rsidR="002018E4" w:rsidRDefault="00A31A07" w:rsidP="001D473B">
      <w:pPr>
        <w:pStyle w:val="Heading3"/>
      </w:pPr>
      <w:bookmarkStart w:id="50" w:name="_Toc406065057"/>
      <w:bookmarkStart w:id="51" w:name="_Toc406079714"/>
      <w:proofErr w:type="spellStart"/>
      <w:r>
        <w:t>RTOs</w:t>
      </w:r>
      <w:bookmarkEnd w:id="50"/>
      <w:bookmarkEnd w:id="51"/>
      <w:proofErr w:type="spellEnd"/>
    </w:p>
    <w:p w14:paraId="15C3D696" w14:textId="14A71884" w:rsidR="002018E4" w:rsidRPr="007838DF" w:rsidRDefault="00A31A07" w:rsidP="001D473B">
      <w:proofErr w:type="spellStart"/>
      <w:r>
        <w:t>RTOs</w:t>
      </w:r>
      <w:proofErr w:type="spellEnd"/>
      <w:r w:rsidR="002018E4" w:rsidRPr="007838DF">
        <w:t xml:space="preserve"> </w:t>
      </w:r>
      <w:r w:rsidR="00EB5A1A">
        <w:t xml:space="preserve">(including schools </w:t>
      </w:r>
      <w:r w:rsidR="00706CCF">
        <w:t xml:space="preserve">that </w:t>
      </w:r>
      <w:r w:rsidR="00EB5A1A">
        <w:t xml:space="preserve">are </w:t>
      </w:r>
      <w:proofErr w:type="spellStart"/>
      <w:r w:rsidR="00092C7D">
        <w:t>RTOs</w:t>
      </w:r>
      <w:proofErr w:type="spellEnd"/>
      <w:r w:rsidR="00EB5A1A">
        <w:t xml:space="preserve">) </w:t>
      </w:r>
      <w:r w:rsidR="002018E4" w:rsidRPr="007838DF">
        <w:t xml:space="preserve">need to have confidence that the training they deliver is valued by employers and </w:t>
      </w:r>
      <w:r w:rsidR="00A336A3">
        <w:t>gives</w:t>
      </w:r>
      <w:r w:rsidR="002018E4" w:rsidRPr="007838DF">
        <w:t xml:space="preserve"> secondary students </w:t>
      </w:r>
      <w:r w:rsidR="00A336A3">
        <w:t>a pathway to sustainable employment</w:t>
      </w:r>
      <w:r w:rsidR="002018E4" w:rsidRPr="007838DF">
        <w:t>.</w:t>
      </w:r>
      <w:r w:rsidR="00A336A3">
        <w:t xml:space="preserve"> This requires </w:t>
      </w:r>
      <w:r w:rsidR="00092C7D">
        <w:t>collaboration</w:t>
      </w:r>
      <w:r w:rsidR="00A336A3">
        <w:t xml:space="preserve"> with local employers and schools to ensure that their courses respond to local needs.</w:t>
      </w:r>
    </w:p>
    <w:p w14:paraId="150BFD48" w14:textId="26AAC710" w:rsidR="002018E4" w:rsidRPr="007838DF" w:rsidRDefault="00092C7D" w:rsidP="001D473B">
      <w:proofErr w:type="spellStart"/>
      <w:r>
        <w:t>RTOs</w:t>
      </w:r>
      <w:proofErr w:type="spellEnd"/>
      <w:r w:rsidR="00BC781F">
        <w:t xml:space="preserve"> </w:t>
      </w:r>
      <w:r w:rsidR="002018E4" w:rsidRPr="007838DF">
        <w:t xml:space="preserve">can improve the confidence of stakeholders by working with schools and employers to identify the best arrangements to deliver </w:t>
      </w:r>
      <w:r w:rsidR="00A31A07">
        <w:t>(</w:t>
      </w:r>
      <w:r w:rsidR="002018E4" w:rsidRPr="007838DF">
        <w:t>and assess</w:t>
      </w:r>
      <w:r w:rsidR="00A31A07">
        <w:t>)</w:t>
      </w:r>
      <w:r w:rsidR="002018E4" w:rsidRPr="007838DF">
        <w:t xml:space="preserve"> VET courses to </w:t>
      </w:r>
      <w:r w:rsidR="002018E4" w:rsidRPr="007838DF">
        <w:lastRenderedPageBreak/>
        <w:t xml:space="preserve">secondary students. </w:t>
      </w:r>
      <w:r w:rsidR="002018E4">
        <w:t xml:space="preserve">This may include identifying ways to reduce costs by </w:t>
      </w:r>
      <w:r>
        <w:t xml:space="preserve">using </w:t>
      </w:r>
      <w:r w:rsidR="002018E4">
        <w:t xml:space="preserve">existing staff and infrastructure available to the </w:t>
      </w:r>
      <w:proofErr w:type="spellStart"/>
      <w:r>
        <w:t>RTO</w:t>
      </w:r>
      <w:proofErr w:type="spellEnd"/>
      <w:r w:rsidR="002018E4">
        <w:t xml:space="preserve"> rather than replicating these within the school. </w:t>
      </w:r>
    </w:p>
    <w:p w14:paraId="08005CE5" w14:textId="5C86407E" w:rsidR="002018E4" w:rsidRDefault="00EB5A1A" w:rsidP="001D473B">
      <w:r>
        <w:t xml:space="preserve">Schools and </w:t>
      </w:r>
      <w:proofErr w:type="spellStart"/>
      <w:r w:rsidR="00092C7D">
        <w:t>RTOs</w:t>
      </w:r>
      <w:proofErr w:type="spellEnd"/>
      <w:r w:rsidR="002018E4" w:rsidRPr="007838DF">
        <w:t xml:space="preserve"> </w:t>
      </w:r>
      <w:r w:rsidR="00D66D36">
        <w:t xml:space="preserve">must ensure that each student’s choice to undertake VET is an informed one based on clear and comprehensive </w:t>
      </w:r>
      <w:r w:rsidR="002018E4" w:rsidRPr="007838DF">
        <w:t>information</w:t>
      </w:r>
      <w:r w:rsidR="00D66D36">
        <w:t xml:space="preserve"> about </w:t>
      </w:r>
      <w:r w:rsidR="002018E4" w:rsidRPr="007838DF">
        <w:t xml:space="preserve">the training requirements </w:t>
      </w:r>
      <w:r w:rsidR="002018E4">
        <w:t>for</w:t>
      </w:r>
      <w:r w:rsidR="002018E4" w:rsidRPr="007838DF">
        <w:t xml:space="preserve"> particular jobs or industries</w:t>
      </w:r>
      <w:r w:rsidR="00D66D36">
        <w:t>, and how a VET qualification contributes to meeting those requirements</w:t>
      </w:r>
      <w:r w:rsidR="00AD21BF">
        <w:t xml:space="preserve">. </w:t>
      </w:r>
      <w:proofErr w:type="spellStart"/>
      <w:r w:rsidR="00092C7D">
        <w:t>RTOs</w:t>
      </w:r>
      <w:proofErr w:type="spellEnd"/>
      <w:r w:rsidR="00AD21BF">
        <w:t xml:space="preserve"> must </w:t>
      </w:r>
      <w:r w:rsidR="00D66D36">
        <w:t xml:space="preserve">also </w:t>
      </w:r>
      <w:r w:rsidR="00AD21BF">
        <w:t xml:space="preserve">ensure that students and parents </w:t>
      </w:r>
      <w:r w:rsidR="00D66D36">
        <w:t>have information on costs</w:t>
      </w:r>
      <w:r w:rsidR="00B73773">
        <w:t>;</w:t>
      </w:r>
      <w:r w:rsidR="00D66D36">
        <w:t xml:space="preserve"> understand the implications </w:t>
      </w:r>
      <w:r w:rsidR="00092C7D">
        <w:t>of financing</w:t>
      </w:r>
      <w:r w:rsidR="00D66D36">
        <w:t xml:space="preserve"> their training through a </w:t>
      </w:r>
      <w:r w:rsidR="00097790">
        <w:t>government loan scheme</w:t>
      </w:r>
      <w:r w:rsidR="00D66D36">
        <w:t xml:space="preserve"> or other loan</w:t>
      </w:r>
      <w:r w:rsidR="00B73773">
        <w:t>;</w:t>
      </w:r>
      <w:r w:rsidR="00D66D36">
        <w:t xml:space="preserve"> and understand any ways that </w:t>
      </w:r>
      <w:r w:rsidR="00AD21BF">
        <w:t>achieving a VET qualification while at school may impact on their future access to training or employment.</w:t>
      </w:r>
    </w:p>
    <w:p w14:paraId="10F87757" w14:textId="7BB808E4" w:rsidR="007E7A1C" w:rsidRDefault="007E7A1C" w:rsidP="001D473B">
      <w:bookmarkStart w:id="52" w:name="_Toc402602722"/>
      <w:r>
        <w:t xml:space="preserve">Schools, students, parents, </w:t>
      </w:r>
      <w:r w:rsidRPr="00455D4A">
        <w:t xml:space="preserve">employers </w:t>
      </w:r>
      <w:r>
        <w:t xml:space="preserve">and </w:t>
      </w:r>
      <w:proofErr w:type="spellStart"/>
      <w:r w:rsidR="00092C7D">
        <w:t>RTOs</w:t>
      </w:r>
      <w:proofErr w:type="spellEnd"/>
      <w:r>
        <w:t xml:space="preserve"> all </w:t>
      </w:r>
      <w:r w:rsidRPr="00455D4A">
        <w:t>need confidence</w:t>
      </w:r>
      <w:r>
        <w:t xml:space="preserve"> that appropriate arrangements are always in place to ensure safety, accountability, consistency and quality. This requires the relevant </w:t>
      </w:r>
      <w:r w:rsidRPr="000657CB">
        <w:rPr>
          <w:rStyle w:val="Componentcross-reference"/>
          <w:rFonts w:asciiTheme="minorHAnsi" w:hAnsiTheme="minorHAnsi" w:cstheme="minorHAnsi"/>
          <w:b/>
        </w:rPr>
        <w:t>core systems</w:t>
      </w:r>
      <w:r>
        <w:t xml:space="preserve"> to be clear about their respective roles and responsibilities, to communicate these to stakeholders, and to collaborate as appropriate.</w:t>
      </w:r>
    </w:p>
    <w:p w14:paraId="2706F649" w14:textId="3C1720B9" w:rsidR="002018E4" w:rsidRPr="005D1ABF" w:rsidRDefault="000C0BB3" w:rsidP="001D473B">
      <w:pPr>
        <w:pStyle w:val="Heading3"/>
      </w:pPr>
      <w:bookmarkStart w:id="53" w:name="_Toc406065058"/>
      <w:bookmarkStart w:id="54" w:name="_Toc406079715"/>
      <w:r>
        <w:t>School-based apprenticeship</w:t>
      </w:r>
      <w:r w:rsidR="00491C38">
        <w:t>s</w:t>
      </w:r>
      <w:r>
        <w:t xml:space="preserve"> and traineeship</w:t>
      </w:r>
      <w:r w:rsidR="000C7EB6">
        <w:t>s</w:t>
      </w:r>
      <w:bookmarkEnd w:id="52"/>
      <w:bookmarkEnd w:id="53"/>
      <w:bookmarkEnd w:id="54"/>
    </w:p>
    <w:p w14:paraId="51231267" w14:textId="061ACE45" w:rsidR="002018E4" w:rsidRDefault="002018E4" w:rsidP="001D473B">
      <w:r>
        <w:t>A school-based a</w:t>
      </w:r>
      <w:r w:rsidRPr="005C1F79">
        <w:t>pprenticeship</w:t>
      </w:r>
      <w:r>
        <w:t xml:space="preserve"> or traineeship provides secondary students </w:t>
      </w:r>
      <w:r w:rsidR="007C37D4">
        <w:t>with a unique opportunity to combine</w:t>
      </w:r>
      <w:r>
        <w:t xml:space="preserve"> a VET qualification </w:t>
      </w:r>
      <w:r w:rsidR="00B71935">
        <w:t>with an</w:t>
      </w:r>
      <w:r>
        <w:t xml:space="preserve"> employment </w:t>
      </w:r>
      <w:r w:rsidR="00B71935">
        <w:t xml:space="preserve">contract </w:t>
      </w:r>
      <w:r>
        <w:t xml:space="preserve">while also </w:t>
      </w:r>
      <w:r w:rsidR="00307506">
        <w:t xml:space="preserve">completing </w:t>
      </w:r>
      <w:r w:rsidR="00D627C9">
        <w:t>their senior secondary certificate of educa</w:t>
      </w:r>
      <w:r w:rsidR="00081E66">
        <w:t>tion</w:t>
      </w:r>
      <w:r>
        <w:t xml:space="preserve">. </w:t>
      </w:r>
      <w:r w:rsidR="00307506">
        <w:t>School-based apprenticeships</w:t>
      </w:r>
      <w:r>
        <w:t xml:space="preserve"> </w:t>
      </w:r>
      <w:r w:rsidR="000C0BB3">
        <w:t xml:space="preserve">and traineeships </w:t>
      </w:r>
      <w:r>
        <w:t>provide the clearest line of sight to a job, are highly valued by employers and are often identified as the preferred pathway for students to transition from s</w:t>
      </w:r>
      <w:r w:rsidR="006E388A">
        <w:t>chool</w:t>
      </w:r>
      <w:r>
        <w:t xml:space="preserve"> to work, particularly in </w:t>
      </w:r>
      <w:r w:rsidR="00B71935">
        <w:t xml:space="preserve">the </w:t>
      </w:r>
      <w:r>
        <w:t xml:space="preserve">trades. </w:t>
      </w:r>
    </w:p>
    <w:p w14:paraId="4985E8FC" w14:textId="3E6CBAE1" w:rsidR="00F118E7" w:rsidRDefault="002018E4" w:rsidP="001D473B">
      <w:r>
        <w:t>Commencing an apprenticeship</w:t>
      </w:r>
      <w:r w:rsidR="00C801E3">
        <w:t xml:space="preserve"> or traineeship</w:t>
      </w:r>
      <w:r>
        <w:t xml:space="preserve"> while still at school has other benefits that improve the confidence of students, parents and employers. </w:t>
      </w:r>
      <w:r w:rsidR="00307506">
        <w:t>A school-based apprentice</w:t>
      </w:r>
      <w:r w:rsidR="00C801E3">
        <w:t xml:space="preserve"> or trainee</w:t>
      </w:r>
      <w:r w:rsidR="00307506">
        <w:t xml:space="preserve"> has usually made their decision based on a strong </w:t>
      </w:r>
      <w:r w:rsidR="00307506">
        <w:lastRenderedPageBreak/>
        <w:t xml:space="preserve">understanding of and interest in the industry. </w:t>
      </w:r>
      <w:r w:rsidR="00380181">
        <w:t>Unlike a full-time apprentice</w:t>
      </w:r>
      <w:r w:rsidR="00C801E3">
        <w:t xml:space="preserve"> or trainee</w:t>
      </w:r>
      <w:r w:rsidR="00380181">
        <w:t>, a</w:t>
      </w:r>
      <w:r>
        <w:t xml:space="preserve"> school-based apprentice </w:t>
      </w:r>
      <w:r w:rsidR="00C801E3">
        <w:t xml:space="preserve">or trainee </w:t>
      </w:r>
      <w:r>
        <w:t xml:space="preserve">has access to pastoral care support through their school. This can help them </w:t>
      </w:r>
      <w:r w:rsidR="00380181">
        <w:t xml:space="preserve">manage their relationship with their employer and </w:t>
      </w:r>
      <w:r>
        <w:t xml:space="preserve">deal with </w:t>
      </w:r>
      <w:r w:rsidR="00380181">
        <w:t xml:space="preserve">any </w:t>
      </w:r>
      <w:r>
        <w:t xml:space="preserve">personal issues that </w:t>
      </w:r>
      <w:r w:rsidR="00307506">
        <w:t xml:space="preserve">might </w:t>
      </w:r>
      <w:r>
        <w:t>affect their engagement. This support help</w:t>
      </w:r>
      <w:r w:rsidR="00380181">
        <w:t>s</w:t>
      </w:r>
      <w:r>
        <w:t xml:space="preserve"> reduce drop-out rates. </w:t>
      </w:r>
    </w:p>
    <w:p w14:paraId="3147F725" w14:textId="77FAB22B" w:rsidR="002018E4" w:rsidRDefault="00C30E50" w:rsidP="001D473B">
      <w:r>
        <w:t>A school-based apprentice</w:t>
      </w:r>
      <w:r w:rsidR="00307506">
        <w:t xml:space="preserve"> </w:t>
      </w:r>
      <w:r w:rsidR="00C801E3">
        <w:t xml:space="preserve">or trainee </w:t>
      </w:r>
      <w:r w:rsidR="00307506">
        <w:t>also continue</w:t>
      </w:r>
      <w:r>
        <w:t>s</w:t>
      </w:r>
      <w:r w:rsidR="00307506">
        <w:t xml:space="preserve"> vocational learning and non</w:t>
      </w:r>
      <w:r w:rsidR="00491C38">
        <w:t xml:space="preserve">-VET subjects as part of their </w:t>
      </w:r>
      <w:r w:rsidR="00D627C9">
        <w:t>senior secondary certificate of education,</w:t>
      </w:r>
      <w:r w:rsidR="00307506">
        <w:t xml:space="preserve"> which can </w:t>
      </w:r>
      <w:r>
        <w:t>develop their skills in other areas of</w:t>
      </w:r>
      <w:r w:rsidR="00307506">
        <w:t xml:space="preserve"> benefit to the employer </w:t>
      </w:r>
      <w:r w:rsidR="002018E4">
        <w:t>such as critical thinking</w:t>
      </w:r>
      <w:r w:rsidR="00307506">
        <w:t>,</w:t>
      </w:r>
      <w:r w:rsidR="002018E4">
        <w:t xml:space="preserve"> teamwork</w:t>
      </w:r>
      <w:r w:rsidR="00307506">
        <w:t xml:space="preserve">, or advanced mathematics. </w:t>
      </w:r>
    </w:p>
    <w:p w14:paraId="30E119FD" w14:textId="3FAAFE60" w:rsidR="002018E4" w:rsidRDefault="002018E4" w:rsidP="001D473B">
      <w:r>
        <w:t xml:space="preserve">The combination of school, training and work can present challenges, particularly if arrangements </w:t>
      </w:r>
      <w:r w:rsidR="00C30E50">
        <w:t xml:space="preserve">such as timetabling </w:t>
      </w:r>
      <w:r>
        <w:t xml:space="preserve">are not supportive. </w:t>
      </w:r>
      <w:r w:rsidR="00C30E50">
        <w:t xml:space="preserve">For students and employers to have confidence that a school-based apprenticeship </w:t>
      </w:r>
      <w:r w:rsidR="00C801E3">
        <w:t xml:space="preserve">or traineeship </w:t>
      </w:r>
      <w:r w:rsidR="00C30E50">
        <w:t>is manageable, i</w:t>
      </w:r>
      <w:r>
        <w:t xml:space="preserve">t is imperative that schools, employers and </w:t>
      </w:r>
      <w:proofErr w:type="spellStart"/>
      <w:r w:rsidR="00337CFA">
        <w:t>RTOs</w:t>
      </w:r>
      <w:proofErr w:type="spellEnd"/>
      <w:r>
        <w:t xml:space="preserve"> work together to </w:t>
      </w:r>
      <w:r w:rsidR="00C30E50">
        <w:t xml:space="preserve">develop </w:t>
      </w:r>
      <w:r>
        <w:t xml:space="preserve">arrangements </w:t>
      </w:r>
      <w:r w:rsidR="00C30E50">
        <w:t>that work f</w:t>
      </w:r>
      <w:r>
        <w:t xml:space="preserve">or each </w:t>
      </w:r>
      <w:r w:rsidR="00C30E50">
        <w:t xml:space="preserve">school-based apprentice </w:t>
      </w:r>
      <w:r w:rsidR="00C801E3">
        <w:t xml:space="preserve">or trainee </w:t>
      </w:r>
      <w:r w:rsidR="00C30E50">
        <w:t>and their employer</w:t>
      </w:r>
      <w:r>
        <w:t xml:space="preserve">. </w:t>
      </w:r>
    </w:p>
    <w:p w14:paraId="46AEC6B1" w14:textId="1A8850F3" w:rsidR="00D70E0E" w:rsidRDefault="00D70E0E" w:rsidP="001D473B">
      <w:r>
        <w:t xml:space="preserve">Another challenge associated with school-based apprentices </w:t>
      </w:r>
      <w:r w:rsidR="00C801E3">
        <w:t xml:space="preserve">and trainees </w:t>
      </w:r>
      <w:r>
        <w:t>is a perception that they cost more to employ than other apprentices</w:t>
      </w:r>
      <w:r w:rsidR="00C801E3">
        <w:t xml:space="preserve"> or trainee</w:t>
      </w:r>
      <w:r w:rsidR="00C56075">
        <w:t>s</w:t>
      </w:r>
      <w:r>
        <w:t xml:space="preserve">. Employers will be more confident </w:t>
      </w:r>
      <w:r w:rsidR="002F080F">
        <w:t>about taking</w:t>
      </w:r>
      <w:r>
        <w:t xml:space="preserve"> on a school-based apprentice </w:t>
      </w:r>
      <w:r w:rsidR="00C801E3">
        <w:t xml:space="preserve">or trainee </w:t>
      </w:r>
      <w:r>
        <w:t>when they understand that</w:t>
      </w:r>
      <w:r w:rsidR="00263B3B">
        <w:t>,</w:t>
      </w:r>
      <w:r>
        <w:t xml:space="preserve"> under modern awards</w:t>
      </w:r>
      <w:r w:rsidR="002F080F">
        <w:t>,</w:t>
      </w:r>
      <w:r>
        <w:t xml:space="preserve"> pay rates are equivalent for all apprentices </w:t>
      </w:r>
      <w:r w:rsidR="00C801E3">
        <w:t xml:space="preserve">or trainees </w:t>
      </w:r>
      <w:r>
        <w:t>who have the same level of skills and qualifications.</w:t>
      </w:r>
    </w:p>
    <w:p w14:paraId="3A094E97" w14:textId="77777777" w:rsidR="002018E4" w:rsidRPr="005D1ABF" w:rsidRDefault="002018E4" w:rsidP="001D473B">
      <w:pPr>
        <w:pStyle w:val="Heading3"/>
      </w:pPr>
      <w:bookmarkStart w:id="55" w:name="_Toc402602724"/>
      <w:bookmarkStart w:id="56" w:name="_Toc406065059"/>
      <w:bookmarkStart w:id="57" w:name="_Toc406079716"/>
      <w:r>
        <w:t>Quality</w:t>
      </w:r>
      <w:bookmarkEnd w:id="55"/>
      <w:r>
        <w:t xml:space="preserve"> outcomes</w:t>
      </w:r>
      <w:bookmarkEnd w:id="56"/>
      <w:bookmarkEnd w:id="57"/>
    </w:p>
    <w:p w14:paraId="1218CBFA" w14:textId="60A6BD05" w:rsidR="00421747" w:rsidRDefault="00421747" w:rsidP="001D473B">
      <w:r>
        <w:t>Confidence in vocational learning and VET delivered to secondary students requires that s</w:t>
      </w:r>
      <w:r w:rsidR="002018E4">
        <w:t xml:space="preserve">chools, students, parents, employers and </w:t>
      </w:r>
      <w:proofErr w:type="spellStart"/>
      <w:r w:rsidR="00337CFA">
        <w:t>RTOs</w:t>
      </w:r>
      <w:proofErr w:type="spellEnd"/>
      <w:r w:rsidR="002018E4">
        <w:t xml:space="preserve"> </w:t>
      </w:r>
      <w:r w:rsidR="00026740">
        <w:t>agree on</w:t>
      </w:r>
      <w:r>
        <w:t xml:space="preserve"> th</w:t>
      </w:r>
      <w:r w:rsidR="002018E4">
        <w:t xml:space="preserve">e outcomes </w:t>
      </w:r>
      <w:r w:rsidR="00026740">
        <w:t>expected</w:t>
      </w:r>
      <w:r>
        <w:t>.</w:t>
      </w:r>
    </w:p>
    <w:p w14:paraId="5C55F67B" w14:textId="77AE553C" w:rsidR="002018E4" w:rsidRDefault="00421747" w:rsidP="001D473B">
      <w:r>
        <w:t xml:space="preserve">Secondary </w:t>
      </w:r>
      <w:r w:rsidR="002018E4">
        <w:t>students who have experienced quality vocational learning:</w:t>
      </w:r>
    </w:p>
    <w:p w14:paraId="68DDC385" w14:textId="77777777" w:rsidR="002018E4" w:rsidRDefault="002018E4" w:rsidP="001D473B">
      <w:pPr>
        <w:pStyle w:val="ListBullet"/>
      </w:pPr>
      <w:r>
        <w:t>are able to reflect on their own skills, strengths and preferences</w:t>
      </w:r>
    </w:p>
    <w:p w14:paraId="1EA2A24E" w14:textId="77777777" w:rsidR="00CF5376" w:rsidRDefault="00CF5376" w:rsidP="001D473B">
      <w:pPr>
        <w:pStyle w:val="ListBullet"/>
      </w:pPr>
      <w:r w:rsidRPr="00FB6141">
        <w:lastRenderedPageBreak/>
        <w:t xml:space="preserve">have developed core transferable skills </w:t>
      </w:r>
      <w:r>
        <w:t>that</w:t>
      </w:r>
      <w:r w:rsidRPr="00FB6141">
        <w:t xml:space="preserve"> form a solid foundation for future study and work</w:t>
      </w:r>
    </w:p>
    <w:p w14:paraId="60394DC5" w14:textId="77777777" w:rsidR="002018E4" w:rsidRDefault="002018E4" w:rsidP="001D473B">
      <w:pPr>
        <w:pStyle w:val="ListBullet"/>
      </w:pPr>
      <w:r>
        <w:t>know how to find and evaluate information on education, training and employment opportunities and pathways</w:t>
      </w:r>
    </w:p>
    <w:p w14:paraId="11696AB1" w14:textId="77777777" w:rsidR="002018E4" w:rsidRDefault="002018E4" w:rsidP="001D473B">
      <w:pPr>
        <w:pStyle w:val="ListBullet"/>
      </w:pPr>
      <w:r>
        <w:t>understand their options and feel confident in making choices and responding to change</w:t>
      </w:r>
    </w:p>
    <w:p w14:paraId="142EBFE7" w14:textId="77777777" w:rsidR="002018E4" w:rsidRDefault="002018E4" w:rsidP="001D473B">
      <w:pPr>
        <w:pStyle w:val="ListBullet"/>
      </w:pPr>
      <w:r>
        <w:t>are familiar with modern approaches to recruitment</w:t>
      </w:r>
      <w:r w:rsidR="00CF5376">
        <w:t xml:space="preserve"> </w:t>
      </w:r>
      <w:r>
        <w:t xml:space="preserve">and </w:t>
      </w:r>
      <w:r w:rsidR="00CF5376">
        <w:t xml:space="preserve">the </w:t>
      </w:r>
      <w:r>
        <w:t xml:space="preserve">skills </w:t>
      </w:r>
      <w:r w:rsidR="00CF5376">
        <w:t>they require</w:t>
      </w:r>
    </w:p>
    <w:p w14:paraId="6084ABDA" w14:textId="77777777" w:rsidR="002018E4" w:rsidRPr="00FB6141" w:rsidRDefault="00CF5376" w:rsidP="001D473B">
      <w:pPr>
        <w:pStyle w:val="ListBullet"/>
      </w:pPr>
      <w:proofErr w:type="gramStart"/>
      <w:r>
        <w:t>have</w:t>
      </w:r>
      <w:proofErr w:type="gramEnd"/>
      <w:r>
        <w:t xml:space="preserve"> had the opportunity to study work-related curriculum and to ‘taste’ the world of work</w:t>
      </w:r>
      <w:r w:rsidR="002018E4" w:rsidRPr="00FB6141">
        <w:t xml:space="preserve">. </w:t>
      </w:r>
    </w:p>
    <w:p w14:paraId="5CC1A71B" w14:textId="7608D8A1" w:rsidR="002018E4" w:rsidRPr="007F7AE1" w:rsidRDefault="002018E4" w:rsidP="001D473B">
      <w:r w:rsidRPr="007F7AE1">
        <w:t>Secondary students who have undertaken quality VET:</w:t>
      </w:r>
    </w:p>
    <w:p w14:paraId="0C3499A4" w14:textId="77777777" w:rsidR="002018E4" w:rsidRDefault="002018E4" w:rsidP="001D473B">
      <w:pPr>
        <w:pStyle w:val="ListBullet"/>
      </w:pPr>
      <w:r w:rsidRPr="007F7AE1">
        <w:t>have received, or are on the pathway to receiving, a nationally recognised qualification that is valued by employers</w:t>
      </w:r>
    </w:p>
    <w:p w14:paraId="58F6F275" w14:textId="4C04E857" w:rsidR="002018E4" w:rsidRPr="007F7AE1" w:rsidRDefault="002018E4" w:rsidP="001D473B">
      <w:pPr>
        <w:pStyle w:val="ListBullet"/>
      </w:pPr>
      <w:r>
        <w:t xml:space="preserve">have achieved competencies that </w:t>
      </w:r>
      <w:r w:rsidR="00505C1E">
        <w:t>meet the expectations and needs of employers</w:t>
      </w:r>
      <w:r w:rsidR="00B1306D">
        <w:t xml:space="preserve">, and meet </w:t>
      </w:r>
      <w:r w:rsidR="00380525">
        <w:t xml:space="preserve">the standards and </w:t>
      </w:r>
      <w:r w:rsidR="00B1306D">
        <w:t xml:space="preserve">requirements of </w:t>
      </w:r>
      <w:r w:rsidR="00380525">
        <w:t>VET regulators</w:t>
      </w:r>
    </w:p>
    <w:p w14:paraId="14C05018" w14:textId="32AE8129" w:rsidR="002018E4" w:rsidRPr="007F7AE1" w:rsidRDefault="002018E4" w:rsidP="001D473B">
      <w:pPr>
        <w:pStyle w:val="ListBullet"/>
      </w:pPr>
      <w:r w:rsidRPr="007F7AE1">
        <w:t xml:space="preserve">know the occupation(s) their qualification can lead to, both in the short </w:t>
      </w:r>
      <w:r w:rsidR="004349E5">
        <w:t xml:space="preserve">term </w:t>
      </w:r>
      <w:r w:rsidRPr="007F7AE1">
        <w:t>and</w:t>
      </w:r>
      <w:r w:rsidR="006D6544">
        <w:t xml:space="preserve"> the</w:t>
      </w:r>
      <w:r w:rsidRPr="007F7AE1">
        <w:t xml:space="preserve"> long term</w:t>
      </w:r>
    </w:p>
    <w:p w14:paraId="30CD572D" w14:textId="77777777" w:rsidR="002018E4" w:rsidRDefault="002018E4" w:rsidP="001D473B">
      <w:pPr>
        <w:pStyle w:val="ListBullet"/>
      </w:pPr>
      <w:proofErr w:type="gramStart"/>
      <w:r w:rsidRPr="007F7AE1">
        <w:t>know</w:t>
      </w:r>
      <w:proofErr w:type="gramEnd"/>
      <w:r w:rsidRPr="007F7AE1">
        <w:t xml:space="preserve"> the education and training pathway(s) they can follow with that qualification.</w:t>
      </w:r>
    </w:p>
    <w:p w14:paraId="50962480" w14:textId="77777777" w:rsidR="00421747" w:rsidRDefault="00421747" w:rsidP="001D473B">
      <w:r>
        <w:t xml:space="preserve">To determine whether these outcomes are being achieved, </w:t>
      </w:r>
      <w:r w:rsidR="00C27C4D" w:rsidRPr="000657CB">
        <w:rPr>
          <w:rStyle w:val="Componentcross-reference"/>
          <w:rFonts w:asciiTheme="minorHAnsi" w:hAnsiTheme="minorHAnsi" w:cstheme="minorHAnsi"/>
          <w:b/>
        </w:rPr>
        <w:t>core systems</w:t>
      </w:r>
      <w:r w:rsidR="00C27C4D">
        <w:t xml:space="preserve"> need to ensure that data collections are consistent and reliable, and that measures used to judge the success of vocational learning and VET delivered to secondary students align with their purpose.</w:t>
      </w:r>
    </w:p>
    <w:p w14:paraId="2B032375" w14:textId="77777777" w:rsidR="002018E4" w:rsidRPr="001441B9" w:rsidRDefault="002018E4" w:rsidP="00AF6183">
      <w:pPr>
        <w:pStyle w:val="BoxHeading"/>
      </w:pPr>
      <w:bookmarkStart w:id="58" w:name="_Toc406065060"/>
      <w:bookmarkStart w:id="59" w:name="_Toc406079717"/>
      <w:r w:rsidRPr="001441B9">
        <w:lastRenderedPageBreak/>
        <w:t>Implications</w:t>
      </w:r>
      <w:bookmarkEnd w:id="58"/>
      <w:bookmarkEnd w:id="59"/>
      <w:r>
        <w:t xml:space="preserve"> </w:t>
      </w:r>
    </w:p>
    <w:p w14:paraId="32741AFE" w14:textId="77777777" w:rsidR="00CB36AC" w:rsidRDefault="006C1B0D" w:rsidP="00AF6183">
      <w:pPr>
        <w:pStyle w:val="BoxBody"/>
      </w:pPr>
      <w:r w:rsidRPr="000657CB">
        <w:rPr>
          <w:rStyle w:val="Componentcross-reference"/>
          <w:rFonts w:asciiTheme="minorHAnsi" w:hAnsiTheme="minorHAnsi" w:cstheme="minorHAnsi"/>
          <w:b/>
        </w:rPr>
        <w:t>Confidence</w:t>
      </w:r>
      <w:r>
        <w:t xml:space="preserve"> in v</w:t>
      </w:r>
      <w:r w:rsidR="002018E4">
        <w:t xml:space="preserve">ocational learning and VET delivered to secondary students </w:t>
      </w:r>
      <w:r>
        <w:t xml:space="preserve">is greater </w:t>
      </w:r>
      <w:r w:rsidR="00CB36AC">
        <w:t>when:</w:t>
      </w:r>
    </w:p>
    <w:p w14:paraId="2B3C53CC" w14:textId="77777777" w:rsidR="009347C3" w:rsidRDefault="00751CBA" w:rsidP="00AF6183">
      <w:pPr>
        <w:pStyle w:val="Boxbullets"/>
      </w:pPr>
      <w:r>
        <w:t xml:space="preserve">students and parents have </w:t>
      </w:r>
      <w:r w:rsidR="002018E4" w:rsidRPr="001441B9">
        <w:t>accurate, up-to-date</w:t>
      </w:r>
      <w:r w:rsidR="00363BDA">
        <w:t>,</w:t>
      </w:r>
      <w:r w:rsidR="002018E4" w:rsidRPr="001441B9">
        <w:t xml:space="preserve"> impartial </w:t>
      </w:r>
      <w:r w:rsidR="00363BDA">
        <w:t>and student-friendly</w:t>
      </w:r>
      <w:r w:rsidR="009676EC">
        <w:t xml:space="preserve"> information</w:t>
      </w:r>
      <w:r w:rsidR="00363BDA">
        <w:t xml:space="preserve"> about vocational learning, </w:t>
      </w:r>
      <w:r w:rsidR="00CB36AC">
        <w:t>VET and school-based apprenticeships</w:t>
      </w:r>
      <w:r w:rsidR="009676EC">
        <w:t xml:space="preserve"> and traineeships</w:t>
      </w:r>
    </w:p>
    <w:p w14:paraId="44678490" w14:textId="77777777" w:rsidR="009F2FE4" w:rsidRDefault="009347C3" w:rsidP="00AF6183">
      <w:pPr>
        <w:pStyle w:val="Boxbullets"/>
      </w:pPr>
      <w:r>
        <w:t>teachers and career advisers have opportunities to update their knowledge of current workplaces and</w:t>
      </w:r>
      <w:r w:rsidR="009F2FE4">
        <w:t xml:space="preserve"> practices</w:t>
      </w:r>
    </w:p>
    <w:p w14:paraId="52555EC7" w14:textId="77777777" w:rsidR="009F2FE4" w:rsidRDefault="009F2FE4" w:rsidP="00AF6183">
      <w:pPr>
        <w:pStyle w:val="Boxbullets"/>
      </w:pPr>
      <w:r>
        <w:t>employers have opportunities to be involved in the design, delivery and assessment of vocational</w:t>
      </w:r>
      <w:r w:rsidR="00374329">
        <w:t xml:space="preserve"> learning</w:t>
      </w:r>
      <w:r>
        <w:t xml:space="preserve"> and VET</w:t>
      </w:r>
    </w:p>
    <w:p w14:paraId="3021E9A9" w14:textId="6B9DD97C" w:rsidR="00071B43" w:rsidRDefault="00071B43" w:rsidP="00AF6183">
      <w:pPr>
        <w:pStyle w:val="Boxbullets"/>
      </w:pPr>
      <w:r>
        <w:t>m</w:t>
      </w:r>
      <w:r w:rsidRPr="00071B43">
        <w:t xml:space="preserve">echanisms exist to engage with employers </w:t>
      </w:r>
      <w:r w:rsidR="00CF3D4B">
        <w:t xml:space="preserve">and industry </w:t>
      </w:r>
      <w:r w:rsidRPr="00071B43">
        <w:t>to determine which VET qualifications are appropriate to deliver to secondary students and in what circumstances</w:t>
      </w:r>
    </w:p>
    <w:p w14:paraId="200DCB6B" w14:textId="12DBF423" w:rsidR="009347C3" w:rsidRDefault="00337CFA" w:rsidP="00AF6183">
      <w:pPr>
        <w:pStyle w:val="Boxbullets"/>
      </w:pPr>
      <w:proofErr w:type="spellStart"/>
      <w:r>
        <w:t>RTOs</w:t>
      </w:r>
      <w:proofErr w:type="spellEnd"/>
      <w:r w:rsidR="009F2FE4">
        <w:t xml:space="preserve"> give </w:t>
      </w:r>
      <w:r w:rsidR="00F118E7">
        <w:t xml:space="preserve">school </w:t>
      </w:r>
      <w:r w:rsidR="009F2FE4">
        <w:t>students and parents accurate information about individual VET qualifications, including benefits, costs and future implications</w:t>
      </w:r>
    </w:p>
    <w:p w14:paraId="4C41853D" w14:textId="321F272D" w:rsidR="009F2FE4" w:rsidRDefault="00751CBA" w:rsidP="00AF6183">
      <w:pPr>
        <w:pStyle w:val="Boxbullets"/>
      </w:pPr>
      <w:r>
        <w:t xml:space="preserve">schools, employers and </w:t>
      </w:r>
      <w:proofErr w:type="spellStart"/>
      <w:r w:rsidR="00337CFA">
        <w:t>RTOs</w:t>
      </w:r>
      <w:proofErr w:type="spellEnd"/>
      <w:r>
        <w:t xml:space="preserve"> collaborate to </w:t>
      </w:r>
      <w:r w:rsidR="00EF12BB">
        <w:t>ensure streamlined arrangements for individual school-based apprentices</w:t>
      </w:r>
      <w:r w:rsidR="009670EF">
        <w:t xml:space="preserve"> and trainees</w:t>
      </w:r>
    </w:p>
    <w:p w14:paraId="08A145F0" w14:textId="20180485" w:rsidR="00CF3D4B" w:rsidRDefault="00960510" w:rsidP="00AF6183">
      <w:pPr>
        <w:pStyle w:val="Boxbullets"/>
      </w:pPr>
      <w:r>
        <w:t xml:space="preserve">schools, employers and </w:t>
      </w:r>
      <w:proofErr w:type="spellStart"/>
      <w:r w:rsidR="00337CFA">
        <w:t>RTOs</w:t>
      </w:r>
      <w:proofErr w:type="spellEnd"/>
      <w:r>
        <w:t xml:space="preserve"> promote the benefits of school-based apprenticeships</w:t>
      </w:r>
      <w:r w:rsidR="00DD34A4">
        <w:t xml:space="preserve"> and traineeships</w:t>
      </w:r>
      <w:r>
        <w:t xml:space="preserve"> to students and parents</w:t>
      </w:r>
    </w:p>
    <w:p w14:paraId="2E04B452" w14:textId="77777777" w:rsidR="00960510" w:rsidRDefault="00CF3D4B" w:rsidP="00AF6183">
      <w:pPr>
        <w:pStyle w:val="Boxbullets"/>
      </w:pPr>
      <w:proofErr w:type="gramStart"/>
      <w:r>
        <w:t>employers</w:t>
      </w:r>
      <w:proofErr w:type="gramEnd"/>
      <w:r>
        <w:t xml:space="preserve"> are involved in the provision of work placement opportunities</w:t>
      </w:r>
      <w:r w:rsidR="00960510">
        <w:t>.</w:t>
      </w:r>
    </w:p>
    <w:p w14:paraId="0586871C" w14:textId="77777777" w:rsidR="00960510" w:rsidRDefault="00960510" w:rsidP="00AF6183">
      <w:pPr>
        <w:pStyle w:val="Boxbullets"/>
        <w:sectPr w:rsidR="00960510" w:rsidSect="00786D8C">
          <w:headerReference w:type="default" r:id="rId35"/>
          <w:pgSz w:w="11906" w:h="16838"/>
          <w:pgMar w:top="1382" w:right="1440" w:bottom="1418" w:left="1440" w:header="708" w:footer="709" w:gutter="0"/>
          <w:cols w:num="2" w:space="708"/>
          <w:docGrid w:linePitch="360"/>
        </w:sectPr>
      </w:pPr>
    </w:p>
    <w:p w14:paraId="14F9DE11" w14:textId="257505C5" w:rsidR="007E4A6D" w:rsidRDefault="00227657" w:rsidP="001D473B">
      <w:pPr>
        <w:pStyle w:val="Heading2"/>
      </w:pPr>
      <w:bookmarkStart w:id="60" w:name="_Toc406065061"/>
      <w:bookmarkStart w:id="61" w:name="_Toc406079718"/>
      <w:r>
        <w:rPr>
          <w:noProof/>
          <w:lang w:eastAsia="en-AU"/>
        </w:rPr>
        <w:lastRenderedPageBreak/>
        <w:drawing>
          <wp:anchor distT="0" distB="0" distL="114300" distR="114300" simplePos="0" relativeHeight="251659776" behindDoc="1" locked="0" layoutInCell="1" allowOverlap="1" wp14:anchorId="00F6AA84" wp14:editId="1D9BD94E">
            <wp:simplePos x="0" y="0"/>
            <wp:positionH relativeFrom="column">
              <wp:posOffset>-208280</wp:posOffset>
            </wp:positionH>
            <wp:positionV relativeFrom="paragraph">
              <wp:posOffset>-650784</wp:posOffset>
            </wp:positionV>
            <wp:extent cx="1554480" cy="1558290"/>
            <wp:effectExtent l="0" t="0" r="7620" b="3810"/>
            <wp:wrapNone/>
            <wp:docPr id="10" name="Picture 10" title="Coloured circle underneath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urple.png"/>
                    <pic:cNvPicPr/>
                  </pic:nvPicPr>
                  <pic:blipFill>
                    <a:blip r:embed="rId36">
                      <a:extLst>
                        <a:ext uri="{28A0092B-C50C-407E-A947-70E740481C1C}">
                          <a14:useLocalDpi xmlns:a14="http://schemas.microsoft.com/office/drawing/2010/main" val="0"/>
                        </a:ext>
                      </a:extLst>
                    </a:blip>
                    <a:stretch>
                      <a:fillRect/>
                    </a:stretch>
                  </pic:blipFill>
                  <pic:spPr>
                    <a:xfrm>
                      <a:off x="0" y="0"/>
                      <a:ext cx="1554480" cy="1558290"/>
                    </a:xfrm>
                    <a:prstGeom prst="rect">
                      <a:avLst/>
                    </a:prstGeom>
                  </pic:spPr>
                </pic:pic>
              </a:graphicData>
            </a:graphic>
            <wp14:sizeRelH relativeFrom="page">
              <wp14:pctWidth>0</wp14:pctWidth>
            </wp14:sizeRelH>
            <wp14:sizeRelV relativeFrom="page">
              <wp14:pctHeight>0</wp14:pctHeight>
            </wp14:sizeRelV>
          </wp:anchor>
        </w:drawing>
      </w:r>
      <w:r w:rsidR="007E4A6D" w:rsidRPr="00760B25">
        <w:t xml:space="preserve">Core </w:t>
      </w:r>
      <w:r w:rsidR="00C46A6F">
        <w:t>s</w:t>
      </w:r>
      <w:r w:rsidR="007E4A6D" w:rsidRPr="00760B25">
        <w:t>ystems</w:t>
      </w:r>
      <w:bookmarkEnd w:id="60"/>
      <w:bookmarkEnd w:id="61"/>
    </w:p>
    <w:p w14:paraId="50C9020C" w14:textId="2E239059" w:rsidR="007E4A6D" w:rsidRDefault="007E4A6D" w:rsidP="001D473B">
      <w:r w:rsidRPr="00E22471">
        <w:t>Vocational learning and VET are delivered to</w:t>
      </w:r>
      <w:r>
        <w:t xml:space="preserve"> secondary students within a complex web of policy settings, governance arrangements, regulatory environments and resourcing decisions. </w:t>
      </w:r>
      <w:r w:rsidR="006B6CDC">
        <w:t>While t</w:t>
      </w:r>
      <w:r>
        <w:t>hese</w:t>
      </w:r>
      <w:r w:rsidR="006D6544">
        <w:t xml:space="preserve"> core systems</w:t>
      </w:r>
      <w:r>
        <w:t xml:space="preserve"> sit largely within schooling and VET systems</w:t>
      </w:r>
      <w:r w:rsidR="006B6CDC">
        <w:t xml:space="preserve"> and agencies</w:t>
      </w:r>
      <w:r>
        <w:t xml:space="preserve">, </w:t>
      </w:r>
      <w:r w:rsidR="006B6CDC">
        <w:t>they</w:t>
      </w:r>
      <w:r>
        <w:t xml:space="preserve"> also extend into employment. </w:t>
      </w:r>
      <w:r w:rsidRPr="002B4865">
        <w:t xml:space="preserve">The key objectives of </w:t>
      </w:r>
      <w:r w:rsidR="006B6CDC">
        <w:t>all core</w:t>
      </w:r>
      <w:r w:rsidRPr="002B4865">
        <w:t xml:space="preserve"> systems should be to make </w:t>
      </w:r>
      <w:r>
        <w:t xml:space="preserve">delivery </w:t>
      </w:r>
      <w:r w:rsidRPr="002B4865">
        <w:t>as easy and streamlined as possible</w:t>
      </w:r>
      <w:r>
        <w:t>,</w:t>
      </w:r>
      <w:r w:rsidRPr="002B4865">
        <w:t xml:space="preserve"> while ensur</w:t>
      </w:r>
      <w:r>
        <w:t>ing</w:t>
      </w:r>
      <w:r w:rsidRPr="002B4865">
        <w:t xml:space="preserve"> quality.</w:t>
      </w:r>
      <w:r>
        <w:t xml:space="preserve"> </w:t>
      </w:r>
    </w:p>
    <w:p w14:paraId="4A607853" w14:textId="43B3B35B" w:rsidR="002655B2" w:rsidRDefault="002655B2" w:rsidP="001D473B">
      <w:r>
        <w:t>Core systems facilitate t</w:t>
      </w:r>
      <w:r w:rsidRPr="00AE6DD7">
        <w:t>he best outcomes</w:t>
      </w:r>
      <w:r>
        <w:t xml:space="preserve"> for students when they </w:t>
      </w:r>
      <w:r w:rsidR="00C20C89">
        <w:t xml:space="preserve">understand and </w:t>
      </w:r>
      <w:r>
        <w:t xml:space="preserve">respect their distinct roles and responsibilities; provide clear guidance to stakeholders; recognise where their systems interact; and </w:t>
      </w:r>
      <w:r w:rsidRPr="00F45195">
        <w:t>collaborate</w:t>
      </w:r>
      <w:r>
        <w:t xml:space="preserve"> to address any points of tension.</w:t>
      </w:r>
    </w:p>
    <w:p w14:paraId="71F4EC8E" w14:textId="77777777" w:rsidR="007E4A6D" w:rsidRDefault="007E4A6D" w:rsidP="001D473B">
      <w:pPr>
        <w:pStyle w:val="Heading3"/>
      </w:pPr>
      <w:bookmarkStart w:id="62" w:name="_Toc406065062"/>
      <w:bookmarkStart w:id="63" w:name="_Toc406079719"/>
      <w:r>
        <w:t>Roles and responsibilities</w:t>
      </w:r>
      <w:bookmarkEnd w:id="62"/>
      <w:bookmarkEnd w:id="63"/>
    </w:p>
    <w:p w14:paraId="5C23ECB5" w14:textId="5FF473DD" w:rsidR="007E4A6D" w:rsidRPr="00044EA7" w:rsidRDefault="007E4A6D" w:rsidP="001D473B">
      <w:r w:rsidRPr="00044EA7">
        <w:t xml:space="preserve">Vocational learning is the responsibility of </w:t>
      </w:r>
      <w:r>
        <w:t xml:space="preserve">school systems and individual </w:t>
      </w:r>
      <w:r w:rsidRPr="00044EA7">
        <w:t xml:space="preserve">schools. </w:t>
      </w:r>
      <w:r>
        <w:t xml:space="preserve">Work-related curriculum generally comes under state and territory </w:t>
      </w:r>
      <w:r w:rsidR="006107F3">
        <w:t xml:space="preserve">boards </w:t>
      </w:r>
      <w:r>
        <w:t xml:space="preserve">of </w:t>
      </w:r>
      <w:r w:rsidR="006107F3">
        <w:t>studies</w:t>
      </w:r>
      <w:r>
        <w:t xml:space="preserve">, while the </w:t>
      </w:r>
      <w:r w:rsidRPr="00044EA7">
        <w:t xml:space="preserve">national </w:t>
      </w:r>
      <w:r>
        <w:t xml:space="preserve">Work Studies </w:t>
      </w:r>
      <w:r w:rsidRPr="00044EA7">
        <w:t xml:space="preserve">Curriculum is </w:t>
      </w:r>
      <w:r>
        <w:t>a</w:t>
      </w:r>
      <w:r w:rsidRPr="00044EA7">
        <w:t xml:space="preserve"> joint responsibility of the Australian and state and territory governments.</w:t>
      </w:r>
    </w:p>
    <w:p w14:paraId="693CD5F6" w14:textId="79C673B2" w:rsidR="007E4A6D" w:rsidRDefault="005F7A6C" w:rsidP="001D473B">
      <w:r>
        <w:t xml:space="preserve">The </w:t>
      </w:r>
      <w:r w:rsidR="007E4A6D" w:rsidRPr="00357FE3">
        <w:t>Australian</w:t>
      </w:r>
      <w:r>
        <w:t xml:space="preserve"> and</w:t>
      </w:r>
      <w:r w:rsidR="007E4A6D">
        <w:t xml:space="preserve"> </w:t>
      </w:r>
      <w:r w:rsidR="007E4A6D" w:rsidRPr="00357FE3">
        <w:t>state</w:t>
      </w:r>
      <w:r>
        <w:t>/</w:t>
      </w:r>
      <w:r w:rsidR="007E4A6D" w:rsidRPr="00357FE3">
        <w:t>territory governments have a shared role in policy leadership</w:t>
      </w:r>
      <w:r w:rsidR="007E4A6D">
        <w:t xml:space="preserve"> for VET, collaborating </w:t>
      </w:r>
      <w:r w:rsidR="007E4A6D" w:rsidRPr="00683238">
        <w:t xml:space="preserve">with </w:t>
      </w:r>
      <w:r w:rsidR="007E4A6D">
        <w:t xml:space="preserve">employers and other stakeholders on </w:t>
      </w:r>
      <w:r w:rsidR="007E4A6D" w:rsidRPr="00683238">
        <w:t>development and implementation including the regulatory framework, training packages and quality standards</w:t>
      </w:r>
      <w:r w:rsidR="007E4A6D">
        <w:t>. S</w:t>
      </w:r>
      <w:r w:rsidR="007E4A6D" w:rsidRPr="00357FE3">
        <w:t xml:space="preserve">tate and territory governments determine </w:t>
      </w:r>
      <w:r w:rsidR="007E4A6D">
        <w:t xml:space="preserve">their own </w:t>
      </w:r>
      <w:r w:rsidR="007E4A6D" w:rsidRPr="00357FE3">
        <w:t>training priorities, resourcing and delivery arrangements</w:t>
      </w:r>
      <w:r w:rsidR="007E4A6D">
        <w:t>, and consult with employers about regional skills needs and training priorities.</w:t>
      </w:r>
    </w:p>
    <w:p w14:paraId="5DE92205" w14:textId="4A6F0B08" w:rsidR="007E4A6D" w:rsidRDefault="007E4A6D" w:rsidP="001D473B">
      <w:r>
        <w:t xml:space="preserve">VET regulators </w:t>
      </w:r>
      <w:r w:rsidR="00EE671D">
        <w:t xml:space="preserve">assure </w:t>
      </w:r>
      <w:r>
        <w:t>quality within the VET system by ensuring compliance with the standards</w:t>
      </w:r>
      <w:r w:rsidR="00EE671D">
        <w:t xml:space="preserve"> for </w:t>
      </w:r>
      <w:proofErr w:type="spellStart"/>
      <w:r w:rsidR="006D6544">
        <w:t>RTO</w:t>
      </w:r>
      <w:r>
        <w:t>s</w:t>
      </w:r>
      <w:proofErr w:type="spellEnd"/>
      <w:r w:rsidR="00EE671D">
        <w:t>, training packages</w:t>
      </w:r>
      <w:r>
        <w:t xml:space="preserve"> and accredit</w:t>
      </w:r>
      <w:r w:rsidR="00EE671D">
        <w:t xml:space="preserve">ed </w:t>
      </w:r>
      <w:r>
        <w:t xml:space="preserve">courses. </w:t>
      </w:r>
    </w:p>
    <w:p w14:paraId="53CB09FC" w14:textId="25DED59F" w:rsidR="00272DAB" w:rsidRDefault="00272DAB" w:rsidP="001D473B">
      <w:r>
        <w:t xml:space="preserve">Training package developers work with an industry or group of industries to identify the skills and knowledge they need in their workforce. They then articulate those needs into the units of competency and </w:t>
      </w:r>
      <w:r>
        <w:lastRenderedPageBreak/>
        <w:t xml:space="preserve">combination of units that comprise nationally recognised training packages. </w:t>
      </w:r>
    </w:p>
    <w:p w14:paraId="2F4ADF2A" w14:textId="70B5FF8A" w:rsidR="00D6175A" w:rsidRDefault="00D6175A" w:rsidP="001D473B">
      <w:r>
        <w:t xml:space="preserve">Boards of </w:t>
      </w:r>
      <w:r w:rsidR="006107F3">
        <w:t xml:space="preserve">studies </w:t>
      </w:r>
      <w:r>
        <w:t>in each state and territory school system recognise VET in their senior secondary certificate</w:t>
      </w:r>
      <w:r w:rsidR="00E22471">
        <w:t>s</w:t>
      </w:r>
      <w:r>
        <w:t xml:space="preserve"> of education</w:t>
      </w:r>
      <w:r w:rsidR="00272DAB">
        <w:t>, acknowledging</w:t>
      </w:r>
      <w:r>
        <w:t xml:space="preserve"> that young people </w:t>
      </w:r>
      <w:r w:rsidR="00272DAB">
        <w:t xml:space="preserve">need </w:t>
      </w:r>
      <w:r>
        <w:t xml:space="preserve">flexible options to gain the skills, knowledge and understandings necessary for a range of future transitions and pathways. </w:t>
      </w:r>
      <w:r w:rsidR="00272DAB">
        <w:t xml:space="preserve">Each </w:t>
      </w:r>
      <w:r w:rsidR="00643250">
        <w:t xml:space="preserve">board of study </w:t>
      </w:r>
      <w:r w:rsidR="00272DAB">
        <w:t xml:space="preserve">decides </w:t>
      </w:r>
      <w:r>
        <w:t xml:space="preserve">how much VET can contribute to </w:t>
      </w:r>
      <w:r w:rsidR="00272DAB">
        <w:t xml:space="preserve">its </w:t>
      </w:r>
      <w:r>
        <w:t>senior secondary certificate, and how that VET is recognised</w:t>
      </w:r>
      <w:r w:rsidR="00643250">
        <w:t xml:space="preserve">. This recognition </w:t>
      </w:r>
      <w:r w:rsidR="00671E3F">
        <w:t xml:space="preserve">occurs </w:t>
      </w:r>
      <w:r w:rsidR="00643250">
        <w:t xml:space="preserve">through the following </w:t>
      </w:r>
      <w:r>
        <w:t>set of common practices:</w:t>
      </w:r>
    </w:p>
    <w:p w14:paraId="66602732" w14:textId="0F2A91D8" w:rsidR="00D6175A" w:rsidRPr="00850F52" w:rsidRDefault="00D6175A" w:rsidP="001D473B">
      <w:pPr>
        <w:pStyle w:val="ListBullet"/>
      </w:pPr>
      <w:r w:rsidRPr="00850F52">
        <w:t>all VET given credit towards a senior secondary certificate is drawn from nationally recognised training packages or accredited courses</w:t>
      </w:r>
    </w:p>
    <w:p w14:paraId="11CC9A4F" w14:textId="4FEA9552" w:rsidR="00D6175A" w:rsidRPr="00850F52" w:rsidRDefault="00D6175A" w:rsidP="001D473B">
      <w:pPr>
        <w:pStyle w:val="ListBullet"/>
      </w:pPr>
      <w:r w:rsidRPr="00850F52">
        <w:t xml:space="preserve">the VET is delivered and/or assessed either by, or in partnership with, </w:t>
      </w:r>
      <w:proofErr w:type="spellStart"/>
      <w:r w:rsidR="0010171C">
        <w:t>RTOs</w:t>
      </w:r>
      <w:proofErr w:type="spellEnd"/>
      <w:r w:rsidRPr="00850F52">
        <w:t xml:space="preserve"> </w:t>
      </w:r>
      <w:r w:rsidR="00D22395">
        <w:t>that</w:t>
      </w:r>
      <w:r w:rsidRPr="00850F52">
        <w:t xml:space="preserve"> comply with the VET Quality Framework</w:t>
      </w:r>
    </w:p>
    <w:p w14:paraId="714886D0" w14:textId="48A8A629" w:rsidR="00D6175A" w:rsidRPr="00850F52" w:rsidRDefault="00D6175A" w:rsidP="001D473B">
      <w:pPr>
        <w:pStyle w:val="ListBullet"/>
      </w:pPr>
      <w:r w:rsidRPr="00850F52">
        <w:t>all VET that gains credit towards a senior secondary certificate is assessed within a competency-based assessment framework by assessors who comply with the VET Quality Framework</w:t>
      </w:r>
    </w:p>
    <w:p w14:paraId="0668C9A9" w14:textId="7C0623BD" w:rsidR="00D6175A" w:rsidRPr="00850F52" w:rsidRDefault="00D6175A" w:rsidP="001D473B">
      <w:pPr>
        <w:pStyle w:val="ListBullet"/>
      </w:pPr>
      <w:r>
        <w:t>secondary</w:t>
      </w:r>
      <w:r w:rsidRPr="00850F52">
        <w:t xml:space="preserve"> students are awarded nationally recognised VET qualifications and/or Statements of Attainment by the </w:t>
      </w:r>
      <w:proofErr w:type="spellStart"/>
      <w:r w:rsidR="00D942B8">
        <w:t>RTO</w:t>
      </w:r>
      <w:proofErr w:type="spellEnd"/>
      <w:r w:rsidRPr="00850F52">
        <w:t xml:space="preserve"> delivering and/or assessing the VET</w:t>
      </w:r>
    </w:p>
    <w:p w14:paraId="7D0D01AD" w14:textId="12960B84" w:rsidR="00D6175A" w:rsidRPr="00850F52" w:rsidRDefault="00D6175A" w:rsidP="001D473B">
      <w:pPr>
        <w:pStyle w:val="ListBullet"/>
      </w:pPr>
      <w:proofErr w:type="gramStart"/>
      <w:r w:rsidRPr="00850F52">
        <w:t>each</w:t>
      </w:r>
      <w:proofErr w:type="gramEnd"/>
      <w:r w:rsidRPr="00850F52">
        <w:t xml:space="preserve"> </w:t>
      </w:r>
      <w:r w:rsidR="00643250">
        <w:t xml:space="preserve">board of study </w:t>
      </w:r>
      <w:r w:rsidRPr="00850F52">
        <w:t xml:space="preserve">consults with industry groups </w:t>
      </w:r>
      <w:r w:rsidR="00BB2B6B">
        <w:t>in</w:t>
      </w:r>
      <w:r w:rsidRPr="00850F52">
        <w:t xml:space="preserve"> </w:t>
      </w:r>
      <w:r w:rsidR="00BB2B6B">
        <w:t>its</w:t>
      </w:r>
      <w:r w:rsidRPr="00850F52">
        <w:t xml:space="preserve"> state</w:t>
      </w:r>
      <w:r w:rsidR="00BB2B6B">
        <w:t xml:space="preserve"> or </w:t>
      </w:r>
      <w:r w:rsidRPr="00850F52">
        <w:t>territory about the recognition arrangements between VET and its senior secondary certificate.</w:t>
      </w:r>
    </w:p>
    <w:p w14:paraId="4632E4DA" w14:textId="77777777" w:rsidR="009079A2" w:rsidRDefault="009079A2">
      <w:pPr>
        <w:spacing w:after="200" w:line="276" w:lineRule="auto"/>
        <w:rPr>
          <w:rFonts w:eastAsiaTheme="majorEastAsia" w:cstheme="majorBidi"/>
          <w:b/>
          <w:bCs/>
          <w:color w:val="58317F"/>
          <w:sz w:val="24"/>
        </w:rPr>
      </w:pPr>
      <w:bookmarkStart w:id="64" w:name="_Toc406065063"/>
      <w:r>
        <w:br w:type="page"/>
      </w:r>
    </w:p>
    <w:p w14:paraId="77064D45" w14:textId="48322143" w:rsidR="00F45195" w:rsidRPr="00991250" w:rsidRDefault="00F45195" w:rsidP="001D473B">
      <w:pPr>
        <w:pStyle w:val="Heading3"/>
      </w:pPr>
      <w:bookmarkStart w:id="65" w:name="_Toc406079720"/>
      <w:r>
        <w:lastRenderedPageBreak/>
        <w:t>Providing clear guidance</w:t>
      </w:r>
      <w:bookmarkEnd w:id="64"/>
      <w:bookmarkEnd w:id="65"/>
    </w:p>
    <w:p w14:paraId="47CF40FC" w14:textId="5D6F60B7" w:rsidR="00A859F8" w:rsidRDefault="00A859F8" w:rsidP="001D473B">
      <w:r>
        <w:t xml:space="preserve">The first responsibility of core systems is to provide clear guidance to the different stakeholders involved in the delivery of vocational learning and VET to secondary students. For </w:t>
      </w:r>
      <w:r w:rsidRPr="00FB6141">
        <w:t xml:space="preserve">example, school systems </w:t>
      </w:r>
      <w:r>
        <w:t>have a key role in advising</w:t>
      </w:r>
      <w:r w:rsidRPr="00FB6141">
        <w:t xml:space="preserve"> schools on the different ways that they can provide </w:t>
      </w:r>
      <w:r>
        <w:t xml:space="preserve">their </w:t>
      </w:r>
      <w:r w:rsidRPr="00FB6141">
        <w:t>students with access to VET, such as becoming a</w:t>
      </w:r>
      <w:r w:rsidR="004A2841">
        <w:t>n</w:t>
      </w:r>
      <w:r w:rsidRPr="00FB6141">
        <w:t xml:space="preserve"> </w:t>
      </w:r>
      <w:proofErr w:type="spellStart"/>
      <w:r w:rsidR="004A2841">
        <w:t>RTO</w:t>
      </w:r>
      <w:proofErr w:type="spellEnd"/>
      <w:r>
        <w:t>;</w:t>
      </w:r>
      <w:r w:rsidRPr="00FB6141">
        <w:t xml:space="preserve"> entering into </w:t>
      </w:r>
      <w:proofErr w:type="spellStart"/>
      <w:r w:rsidRPr="00FB6141">
        <w:t>auspicing</w:t>
      </w:r>
      <w:proofErr w:type="spellEnd"/>
      <w:r w:rsidRPr="00FB6141">
        <w:t xml:space="preserve"> arrangements</w:t>
      </w:r>
      <w:r>
        <w:t xml:space="preserve"> with </w:t>
      </w:r>
      <w:r w:rsidR="00A86924">
        <w:t xml:space="preserve">public, </w:t>
      </w:r>
      <w:r>
        <w:t xml:space="preserve">private or school system </w:t>
      </w:r>
      <w:proofErr w:type="spellStart"/>
      <w:r>
        <w:t>RTOs</w:t>
      </w:r>
      <w:proofErr w:type="spellEnd"/>
      <w:r>
        <w:t>;</w:t>
      </w:r>
      <w:r w:rsidRPr="00FB6141">
        <w:t xml:space="preserve"> using </w:t>
      </w:r>
      <w:r>
        <w:t>purchaser-provider arrangements;</w:t>
      </w:r>
      <w:r w:rsidRPr="00FB6141">
        <w:t xml:space="preserve"> or a combination of these. </w:t>
      </w:r>
    </w:p>
    <w:p w14:paraId="74FCD331" w14:textId="4CFFFB19" w:rsidR="00A859F8" w:rsidRDefault="00A859F8" w:rsidP="001D473B">
      <w:r>
        <w:t xml:space="preserve">School systems can reduce the burden on schools, and give them </w:t>
      </w:r>
      <w:r w:rsidRPr="00A859F8">
        <w:t>confidence</w:t>
      </w:r>
      <w:r>
        <w:t xml:space="preserve"> that they are making the best choice</w:t>
      </w:r>
      <w:r w:rsidR="004A2841">
        <w:t>s</w:t>
      </w:r>
      <w:r>
        <w:t xml:space="preserve"> for students, by advising schools on the different models; </w:t>
      </w:r>
      <w:r w:rsidRPr="00FC50F6">
        <w:t>their cost, resourcing and quality implications</w:t>
      </w:r>
      <w:r w:rsidR="00FC50F6">
        <w:t xml:space="preserve">; and </w:t>
      </w:r>
      <w:r w:rsidRPr="00FC50F6">
        <w:t xml:space="preserve">ways to identify </w:t>
      </w:r>
      <w:r w:rsidR="00FC50F6">
        <w:t xml:space="preserve">quality external </w:t>
      </w:r>
      <w:proofErr w:type="spellStart"/>
      <w:r w:rsidR="004A2841">
        <w:t>RTOs</w:t>
      </w:r>
      <w:proofErr w:type="spellEnd"/>
      <w:r w:rsidR="00FC50F6">
        <w:t>.</w:t>
      </w:r>
    </w:p>
    <w:p w14:paraId="223F023A" w14:textId="1C7FE101" w:rsidR="00E37941" w:rsidRDefault="00D51809" w:rsidP="001D473B">
      <w:r w:rsidRPr="00D51809">
        <w:t xml:space="preserve">Australian </w:t>
      </w:r>
      <w:r w:rsidR="004857D5">
        <w:t xml:space="preserve">governments, </w:t>
      </w:r>
      <w:r w:rsidRPr="00D51809">
        <w:t>working with</w:t>
      </w:r>
      <w:r>
        <w:t xml:space="preserve"> training package developers, could</w:t>
      </w:r>
      <w:r w:rsidR="00375873">
        <w:t xml:space="preserve"> greatly improve </w:t>
      </w:r>
      <w:r w:rsidR="00375873" w:rsidRPr="000657CB">
        <w:rPr>
          <w:rStyle w:val="Componentcross-reference"/>
          <w:rFonts w:asciiTheme="minorHAnsi" w:hAnsiTheme="minorHAnsi" w:cstheme="minorHAnsi"/>
          <w:b/>
        </w:rPr>
        <w:t>clarity</w:t>
      </w:r>
      <w:r w:rsidR="00375873">
        <w:t xml:space="preserve"> by requiring training packages to provide clear guidance on those aspects where </w:t>
      </w:r>
      <w:r w:rsidR="00B1729E">
        <w:t>ambiguity exists</w:t>
      </w:r>
      <w:r w:rsidR="00375873">
        <w:t xml:space="preserve">. </w:t>
      </w:r>
      <w:r w:rsidR="00E37941">
        <w:t xml:space="preserve">For example, there are currently differing views among employers, schools, school systems and </w:t>
      </w:r>
      <w:proofErr w:type="spellStart"/>
      <w:r w:rsidR="004A2841">
        <w:t>RTOs</w:t>
      </w:r>
      <w:proofErr w:type="spellEnd"/>
      <w:r w:rsidR="00E37941">
        <w:t xml:space="preserve"> about whether students should be able to do particular qualifications in particular settings.</w:t>
      </w:r>
    </w:p>
    <w:p w14:paraId="6645359F" w14:textId="272C92A1" w:rsidR="00375873" w:rsidRDefault="00E37941" w:rsidP="001D473B">
      <w:pPr>
        <w:rPr>
          <w:color w:val="1F497D"/>
        </w:rPr>
      </w:pPr>
      <w:r>
        <w:t xml:space="preserve">Employers </w:t>
      </w:r>
      <w:r w:rsidR="00375873">
        <w:t xml:space="preserve">may </w:t>
      </w:r>
      <w:r>
        <w:t xml:space="preserve">also </w:t>
      </w:r>
      <w:r w:rsidR="00375873">
        <w:t xml:space="preserve">expect students to have experienced on-the-job learning, even though this requirement may only be implied or optional in the training package. Training package developers could be more specific about the on-the-job requirements of a training package, recognising that this would require employers and </w:t>
      </w:r>
      <w:proofErr w:type="spellStart"/>
      <w:r w:rsidR="004A2841">
        <w:t>RTOs</w:t>
      </w:r>
      <w:proofErr w:type="spellEnd"/>
      <w:r w:rsidR="00375873">
        <w:t xml:space="preserve"> to be able and willing to provide the necessary placements.</w:t>
      </w:r>
    </w:p>
    <w:p w14:paraId="08270AB4" w14:textId="31E1BD30" w:rsidR="007175B2" w:rsidRDefault="004857D5" w:rsidP="001D473B">
      <w:r>
        <w:t xml:space="preserve">Training </w:t>
      </w:r>
      <w:r w:rsidR="007175B2">
        <w:t>package</w:t>
      </w:r>
      <w:r w:rsidR="001236F8">
        <w:t>s</w:t>
      </w:r>
      <w:r w:rsidR="007175B2">
        <w:t xml:space="preserve"> and accredited courses </w:t>
      </w:r>
      <w:r>
        <w:t xml:space="preserve">should </w:t>
      </w:r>
      <w:r w:rsidR="007175B2">
        <w:t xml:space="preserve">include a plain English description </w:t>
      </w:r>
      <w:r w:rsidR="00A0025B">
        <w:t>to give</w:t>
      </w:r>
      <w:r w:rsidR="007175B2">
        <w:t xml:space="preserve"> students and parents a clear understanding of</w:t>
      </w:r>
      <w:r w:rsidR="00A0025B">
        <w:t xml:space="preserve"> what the qualification is, what </w:t>
      </w:r>
      <w:r w:rsidR="00A84EBF">
        <w:t>occupation</w:t>
      </w:r>
      <w:r w:rsidR="00A0025B">
        <w:t xml:space="preserve">(s) it can lead to, and what education and training pathways it can </w:t>
      </w:r>
      <w:r w:rsidR="00BB2B6B">
        <w:t>lead to</w:t>
      </w:r>
      <w:r w:rsidR="00A84EBF">
        <w:t xml:space="preserve">. For accredited courses, this </w:t>
      </w:r>
      <w:r w:rsidR="00BB2B6B">
        <w:t xml:space="preserve">information </w:t>
      </w:r>
      <w:r w:rsidR="00A84EBF">
        <w:t xml:space="preserve">could include whether the course is drawn from a national training package, and if not, </w:t>
      </w:r>
      <w:r w:rsidR="00A84EBF">
        <w:lastRenderedPageBreak/>
        <w:t>whether the purpose of the course is primarily general work-related learning (</w:t>
      </w:r>
      <w:r w:rsidR="00B1729E">
        <w:t>therefore</w:t>
      </w:r>
      <w:r w:rsidR="00A84EBF">
        <w:t xml:space="preserve"> more aligned with vocational learning), or the acquisition of workplace skills.</w:t>
      </w:r>
    </w:p>
    <w:p w14:paraId="5CD24B1E" w14:textId="7D6699C1" w:rsidR="00A859F8" w:rsidRDefault="00E94430" w:rsidP="001D473B">
      <w:r>
        <w:t>Any n</w:t>
      </w:r>
      <w:r w:rsidR="007175B2">
        <w:t xml:space="preserve">ew </w:t>
      </w:r>
      <w:r w:rsidR="00A859F8" w:rsidRPr="001A1234">
        <w:t>requirement</w:t>
      </w:r>
      <w:r w:rsidR="007175B2">
        <w:t xml:space="preserve">s </w:t>
      </w:r>
      <w:r w:rsidR="00903482">
        <w:t xml:space="preserve">should be phased </w:t>
      </w:r>
      <w:r w:rsidR="00A859F8" w:rsidRPr="001A1234">
        <w:t xml:space="preserve">in as training packages </w:t>
      </w:r>
      <w:r w:rsidR="006613A1">
        <w:t xml:space="preserve">and accredited courses </w:t>
      </w:r>
      <w:r w:rsidR="00A859F8" w:rsidRPr="001A1234">
        <w:t>are updated</w:t>
      </w:r>
      <w:r w:rsidR="00E37941">
        <w:t xml:space="preserve">. </w:t>
      </w:r>
      <w:r w:rsidR="00E37941" w:rsidRPr="001A1234">
        <w:t xml:space="preserve">Comprehensive </w:t>
      </w:r>
      <w:r w:rsidR="00A859F8" w:rsidRPr="001A1234">
        <w:t xml:space="preserve">consultation </w:t>
      </w:r>
      <w:r w:rsidR="00E37941">
        <w:t xml:space="preserve">should </w:t>
      </w:r>
      <w:r w:rsidR="00A859F8">
        <w:t xml:space="preserve">explain the rationale </w:t>
      </w:r>
      <w:r w:rsidR="00AA1F73">
        <w:t xml:space="preserve">for changes </w:t>
      </w:r>
      <w:r w:rsidR="00E37941">
        <w:t xml:space="preserve">to training package requirements </w:t>
      </w:r>
      <w:r>
        <w:t xml:space="preserve">and individual </w:t>
      </w:r>
      <w:r w:rsidR="00A859F8">
        <w:t>training packages</w:t>
      </w:r>
      <w:r w:rsidR="006613A1">
        <w:t xml:space="preserve"> and accredited courses</w:t>
      </w:r>
      <w:r w:rsidR="00E37941">
        <w:t xml:space="preserve">, and </w:t>
      </w:r>
      <w:r w:rsidR="00156C4F">
        <w:t>aim to avoid</w:t>
      </w:r>
      <w:r w:rsidR="00E37941">
        <w:t xml:space="preserve"> any unintended consequences</w:t>
      </w:r>
      <w:r w:rsidR="00A859F8">
        <w:t>.</w:t>
      </w:r>
      <w:r w:rsidR="00903482" w:rsidRPr="00903482">
        <w:t xml:space="preserve"> </w:t>
      </w:r>
    </w:p>
    <w:p w14:paraId="0A98B2CA" w14:textId="77777777" w:rsidR="00F45195" w:rsidRDefault="002655B2" w:rsidP="001D473B">
      <w:pPr>
        <w:pStyle w:val="Heading3"/>
      </w:pPr>
      <w:bookmarkStart w:id="66" w:name="_Toc406065064"/>
      <w:bookmarkStart w:id="67" w:name="_Toc406079721"/>
      <w:r>
        <w:t>Addressing</w:t>
      </w:r>
      <w:r w:rsidR="00F45195">
        <w:t xml:space="preserve"> tensions</w:t>
      </w:r>
      <w:bookmarkEnd w:id="66"/>
      <w:bookmarkEnd w:id="67"/>
    </w:p>
    <w:p w14:paraId="1F0FB0A6" w14:textId="44B72450" w:rsidR="007E4A6D" w:rsidRDefault="007E4A6D" w:rsidP="001D473B">
      <w:r>
        <w:t>Sometimes there is a tension between policies or regulations established by one system to fulfil its responsibilities, and a desirable feature of vocational learning and VET. For example, s</w:t>
      </w:r>
      <w:r w:rsidRPr="00034CB4">
        <w:t>chool</w:t>
      </w:r>
      <w:r w:rsidRPr="00605743">
        <w:t xml:space="preserve"> systems </w:t>
      </w:r>
      <w:r>
        <w:t xml:space="preserve">are accountable for the quality of schooling, and fulfil this through </w:t>
      </w:r>
      <w:r w:rsidR="00096780">
        <w:t>regulations on</w:t>
      </w:r>
      <w:r>
        <w:t xml:space="preserve"> things such as </w:t>
      </w:r>
      <w:r w:rsidRPr="00BB604D">
        <w:t xml:space="preserve">who can teach in a school. These policies can make it more </w:t>
      </w:r>
      <w:r>
        <w:t xml:space="preserve">difficult for </w:t>
      </w:r>
      <w:r w:rsidR="00FC059C">
        <w:t xml:space="preserve">tradespeople </w:t>
      </w:r>
      <w:r w:rsidR="006D6544">
        <w:t xml:space="preserve">and others with relevant skills </w:t>
      </w:r>
      <w:r w:rsidRPr="00DA43C6">
        <w:t xml:space="preserve">to deliver training </w:t>
      </w:r>
      <w:r w:rsidRPr="00BB604D">
        <w:t>within schools, even t</w:t>
      </w:r>
      <w:r>
        <w:t>hough school systems recognise that quality is increased when people with deep industry knowledge and expertise are involved</w:t>
      </w:r>
      <w:r w:rsidRPr="00DA43C6">
        <w:t xml:space="preserve">. </w:t>
      </w:r>
      <w:r>
        <w:t xml:space="preserve">Similarly, the VET system requirements for trainers to have current industry expertise can </w:t>
      </w:r>
      <w:r w:rsidR="00C34F9A">
        <w:t>mean that</w:t>
      </w:r>
      <w:r>
        <w:t xml:space="preserve"> teachers </w:t>
      </w:r>
      <w:r w:rsidR="00C34F9A">
        <w:t xml:space="preserve">are not qualified to </w:t>
      </w:r>
      <w:r>
        <w:t xml:space="preserve">deliver </w:t>
      </w:r>
      <w:r w:rsidR="00CD3E4F">
        <w:t>VET</w:t>
      </w:r>
      <w:r>
        <w:t xml:space="preserve">. </w:t>
      </w:r>
    </w:p>
    <w:p w14:paraId="37F88BCC" w14:textId="77777777" w:rsidR="00020ED9" w:rsidRDefault="00020ED9" w:rsidP="001D473B">
      <w:r>
        <w:t xml:space="preserve">In other cases, two core systems </w:t>
      </w:r>
      <w:r w:rsidR="002878DE">
        <w:t xml:space="preserve">have </w:t>
      </w:r>
      <w:r>
        <w:t xml:space="preserve">separate mechanisms to fulfil similar responsibilities, such as workplace safety or the protection of young people. When secondary students go into the workplace, employers often have to comply with both. This administrative burden on employers could be reduced through </w:t>
      </w:r>
      <w:r w:rsidRPr="000657CB">
        <w:rPr>
          <w:rStyle w:val="Componentcross-reference"/>
          <w:rFonts w:asciiTheme="minorHAnsi" w:hAnsiTheme="minorHAnsi" w:cstheme="minorHAnsi"/>
          <w:b/>
        </w:rPr>
        <w:t>collaboration</w:t>
      </w:r>
      <w:r>
        <w:t xml:space="preserve"> between the schooling and employment sectors to streamline the requirements.</w:t>
      </w:r>
    </w:p>
    <w:p w14:paraId="5517F37D" w14:textId="37E18C53" w:rsidR="00ED5B11" w:rsidRDefault="00F919C1" w:rsidP="001D473B">
      <w:r>
        <w:t xml:space="preserve">Interaction </w:t>
      </w:r>
      <w:r w:rsidR="00EF5B87">
        <w:t xml:space="preserve">between state-based policies </w:t>
      </w:r>
      <w:r>
        <w:t>can lead to unintended consequences</w:t>
      </w:r>
      <w:r w:rsidR="00EF5B87">
        <w:t>. For example</w:t>
      </w:r>
      <w:r w:rsidR="00AC30CF">
        <w:t>,</w:t>
      </w:r>
      <w:r w:rsidR="00EF5B87">
        <w:t xml:space="preserve"> </w:t>
      </w:r>
      <w:r w:rsidR="00296D5F">
        <w:t>in some jurisdiction</w:t>
      </w:r>
      <w:r w:rsidR="00A63792">
        <w:t>s</w:t>
      </w:r>
      <w:r w:rsidR="00296D5F">
        <w:t xml:space="preserve"> </w:t>
      </w:r>
      <w:r w:rsidR="00EF5B87" w:rsidRPr="00ED23C5">
        <w:t xml:space="preserve">students </w:t>
      </w:r>
      <w:r w:rsidR="00296D5F">
        <w:t xml:space="preserve">who </w:t>
      </w:r>
      <w:r w:rsidR="00790D31" w:rsidRPr="00790D31">
        <w:t xml:space="preserve">achieve a </w:t>
      </w:r>
      <w:r w:rsidR="00D37C8B" w:rsidRPr="00790D31">
        <w:t xml:space="preserve">Certificate II </w:t>
      </w:r>
      <w:r w:rsidR="00790D31" w:rsidRPr="00790D31">
        <w:t>or higher</w:t>
      </w:r>
      <w:r w:rsidR="00790D31">
        <w:t xml:space="preserve"> qualification</w:t>
      </w:r>
      <w:r w:rsidR="00A63792">
        <w:t xml:space="preserve"> </w:t>
      </w:r>
      <w:r w:rsidR="00296D5F">
        <w:t xml:space="preserve">while at school </w:t>
      </w:r>
      <w:r w:rsidR="00EF5B87">
        <w:t xml:space="preserve">may become ineligible </w:t>
      </w:r>
      <w:r w:rsidR="00A63792">
        <w:t xml:space="preserve">to </w:t>
      </w:r>
      <w:r w:rsidR="00A63792">
        <w:lastRenderedPageBreak/>
        <w:t xml:space="preserve">access a subsidised place for post-school </w:t>
      </w:r>
      <w:r w:rsidR="00D37C8B">
        <w:t xml:space="preserve">VET </w:t>
      </w:r>
      <w:r w:rsidR="00A63792">
        <w:t>in a different field</w:t>
      </w:r>
      <w:r w:rsidR="00EF5B87">
        <w:t xml:space="preserve">. </w:t>
      </w:r>
    </w:p>
    <w:p w14:paraId="12E4EF36" w14:textId="1850DCA0" w:rsidR="00ED5B11" w:rsidRDefault="00EF5B87" w:rsidP="001D473B">
      <w:r>
        <w:t>Unintended consequences can also be caused by interactions between state and national policies</w:t>
      </w:r>
      <w:r w:rsidR="00296D5F">
        <w:t xml:space="preserve">. In </w:t>
      </w:r>
      <w:r w:rsidR="00FC0355">
        <w:t xml:space="preserve">some </w:t>
      </w:r>
      <w:r>
        <w:t>industries</w:t>
      </w:r>
      <w:r w:rsidR="00FC0355">
        <w:t xml:space="preserve">, for example, </w:t>
      </w:r>
      <w:r>
        <w:t>com</w:t>
      </w:r>
      <w:r w:rsidR="00FC0355">
        <w:t xml:space="preserve">petency-based wage progression puts some </w:t>
      </w:r>
      <w:r>
        <w:t xml:space="preserve">students with VET qualifications </w:t>
      </w:r>
      <w:r w:rsidR="00A63792">
        <w:t>on a higher pay scale than</w:t>
      </w:r>
      <w:r w:rsidR="00FC0355">
        <w:t xml:space="preserve"> </w:t>
      </w:r>
      <w:r w:rsidR="00242AE1">
        <w:t xml:space="preserve">some </w:t>
      </w:r>
      <w:r w:rsidR="00A63792">
        <w:t xml:space="preserve">employers consider appropriate </w:t>
      </w:r>
      <w:r w:rsidR="00FC0355">
        <w:t xml:space="preserve">for </w:t>
      </w:r>
      <w:r w:rsidR="00790D31">
        <w:t>the amount of</w:t>
      </w:r>
      <w:r w:rsidR="00A63792">
        <w:t xml:space="preserve"> on-the-job experience</w:t>
      </w:r>
      <w:r w:rsidR="00790D31">
        <w:t xml:space="preserve"> they have had</w:t>
      </w:r>
      <w:r>
        <w:t xml:space="preserve">, </w:t>
      </w:r>
      <w:r w:rsidR="00A63792">
        <w:t xml:space="preserve">particularly </w:t>
      </w:r>
      <w:r w:rsidR="00ED5B11">
        <w:t>compared to full-time apprentices</w:t>
      </w:r>
      <w:r>
        <w:t xml:space="preserve">. </w:t>
      </w:r>
      <w:r w:rsidR="00FC0355">
        <w:t xml:space="preserve">As a result, </w:t>
      </w:r>
      <w:r w:rsidR="00790D31">
        <w:t xml:space="preserve">these </w:t>
      </w:r>
      <w:r w:rsidR="00FC0355">
        <w:t>students find that their VET qualifications actually disadvantage them in the employment market.</w:t>
      </w:r>
    </w:p>
    <w:p w14:paraId="73B99433" w14:textId="7488EBE7" w:rsidR="00EF5B87" w:rsidRDefault="00ED5B11" w:rsidP="001D473B">
      <w:r>
        <w:t>At all levels,</w:t>
      </w:r>
      <w:r w:rsidR="00433F12">
        <w:t xml:space="preserve"> the core systems need to</w:t>
      </w:r>
      <w:r>
        <w:t xml:space="preserve"> </w:t>
      </w:r>
      <w:r w:rsidRPr="000657CB">
        <w:rPr>
          <w:rStyle w:val="Componentcross-reference"/>
          <w:rFonts w:asciiTheme="minorHAnsi" w:hAnsiTheme="minorHAnsi" w:cstheme="minorHAnsi"/>
          <w:b/>
        </w:rPr>
        <w:t>c</w:t>
      </w:r>
      <w:r w:rsidR="00EF5B87" w:rsidRPr="000657CB">
        <w:rPr>
          <w:rStyle w:val="Componentcross-reference"/>
          <w:rFonts w:asciiTheme="minorHAnsi" w:hAnsiTheme="minorHAnsi" w:cstheme="minorHAnsi"/>
          <w:b/>
        </w:rPr>
        <w:t>ollaborat</w:t>
      </w:r>
      <w:r w:rsidR="00433F12" w:rsidRPr="000657CB">
        <w:rPr>
          <w:rStyle w:val="Componentcross-reference"/>
          <w:rFonts w:asciiTheme="minorHAnsi" w:hAnsiTheme="minorHAnsi" w:cstheme="minorHAnsi"/>
          <w:b/>
        </w:rPr>
        <w:t>e</w:t>
      </w:r>
      <w:r w:rsidR="00EF5B87">
        <w:t xml:space="preserve"> to </w:t>
      </w:r>
      <w:r w:rsidR="00433F12">
        <w:t>ensure</w:t>
      </w:r>
      <w:r w:rsidR="00EF5B87">
        <w:t xml:space="preserve"> that schools, </w:t>
      </w:r>
      <w:proofErr w:type="spellStart"/>
      <w:r w:rsidR="000961C0">
        <w:t>RTOs</w:t>
      </w:r>
      <w:proofErr w:type="spellEnd"/>
      <w:r w:rsidR="00EF5B87">
        <w:t xml:space="preserve"> and students are aware of these consequences, and to </w:t>
      </w:r>
      <w:r w:rsidR="00433F12">
        <w:t>find</w:t>
      </w:r>
      <w:r>
        <w:t xml:space="preserve"> ways to reduce</w:t>
      </w:r>
      <w:r w:rsidR="00EF5B87">
        <w:t xml:space="preserve"> them.</w:t>
      </w:r>
    </w:p>
    <w:p w14:paraId="31776176" w14:textId="77777777" w:rsidR="00191842" w:rsidRDefault="00191842" w:rsidP="001D473B">
      <w:pPr>
        <w:pStyle w:val="Heading3"/>
      </w:pPr>
      <w:bookmarkStart w:id="68" w:name="_Toc406065065"/>
      <w:bookmarkStart w:id="69" w:name="_Toc406079722"/>
      <w:r>
        <w:t>Measuring performance</w:t>
      </w:r>
      <w:bookmarkEnd w:id="68"/>
      <w:bookmarkEnd w:id="69"/>
    </w:p>
    <w:p w14:paraId="4BE2CC4D" w14:textId="6E761075" w:rsidR="00191842" w:rsidRDefault="00C172DC" w:rsidP="001D473B">
      <w:r>
        <w:t xml:space="preserve">Measurements </w:t>
      </w:r>
      <w:r w:rsidR="00191842">
        <w:t xml:space="preserve">of performance depend on </w:t>
      </w:r>
      <w:r w:rsidR="00202C1F">
        <w:t xml:space="preserve">a clear and accepted definition of what is </w:t>
      </w:r>
      <w:r w:rsidR="00191842">
        <w:t xml:space="preserve">success. </w:t>
      </w:r>
      <w:r w:rsidR="00202C1F">
        <w:t xml:space="preserve">To </w:t>
      </w:r>
      <w:r w:rsidR="00191842">
        <w:t xml:space="preserve">be </w:t>
      </w:r>
      <w:r w:rsidR="00202C1F">
        <w:t xml:space="preserve">recognised </w:t>
      </w:r>
      <w:r w:rsidR="00191842">
        <w:t>as fair and accurate</w:t>
      </w:r>
      <w:r w:rsidR="00202C1F">
        <w:t>, the</w:t>
      </w:r>
      <w:r w:rsidR="00191842">
        <w:t xml:space="preserve"> definition </w:t>
      </w:r>
      <w:r w:rsidR="00202C1F">
        <w:t xml:space="preserve">of success for any activity </w:t>
      </w:r>
      <w:r w:rsidR="00191842">
        <w:t xml:space="preserve">needs to reflect </w:t>
      </w:r>
      <w:r w:rsidR="00202C1F">
        <w:t xml:space="preserve">the </w:t>
      </w:r>
      <w:r w:rsidR="00191842">
        <w:t xml:space="preserve">purpose and </w:t>
      </w:r>
      <w:r w:rsidR="00202C1F">
        <w:t xml:space="preserve">intended </w:t>
      </w:r>
      <w:r w:rsidR="00191842">
        <w:t>outcomes.</w:t>
      </w:r>
    </w:p>
    <w:p w14:paraId="56C4770B" w14:textId="09327A8C" w:rsidR="0013052F" w:rsidRDefault="00191842" w:rsidP="001D473B">
      <w:r>
        <w:t xml:space="preserve">School and VET systems need to </w:t>
      </w:r>
      <w:r w:rsidR="0013052F">
        <w:t xml:space="preserve">ensure that </w:t>
      </w:r>
      <w:r>
        <w:t xml:space="preserve">their data collections reflect the purpose of VET delivered to secondary students </w:t>
      </w:r>
      <w:r w:rsidR="0013052F">
        <w:t xml:space="preserve">as </w:t>
      </w:r>
      <w:r w:rsidR="00202C1F">
        <w:t>outlined in this framework</w:t>
      </w:r>
      <w:r w:rsidR="006E4E74">
        <w:t>—</w:t>
      </w:r>
      <w:r>
        <w:t xml:space="preserve">primarily </w:t>
      </w:r>
      <w:r w:rsidR="00202C1F">
        <w:t xml:space="preserve">aimed at </w:t>
      </w:r>
      <w:r>
        <w:t xml:space="preserve">skills acquisition, but also </w:t>
      </w:r>
      <w:r w:rsidR="005223E9">
        <w:t xml:space="preserve">a valid and valuable way for students to test </w:t>
      </w:r>
      <w:r>
        <w:t>career</w:t>
      </w:r>
      <w:r w:rsidR="005223E9">
        <w:t xml:space="preserve"> </w:t>
      </w:r>
      <w:r w:rsidR="00202C1F">
        <w:t>possibilities</w:t>
      </w:r>
      <w:r>
        <w:t xml:space="preserve">. </w:t>
      </w:r>
    </w:p>
    <w:p w14:paraId="4A17CF5D" w14:textId="13DC859A" w:rsidR="00191842" w:rsidRDefault="00E22513" w:rsidP="001D473B">
      <w:r>
        <w:t xml:space="preserve">The success of </w:t>
      </w:r>
      <w:r w:rsidR="0013052F">
        <w:t xml:space="preserve">VET </w:t>
      </w:r>
      <w:r>
        <w:t xml:space="preserve">delivered to secondary students </w:t>
      </w:r>
      <w:r w:rsidR="00202C1F">
        <w:t xml:space="preserve">should not be </w:t>
      </w:r>
      <w:r w:rsidR="0013052F">
        <w:t xml:space="preserve">measured </w:t>
      </w:r>
      <w:r w:rsidR="00202C1F">
        <w:t xml:space="preserve">simply </w:t>
      </w:r>
      <w:r>
        <w:t xml:space="preserve">based on </w:t>
      </w:r>
      <w:r w:rsidR="00202C1F">
        <w:t xml:space="preserve">whether </w:t>
      </w:r>
      <w:proofErr w:type="spellStart"/>
      <w:r w:rsidR="00202C1F">
        <w:t>students</w:t>
      </w:r>
      <w:proofErr w:type="spellEnd"/>
      <w:r w:rsidR="00202C1F">
        <w:t xml:space="preserve"> progress to further education or employment in the same field when they leave school.</w:t>
      </w:r>
      <w:r w:rsidR="0013052F">
        <w:t xml:space="preserve"> Other curriculum subjects are not deemed </w:t>
      </w:r>
      <w:r>
        <w:t xml:space="preserve">unsuccessful </w:t>
      </w:r>
      <w:r w:rsidR="0013052F">
        <w:t xml:space="preserve">if students do not pursue those subjects in university, or enter a job in the same field. Rather, school systems and the community accept that secondary students choose their non-VET subjects for a range of </w:t>
      </w:r>
      <w:r>
        <w:lastRenderedPageBreak/>
        <w:t xml:space="preserve">equally valid </w:t>
      </w:r>
      <w:r w:rsidR="0013052F">
        <w:t xml:space="preserve">reasons. </w:t>
      </w:r>
      <w:r>
        <w:t>The same standard</w:t>
      </w:r>
      <w:r w:rsidR="0013052F">
        <w:t xml:space="preserve"> must apply to the VET courses that students </w:t>
      </w:r>
      <w:r w:rsidR="007B2DEC">
        <w:t>choose, recognising that the contribution of both options to a student</w:t>
      </w:r>
      <w:r w:rsidR="006E4E74">
        <w:t>’</w:t>
      </w:r>
      <w:r w:rsidR="007B2DEC">
        <w:t>s future learning and career transcends the short-term outcome.</w:t>
      </w:r>
    </w:p>
    <w:p w14:paraId="0E7B11FB" w14:textId="77777777" w:rsidR="00202C1F" w:rsidRDefault="0025587C" w:rsidP="001D473B">
      <w:r>
        <w:t>Research and analysis</w:t>
      </w:r>
      <w:r w:rsidR="00202C1F">
        <w:t xml:space="preserve"> based on this understanding provide</w:t>
      </w:r>
      <w:r w:rsidR="00E22513">
        <w:t>s</w:t>
      </w:r>
      <w:r w:rsidR="00202C1F">
        <w:t xml:space="preserve"> a fairer and more accurate picture of whether the VET delivered to secondary students is generating </w:t>
      </w:r>
      <w:r w:rsidR="0013052F">
        <w:t>its</w:t>
      </w:r>
      <w:r w:rsidR="00202C1F">
        <w:t xml:space="preserve"> intended outcomes. </w:t>
      </w:r>
    </w:p>
    <w:p w14:paraId="226D92F1" w14:textId="77777777" w:rsidR="003D1A59" w:rsidRDefault="003D1A59" w:rsidP="00AF6183">
      <w:pPr>
        <w:pStyle w:val="BoxHeading"/>
      </w:pPr>
      <w:bookmarkStart w:id="70" w:name="_Toc406065066"/>
      <w:bookmarkStart w:id="71" w:name="_Toc406079723"/>
      <w:r w:rsidRPr="00A53738">
        <w:t>Implications</w:t>
      </w:r>
      <w:bookmarkEnd w:id="70"/>
      <w:bookmarkEnd w:id="71"/>
      <w:r>
        <w:t xml:space="preserve"> </w:t>
      </w:r>
    </w:p>
    <w:p w14:paraId="60AAE956" w14:textId="77777777" w:rsidR="00410292" w:rsidRDefault="00410292" w:rsidP="00AF6183">
      <w:pPr>
        <w:pStyle w:val="BoxBody"/>
      </w:pPr>
      <w:r w:rsidRPr="000657CB">
        <w:rPr>
          <w:rStyle w:val="Componentcross-reference"/>
          <w:rFonts w:asciiTheme="minorHAnsi" w:hAnsiTheme="minorHAnsi" w:cstheme="minorHAnsi"/>
          <w:b/>
        </w:rPr>
        <w:t>Core systems</w:t>
      </w:r>
      <w:r>
        <w:t xml:space="preserve"> improve vocational learning and VET </w:t>
      </w:r>
      <w:r w:rsidR="00415518">
        <w:t>delivered to</w:t>
      </w:r>
      <w:r>
        <w:t xml:space="preserve"> secondary students </w:t>
      </w:r>
      <w:r w:rsidR="002F5F90">
        <w:t>when</w:t>
      </w:r>
      <w:r>
        <w:t>:</w:t>
      </w:r>
    </w:p>
    <w:p w14:paraId="17C67484" w14:textId="77777777" w:rsidR="00441825" w:rsidRDefault="00441825" w:rsidP="00AF6183">
      <w:pPr>
        <w:pStyle w:val="Boxbullets"/>
      </w:pPr>
      <w:r>
        <w:t>school systems support schools with advice on the different ways they can make VET available to their students</w:t>
      </w:r>
    </w:p>
    <w:p w14:paraId="3370B17D" w14:textId="40DDCFC8" w:rsidR="002F5F90" w:rsidRDefault="00E64876" w:rsidP="00AF6183">
      <w:pPr>
        <w:pStyle w:val="Boxbullets"/>
      </w:pPr>
      <w:r>
        <w:t xml:space="preserve">governments, working with training package developers, require </w:t>
      </w:r>
      <w:r w:rsidR="002F5F90">
        <w:t xml:space="preserve">training packages to provide clear guidance about </w:t>
      </w:r>
      <w:r w:rsidR="002F5F90" w:rsidRPr="001A1234">
        <w:t xml:space="preserve">whether </w:t>
      </w:r>
      <w:r w:rsidR="008967C9">
        <w:t>the</w:t>
      </w:r>
      <w:r w:rsidR="002F5F90" w:rsidRPr="001A1234">
        <w:t xml:space="preserve"> package is suitable for </w:t>
      </w:r>
      <w:r w:rsidR="002F5F90">
        <w:t>school-age</w:t>
      </w:r>
      <w:r w:rsidR="002F5F90" w:rsidRPr="001A1234">
        <w:t xml:space="preserve"> students (including any preconditions)</w:t>
      </w:r>
      <w:r w:rsidR="002F5F90">
        <w:t>;</w:t>
      </w:r>
      <w:r w:rsidR="002F5F90" w:rsidRPr="001A1234">
        <w:t xml:space="preserve"> </w:t>
      </w:r>
      <w:r w:rsidR="002F5F90">
        <w:t xml:space="preserve">what settings are </w:t>
      </w:r>
      <w:r w:rsidR="002F5F90" w:rsidRPr="001A1234">
        <w:t xml:space="preserve">suitable for </w:t>
      </w:r>
      <w:r w:rsidR="002F5F90">
        <w:t xml:space="preserve">delivery </w:t>
      </w:r>
      <w:r w:rsidR="002F5F90" w:rsidRPr="001A1234">
        <w:t>(and any special require</w:t>
      </w:r>
      <w:r w:rsidR="002F5F90">
        <w:t>ments);</w:t>
      </w:r>
      <w:r w:rsidR="002F5F90" w:rsidRPr="00903482">
        <w:t xml:space="preserve"> </w:t>
      </w:r>
      <w:r w:rsidR="002F5F90">
        <w:t xml:space="preserve">what settings are </w:t>
      </w:r>
      <w:r w:rsidR="002F5F90" w:rsidRPr="001A1234">
        <w:t xml:space="preserve">suitable for </w:t>
      </w:r>
      <w:r w:rsidR="002F5F90">
        <w:t xml:space="preserve">assessment </w:t>
      </w:r>
      <w:r w:rsidR="002F5F90" w:rsidRPr="001A1234">
        <w:t>(and any special require</w:t>
      </w:r>
      <w:r w:rsidR="002F5F90">
        <w:t>ments);</w:t>
      </w:r>
      <w:r w:rsidR="002F5F90" w:rsidRPr="001A1234">
        <w:t xml:space="preserve"> and </w:t>
      </w:r>
      <w:r w:rsidR="002F5F90">
        <w:t xml:space="preserve">what are the </w:t>
      </w:r>
      <w:r w:rsidR="002F5F90" w:rsidRPr="001A1234">
        <w:t>requirements</w:t>
      </w:r>
      <w:r w:rsidR="002F5F90">
        <w:t xml:space="preserve"> for structured work placements</w:t>
      </w:r>
    </w:p>
    <w:p w14:paraId="0555D178" w14:textId="6962B443" w:rsidR="002F5F90" w:rsidRDefault="000E1C5D" w:rsidP="00AF6183">
      <w:pPr>
        <w:pStyle w:val="Boxbullets"/>
      </w:pPr>
      <w:r w:rsidRPr="002F5F90">
        <w:t>schools coordinate work experience and structured work placement</w:t>
      </w:r>
      <w:r w:rsidR="008967C9">
        <w:t xml:space="preserve"> </w:t>
      </w:r>
      <w:r w:rsidR="002F5F90" w:rsidRPr="002F5F90">
        <w:t xml:space="preserve">opportunities, and </w:t>
      </w:r>
      <w:r w:rsidR="00FA364D">
        <w:t>offer</w:t>
      </w:r>
      <w:r w:rsidR="00FA364D" w:rsidRPr="002F5F90">
        <w:t xml:space="preserve"> </w:t>
      </w:r>
      <w:r w:rsidRPr="002F5F90">
        <w:t>the VET courses that students and employers need</w:t>
      </w:r>
    </w:p>
    <w:p w14:paraId="48519FE4" w14:textId="77777777" w:rsidR="00D879AC" w:rsidRDefault="00D879AC" w:rsidP="00AF6183">
      <w:pPr>
        <w:pStyle w:val="Boxbullets"/>
      </w:pPr>
      <w:r>
        <w:t>policies provide a supportive environment that minimises costs and red tape, and facilitate</w:t>
      </w:r>
      <w:r w:rsidR="00CC437A">
        <w:t>s</w:t>
      </w:r>
      <w:r>
        <w:t xml:space="preserve"> innovation and local flexibility</w:t>
      </w:r>
    </w:p>
    <w:p w14:paraId="2196796F" w14:textId="49858EAA" w:rsidR="009079A2" w:rsidRDefault="007B2DEC" w:rsidP="001D473B">
      <w:pPr>
        <w:pStyle w:val="Boxbullets"/>
      </w:pPr>
      <w:proofErr w:type="gramStart"/>
      <w:r>
        <w:t>short</w:t>
      </w:r>
      <w:r w:rsidR="008967C9">
        <w:t>-</w:t>
      </w:r>
      <w:proofErr w:type="gramEnd"/>
      <w:r>
        <w:t>, medium</w:t>
      </w:r>
      <w:r w:rsidR="008967C9">
        <w:t>-</w:t>
      </w:r>
      <w:r>
        <w:t xml:space="preserve"> and long</w:t>
      </w:r>
      <w:r w:rsidR="008967C9">
        <w:t>-</w:t>
      </w:r>
      <w:r>
        <w:t>term measures of success recognise the many purposes of VET</w:t>
      </w:r>
      <w:r w:rsidR="0033589E">
        <w:t xml:space="preserve"> delivered to secondary students, and are based on standards</w:t>
      </w:r>
      <w:r w:rsidR="008967C9">
        <w:t xml:space="preserve"> similar</w:t>
      </w:r>
      <w:r w:rsidR="0033589E">
        <w:t xml:space="preserve"> to </w:t>
      </w:r>
      <w:r w:rsidR="00E145F4">
        <w:t xml:space="preserve">the </w:t>
      </w:r>
      <w:r w:rsidR="0033589E">
        <w:t>measures of success for non-VET subjects in secondary schooling</w:t>
      </w:r>
      <w:r>
        <w:t>.</w:t>
      </w:r>
    </w:p>
    <w:p w14:paraId="23BEE182" w14:textId="77777777" w:rsidR="009079A2" w:rsidRDefault="009079A2">
      <w:pPr>
        <w:spacing w:after="200" w:line="276" w:lineRule="auto"/>
      </w:pPr>
      <w:r>
        <w:br w:type="page"/>
      </w:r>
    </w:p>
    <w:p w14:paraId="273C25DE" w14:textId="77777777" w:rsidR="001D473B" w:rsidRDefault="001D473B" w:rsidP="001D473B">
      <w:pPr>
        <w:pStyle w:val="Boxbullets"/>
        <w:sectPr w:rsidR="001D473B" w:rsidSect="00786D8C">
          <w:headerReference w:type="default" r:id="rId37"/>
          <w:pgSz w:w="11906" w:h="16838"/>
          <w:pgMar w:top="1536" w:right="1440" w:bottom="1418" w:left="1440" w:header="708" w:footer="709" w:gutter="0"/>
          <w:cols w:num="2" w:space="708"/>
          <w:docGrid w:linePitch="360"/>
        </w:sectPr>
      </w:pPr>
    </w:p>
    <w:p w14:paraId="0E0ADF37" w14:textId="54A1315C" w:rsidR="001D473B" w:rsidRDefault="002D58E3" w:rsidP="00AB2E82">
      <w:pPr>
        <w:pStyle w:val="PullQuote"/>
        <w:ind w:left="0"/>
        <w:jc w:val="center"/>
        <w:sectPr w:rsidR="001D473B" w:rsidSect="00786D8C">
          <w:type w:val="continuous"/>
          <w:pgSz w:w="11906" w:h="16838"/>
          <w:pgMar w:top="1536" w:right="1440" w:bottom="1418" w:left="1440" w:header="708" w:footer="709" w:gutter="0"/>
          <w:cols w:space="708"/>
          <w:docGrid w:linePitch="360"/>
        </w:sectPr>
      </w:pPr>
      <w:r w:rsidRPr="00AF6183">
        <w:rPr>
          <w:b w:val="0"/>
        </w:rPr>
        <w:lastRenderedPageBreak/>
        <w:t xml:space="preserve">This framework is </w:t>
      </w:r>
      <w:r w:rsidR="00700207" w:rsidRPr="00AF6183">
        <w:rPr>
          <w:b w:val="0"/>
        </w:rPr>
        <w:t xml:space="preserve">a call to action </w:t>
      </w:r>
      <w:r w:rsidRPr="00AF6183">
        <w:rPr>
          <w:b w:val="0"/>
        </w:rPr>
        <w:t xml:space="preserve">to </w:t>
      </w:r>
      <w:r w:rsidR="00700207" w:rsidRPr="00AF6183">
        <w:rPr>
          <w:b w:val="0"/>
        </w:rPr>
        <w:br/>
      </w:r>
      <w:r w:rsidRPr="00AF6183">
        <w:rPr>
          <w:b w:val="0"/>
        </w:rPr>
        <w:t xml:space="preserve">schools, </w:t>
      </w:r>
      <w:r w:rsidR="00700207" w:rsidRPr="00AF6183">
        <w:rPr>
          <w:b w:val="0"/>
        </w:rPr>
        <w:t xml:space="preserve">school systems, employers, </w:t>
      </w:r>
      <w:r w:rsidR="001B7806" w:rsidRPr="00AF6183">
        <w:rPr>
          <w:b w:val="0"/>
        </w:rPr>
        <w:t>RTO</w:t>
      </w:r>
      <w:r w:rsidRPr="00AF6183">
        <w:rPr>
          <w:b w:val="0"/>
        </w:rPr>
        <w:t>s,</w:t>
      </w:r>
      <w:r w:rsidR="00700207" w:rsidRPr="00AF6183">
        <w:rPr>
          <w:b w:val="0"/>
        </w:rPr>
        <w:br/>
        <w:t>training package developers and VET regulators</w:t>
      </w:r>
      <w:r w:rsidRPr="00AF6183">
        <w:rPr>
          <w:b w:val="0"/>
        </w:rPr>
        <w:t xml:space="preserve"> </w:t>
      </w:r>
      <w:r w:rsidRPr="00AF6183">
        <w:rPr>
          <w:b w:val="0"/>
        </w:rPr>
        <w:br/>
        <w:t>to embrace the</w:t>
      </w:r>
      <w:r w:rsidR="00343A9D" w:rsidRPr="00AF6183">
        <w:rPr>
          <w:b w:val="0"/>
        </w:rPr>
        <w:t>se</w:t>
      </w:r>
      <w:r w:rsidRPr="00AF6183">
        <w:rPr>
          <w:b w:val="0"/>
        </w:rPr>
        <w:t xml:space="preserve"> principles in </w:t>
      </w:r>
      <w:r w:rsidR="00712458" w:rsidRPr="00AF6183">
        <w:rPr>
          <w:b w:val="0"/>
        </w:rPr>
        <w:t xml:space="preserve">all aspects of </w:t>
      </w:r>
      <w:r w:rsidR="00712458" w:rsidRPr="00AF6183">
        <w:rPr>
          <w:b w:val="0"/>
        </w:rPr>
        <w:br/>
      </w:r>
      <w:r w:rsidRPr="00AF6183">
        <w:rPr>
          <w:b w:val="0"/>
        </w:rPr>
        <w:t>vocational learning and VET delivered to</w:t>
      </w:r>
      <w:r w:rsidR="00700207" w:rsidRPr="00AF6183">
        <w:rPr>
          <w:b w:val="0"/>
        </w:rPr>
        <w:t xml:space="preserve"> </w:t>
      </w:r>
      <w:r w:rsidRPr="00AF6183">
        <w:rPr>
          <w:b w:val="0"/>
        </w:rPr>
        <w:t>secondary students.</w:t>
      </w:r>
    </w:p>
    <w:p w14:paraId="2D8FB8B7" w14:textId="09A7A15D" w:rsidR="00F94F40" w:rsidRDefault="00670367" w:rsidP="00F5178D">
      <w:pPr>
        <w:pStyle w:val="Heading1"/>
      </w:pPr>
      <w:bookmarkStart w:id="72" w:name="_Toc406065067"/>
      <w:bookmarkStart w:id="73" w:name="_Toc406079724"/>
      <w:r w:rsidRPr="00F5178D">
        <w:rPr>
          <w:noProof/>
          <w:lang w:eastAsia="en-AU"/>
        </w:rPr>
        <w:lastRenderedPageBreak/>
        <w:drawing>
          <wp:anchor distT="0" distB="0" distL="114300" distR="114300" simplePos="0" relativeHeight="251675136" behindDoc="0" locked="0" layoutInCell="1" allowOverlap="1" wp14:anchorId="3D8F933D" wp14:editId="65DA7B8F">
            <wp:simplePos x="0" y="0"/>
            <wp:positionH relativeFrom="column">
              <wp:posOffset>155396</wp:posOffset>
            </wp:positionH>
            <wp:positionV relativeFrom="paragraph">
              <wp:posOffset>280035</wp:posOffset>
            </wp:positionV>
            <wp:extent cx="5991225" cy="8149752"/>
            <wp:effectExtent l="0" t="0" r="0" b="3810"/>
            <wp:wrapNone/>
            <wp:docPr id="58" name="Picture 5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1.png"/>
                    <pic:cNvPicPr/>
                  </pic:nvPicPr>
                  <pic:blipFill>
                    <a:blip r:embed="rId38">
                      <a:extLst>
                        <a:ext uri="{28A0092B-C50C-407E-A947-70E740481C1C}">
                          <a14:useLocalDpi xmlns:a14="http://schemas.microsoft.com/office/drawing/2010/main" val="0"/>
                        </a:ext>
                      </a:extLst>
                    </a:blip>
                    <a:stretch>
                      <a:fillRect/>
                    </a:stretch>
                  </pic:blipFill>
                  <pic:spPr>
                    <a:xfrm>
                      <a:off x="0" y="0"/>
                      <a:ext cx="5991225" cy="8149752"/>
                    </a:xfrm>
                    <a:prstGeom prst="rect">
                      <a:avLst/>
                    </a:prstGeom>
                  </pic:spPr>
                </pic:pic>
              </a:graphicData>
            </a:graphic>
            <wp14:sizeRelH relativeFrom="page">
              <wp14:pctWidth>0</wp14:pctWidth>
            </wp14:sizeRelH>
            <wp14:sizeRelV relativeFrom="page">
              <wp14:pctHeight>0</wp14:pctHeight>
            </wp14:sizeRelV>
          </wp:anchor>
        </w:drawing>
      </w:r>
      <w:r w:rsidR="00F94F40" w:rsidRPr="00F5178D">
        <w:t>Appendix A: Creating clarity - vocational learning and VET</w:t>
      </w:r>
      <w:bookmarkEnd w:id="72"/>
      <w:bookmarkEnd w:id="73"/>
    </w:p>
    <w:p w14:paraId="19B8E5F4" w14:textId="09398F1B" w:rsidR="009047AA" w:rsidRPr="009047AA" w:rsidRDefault="009047AA" w:rsidP="00F4405E">
      <w:pPr>
        <w:ind w:left="720"/>
      </w:pPr>
      <w:bookmarkStart w:id="74" w:name="_Toc406065068"/>
      <w:bookmarkStart w:id="75" w:name="_Toc406079725"/>
      <w:r w:rsidRPr="00F4405E">
        <w:rPr>
          <w:rStyle w:val="Heading2Char"/>
        </w:rPr>
        <w:t>Vocational</w:t>
      </w:r>
      <w:bookmarkEnd w:id="75"/>
      <w:r w:rsidRPr="009047AA">
        <w:t xml:space="preserve"> learning</w:t>
      </w:r>
      <w:bookmarkEnd w:id="74"/>
    </w:p>
    <w:p w14:paraId="25A9D590" w14:textId="2E739A18" w:rsidR="009047AA" w:rsidRPr="009047AA" w:rsidRDefault="009047AA" w:rsidP="00F4405E">
      <w:pPr>
        <w:ind w:left="720"/>
      </w:pPr>
      <w:proofErr w:type="gramStart"/>
      <w:r w:rsidRPr="009047AA">
        <w:t>Includes volunteering and part-time work.</w:t>
      </w:r>
      <w:proofErr w:type="gramEnd"/>
    </w:p>
    <w:tbl>
      <w:tblPr>
        <w:tblStyle w:val="TableGrid"/>
        <w:tblW w:w="7834" w:type="dxa"/>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60" w:firstRow="1" w:lastRow="1" w:firstColumn="0" w:lastColumn="0" w:noHBand="0" w:noVBand="1"/>
        <w:tblCaption w:val="Table: Vocational learning and VET (LHS)"/>
        <w:tblDescription w:val="Page one of a two-page table describing vocational learning and VET delivered to secondary students.&#10;&#10;Column one contains row headings&#10;Column two is for formatting only and contains no data&#10;Column three is headed 'career education and work exploration'&#10;Column four is for formatting only and contains no data&#10;Column five is headed 'work-related curriculum'&#10;&#10;The table is continued on the next page"/>
      </w:tblPr>
      <w:tblGrid>
        <w:gridCol w:w="1019"/>
        <w:gridCol w:w="3566"/>
        <w:gridCol w:w="3249"/>
      </w:tblGrid>
      <w:tr w:rsidR="009047AA" w:rsidRPr="009047AA" w14:paraId="6ADD7A14" w14:textId="77777777" w:rsidTr="009047AA">
        <w:trPr>
          <w:cantSplit/>
          <w:trHeight w:val="205"/>
          <w:tblHeader/>
        </w:trPr>
        <w:tc>
          <w:tcPr>
            <w:tcW w:w="0" w:type="auto"/>
          </w:tcPr>
          <w:p w14:paraId="344D41DA" w14:textId="77777777" w:rsidR="00801C18" w:rsidRPr="009047AA" w:rsidRDefault="00801C18" w:rsidP="00892601">
            <w:pPr>
              <w:jc w:val="center"/>
              <w:rPr>
                <w:rFonts w:asciiTheme="minorHAnsi" w:hAnsiTheme="minorHAnsi" w:cstheme="minorHAnsi"/>
                <w:color w:val="FFFFFF" w:themeColor="background2"/>
                <w:sz w:val="12"/>
                <w:szCs w:val="12"/>
              </w:rPr>
            </w:pPr>
          </w:p>
        </w:tc>
        <w:tc>
          <w:tcPr>
            <w:tcW w:w="0" w:type="auto"/>
            <w:tcMar>
              <w:left w:w="454" w:type="dxa"/>
              <w:right w:w="454" w:type="dxa"/>
            </w:tcMar>
          </w:tcPr>
          <w:p w14:paraId="12E41E84"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Career education and work exploration</w:t>
            </w:r>
          </w:p>
        </w:tc>
        <w:tc>
          <w:tcPr>
            <w:tcW w:w="0" w:type="auto"/>
            <w:tcMar>
              <w:left w:w="454" w:type="dxa"/>
              <w:right w:w="454" w:type="dxa"/>
            </w:tcMar>
          </w:tcPr>
          <w:p w14:paraId="54736B05"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Work-related curriculum</w:t>
            </w:r>
          </w:p>
        </w:tc>
      </w:tr>
      <w:tr w:rsidR="009047AA" w:rsidRPr="009047AA" w14:paraId="0FE5CDC2" w14:textId="77777777" w:rsidTr="009047AA">
        <w:trPr>
          <w:cantSplit/>
          <w:trHeight w:val="453"/>
        </w:trPr>
        <w:tc>
          <w:tcPr>
            <w:tcW w:w="0" w:type="auto"/>
          </w:tcPr>
          <w:p w14:paraId="4DA1343F"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What is it?</w:t>
            </w:r>
          </w:p>
        </w:tc>
        <w:tc>
          <w:tcPr>
            <w:tcW w:w="0" w:type="auto"/>
            <w:tcMar>
              <w:top w:w="57" w:type="dxa"/>
              <w:left w:w="454" w:type="dxa"/>
              <w:bottom w:w="57" w:type="dxa"/>
              <w:right w:w="454" w:type="dxa"/>
            </w:tcMar>
          </w:tcPr>
          <w:p w14:paraId="3C5E2CC7"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programs through which secondary students explore the world of work, identify career options and pathways, and build career development skills</w:t>
            </w:r>
          </w:p>
        </w:tc>
        <w:tc>
          <w:tcPr>
            <w:tcW w:w="0" w:type="auto"/>
            <w:tcMar>
              <w:top w:w="57" w:type="dxa"/>
              <w:left w:w="454" w:type="dxa"/>
              <w:bottom w:w="57" w:type="dxa"/>
              <w:right w:w="454" w:type="dxa"/>
            </w:tcMar>
          </w:tcPr>
          <w:p w14:paraId="03E8AA9C"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subjects that allow secondary students to undertake general work-related learning or explore particular occupations or industries</w:t>
            </w:r>
          </w:p>
        </w:tc>
      </w:tr>
      <w:tr w:rsidR="009047AA" w:rsidRPr="009047AA" w14:paraId="15861444" w14:textId="77777777" w:rsidTr="009047AA">
        <w:trPr>
          <w:cantSplit/>
          <w:trHeight w:val="127"/>
        </w:trPr>
        <w:tc>
          <w:tcPr>
            <w:tcW w:w="0" w:type="auto"/>
          </w:tcPr>
          <w:p w14:paraId="7E134FF5"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Who is it for?</w:t>
            </w:r>
          </w:p>
        </w:tc>
        <w:tc>
          <w:tcPr>
            <w:tcW w:w="0" w:type="auto"/>
            <w:tcMar>
              <w:top w:w="57" w:type="dxa"/>
              <w:left w:w="454" w:type="dxa"/>
              <w:bottom w:w="57" w:type="dxa"/>
              <w:right w:w="454" w:type="dxa"/>
            </w:tcMar>
          </w:tcPr>
          <w:p w14:paraId="45EF6AF5"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all students</w:t>
            </w:r>
          </w:p>
        </w:tc>
        <w:tc>
          <w:tcPr>
            <w:tcW w:w="0" w:type="auto"/>
            <w:tcMar>
              <w:top w:w="57" w:type="dxa"/>
              <w:left w:w="454" w:type="dxa"/>
              <w:bottom w:w="57" w:type="dxa"/>
              <w:right w:w="454" w:type="dxa"/>
            </w:tcMar>
          </w:tcPr>
          <w:p w14:paraId="0CE703B6"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students interested in particular industry or subject area</w:t>
            </w:r>
          </w:p>
        </w:tc>
      </w:tr>
      <w:tr w:rsidR="009047AA" w:rsidRPr="009047AA" w14:paraId="073E3BE0" w14:textId="77777777" w:rsidTr="009047AA">
        <w:trPr>
          <w:cantSplit/>
          <w:trHeight w:val="462"/>
        </w:trPr>
        <w:tc>
          <w:tcPr>
            <w:tcW w:w="0" w:type="auto"/>
          </w:tcPr>
          <w:p w14:paraId="53C4428E"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How is it recognised?</w:t>
            </w:r>
          </w:p>
        </w:tc>
        <w:tc>
          <w:tcPr>
            <w:tcW w:w="0" w:type="auto"/>
            <w:tcMar>
              <w:top w:w="57" w:type="dxa"/>
              <w:left w:w="454" w:type="dxa"/>
              <w:bottom w:w="57" w:type="dxa"/>
              <w:right w:w="454" w:type="dxa"/>
            </w:tcMar>
          </w:tcPr>
          <w:p w14:paraId="2B3A10DD"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 xml:space="preserve">may count towards </w:t>
            </w:r>
            <w:proofErr w:type="spellStart"/>
            <w:r w:rsidRPr="009047AA">
              <w:rPr>
                <w:rFonts w:asciiTheme="minorHAnsi" w:hAnsiTheme="minorHAnsi" w:cstheme="minorHAnsi"/>
                <w:color w:val="FFFFFF" w:themeColor="background2"/>
                <w:sz w:val="12"/>
                <w:szCs w:val="12"/>
              </w:rPr>
              <w:t>SSCE</w:t>
            </w:r>
            <w:proofErr w:type="spellEnd"/>
          </w:p>
        </w:tc>
        <w:tc>
          <w:tcPr>
            <w:tcW w:w="0" w:type="auto"/>
            <w:tcMar>
              <w:top w:w="57" w:type="dxa"/>
              <w:left w:w="454" w:type="dxa"/>
              <w:bottom w:w="57" w:type="dxa"/>
              <w:right w:w="454" w:type="dxa"/>
            </w:tcMar>
          </w:tcPr>
          <w:p w14:paraId="6DA5A881"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 xml:space="preserve">may count towards </w:t>
            </w:r>
            <w:proofErr w:type="spellStart"/>
            <w:r w:rsidRPr="009047AA">
              <w:rPr>
                <w:rFonts w:asciiTheme="minorHAnsi" w:hAnsiTheme="minorHAnsi" w:cstheme="minorHAnsi"/>
                <w:color w:val="FFFFFF" w:themeColor="background2"/>
                <w:sz w:val="12"/>
                <w:szCs w:val="12"/>
              </w:rPr>
              <w:t>SSCE</w:t>
            </w:r>
            <w:proofErr w:type="spellEnd"/>
          </w:p>
        </w:tc>
      </w:tr>
      <w:tr w:rsidR="009047AA" w:rsidRPr="009047AA" w14:paraId="6BFB701C" w14:textId="77777777" w:rsidTr="009047AA">
        <w:trPr>
          <w:cantSplit/>
          <w:trHeight w:val="703"/>
        </w:trPr>
        <w:tc>
          <w:tcPr>
            <w:tcW w:w="0" w:type="auto"/>
          </w:tcPr>
          <w:p w14:paraId="798BC023"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Delivery settings</w:t>
            </w:r>
          </w:p>
        </w:tc>
        <w:tc>
          <w:tcPr>
            <w:tcW w:w="0" w:type="auto"/>
            <w:tcMar>
              <w:top w:w="57" w:type="dxa"/>
              <w:left w:w="454" w:type="dxa"/>
              <w:bottom w:w="57" w:type="dxa"/>
              <w:right w:w="454" w:type="dxa"/>
            </w:tcMar>
          </w:tcPr>
          <w:p w14:paraId="0156EEA9"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school—may include workplace exposure through collaboration with employers</w:t>
            </w:r>
          </w:p>
        </w:tc>
        <w:tc>
          <w:tcPr>
            <w:tcW w:w="0" w:type="auto"/>
            <w:tcMar>
              <w:top w:w="57" w:type="dxa"/>
              <w:left w:w="454" w:type="dxa"/>
              <w:bottom w:w="57" w:type="dxa"/>
              <w:right w:w="454" w:type="dxa"/>
            </w:tcMar>
          </w:tcPr>
          <w:p w14:paraId="7F0E8B1A"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school—may include workplace exposure through collaboration with employers</w:t>
            </w:r>
          </w:p>
        </w:tc>
      </w:tr>
      <w:tr w:rsidR="009047AA" w:rsidRPr="009047AA" w14:paraId="461FA4CB" w14:textId="77777777" w:rsidTr="009047AA">
        <w:trPr>
          <w:cantSplit/>
          <w:trHeight w:val="1081"/>
        </w:trPr>
        <w:tc>
          <w:tcPr>
            <w:tcW w:w="0" w:type="auto"/>
          </w:tcPr>
          <w:p w14:paraId="2808DDBB"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Engagement with the world of work</w:t>
            </w:r>
          </w:p>
        </w:tc>
        <w:tc>
          <w:tcPr>
            <w:tcW w:w="0" w:type="auto"/>
            <w:tcMar>
              <w:top w:w="57" w:type="dxa"/>
              <w:left w:w="454" w:type="dxa"/>
              <w:bottom w:w="57" w:type="dxa"/>
              <w:right w:w="454" w:type="dxa"/>
            </w:tcMar>
          </w:tcPr>
          <w:p w14:paraId="772F16A3"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desirable—may include employer visits, work taster events, enterprise learning, spending time in a real or simulated workplace</w:t>
            </w:r>
          </w:p>
        </w:tc>
        <w:tc>
          <w:tcPr>
            <w:tcW w:w="0" w:type="auto"/>
            <w:tcMar>
              <w:top w:w="57" w:type="dxa"/>
              <w:left w:w="454" w:type="dxa"/>
              <w:bottom w:w="57" w:type="dxa"/>
              <w:right w:w="454" w:type="dxa"/>
            </w:tcMar>
          </w:tcPr>
          <w:p w14:paraId="648464E5"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desirable—may include employer visits, work taster events, enterprise learning, spending time in a real or simulated workplace</w:t>
            </w:r>
          </w:p>
        </w:tc>
      </w:tr>
      <w:tr w:rsidR="009047AA" w:rsidRPr="009047AA" w14:paraId="33B4D290" w14:textId="77777777" w:rsidTr="009047AA">
        <w:trPr>
          <w:cantSplit/>
          <w:trHeight w:val="486"/>
        </w:trPr>
        <w:tc>
          <w:tcPr>
            <w:tcW w:w="0" w:type="auto"/>
          </w:tcPr>
          <w:p w14:paraId="4701E666"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Why students choose</w:t>
            </w:r>
          </w:p>
        </w:tc>
        <w:tc>
          <w:tcPr>
            <w:tcW w:w="0" w:type="auto"/>
            <w:tcMar>
              <w:top w:w="57" w:type="dxa"/>
              <w:left w:w="454" w:type="dxa"/>
              <w:bottom w:w="57" w:type="dxa"/>
              <w:right w:w="454" w:type="dxa"/>
            </w:tcMar>
          </w:tcPr>
          <w:p w14:paraId="2EF0AB0D"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explore personal interests, skills, goals</w:t>
            </w:r>
          </w:p>
          <w:p w14:paraId="61DEDCF3"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find out about world of work in general</w:t>
            </w:r>
          </w:p>
          <w:p w14:paraId="3DCF3E34" w14:textId="2C2A59BB"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develop transferable skills for work</w:t>
            </w:r>
          </w:p>
        </w:tc>
        <w:tc>
          <w:tcPr>
            <w:tcW w:w="0" w:type="auto"/>
            <w:tcMar>
              <w:top w:w="57" w:type="dxa"/>
              <w:left w:w="454" w:type="dxa"/>
              <w:bottom w:w="57" w:type="dxa"/>
              <w:right w:w="454" w:type="dxa"/>
            </w:tcMar>
          </w:tcPr>
          <w:p w14:paraId="52922842"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exploring possible career field</w:t>
            </w:r>
          </w:p>
          <w:p w14:paraId="4C1F3DDF"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best choice of available options</w:t>
            </w:r>
          </w:p>
          <w:p w14:paraId="6595824E"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develop their skills in the area</w:t>
            </w:r>
          </w:p>
        </w:tc>
      </w:tr>
      <w:tr w:rsidR="009047AA" w:rsidRPr="009047AA" w14:paraId="2ECFDE4C" w14:textId="77777777" w:rsidTr="009047AA">
        <w:trPr>
          <w:cantSplit/>
          <w:trHeight w:val="1081"/>
        </w:trPr>
        <w:tc>
          <w:tcPr>
            <w:tcW w:w="0" w:type="auto"/>
          </w:tcPr>
          <w:p w14:paraId="3AFEAB31"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Why schools offer</w:t>
            </w:r>
          </w:p>
        </w:tc>
        <w:tc>
          <w:tcPr>
            <w:tcW w:w="0" w:type="auto"/>
            <w:tcMar>
              <w:top w:w="57" w:type="dxa"/>
              <w:left w:w="454" w:type="dxa"/>
              <w:bottom w:w="57" w:type="dxa"/>
              <w:right w:w="454" w:type="dxa"/>
            </w:tcMar>
          </w:tcPr>
          <w:p w14:paraId="56FA3836"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help students develop skills for work to manage their careers, and decide on senior secondary subject choices and pathways</w:t>
            </w:r>
          </w:p>
        </w:tc>
        <w:tc>
          <w:tcPr>
            <w:tcW w:w="0" w:type="auto"/>
            <w:tcMar>
              <w:top w:w="57" w:type="dxa"/>
              <w:left w:w="454" w:type="dxa"/>
              <w:bottom w:w="57" w:type="dxa"/>
              <w:right w:w="454" w:type="dxa"/>
            </w:tcMar>
          </w:tcPr>
          <w:p w14:paraId="584B5F69"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expand student choice</w:t>
            </w:r>
          </w:p>
          <w:p w14:paraId="5E981948"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provide different ways of learning</w:t>
            </w:r>
          </w:p>
          <w:p w14:paraId="0C0ECCB4"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prepare students for a range of post-school pathways</w:t>
            </w:r>
          </w:p>
        </w:tc>
      </w:tr>
      <w:tr w:rsidR="009047AA" w:rsidRPr="009047AA" w14:paraId="67907097" w14:textId="77777777" w:rsidTr="009047AA">
        <w:trPr>
          <w:cantSplit/>
          <w:trHeight w:val="1454"/>
        </w:trPr>
        <w:tc>
          <w:tcPr>
            <w:tcW w:w="0" w:type="auto"/>
          </w:tcPr>
          <w:p w14:paraId="778FD954" w14:textId="77777777" w:rsidR="00801C18" w:rsidRPr="009047AA" w:rsidRDefault="00801C18" w:rsidP="00892601">
            <w:pPr>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What employers expect of students as a result</w:t>
            </w:r>
          </w:p>
        </w:tc>
        <w:tc>
          <w:tcPr>
            <w:tcW w:w="0" w:type="auto"/>
            <w:tcMar>
              <w:top w:w="57" w:type="dxa"/>
              <w:left w:w="454" w:type="dxa"/>
              <w:bottom w:w="57" w:type="dxa"/>
              <w:right w:w="454" w:type="dxa"/>
            </w:tcMar>
          </w:tcPr>
          <w:p w14:paraId="649175E8"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basic understanding of world of work</w:t>
            </w:r>
          </w:p>
          <w:p w14:paraId="3B653201"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understanding of self and why they want to enter a field of work</w:t>
            </w:r>
          </w:p>
          <w:p w14:paraId="343C1958"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gained core skills for work</w:t>
            </w:r>
          </w:p>
        </w:tc>
        <w:tc>
          <w:tcPr>
            <w:tcW w:w="0" w:type="auto"/>
            <w:tcMar>
              <w:top w:w="57" w:type="dxa"/>
              <w:left w:w="454" w:type="dxa"/>
              <w:bottom w:w="57" w:type="dxa"/>
              <w:right w:w="454" w:type="dxa"/>
            </w:tcMar>
          </w:tcPr>
          <w:p w14:paraId="00A51BAA"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general understanding of an industry area</w:t>
            </w:r>
          </w:p>
          <w:p w14:paraId="5923024D"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have had exposure to an industry</w:t>
            </w:r>
          </w:p>
          <w:p w14:paraId="2F1C30FF" w14:textId="77777777" w:rsidR="00801C18" w:rsidRPr="009047AA" w:rsidRDefault="00801C18" w:rsidP="00892601">
            <w:pPr>
              <w:pStyle w:val="ListParagraph"/>
              <w:numPr>
                <w:ilvl w:val="0"/>
                <w:numId w:val="34"/>
              </w:numPr>
              <w:spacing w:line="240" w:lineRule="auto"/>
              <w:jc w:val="center"/>
              <w:rPr>
                <w:rFonts w:asciiTheme="minorHAnsi" w:hAnsiTheme="minorHAnsi" w:cstheme="minorHAnsi"/>
                <w:color w:val="FFFFFF" w:themeColor="background2"/>
                <w:sz w:val="12"/>
                <w:szCs w:val="12"/>
              </w:rPr>
            </w:pPr>
            <w:r w:rsidRPr="009047AA">
              <w:rPr>
                <w:rFonts w:asciiTheme="minorHAnsi" w:hAnsiTheme="minorHAnsi" w:cstheme="minorHAnsi"/>
                <w:color w:val="FFFFFF" w:themeColor="background2"/>
                <w:sz w:val="12"/>
                <w:szCs w:val="12"/>
              </w:rPr>
              <w:t>will still require training to develop specific industry skills and knowledge</w:t>
            </w:r>
          </w:p>
        </w:tc>
      </w:tr>
    </w:tbl>
    <w:p w14:paraId="5EFDDC26" w14:textId="11B0F534" w:rsidR="009047AA" w:rsidRPr="009047AA" w:rsidRDefault="00DB1B20" w:rsidP="00F4405E">
      <w:pPr>
        <w:pStyle w:val="Heading2"/>
        <w:spacing w:before="600"/>
        <w:ind w:left="2160"/>
      </w:pPr>
      <w:r w:rsidRPr="009047AA">
        <w:br w:type="page"/>
      </w:r>
      <w:bookmarkStart w:id="76" w:name="_Toc406065069"/>
      <w:bookmarkStart w:id="77" w:name="_Toc406079726"/>
      <w:r w:rsidR="009047AA" w:rsidRPr="009047AA">
        <w:lastRenderedPageBreak/>
        <w:t>VET</w:t>
      </w:r>
      <w:bookmarkEnd w:id="76"/>
      <w:bookmarkEnd w:id="77"/>
    </w:p>
    <w:p w14:paraId="4BF38821" w14:textId="47817702" w:rsidR="009047AA" w:rsidRPr="009047AA" w:rsidRDefault="009047AA" w:rsidP="00F4405E">
      <w:pPr>
        <w:ind w:left="1440"/>
        <w:rPr>
          <w:color w:val="FFFFFF" w:themeColor="background2"/>
        </w:rPr>
      </w:pPr>
      <w:r w:rsidRPr="00F4405E">
        <w:rPr>
          <w:noProof/>
          <w:lang w:eastAsia="en-AU"/>
        </w:rPr>
        <w:drawing>
          <wp:anchor distT="0" distB="0" distL="114300" distR="114300" simplePos="0" relativeHeight="251655679" behindDoc="0" locked="0" layoutInCell="1" allowOverlap="1" wp14:anchorId="2F002B37" wp14:editId="174BF1F9">
            <wp:simplePos x="0" y="0"/>
            <wp:positionH relativeFrom="column">
              <wp:posOffset>567198</wp:posOffset>
            </wp:positionH>
            <wp:positionV relativeFrom="paragraph">
              <wp:posOffset>-334940</wp:posOffset>
            </wp:positionV>
            <wp:extent cx="5022761" cy="8045928"/>
            <wp:effectExtent l="0" t="0" r="6985" b="0"/>
            <wp:wrapNone/>
            <wp:docPr id="59" name="Picture 5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2.png"/>
                    <pic:cNvPicPr/>
                  </pic:nvPicPr>
                  <pic:blipFill>
                    <a:blip r:embed="rId39">
                      <a:extLst>
                        <a:ext uri="{28A0092B-C50C-407E-A947-70E740481C1C}">
                          <a14:useLocalDpi xmlns:a14="http://schemas.microsoft.com/office/drawing/2010/main" val="0"/>
                        </a:ext>
                      </a:extLst>
                    </a:blip>
                    <a:stretch>
                      <a:fillRect/>
                    </a:stretch>
                  </pic:blipFill>
                  <pic:spPr>
                    <a:xfrm>
                      <a:off x="0" y="0"/>
                      <a:ext cx="5022761" cy="8045928"/>
                    </a:xfrm>
                    <a:prstGeom prst="rect">
                      <a:avLst/>
                    </a:prstGeom>
                  </pic:spPr>
                </pic:pic>
              </a:graphicData>
            </a:graphic>
            <wp14:sizeRelH relativeFrom="page">
              <wp14:pctWidth>0</wp14:pctWidth>
            </wp14:sizeRelH>
            <wp14:sizeRelV relativeFrom="page">
              <wp14:pctHeight>0</wp14:pctHeight>
            </wp14:sizeRelV>
          </wp:anchor>
        </w:drawing>
      </w:r>
      <w:proofErr w:type="gramStart"/>
      <w:r w:rsidRPr="00F4405E">
        <w:t>Includes</w:t>
      </w:r>
      <w:r w:rsidRPr="009047AA">
        <w:rPr>
          <w:color w:val="FFFFFF" w:themeColor="background2"/>
        </w:rPr>
        <w:t xml:space="preserve"> volunteering and part-time work.</w:t>
      </w:r>
      <w:proofErr w:type="gramEnd"/>
    </w:p>
    <w:tbl>
      <w:tblPr>
        <w:tblStyle w:val="TableGrid"/>
        <w:tblW w:w="7877" w:type="dxa"/>
        <w:tblInd w:w="935" w:type="dxa"/>
        <w:tblBorders>
          <w:top w:val="single" w:sz="18" w:space="0" w:color="FFFFFF" w:themeColor="background2"/>
          <w:left w:val="single" w:sz="18" w:space="0" w:color="FFFFFF" w:themeColor="background2"/>
          <w:bottom w:val="single" w:sz="18" w:space="0" w:color="FFFFFF" w:themeColor="background2"/>
          <w:right w:val="single" w:sz="18" w:space="0" w:color="FFFFFF" w:themeColor="background2"/>
          <w:insideH w:val="single" w:sz="18" w:space="0" w:color="FFFFFF" w:themeColor="background2"/>
          <w:insideV w:val="single" w:sz="18" w:space="0" w:color="FFFFFF" w:themeColor="background2"/>
        </w:tblBorders>
        <w:tblCellMar>
          <w:left w:w="0" w:type="dxa"/>
          <w:right w:w="0" w:type="dxa"/>
        </w:tblCellMar>
        <w:tblLook w:val="0460" w:firstRow="1" w:lastRow="1" w:firstColumn="0" w:lastColumn="0" w:noHBand="0" w:noVBand="1"/>
        <w:tblCaption w:val="Table: Vocational learning and VET (RHS)"/>
        <w:tblDescription w:val="Page two of a two-page table describing vocational learning and VET delivered to secondary students.&#10;&#10;Column one is for formatting only and contains no data&#10;Column two is headed 'training packages and accredited courses*'&#10;Column three is for formatting only and contains no data&#10;Column four is headed 'school-based apprenticeships and traineeships'"/>
      </w:tblPr>
      <w:tblGrid>
        <w:gridCol w:w="1089"/>
        <w:gridCol w:w="3105"/>
        <w:gridCol w:w="3683"/>
      </w:tblGrid>
      <w:tr w:rsidR="00F4405E" w:rsidRPr="00F4405E" w14:paraId="4AA55625" w14:textId="77777777" w:rsidTr="002C4429">
        <w:trPr>
          <w:cantSplit/>
          <w:trHeight w:val="594"/>
          <w:tblHeader/>
        </w:trPr>
        <w:tc>
          <w:tcPr>
            <w:tcW w:w="0" w:type="auto"/>
          </w:tcPr>
          <w:p w14:paraId="44F6AE80" w14:textId="0775A682" w:rsidR="00DB1B20" w:rsidRPr="00F4405E" w:rsidRDefault="00DB1B20" w:rsidP="00DB1B20">
            <w:pPr>
              <w:jc w:val="center"/>
              <w:rPr>
                <w:rFonts w:asciiTheme="minorHAnsi" w:hAnsiTheme="minorHAnsi" w:cstheme="minorHAnsi"/>
                <w:color w:val="FFFFFF" w:themeColor="background2"/>
                <w:sz w:val="16"/>
                <w:szCs w:val="16"/>
              </w:rPr>
            </w:pPr>
          </w:p>
        </w:tc>
        <w:tc>
          <w:tcPr>
            <w:tcW w:w="0" w:type="auto"/>
            <w:tcMar>
              <w:left w:w="454" w:type="dxa"/>
              <w:right w:w="454" w:type="dxa"/>
            </w:tcMar>
          </w:tcPr>
          <w:p w14:paraId="46913366"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Training packages and accredited courses*</w:t>
            </w:r>
          </w:p>
        </w:tc>
        <w:tc>
          <w:tcPr>
            <w:tcW w:w="3683" w:type="dxa"/>
            <w:tcMar>
              <w:left w:w="454" w:type="dxa"/>
              <w:right w:w="454" w:type="dxa"/>
            </w:tcMar>
          </w:tcPr>
          <w:p w14:paraId="4B6DB429" w14:textId="6BF75A55"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School-based apprenticeships and traineeships</w:t>
            </w:r>
          </w:p>
        </w:tc>
      </w:tr>
      <w:tr w:rsidR="00F4405E" w:rsidRPr="00F4405E" w14:paraId="18063832" w14:textId="77777777" w:rsidTr="002C4429">
        <w:trPr>
          <w:cantSplit/>
          <w:trHeight w:val="541"/>
        </w:trPr>
        <w:tc>
          <w:tcPr>
            <w:tcW w:w="0" w:type="auto"/>
          </w:tcPr>
          <w:p w14:paraId="43E6ADB2" w14:textId="74F97CCD"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What is it?</w:t>
            </w:r>
          </w:p>
        </w:tc>
        <w:tc>
          <w:tcPr>
            <w:tcW w:w="0" w:type="auto"/>
            <w:tcMar>
              <w:top w:w="57" w:type="dxa"/>
              <w:left w:w="454" w:type="dxa"/>
              <w:bottom w:w="57" w:type="dxa"/>
              <w:right w:w="454" w:type="dxa"/>
            </w:tcMar>
          </w:tcPr>
          <w:p w14:paraId="03A260DB"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nationally recognised qualifications (or components of qualifications such as units of competency) from a training package or an accredited course</w:t>
            </w:r>
          </w:p>
        </w:tc>
        <w:tc>
          <w:tcPr>
            <w:tcW w:w="3683" w:type="dxa"/>
            <w:tcMar>
              <w:top w:w="57" w:type="dxa"/>
              <w:left w:w="454" w:type="dxa"/>
              <w:bottom w:w="57" w:type="dxa"/>
              <w:right w:w="454" w:type="dxa"/>
            </w:tcMar>
          </w:tcPr>
          <w:p w14:paraId="076A6736"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a qualification pathway that combines paid employment as an apprentice or a trainee, off-the-job vocational training and senior secondary school studies</w:t>
            </w:r>
          </w:p>
        </w:tc>
      </w:tr>
      <w:tr w:rsidR="00F4405E" w:rsidRPr="00F4405E" w14:paraId="05C1AEA1" w14:textId="77777777" w:rsidTr="002C4429">
        <w:trPr>
          <w:cantSplit/>
          <w:trHeight w:val="441"/>
        </w:trPr>
        <w:tc>
          <w:tcPr>
            <w:tcW w:w="0" w:type="auto"/>
          </w:tcPr>
          <w:p w14:paraId="41A684C5"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Who is it for?</w:t>
            </w:r>
          </w:p>
        </w:tc>
        <w:tc>
          <w:tcPr>
            <w:tcW w:w="0" w:type="auto"/>
            <w:tcMar>
              <w:top w:w="57" w:type="dxa"/>
              <w:left w:w="454" w:type="dxa"/>
              <w:bottom w:w="57" w:type="dxa"/>
              <w:right w:w="454" w:type="dxa"/>
            </w:tcMar>
          </w:tcPr>
          <w:p w14:paraId="2C4052A8"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students who have chosen a specific vocational pathway, including pre-apprenticeships</w:t>
            </w:r>
          </w:p>
        </w:tc>
        <w:tc>
          <w:tcPr>
            <w:tcW w:w="3683" w:type="dxa"/>
            <w:tcMar>
              <w:top w:w="57" w:type="dxa"/>
              <w:left w:w="454" w:type="dxa"/>
              <w:bottom w:w="57" w:type="dxa"/>
              <w:right w:w="454" w:type="dxa"/>
            </w:tcMar>
          </w:tcPr>
          <w:p w14:paraId="3AAFCFBF"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students who have chosen a specific vocational pathway, including trade pathways, and also want to gain their </w:t>
            </w:r>
            <w:proofErr w:type="spellStart"/>
            <w:r w:rsidRPr="00F4405E">
              <w:rPr>
                <w:rFonts w:asciiTheme="minorHAnsi" w:hAnsiTheme="minorHAnsi" w:cstheme="minorHAnsi"/>
                <w:color w:val="FFFFFF" w:themeColor="background2"/>
                <w:sz w:val="16"/>
                <w:szCs w:val="16"/>
              </w:rPr>
              <w:t>SSCE</w:t>
            </w:r>
            <w:proofErr w:type="spellEnd"/>
          </w:p>
        </w:tc>
      </w:tr>
      <w:tr w:rsidR="00F4405E" w:rsidRPr="00F4405E" w14:paraId="2FB24F0E" w14:textId="77777777" w:rsidTr="002C4429">
        <w:trPr>
          <w:cantSplit/>
          <w:trHeight w:val="376"/>
        </w:trPr>
        <w:tc>
          <w:tcPr>
            <w:tcW w:w="0" w:type="auto"/>
          </w:tcPr>
          <w:p w14:paraId="7254FA9A"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How is it recognised?</w:t>
            </w:r>
          </w:p>
        </w:tc>
        <w:tc>
          <w:tcPr>
            <w:tcW w:w="0" w:type="auto"/>
            <w:tcMar>
              <w:top w:w="57" w:type="dxa"/>
              <w:left w:w="454" w:type="dxa"/>
              <w:bottom w:w="57" w:type="dxa"/>
              <w:right w:w="454" w:type="dxa"/>
            </w:tcMar>
          </w:tcPr>
          <w:p w14:paraId="411ED4EA"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may count towards </w:t>
            </w:r>
            <w:proofErr w:type="spellStart"/>
            <w:r w:rsidRPr="00F4405E">
              <w:rPr>
                <w:rFonts w:asciiTheme="minorHAnsi" w:hAnsiTheme="minorHAnsi" w:cstheme="minorHAnsi"/>
                <w:color w:val="FFFFFF" w:themeColor="background2"/>
                <w:sz w:val="16"/>
                <w:szCs w:val="16"/>
              </w:rPr>
              <w:t>SSCE</w:t>
            </w:r>
            <w:proofErr w:type="spellEnd"/>
          </w:p>
          <w:p w14:paraId="56DAEF4C"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leads to VET qualification (which may be completed during or post schooling)</w:t>
            </w:r>
          </w:p>
        </w:tc>
        <w:tc>
          <w:tcPr>
            <w:tcW w:w="3683" w:type="dxa"/>
            <w:tcMar>
              <w:top w:w="57" w:type="dxa"/>
              <w:left w:w="454" w:type="dxa"/>
              <w:bottom w:w="57" w:type="dxa"/>
              <w:right w:w="454" w:type="dxa"/>
            </w:tcMar>
          </w:tcPr>
          <w:p w14:paraId="281B0BBB" w14:textId="6FC11C58"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may count towards </w:t>
            </w:r>
            <w:proofErr w:type="spellStart"/>
            <w:r w:rsidRPr="00F4405E">
              <w:rPr>
                <w:rFonts w:asciiTheme="minorHAnsi" w:hAnsiTheme="minorHAnsi" w:cstheme="minorHAnsi"/>
                <w:color w:val="FFFFFF" w:themeColor="background2"/>
                <w:sz w:val="16"/>
                <w:szCs w:val="16"/>
              </w:rPr>
              <w:t>SSCE</w:t>
            </w:r>
            <w:proofErr w:type="spellEnd"/>
          </w:p>
          <w:p w14:paraId="309DC599"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leads to VET qualification (which may be completed during or post schooling)</w:t>
            </w:r>
          </w:p>
        </w:tc>
      </w:tr>
      <w:tr w:rsidR="00F4405E" w:rsidRPr="00F4405E" w14:paraId="7978C9BE" w14:textId="77777777" w:rsidTr="002C4429">
        <w:trPr>
          <w:cantSplit/>
          <w:trHeight w:val="401"/>
        </w:trPr>
        <w:tc>
          <w:tcPr>
            <w:tcW w:w="0" w:type="auto"/>
          </w:tcPr>
          <w:p w14:paraId="668FA912"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Delivery settings</w:t>
            </w:r>
          </w:p>
        </w:tc>
        <w:tc>
          <w:tcPr>
            <w:tcW w:w="0" w:type="auto"/>
            <w:tcMar>
              <w:top w:w="57" w:type="dxa"/>
              <w:left w:w="454" w:type="dxa"/>
              <w:bottom w:w="57" w:type="dxa"/>
              <w:right w:w="454" w:type="dxa"/>
            </w:tcMar>
          </w:tcPr>
          <w:p w14:paraId="30560157"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school, </w:t>
            </w:r>
            <w:proofErr w:type="spellStart"/>
            <w:r w:rsidRPr="00F4405E">
              <w:rPr>
                <w:rFonts w:asciiTheme="minorHAnsi" w:hAnsiTheme="minorHAnsi" w:cstheme="minorHAnsi"/>
                <w:color w:val="FFFFFF" w:themeColor="background2"/>
                <w:sz w:val="16"/>
                <w:szCs w:val="16"/>
              </w:rPr>
              <w:t>RTO</w:t>
            </w:r>
            <w:proofErr w:type="spellEnd"/>
            <w:r w:rsidRPr="00F4405E">
              <w:rPr>
                <w:rFonts w:asciiTheme="minorHAnsi" w:hAnsiTheme="minorHAnsi" w:cstheme="minorHAnsi"/>
                <w:color w:val="FFFFFF" w:themeColor="background2"/>
                <w:sz w:val="16"/>
                <w:szCs w:val="16"/>
              </w:rPr>
              <w:t xml:space="preserve"> premises, workplace or combination</w:t>
            </w:r>
          </w:p>
        </w:tc>
        <w:tc>
          <w:tcPr>
            <w:tcW w:w="3683" w:type="dxa"/>
            <w:tcMar>
              <w:top w:w="57" w:type="dxa"/>
              <w:left w:w="454" w:type="dxa"/>
              <w:bottom w:w="57" w:type="dxa"/>
              <w:right w:w="454" w:type="dxa"/>
            </w:tcMar>
          </w:tcPr>
          <w:p w14:paraId="6E7E2C5C"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combination of school, </w:t>
            </w:r>
            <w:proofErr w:type="spellStart"/>
            <w:r w:rsidRPr="00F4405E">
              <w:rPr>
                <w:rFonts w:asciiTheme="minorHAnsi" w:hAnsiTheme="minorHAnsi" w:cstheme="minorHAnsi"/>
                <w:color w:val="FFFFFF" w:themeColor="background2"/>
                <w:sz w:val="16"/>
                <w:szCs w:val="16"/>
              </w:rPr>
              <w:t>RTO</w:t>
            </w:r>
            <w:proofErr w:type="spellEnd"/>
            <w:r w:rsidRPr="00F4405E">
              <w:rPr>
                <w:rFonts w:asciiTheme="minorHAnsi" w:hAnsiTheme="minorHAnsi" w:cstheme="minorHAnsi"/>
                <w:color w:val="FFFFFF" w:themeColor="background2"/>
                <w:sz w:val="16"/>
                <w:szCs w:val="16"/>
              </w:rPr>
              <w:t xml:space="preserve"> premises and workplace</w:t>
            </w:r>
          </w:p>
        </w:tc>
      </w:tr>
      <w:tr w:rsidR="00F4405E" w:rsidRPr="00F4405E" w14:paraId="4D6674BC" w14:textId="77777777" w:rsidTr="002C4429">
        <w:trPr>
          <w:cantSplit/>
          <w:trHeight w:val="513"/>
        </w:trPr>
        <w:tc>
          <w:tcPr>
            <w:tcW w:w="0" w:type="auto"/>
          </w:tcPr>
          <w:p w14:paraId="29E075B0"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Engagement with the world of work</w:t>
            </w:r>
          </w:p>
        </w:tc>
        <w:tc>
          <w:tcPr>
            <w:tcW w:w="0" w:type="auto"/>
            <w:tcMar>
              <w:top w:w="57" w:type="dxa"/>
              <w:left w:w="454" w:type="dxa"/>
              <w:bottom w:w="57" w:type="dxa"/>
              <w:right w:w="454" w:type="dxa"/>
            </w:tcMar>
          </w:tcPr>
          <w:p w14:paraId="230F9790"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workplace learning highly desirable</w:t>
            </w:r>
          </w:p>
          <w:p w14:paraId="283632C0"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training packages may specify workplace learning requirements</w:t>
            </w:r>
          </w:p>
        </w:tc>
        <w:tc>
          <w:tcPr>
            <w:tcW w:w="3683" w:type="dxa"/>
            <w:tcMar>
              <w:top w:w="57" w:type="dxa"/>
              <w:left w:w="454" w:type="dxa"/>
              <w:bottom w:w="57" w:type="dxa"/>
              <w:right w:w="454" w:type="dxa"/>
            </w:tcMar>
          </w:tcPr>
          <w:p w14:paraId="4245B582"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workplace learning an integral part of delivery</w:t>
            </w:r>
          </w:p>
          <w:p w14:paraId="07511A31"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contractual arrangement exists between employer, student and </w:t>
            </w:r>
            <w:proofErr w:type="spellStart"/>
            <w:r w:rsidRPr="00F4405E">
              <w:rPr>
                <w:rFonts w:asciiTheme="minorHAnsi" w:hAnsiTheme="minorHAnsi" w:cstheme="minorHAnsi"/>
                <w:color w:val="FFFFFF" w:themeColor="background2"/>
                <w:sz w:val="16"/>
                <w:szCs w:val="16"/>
              </w:rPr>
              <w:t>RTO</w:t>
            </w:r>
            <w:proofErr w:type="spellEnd"/>
          </w:p>
        </w:tc>
      </w:tr>
      <w:tr w:rsidR="00F4405E" w:rsidRPr="00F4405E" w14:paraId="2AEA6408" w14:textId="77777777" w:rsidTr="002C4429">
        <w:trPr>
          <w:cantSplit/>
          <w:trHeight w:val="677"/>
        </w:trPr>
        <w:tc>
          <w:tcPr>
            <w:tcW w:w="0" w:type="auto"/>
          </w:tcPr>
          <w:p w14:paraId="6E992D35"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Why students choose</w:t>
            </w:r>
          </w:p>
        </w:tc>
        <w:tc>
          <w:tcPr>
            <w:tcW w:w="0" w:type="auto"/>
            <w:tcMar>
              <w:top w:w="57" w:type="dxa"/>
              <w:left w:w="454" w:type="dxa"/>
              <w:bottom w:w="57" w:type="dxa"/>
              <w:right w:w="454" w:type="dxa"/>
            </w:tcMar>
          </w:tcPr>
          <w:p w14:paraId="05682D17"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interested in the industry area</w:t>
            </w:r>
          </w:p>
          <w:p w14:paraId="08966EF3"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exploring possible career field</w:t>
            </w:r>
          </w:p>
          <w:p w14:paraId="0E2B1E79"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want to acquire industry skills and nationally recognised qualifications valued by employers</w:t>
            </w:r>
          </w:p>
        </w:tc>
        <w:tc>
          <w:tcPr>
            <w:tcW w:w="3683" w:type="dxa"/>
            <w:tcMar>
              <w:top w:w="57" w:type="dxa"/>
              <w:left w:w="454" w:type="dxa"/>
              <w:bottom w:w="57" w:type="dxa"/>
              <w:right w:w="454" w:type="dxa"/>
            </w:tcMar>
          </w:tcPr>
          <w:p w14:paraId="273CB24B"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committed to vocational pathway</w:t>
            </w:r>
          </w:p>
          <w:p w14:paraId="5E90B2C6"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an early start to an apprenticeship qualification while pursuing </w:t>
            </w:r>
            <w:proofErr w:type="spellStart"/>
            <w:r w:rsidRPr="00F4405E">
              <w:rPr>
                <w:rFonts w:asciiTheme="minorHAnsi" w:hAnsiTheme="minorHAnsi" w:cstheme="minorHAnsi"/>
                <w:color w:val="FFFFFF" w:themeColor="background2"/>
                <w:sz w:val="16"/>
                <w:szCs w:val="16"/>
              </w:rPr>
              <w:t>SSCE</w:t>
            </w:r>
            <w:proofErr w:type="spellEnd"/>
          </w:p>
          <w:p w14:paraId="7027335D"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earn income while studying</w:t>
            </w:r>
          </w:p>
        </w:tc>
      </w:tr>
      <w:tr w:rsidR="00F4405E" w:rsidRPr="00F4405E" w14:paraId="0EE61D9E" w14:textId="77777777" w:rsidTr="002C4429">
        <w:trPr>
          <w:cantSplit/>
          <w:trHeight w:val="622"/>
        </w:trPr>
        <w:tc>
          <w:tcPr>
            <w:tcW w:w="0" w:type="auto"/>
          </w:tcPr>
          <w:p w14:paraId="7D0C5A4C"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Why schools offer</w:t>
            </w:r>
          </w:p>
        </w:tc>
        <w:tc>
          <w:tcPr>
            <w:tcW w:w="0" w:type="auto"/>
            <w:tcMar>
              <w:top w:w="57" w:type="dxa"/>
              <w:left w:w="454" w:type="dxa"/>
              <w:bottom w:w="57" w:type="dxa"/>
              <w:right w:w="454" w:type="dxa"/>
            </w:tcMar>
          </w:tcPr>
          <w:p w14:paraId="5DF11C2E"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expand student choice</w:t>
            </w:r>
          </w:p>
          <w:p w14:paraId="05D2F33F"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provide a different way of learning</w:t>
            </w:r>
          </w:p>
          <w:p w14:paraId="08CA65E5"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give students qualifications valued by employers</w:t>
            </w:r>
          </w:p>
        </w:tc>
        <w:tc>
          <w:tcPr>
            <w:tcW w:w="3683" w:type="dxa"/>
            <w:tcMar>
              <w:top w:w="57" w:type="dxa"/>
              <w:left w:w="454" w:type="dxa"/>
              <w:bottom w:w="57" w:type="dxa"/>
              <w:right w:w="454" w:type="dxa"/>
            </w:tcMar>
          </w:tcPr>
          <w:p w14:paraId="57B3C9E6"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enable students to start apprenticeship while still being supported at school</w:t>
            </w:r>
          </w:p>
          <w:p w14:paraId="27554FE0"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 xml:space="preserve">encourage students to continue their broader education and obtain </w:t>
            </w:r>
            <w:proofErr w:type="spellStart"/>
            <w:r w:rsidRPr="00F4405E">
              <w:rPr>
                <w:rFonts w:asciiTheme="minorHAnsi" w:hAnsiTheme="minorHAnsi" w:cstheme="minorHAnsi"/>
                <w:color w:val="FFFFFF" w:themeColor="background2"/>
                <w:sz w:val="16"/>
                <w:szCs w:val="16"/>
              </w:rPr>
              <w:t>SSCE</w:t>
            </w:r>
            <w:proofErr w:type="spellEnd"/>
          </w:p>
        </w:tc>
      </w:tr>
      <w:tr w:rsidR="00F4405E" w:rsidRPr="00F4405E" w14:paraId="5D79FEA1" w14:textId="77777777" w:rsidTr="002C4429">
        <w:trPr>
          <w:cantSplit/>
          <w:trHeight w:val="1798"/>
        </w:trPr>
        <w:tc>
          <w:tcPr>
            <w:tcW w:w="0" w:type="auto"/>
          </w:tcPr>
          <w:p w14:paraId="2D0AF6B0" w14:textId="77777777" w:rsidR="00DB1B20" w:rsidRPr="00F4405E" w:rsidRDefault="00DB1B20" w:rsidP="00DB1B20">
            <w:p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What employers expect of students as a result</w:t>
            </w:r>
          </w:p>
        </w:tc>
        <w:tc>
          <w:tcPr>
            <w:tcW w:w="0" w:type="auto"/>
            <w:tcMar>
              <w:top w:w="57" w:type="dxa"/>
              <w:left w:w="454" w:type="dxa"/>
              <w:bottom w:w="57" w:type="dxa"/>
              <w:right w:w="454" w:type="dxa"/>
            </w:tcMar>
          </w:tcPr>
          <w:p w14:paraId="18A691EF"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understanding of the industry</w:t>
            </w:r>
          </w:p>
          <w:p w14:paraId="4939490D"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have had the opportunity to experience an industry and decide whether it is right for them</w:t>
            </w:r>
          </w:p>
          <w:p w14:paraId="35B45FA6"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have job-specific skills and knowledge</w:t>
            </w:r>
          </w:p>
        </w:tc>
        <w:tc>
          <w:tcPr>
            <w:tcW w:w="3683" w:type="dxa"/>
            <w:tcMar>
              <w:top w:w="57" w:type="dxa"/>
              <w:left w:w="454" w:type="dxa"/>
              <w:bottom w:w="57" w:type="dxa"/>
              <w:right w:w="454" w:type="dxa"/>
            </w:tcMar>
          </w:tcPr>
          <w:p w14:paraId="63C63AAB"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occupational and workplace-specific skills</w:t>
            </w:r>
          </w:p>
          <w:p w14:paraId="46C5AA62"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on a pathway to completing an Australian Apprenticeship</w:t>
            </w:r>
          </w:p>
          <w:p w14:paraId="28263989" w14:textId="77777777" w:rsidR="00DB1B20" w:rsidRPr="00F4405E" w:rsidRDefault="00DB1B20" w:rsidP="00DB1B20">
            <w:pPr>
              <w:pStyle w:val="ListParagraph"/>
              <w:numPr>
                <w:ilvl w:val="0"/>
                <w:numId w:val="35"/>
              </w:numPr>
              <w:jc w:val="center"/>
              <w:rPr>
                <w:rFonts w:asciiTheme="minorHAnsi" w:hAnsiTheme="minorHAnsi" w:cstheme="minorHAnsi"/>
                <w:color w:val="FFFFFF" w:themeColor="background2"/>
                <w:sz w:val="16"/>
                <w:szCs w:val="16"/>
              </w:rPr>
            </w:pPr>
            <w:r w:rsidRPr="00F4405E">
              <w:rPr>
                <w:rFonts w:asciiTheme="minorHAnsi" w:hAnsiTheme="minorHAnsi" w:cstheme="minorHAnsi"/>
                <w:color w:val="FFFFFF" w:themeColor="background2"/>
                <w:sz w:val="16"/>
                <w:szCs w:val="16"/>
              </w:rPr>
              <w:t>competent and productive in the workplace</w:t>
            </w:r>
          </w:p>
        </w:tc>
      </w:tr>
    </w:tbl>
    <w:p w14:paraId="1EB938BB" w14:textId="7B089EF5" w:rsidR="002D7666" w:rsidRPr="00670367" w:rsidRDefault="00F94F40" w:rsidP="00670367">
      <w:r w:rsidRPr="00670367">
        <w:t>*Accredited</w:t>
      </w:r>
      <w:r w:rsidR="00670367" w:rsidRPr="00670367">
        <w:t xml:space="preserve"> courses are classified as VET,</w:t>
      </w:r>
      <w:r w:rsidR="00F5178D">
        <w:t xml:space="preserve"> </w:t>
      </w:r>
      <w:r w:rsidRPr="00670367">
        <w:t>but the purpose of some of these courses</w:t>
      </w:r>
      <w:r w:rsidR="00F5178D">
        <w:t xml:space="preserve"> is more</w:t>
      </w:r>
      <w:r w:rsidR="00F5178D">
        <w:br/>
      </w:r>
      <w:r w:rsidRPr="00670367">
        <w:t>aligned with vocational learning.</w:t>
      </w:r>
    </w:p>
    <w:p w14:paraId="3034F726" w14:textId="0150DC1A" w:rsidR="00892601" w:rsidRPr="00670367" w:rsidRDefault="00892601" w:rsidP="00670367">
      <w:r w:rsidRPr="00670367">
        <w:t xml:space="preserve">Volunteering and part-time </w:t>
      </w:r>
      <w:proofErr w:type="gramStart"/>
      <w:r w:rsidRPr="00670367">
        <w:t>work provide</w:t>
      </w:r>
      <w:proofErr w:type="gramEnd"/>
      <w:r w:rsidRPr="00670367">
        <w:t xml:space="preserve"> a student with vocational learning and</w:t>
      </w:r>
      <w:r w:rsidR="00F5178D">
        <w:t xml:space="preserve"> </w:t>
      </w:r>
      <w:r w:rsidRPr="00670367">
        <w:t xml:space="preserve">potentially </w:t>
      </w:r>
      <w:r w:rsidR="00F5178D">
        <w:br/>
      </w:r>
      <w:r w:rsidRPr="00670367">
        <w:t>credit towards a qualification. They are valued by employers and students.</w:t>
      </w:r>
    </w:p>
    <w:sectPr w:rsidR="00892601" w:rsidRPr="00670367" w:rsidSect="00670367">
      <w:headerReference w:type="default" r:id="rId40"/>
      <w:footerReference w:type="default" r:id="rId41"/>
      <w:pgSz w:w="11907" w:h="16839" w:code="9"/>
      <w:pgMar w:top="1134" w:right="1134" w:bottom="567" w:left="85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82F22" w14:textId="77777777" w:rsidR="00692D90" w:rsidRDefault="00692D90" w:rsidP="001D473B">
      <w:r>
        <w:separator/>
      </w:r>
    </w:p>
  </w:endnote>
  <w:endnote w:type="continuationSeparator" w:id="0">
    <w:p w14:paraId="766B5DD9" w14:textId="77777777" w:rsidR="00692D90" w:rsidRDefault="00692D90" w:rsidP="001D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1951D" w14:textId="77777777" w:rsidR="00692D90" w:rsidRPr="00C54979" w:rsidRDefault="00692D90" w:rsidP="001D473B">
    <w:pPr>
      <w:pStyle w:val="Footer"/>
    </w:pPr>
    <w:r>
      <w:fldChar w:fldCharType="begin"/>
    </w:r>
    <w:r>
      <w:instrText xml:space="preserve"> PAGE   \* MERGEFORMAT </w:instrText>
    </w:r>
    <w:r>
      <w:fldChar w:fldCharType="separate"/>
    </w:r>
    <w:r w:rsidR="00DE6767">
      <w:rPr>
        <w:noProof/>
      </w:rPr>
      <w:t>iv</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D1EA" w14:textId="5FC0638E" w:rsidR="00692D90" w:rsidRDefault="00692D90" w:rsidP="00A36A31">
    <w:pPr>
      <w:pStyle w:val="Footer"/>
      <w:tabs>
        <w:tab w:val="left" w:pos="8505"/>
      </w:tabs>
    </w:pPr>
    <w:r>
      <w:tab/>
    </w:r>
    <w:r>
      <w:tab/>
    </w:r>
    <w:sdt>
      <w:sdtPr>
        <w:id w:val="-263851652"/>
        <w:docPartObj>
          <w:docPartGallery w:val="Page Numbers (Bottom of Page)"/>
          <w:docPartUnique/>
        </w:docPartObj>
      </w:sdtPr>
      <w:sdtContent>
        <w:r>
          <w:fldChar w:fldCharType="begin"/>
        </w:r>
        <w:r>
          <w:instrText xml:space="preserve"> PAGE   \* MERGEFORMAT </w:instrText>
        </w:r>
        <w:r>
          <w:fldChar w:fldCharType="separate"/>
        </w:r>
        <w:r w:rsidR="00DE6767">
          <w:rPr>
            <w:noProof/>
          </w:rPr>
          <w:t>iii</w:t>
        </w:r>
        <w: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3C0D" w14:textId="77777777" w:rsidR="00692D90" w:rsidRDefault="00692D90" w:rsidP="00A36A31">
    <w:pPr>
      <w:pStyle w:val="Footer"/>
      <w:tabs>
        <w:tab w:val="left" w:pos="8505"/>
      </w:tabs>
    </w:pPr>
    <w:r>
      <w:tab/>
    </w:r>
    <w:r>
      <w:tab/>
    </w:r>
    <w:sdt>
      <w:sdtPr>
        <w:id w:val="1119799262"/>
        <w:docPartObj>
          <w:docPartGallery w:val="Page Numbers (Bottom of Page)"/>
          <w:docPartUnique/>
        </w:docPartObj>
      </w:sdtPr>
      <w:sdtEndPr>
        <w:rPr>
          <w:noProof/>
        </w:rPr>
      </w:sdtEndPr>
      <w:sdtContent>
        <w:r>
          <w:rPr>
            <w:noProof/>
            <w:lang w:eastAsia="en-AU"/>
          </w:rPr>
          <w:drawing>
            <wp:anchor distT="0" distB="0" distL="114300" distR="114300" simplePos="0" relativeHeight="251663360" behindDoc="1" locked="0" layoutInCell="1" allowOverlap="1" wp14:anchorId="01306A83" wp14:editId="3972D50B">
              <wp:simplePos x="0" y="0"/>
              <wp:positionH relativeFrom="column">
                <wp:posOffset>-594995</wp:posOffset>
              </wp:positionH>
              <wp:positionV relativeFrom="paragraph">
                <wp:posOffset>-1173480</wp:posOffset>
              </wp:positionV>
              <wp:extent cx="7416000" cy="1782000"/>
              <wp:effectExtent l="0" t="0" r="0" b="8890"/>
              <wp:wrapNone/>
              <wp:docPr id="105" name="Picture 10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6000" cy="178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DE6767">
          <w:rPr>
            <w:noProof/>
          </w:rPr>
          <w:t>13</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60870" w14:textId="77777777" w:rsidR="00692D90" w:rsidRPr="00C54979" w:rsidRDefault="00692D90" w:rsidP="001D473B">
    <w:pPr>
      <w:pStyle w:val="Footer"/>
    </w:pPr>
    <w:sdt>
      <w:sdtPr>
        <w:id w:val="-19540824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6767">
          <w:rPr>
            <w:noProof/>
          </w:rPr>
          <w:t>12</w:t>
        </w:r>
        <w:r>
          <w:rPr>
            <w:noProof/>
          </w:rPr>
          <w:fldChar w:fldCharType="end"/>
        </w:r>
      </w:sdtContent>
    </w:sdt>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22583" w14:textId="37C5365F" w:rsidR="00692D90" w:rsidRDefault="00692D90" w:rsidP="00AB2E82">
    <w:pPr>
      <w:pStyle w:val="Footer"/>
      <w:tabs>
        <w:tab w:val="clear" w:pos="9026"/>
        <w:tab w:val="right" w:pos="9356"/>
        <w:tab w:val="right" w:pos="9922"/>
      </w:tabs>
      <w:spacing w:before="120" w:after="120"/>
    </w:pPr>
    <w:r>
      <w:rPr>
        <w:noProof/>
        <w:lang w:eastAsia="en-AU"/>
      </w:rPr>
      <w:drawing>
        <wp:anchor distT="0" distB="0" distL="114300" distR="114300" simplePos="0" relativeHeight="251667456" behindDoc="1" locked="0" layoutInCell="1" allowOverlap="1" wp14:anchorId="0563DC58" wp14:editId="1566169C">
          <wp:simplePos x="0" y="0"/>
          <wp:positionH relativeFrom="column">
            <wp:posOffset>-216535</wp:posOffset>
          </wp:positionH>
          <wp:positionV relativeFrom="paragraph">
            <wp:posOffset>-1105991</wp:posOffset>
          </wp:positionV>
          <wp:extent cx="7415530" cy="1781810"/>
          <wp:effectExtent l="0" t="0" r="0" b="8890"/>
          <wp:wrapNone/>
          <wp:docPr id="60" name="Picture 6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e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5530" cy="1781810"/>
                  </a:xfrm>
                  <a:prstGeom prst="rect">
                    <a:avLst/>
                  </a:prstGeom>
                </pic:spPr>
              </pic:pic>
            </a:graphicData>
          </a:graphic>
          <wp14:sizeRelH relativeFrom="page">
            <wp14:pctWidth>0</wp14:pctWidth>
          </wp14:sizeRelH>
          <wp14:sizeRelV relativeFrom="page">
            <wp14:pctHeight>0</wp14:pctHeight>
          </wp14:sizeRelV>
        </wp:anchor>
      </w:drawing>
    </w:r>
    <w:sdt>
      <w:sdtPr>
        <w:id w:val="-1684273033"/>
        <w:docPartObj>
          <w:docPartGallery w:val="Page Numbers (Bottom of Page)"/>
          <w:docPartUnique/>
        </w:docPartObj>
      </w:sdtPr>
      <w:sdtEndPr>
        <w:rPr>
          <w:noProof/>
        </w:rPr>
      </w:sdtEndPr>
      <w:sdtContent>
        <w:r>
          <w:rPr>
            <w:sz w:val="20"/>
            <w:szCs w:val="20"/>
          </w:rPr>
          <w:tab/>
        </w:r>
        <w:r>
          <w:rPr>
            <w:sz w:val="20"/>
            <w:szCs w:val="20"/>
          </w:rPr>
          <w:tab/>
        </w:r>
        <w:r>
          <w:fldChar w:fldCharType="begin"/>
        </w:r>
        <w:r>
          <w:instrText xml:space="preserve"> PAGE   \* MERGEFORMAT </w:instrText>
        </w:r>
        <w:r>
          <w:fldChar w:fldCharType="separate"/>
        </w:r>
        <w:r w:rsidR="00DE6767">
          <w:rPr>
            <w:noProof/>
          </w:rPr>
          <w:t>21</w:t>
        </w:r>
        <w:r>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7A533" w14:textId="77777777" w:rsidR="00692D90" w:rsidRDefault="00692D90" w:rsidP="001D473B">
      <w:r>
        <w:separator/>
      </w:r>
    </w:p>
  </w:footnote>
  <w:footnote w:type="continuationSeparator" w:id="0">
    <w:p w14:paraId="7DA86848" w14:textId="77777777" w:rsidR="00692D90" w:rsidRDefault="00692D90" w:rsidP="001D473B">
      <w:r>
        <w:continuationSeparator/>
      </w:r>
    </w:p>
  </w:footnote>
  <w:footnote w:id="1">
    <w:p w14:paraId="651F0DAB" w14:textId="001FE834" w:rsidR="00692D90" w:rsidRDefault="00692D90" w:rsidP="00473E6C">
      <w:pPr>
        <w:pStyle w:val="FootnoteText"/>
      </w:pPr>
      <w:r>
        <w:rPr>
          <w:rStyle w:val="FootnoteReference"/>
        </w:rPr>
        <w:footnoteRef/>
      </w:r>
      <w:r>
        <w:t xml:space="preserve"> In 2014 </w:t>
      </w:r>
      <w:r w:rsidRPr="00D734C0">
        <w:t xml:space="preserve">the Ministerial Council became the </w:t>
      </w:r>
      <w:proofErr w:type="spellStart"/>
      <w:r w:rsidRPr="00D734C0">
        <w:t>COAG</w:t>
      </w:r>
      <w:proofErr w:type="spellEnd"/>
      <w:r w:rsidRPr="00D734C0">
        <w:t xml:space="preserve"> Education Council</w:t>
      </w:r>
    </w:p>
  </w:footnote>
  <w:footnote w:id="2">
    <w:p w14:paraId="735C4CE2" w14:textId="631BCC5C" w:rsidR="00692D90" w:rsidRDefault="00692D90" w:rsidP="00473E6C">
      <w:pPr>
        <w:pStyle w:val="FootnoteText"/>
      </w:pPr>
      <w:r>
        <w:rPr>
          <w:rStyle w:val="FootnoteReference"/>
        </w:rPr>
        <w:footnoteRef/>
      </w:r>
      <w:r>
        <w:t xml:space="preserve"> Often referred to as VET in Schools or VETiS</w:t>
      </w:r>
    </w:p>
  </w:footnote>
  <w:footnote w:id="3">
    <w:p w14:paraId="36FE6C4B" w14:textId="77777777" w:rsidR="00692D90" w:rsidRDefault="00692D90" w:rsidP="00473E6C">
      <w:pPr>
        <w:pStyle w:val="FootnoteText"/>
      </w:pPr>
      <w:r>
        <w:rPr>
          <w:rStyle w:val="FootnoteReference"/>
        </w:rPr>
        <w:footnoteRef/>
      </w:r>
      <w:r>
        <w:t xml:space="preserve"> Based on Longitudinal Survey of Australian Youth </w:t>
      </w:r>
    </w:p>
  </w:footnote>
  <w:footnote w:id="4">
    <w:p w14:paraId="598D4C31" w14:textId="77777777" w:rsidR="00692D90" w:rsidRDefault="00692D90" w:rsidP="00473E6C">
      <w:pPr>
        <w:pStyle w:val="FootnoteText"/>
      </w:pPr>
      <w:r>
        <w:rPr>
          <w:rStyle w:val="FootnoteReference"/>
        </w:rPr>
        <w:footnoteRef/>
      </w:r>
      <w:r>
        <w:t xml:space="preserve"> Based on National Centre for Vocational Education Research data</w:t>
      </w:r>
    </w:p>
  </w:footnote>
  <w:footnote w:id="5">
    <w:p w14:paraId="1CB0D091" w14:textId="6FFF6107" w:rsidR="00692D90" w:rsidRDefault="00692D90">
      <w:pPr>
        <w:pStyle w:val="FootnoteText"/>
      </w:pPr>
      <w:r>
        <w:rPr>
          <w:rStyle w:val="FootnoteReference"/>
        </w:rPr>
        <w:footnoteRef/>
      </w:r>
      <w:r>
        <w:t xml:space="preserve"> Policy settings, governance arrangements, regulatory environments and resourcing decisions</w:t>
      </w:r>
    </w:p>
  </w:footnote>
  <w:footnote w:id="6">
    <w:p w14:paraId="463DF935" w14:textId="77777777" w:rsidR="00692D90" w:rsidRDefault="00692D90">
      <w:pPr>
        <w:pStyle w:val="FootnoteText"/>
      </w:pPr>
      <w:r>
        <w:rPr>
          <w:rStyle w:val="FootnoteReference"/>
        </w:rPr>
        <w:footnoteRef/>
      </w:r>
      <w:r>
        <w:t xml:space="preserve"> See glossary for definitions of these terms</w:t>
      </w:r>
    </w:p>
  </w:footnote>
  <w:footnote w:id="7">
    <w:p w14:paraId="528E3860" w14:textId="77777777" w:rsidR="00692D90" w:rsidRDefault="00692D90">
      <w:pPr>
        <w:pStyle w:val="FootnoteText"/>
      </w:pPr>
      <w:r>
        <w:rPr>
          <w:rStyle w:val="FootnoteReference"/>
        </w:rPr>
        <w:footnoteRef/>
      </w:r>
      <w:r>
        <w:t xml:space="preserve"> Schools and school systems may be RTOs in their own right.</w:t>
      </w:r>
    </w:p>
  </w:footnote>
  <w:footnote w:id="8">
    <w:p w14:paraId="351597B6" w14:textId="694DA1D8" w:rsidR="00692D90" w:rsidRDefault="00692D90" w:rsidP="00473E6C">
      <w:pPr>
        <w:pStyle w:val="FootnoteText"/>
      </w:pPr>
      <w:r>
        <w:rPr>
          <w:rStyle w:val="FootnoteReference"/>
        </w:rPr>
        <w:footnoteRef/>
      </w:r>
      <w:r>
        <w:t xml:space="preserve"> For example, certificates in ‘Leadership Skills’, ‘</w:t>
      </w:r>
      <w:r w:rsidRPr="00230040">
        <w:t>Skills for Work and Training</w:t>
      </w:r>
      <w:r>
        <w:t>’, ‘Work Readiness’, ‘Workplace Practices’ and ‘</w:t>
      </w:r>
      <w:r w:rsidRPr="006F5C08">
        <w:t>Core Skills for Employment and Training</w:t>
      </w:r>
      <w:r>
        <w:t>—</w:t>
      </w:r>
      <w:r w:rsidRPr="006F5C08">
        <w:t>Numeracy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7BB1" w14:textId="77777777" w:rsidR="00692D90" w:rsidRDefault="00692D90" w:rsidP="00731E24">
    <w:pPr>
      <w:pStyle w:val="Header"/>
      <w:jc w:val="right"/>
    </w:pPr>
    <w:r w:rsidRPr="00F0611E">
      <w:t>Preparing Secondary Students for Work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DC8A" w14:textId="77777777" w:rsidR="00692D90" w:rsidRPr="00F0611E" w:rsidRDefault="00692D90" w:rsidP="00DB577D">
    <w:pPr>
      <w:pStyle w:val="Header"/>
      <w:jc w:val="right"/>
    </w:pPr>
    <w:r>
      <w:t>Confidence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ACEBC" w14:textId="6BFAA788" w:rsidR="00692D90" w:rsidRDefault="00692D90" w:rsidP="009079A2">
    <w:pPr>
      <w:pStyle w:val="Header"/>
      <w:jc w:val="right"/>
    </w:pPr>
    <w:r>
      <w:t>Core systems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4B892" w14:textId="4C46D016" w:rsidR="00692D90" w:rsidRPr="00F0611E" w:rsidRDefault="00692D90" w:rsidP="00B278C0">
    <w:pPr>
      <w:pStyle w:val="Header"/>
      <w:jc w:val="right"/>
    </w:pPr>
    <w:r w:rsidRPr="00B278C0">
      <w:t xml:space="preserve">Appendix A: Creating </w:t>
    </w:r>
    <w:r>
      <w:t>c</w:t>
    </w:r>
    <w:r w:rsidRPr="00B278C0">
      <w:t>larity</w:t>
    </w:r>
    <w:r>
      <w:t>—v</w:t>
    </w:r>
    <w:r w:rsidRPr="00B278C0">
      <w:t xml:space="preserve">ocational </w:t>
    </w:r>
    <w:r>
      <w:t>l</w:t>
    </w:r>
    <w:r w:rsidRPr="00B278C0">
      <w:t>earning and VET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37E3C" w14:textId="77777777" w:rsidR="00692D90" w:rsidRDefault="00692D90" w:rsidP="00731E24">
    <w:pPr>
      <w:pStyle w:val="Header"/>
      <w:jc w:val="right"/>
    </w:pPr>
    <w:r w:rsidRPr="00F0611E">
      <w:t>Preparing Secondary Students for Work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6822" w14:textId="77777777" w:rsidR="00692D90" w:rsidRDefault="00692D90" w:rsidP="004E3896">
    <w:pPr>
      <w:pStyle w:val="Header"/>
      <w:jc w:val="right"/>
    </w:pPr>
    <w:r w:rsidRPr="00F0611E">
      <w:t>Preparing Secondary Students for Work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62781" w14:textId="77777777" w:rsidR="00692D90" w:rsidRPr="00F0611E" w:rsidRDefault="00692D90" w:rsidP="00DB577D">
    <w:pPr>
      <w:pStyle w:val="Header"/>
      <w:jc w:val="right"/>
    </w:pPr>
    <w:r>
      <w:t>Background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E3246" w14:textId="77777777" w:rsidR="00692D90" w:rsidRDefault="00692D90" w:rsidP="00DB577D">
    <w:pPr>
      <w:pStyle w:val="Header"/>
      <w:jc w:val="right"/>
    </w:pPr>
    <w:r w:rsidRPr="00F0611E">
      <w:t>Preparing Secondary Students for Work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39AF3" w14:textId="77777777" w:rsidR="00692D90" w:rsidRPr="00F0611E" w:rsidRDefault="00692D90" w:rsidP="00DB577D">
    <w:pPr>
      <w:pStyle w:val="Header"/>
      <w:jc w:val="right"/>
    </w:pPr>
    <w:r>
      <w:t>Imperative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D11A2" w14:textId="77777777" w:rsidR="00692D90" w:rsidRPr="00F0611E" w:rsidRDefault="00692D90" w:rsidP="00DB577D">
    <w:pPr>
      <w:pStyle w:val="Header"/>
      <w:jc w:val="right"/>
    </w:pPr>
    <w:r>
      <w:t>Components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7D17D" w14:textId="77777777" w:rsidR="00692D90" w:rsidRPr="00E37589" w:rsidRDefault="00692D90" w:rsidP="00DB577D">
    <w:pPr>
      <w:pStyle w:val="Header"/>
      <w:jc w:val="right"/>
    </w:pPr>
    <w:r w:rsidRPr="00E37589">
      <w:t>Clarity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A8710" w14:textId="77777777" w:rsidR="00692D90" w:rsidRPr="00F0611E" w:rsidRDefault="00692D90" w:rsidP="00DB577D">
    <w:pPr>
      <w:pStyle w:val="Header"/>
      <w:jc w:val="right"/>
    </w:pPr>
    <w:r>
      <w:t>Collaboration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BA33D4"/>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5BAAF2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6BC6F70E"/>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2B48C8"/>
    <w:multiLevelType w:val="hybridMultilevel"/>
    <w:tmpl w:val="C6A05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1EB2302"/>
    <w:multiLevelType w:val="hybridMultilevel"/>
    <w:tmpl w:val="A5AEAD54"/>
    <w:lvl w:ilvl="0" w:tplc="E4B22E1C">
      <w:start w:val="1"/>
      <w:numFmt w:val="bullet"/>
      <w:pStyle w:val="DotPointForDiagram"/>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8B26066"/>
    <w:multiLevelType w:val="hybridMultilevel"/>
    <w:tmpl w:val="EA88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F2652A"/>
    <w:multiLevelType w:val="hybridMultilevel"/>
    <w:tmpl w:val="E432FD2E"/>
    <w:lvl w:ilvl="0" w:tplc="3F20143E">
      <w:numFmt w:val="bullet"/>
      <w:lvlText w:val="·"/>
      <w:lvlJc w:val="left"/>
      <w:pPr>
        <w:ind w:left="720" w:hanging="360"/>
      </w:pPr>
      <w:rPr>
        <w:rFonts w:ascii="ArialNarrow" w:eastAsiaTheme="minorEastAsia" w:hAnsi="ArialNarrow" w:cs="Arial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941B2D"/>
    <w:multiLevelType w:val="hybridMultilevel"/>
    <w:tmpl w:val="62EED84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nsid w:val="450171BF"/>
    <w:multiLevelType w:val="multilevel"/>
    <w:tmpl w:val="EF9E0B20"/>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46EF0A4D"/>
    <w:multiLevelType w:val="hybridMultilevel"/>
    <w:tmpl w:val="569E6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BDB4315"/>
    <w:multiLevelType w:val="hybridMultilevel"/>
    <w:tmpl w:val="15AA6FFA"/>
    <w:lvl w:ilvl="0" w:tplc="0C090001">
      <w:start w:val="1"/>
      <w:numFmt w:val="bullet"/>
      <w:lvlText w:val=""/>
      <w:lvlJc w:val="left"/>
      <w:pPr>
        <w:ind w:left="644"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1B73210"/>
    <w:multiLevelType w:val="multilevel"/>
    <w:tmpl w:val="5D982876"/>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8767A7F"/>
    <w:multiLevelType w:val="hybridMultilevel"/>
    <w:tmpl w:val="4E1AD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760B44E9"/>
    <w:multiLevelType w:val="hybridMultilevel"/>
    <w:tmpl w:val="7F625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7BB34EE9"/>
    <w:multiLevelType w:val="multilevel"/>
    <w:tmpl w:val="F288F560"/>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7C8A0F59"/>
    <w:multiLevelType w:val="hybridMultilevel"/>
    <w:tmpl w:val="4A40F1CE"/>
    <w:lvl w:ilvl="0" w:tplc="F3C425A2">
      <w:start w:val="1"/>
      <w:numFmt w:val="bullet"/>
      <w:pStyle w:val="Boxbullets"/>
      <w:lvlText w:val=""/>
      <w:lvlJc w:val="left"/>
      <w:pPr>
        <w:ind w:left="720" w:hanging="360"/>
      </w:pPr>
      <w:rPr>
        <w:rFonts w:ascii="Symbol" w:hAnsi="Symbol" w:hint="default"/>
        <w:color w:val="58317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6"/>
  </w:num>
  <w:num w:numId="15">
    <w:abstractNumId w:val="13"/>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8"/>
  </w:num>
  <w:num w:numId="21">
    <w:abstractNumId w:val="20"/>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22"/>
  </w:num>
  <w:num w:numId="26">
    <w:abstractNumId w:val="27"/>
  </w:num>
  <w:num w:numId="27">
    <w:abstractNumId w:val="19"/>
  </w:num>
  <w:num w:numId="28">
    <w:abstractNumId w:val="28"/>
  </w:num>
  <w:num w:numId="29">
    <w:abstractNumId w:val="9"/>
  </w:num>
  <w:num w:numId="30">
    <w:abstractNumId w:val="21"/>
  </w:num>
  <w:num w:numId="31">
    <w:abstractNumId w:val="16"/>
  </w:num>
  <w:num w:numId="32">
    <w:abstractNumId w:val="17"/>
  </w:num>
  <w:num w:numId="33">
    <w:abstractNumId w:val="12"/>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VETisTable"/>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26F60"/>
    <w:rsid w:val="00002721"/>
    <w:rsid w:val="00005699"/>
    <w:rsid w:val="00007E0C"/>
    <w:rsid w:val="00011146"/>
    <w:rsid w:val="00020ED9"/>
    <w:rsid w:val="00024E24"/>
    <w:rsid w:val="00026740"/>
    <w:rsid w:val="000301B1"/>
    <w:rsid w:val="00031EA6"/>
    <w:rsid w:val="00034EAA"/>
    <w:rsid w:val="00042AD6"/>
    <w:rsid w:val="00057F3C"/>
    <w:rsid w:val="00061A6B"/>
    <w:rsid w:val="000642E6"/>
    <w:rsid w:val="000657CB"/>
    <w:rsid w:val="00065ED8"/>
    <w:rsid w:val="00067933"/>
    <w:rsid w:val="00071B43"/>
    <w:rsid w:val="00073BCC"/>
    <w:rsid w:val="00073D19"/>
    <w:rsid w:val="00076970"/>
    <w:rsid w:val="00080CDD"/>
    <w:rsid w:val="00081E66"/>
    <w:rsid w:val="000850D3"/>
    <w:rsid w:val="000861A6"/>
    <w:rsid w:val="00086AAC"/>
    <w:rsid w:val="00092C7D"/>
    <w:rsid w:val="00094E83"/>
    <w:rsid w:val="000961C0"/>
    <w:rsid w:val="00096418"/>
    <w:rsid w:val="00096780"/>
    <w:rsid w:val="00097790"/>
    <w:rsid w:val="000A10F4"/>
    <w:rsid w:val="000A1943"/>
    <w:rsid w:val="000A3473"/>
    <w:rsid w:val="000A5D10"/>
    <w:rsid w:val="000B0F81"/>
    <w:rsid w:val="000B5CFA"/>
    <w:rsid w:val="000C0BB3"/>
    <w:rsid w:val="000C506E"/>
    <w:rsid w:val="000C71EC"/>
    <w:rsid w:val="000C7EB6"/>
    <w:rsid w:val="000D131A"/>
    <w:rsid w:val="000D1E16"/>
    <w:rsid w:val="000D1F2F"/>
    <w:rsid w:val="000D40AC"/>
    <w:rsid w:val="000D6952"/>
    <w:rsid w:val="000D736B"/>
    <w:rsid w:val="000D7FD3"/>
    <w:rsid w:val="000E03DE"/>
    <w:rsid w:val="000E1C5D"/>
    <w:rsid w:val="000E7D08"/>
    <w:rsid w:val="000E7E7B"/>
    <w:rsid w:val="000F0CE1"/>
    <w:rsid w:val="000F2A9A"/>
    <w:rsid w:val="000F3BA2"/>
    <w:rsid w:val="000F6A78"/>
    <w:rsid w:val="00100732"/>
    <w:rsid w:val="0010171C"/>
    <w:rsid w:val="00105336"/>
    <w:rsid w:val="001059C4"/>
    <w:rsid w:val="00113913"/>
    <w:rsid w:val="001157FD"/>
    <w:rsid w:val="001175BF"/>
    <w:rsid w:val="00120B32"/>
    <w:rsid w:val="001216AE"/>
    <w:rsid w:val="0012233F"/>
    <w:rsid w:val="001236F8"/>
    <w:rsid w:val="00124239"/>
    <w:rsid w:val="001250A1"/>
    <w:rsid w:val="00125551"/>
    <w:rsid w:val="00125827"/>
    <w:rsid w:val="00126E3A"/>
    <w:rsid w:val="0013052F"/>
    <w:rsid w:val="00130548"/>
    <w:rsid w:val="00130923"/>
    <w:rsid w:val="00134B0F"/>
    <w:rsid w:val="001351B4"/>
    <w:rsid w:val="00135253"/>
    <w:rsid w:val="00135354"/>
    <w:rsid w:val="00137083"/>
    <w:rsid w:val="001414F3"/>
    <w:rsid w:val="00143FCD"/>
    <w:rsid w:val="00145184"/>
    <w:rsid w:val="00146584"/>
    <w:rsid w:val="00147177"/>
    <w:rsid w:val="00147CA4"/>
    <w:rsid w:val="001556CD"/>
    <w:rsid w:val="001562D4"/>
    <w:rsid w:val="00156C4F"/>
    <w:rsid w:val="0016287E"/>
    <w:rsid w:val="00164C0F"/>
    <w:rsid w:val="00170D5B"/>
    <w:rsid w:val="00170D79"/>
    <w:rsid w:val="0017166F"/>
    <w:rsid w:val="00174906"/>
    <w:rsid w:val="001777BB"/>
    <w:rsid w:val="00180AA1"/>
    <w:rsid w:val="00181991"/>
    <w:rsid w:val="00182075"/>
    <w:rsid w:val="00187DF7"/>
    <w:rsid w:val="001908C6"/>
    <w:rsid w:val="001916DE"/>
    <w:rsid w:val="00191842"/>
    <w:rsid w:val="001A1FC8"/>
    <w:rsid w:val="001B33ED"/>
    <w:rsid w:val="001B4597"/>
    <w:rsid w:val="001B47C0"/>
    <w:rsid w:val="001B49AD"/>
    <w:rsid w:val="001B6137"/>
    <w:rsid w:val="001B6467"/>
    <w:rsid w:val="001B72E9"/>
    <w:rsid w:val="001B7806"/>
    <w:rsid w:val="001C7446"/>
    <w:rsid w:val="001D0E40"/>
    <w:rsid w:val="001D31B8"/>
    <w:rsid w:val="001D3637"/>
    <w:rsid w:val="001D473B"/>
    <w:rsid w:val="001D55DD"/>
    <w:rsid w:val="001F0132"/>
    <w:rsid w:val="001F463F"/>
    <w:rsid w:val="001F6187"/>
    <w:rsid w:val="001F7E34"/>
    <w:rsid w:val="002018E4"/>
    <w:rsid w:val="00202C1F"/>
    <w:rsid w:val="00211C04"/>
    <w:rsid w:val="00214D30"/>
    <w:rsid w:val="002217D1"/>
    <w:rsid w:val="00223EB1"/>
    <w:rsid w:val="0022484A"/>
    <w:rsid w:val="00227657"/>
    <w:rsid w:val="00230040"/>
    <w:rsid w:val="00230DF8"/>
    <w:rsid w:val="00231694"/>
    <w:rsid w:val="00233807"/>
    <w:rsid w:val="00235A8E"/>
    <w:rsid w:val="00236917"/>
    <w:rsid w:val="00242708"/>
    <w:rsid w:val="00242AE1"/>
    <w:rsid w:val="0024328B"/>
    <w:rsid w:val="00243D6B"/>
    <w:rsid w:val="002444A3"/>
    <w:rsid w:val="0025587C"/>
    <w:rsid w:val="00256D84"/>
    <w:rsid w:val="002573AC"/>
    <w:rsid w:val="00260794"/>
    <w:rsid w:val="00262A7D"/>
    <w:rsid w:val="00263B3B"/>
    <w:rsid w:val="00263DB6"/>
    <w:rsid w:val="002655B2"/>
    <w:rsid w:val="00266B26"/>
    <w:rsid w:val="00272DAB"/>
    <w:rsid w:val="00274025"/>
    <w:rsid w:val="00277246"/>
    <w:rsid w:val="00277D8B"/>
    <w:rsid w:val="00283F27"/>
    <w:rsid w:val="00285528"/>
    <w:rsid w:val="00286883"/>
    <w:rsid w:val="00287067"/>
    <w:rsid w:val="002878DE"/>
    <w:rsid w:val="002921F8"/>
    <w:rsid w:val="00296D5F"/>
    <w:rsid w:val="002A097C"/>
    <w:rsid w:val="002A1DD2"/>
    <w:rsid w:val="002A4F56"/>
    <w:rsid w:val="002A5773"/>
    <w:rsid w:val="002A5C9D"/>
    <w:rsid w:val="002B06E6"/>
    <w:rsid w:val="002B3795"/>
    <w:rsid w:val="002B59CB"/>
    <w:rsid w:val="002B7D84"/>
    <w:rsid w:val="002C02CC"/>
    <w:rsid w:val="002C3AA1"/>
    <w:rsid w:val="002C4429"/>
    <w:rsid w:val="002C73EA"/>
    <w:rsid w:val="002D271F"/>
    <w:rsid w:val="002D58E3"/>
    <w:rsid w:val="002D6386"/>
    <w:rsid w:val="002D71D2"/>
    <w:rsid w:val="002D7666"/>
    <w:rsid w:val="002E42C7"/>
    <w:rsid w:val="002E5F2C"/>
    <w:rsid w:val="002E72E1"/>
    <w:rsid w:val="002E7E79"/>
    <w:rsid w:val="002F080F"/>
    <w:rsid w:val="002F1722"/>
    <w:rsid w:val="002F1999"/>
    <w:rsid w:val="002F41A8"/>
    <w:rsid w:val="002F5F90"/>
    <w:rsid w:val="002F6C17"/>
    <w:rsid w:val="002F71BC"/>
    <w:rsid w:val="00300D50"/>
    <w:rsid w:val="00304E0F"/>
    <w:rsid w:val="00305B35"/>
    <w:rsid w:val="00307506"/>
    <w:rsid w:val="0030792D"/>
    <w:rsid w:val="00307F1D"/>
    <w:rsid w:val="00313084"/>
    <w:rsid w:val="003155A7"/>
    <w:rsid w:val="003166C5"/>
    <w:rsid w:val="003175EC"/>
    <w:rsid w:val="00323FEA"/>
    <w:rsid w:val="003242B9"/>
    <w:rsid w:val="00325175"/>
    <w:rsid w:val="0032596A"/>
    <w:rsid w:val="00325B53"/>
    <w:rsid w:val="00326909"/>
    <w:rsid w:val="00335254"/>
    <w:rsid w:val="0033589E"/>
    <w:rsid w:val="00337CFA"/>
    <w:rsid w:val="0034116E"/>
    <w:rsid w:val="00343A9D"/>
    <w:rsid w:val="00346368"/>
    <w:rsid w:val="003534D8"/>
    <w:rsid w:val="003544CE"/>
    <w:rsid w:val="00356ED4"/>
    <w:rsid w:val="00357D36"/>
    <w:rsid w:val="0036087E"/>
    <w:rsid w:val="003632F6"/>
    <w:rsid w:val="00363BDA"/>
    <w:rsid w:val="0036405F"/>
    <w:rsid w:val="003653A4"/>
    <w:rsid w:val="00370799"/>
    <w:rsid w:val="00374329"/>
    <w:rsid w:val="00375729"/>
    <w:rsid w:val="00375873"/>
    <w:rsid w:val="00376911"/>
    <w:rsid w:val="0037768B"/>
    <w:rsid w:val="00380181"/>
    <w:rsid w:val="00380525"/>
    <w:rsid w:val="003854F3"/>
    <w:rsid w:val="00386006"/>
    <w:rsid w:val="003979FC"/>
    <w:rsid w:val="003A06A0"/>
    <w:rsid w:val="003A1A5E"/>
    <w:rsid w:val="003A519E"/>
    <w:rsid w:val="003B025B"/>
    <w:rsid w:val="003B4264"/>
    <w:rsid w:val="003B44E0"/>
    <w:rsid w:val="003B727B"/>
    <w:rsid w:val="003C0D44"/>
    <w:rsid w:val="003C1933"/>
    <w:rsid w:val="003D0DCE"/>
    <w:rsid w:val="003D1A59"/>
    <w:rsid w:val="003D4BE7"/>
    <w:rsid w:val="003D4C12"/>
    <w:rsid w:val="003D5EA0"/>
    <w:rsid w:val="003D67FC"/>
    <w:rsid w:val="003E01DC"/>
    <w:rsid w:val="003E1782"/>
    <w:rsid w:val="003E44CB"/>
    <w:rsid w:val="003E5C5D"/>
    <w:rsid w:val="003E6156"/>
    <w:rsid w:val="003F1148"/>
    <w:rsid w:val="003F7F9E"/>
    <w:rsid w:val="00403B7E"/>
    <w:rsid w:val="00404902"/>
    <w:rsid w:val="004064F3"/>
    <w:rsid w:val="00406753"/>
    <w:rsid w:val="00406E5A"/>
    <w:rsid w:val="0040766F"/>
    <w:rsid w:val="00410292"/>
    <w:rsid w:val="00415242"/>
    <w:rsid w:val="00415518"/>
    <w:rsid w:val="00415C74"/>
    <w:rsid w:val="0042057F"/>
    <w:rsid w:val="00420D94"/>
    <w:rsid w:val="00421747"/>
    <w:rsid w:val="00422E79"/>
    <w:rsid w:val="00433F12"/>
    <w:rsid w:val="004349E5"/>
    <w:rsid w:val="0043717F"/>
    <w:rsid w:val="00440213"/>
    <w:rsid w:val="00441825"/>
    <w:rsid w:val="00442253"/>
    <w:rsid w:val="004425CD"/>
    <w:rsid w:val="00442689"/>
    <w:rsid w:val="004463A1"/>
    <w:rsid w:val="00450BC3"/>
    <w:rsid w:val="004552A8"/>
    <w:rsid w:val="00455B34"/>
    <w:rsid w:val="00455D4A"/>
    <w:rsid w:val="004561C8"/>
    <w:rsid w:val="00460FC5"/>
    <w:rsid w:val="00463744"/>
    <w:rsid w:val="00466D0B"/>
    <w:rsid w:val="00471FE1"/>
    <w:rsid w:val="00473E6C"/>
    <w:rsid w:val="004771FE"/>
    <w:rsid w:val="00481F02"/>
    <w:rsid w:val="00484A35"/>
    <w:rsid w:val="004857D5"/>
    <w:rsid w:val="004860A3"/>
    <w:rsid w:val="00486B09"/>
    <w:rsid w:val="0048762C"/>
    <w:rsid w:val="00491C38"/>
    <w:rsid w:val="004920AF"/>
    <w:rsid w:val="004A0850"/>
    <w:rsid w:val="004A2841"/>
    <w:rsid w:val="004A5D1B"/>
    <w:rsid w:val="004A5ED4"/>
    <w:rsid w:val="004B256F"/>
    <w:rsid w:val="004B2F44"/>
    <w:rsid w:val="004B5180"/>
    <w:rsid w:val="004C26E2"/>
    <w:rsid w:val="004C652B"/>
    <w:rsid w:val="004C6EB4"/>
    <w:rsid w:val="004D1883"/>
    <w:rsid w:val="004D1F02"/>
    <w:rsid w:val="004D2D78"/>
    <w:rsid w:val="004D49CF"/>
    <w:rsid w:val="004D74A9"/>
    <w:rsid w:val="004E3896"/>
    <w:rsid w:val="004E732F"/>
    <w:rsid w:val="004F2154"/>
    <w:rsid w:val="004F2DE6"/>
    <w:rsid w:val="00501995"/>
    <w:rsid w:val="0050342A"/>
    <w:rsid w:val="00504BF6"/>
    <w:rsid w:val="00505C1E"/>
    <w:rsid w:val="005068CE"/>
    <w:rsid w:val="00507B96"/>
    <w:rsid w:val="005107AA"/>
    <w:rsid w:val="005113B6"/>
    <w:rsid w:val="0051328D"/>
    <w:rsid w:val="00515242"/>
    <w:rsid w:val="0051790D"/>
    <w:rsid w:val="00520531"/>
    <w:rsid w:val="00521B60"/>
    <w:rsid w:val="005223E9"/>
    <w:rsid w:val="0052741C"/>
    <w:rsid w:val="00527694"/>
    <w:rsid w:val="00531817"/>
    <w:rsid w:val="0053306E"/>
    <w:rsid w:val="00533FD2"/>
    <w:rsid w:val="005459C1"/>
    <w:rsid w:val="00547883"/>
    <w:rsid w:val="005505D9"/>
    <w:rsid w:val="00551E5D"/>
    <w:rsid w:val="00554A5F"/>
    <w:rsid w:val="00557232"/>
    <w:rsid w:val="00560CA0"/>
    <w:rsid w:val="005624F3"/>
    <w:rsid w:val="00564074"/>
    <w:rsid w:val="00566EA1"/>
    <w:rsid w:val="005670DF"/>
    <w:rsid w:val="00571F13"/>
    <w:rsid w:val="0058063C"/>
    <w:rsid w:val="00580FA0"/>
    <w:rsid w:val="005811EF"/>
    <w:rsid w:val="00581E67"/>
    <w:rsid w:val="00583CA2"/>
    <w:rsid w:val="00584A34"/>
    <w:rsid w:val="00592916"/>
    <w:rsid w:val="0059365F"/>
    <w:rsid w:val="005938A3"/>
    <w:rsid w:val="00593B38"/>
    <w:rsid w:val="005943A2"/>
    <w:rsid w:val="00595CB6"/>
    <w:rsid w:val="005A001C"/>
    <w:rsid w:val="005A10F6"/>
    <w:rsid w:val="005A5467"/>
    <w:rsid w:val="005B0878"/>
    <w:rsid w:val="005B3901"/>
    <w:rsid w:val="005B453A"/>
    <w:rsid w:val="005C08CD"/>
    <w:rsid w:val="005C15C0"/>
    <w:rsid w:val="005C6980"/>
    <w:rsid w:val="005D0933"/>
    <w:rsid w:val="005D5A62"/>
    <w:rsid w:val="005D7DA4"/>
    <w:rsid w:val="005E12FB"/>
    <w:rsid w:val="005E4AC6"/>
    <w:rsid w:val="005F728A"/>
    <w:rsid w:val="005F7A6C"/>
    <w:rsid w:val="005F7E4D"/>
    <w:rsid w:val="00602D9B"/>
    <w:rsid w:val="0060403A"/>
    <w:rsid w:val="0061064A"/>
    <w:rsid w:val="00610654"/>
    <w:rsid w:val="006107F3"/>
    <w:rsid w:val="00612454"/>
    <w:rsid w:val="00625BF6"/>
    <w:rsid w:val="00626818"/>
    <w:rsid w:val="006318B9"/>
    <w:rsid w:val="00632A29"/>
    <w:rsid w:val="00633D7B"/>
    <w:rsid w:val="00635920"/>
    <w:rsid w:val="00636DAE"/>
    <w:rsid w:val="006404DF"/>
    <w:rsid w:val="00643250"/>
    <w:rsid w:val="006435DD"/>
    <w:rsid w:val="00645BF1"/>
    <w:rsid w:val="006461D9"/>
    <w:rsid w:val="00647711"/>
    <w:rsid w:val="00657233"/>
    <w:rsid w:val="006613A1"/>
    <w:rsid w:val="0067026C"/>
    <w:rsid w:val="00670367"/>
    <w:rsid w:val="00670434"/>
    <w:rsid w:val="00671E3F"/>
    <w:rsid w:val="00685130"/>
    <w:rsid w:val="006851C6"/>
    <w:rsid w:val="00686F09"/>
    <w:rsid w:val="00687A97"/>
    <w:rsid w:val="00687B99"/>
    <w:rsid w:val="00687EB8"/>
    <w:rsid w:val="00692813"/>
    <w:rsid w:val="00692D90"/>
    <w:rsid w:val="0069427A"/>
    <w:rsid w:val="00694766"/>
    <w:rsid w:val="006948D9"/>
    <w:rsid w:val="00694CDE"/>
    <w:rsid w:val="006A58AF"/>
    <w:rsid w:val="006B1D13"/>
    <w:rsid w:val="006B2F37"/>
    <w:rsid w:val="006B3CED"/>
    <w:rsid w:val="006B4B71"/>
    <w:rsid w:val="006B58C2"/>
    <w:rsid w:val="006B6CDC"/>
    <w:rsid w:val="006C16C6"/>
    <w:rsid w:val="006C1B0D"/>
    <w:rsid w:val="006C397A"/>
    <w:rsid w:val="006C58C0"/>
    <w:rsid w:val="006C59A4"/>
    <w:rsid w:val="006C60E0"/>
    <w:rsid w:val="006D0AAC"/>
    <w:rsid w:val="006D23FC"/>
    <w:rsid w:val="006D2D9C"/>
    <w:rsid w:val="006D4093"/>
    <w:rsid w:val="006D4E1B"/>
    <w:rsid w:val="006D6544"/>
    <w:rsid w:val="006E1606"/>
    <w:rsid w:val="006E2D49"/>
    <w:rsid w:val="006E388A"/>
    <w:rsid w:val="006E421A"/>
    <w:rsid w:val="006E4E74"/>
    <w:rsid w:val="006E5817"/>
    <w:rsid w:val="006F1137"/>
    <w:rsid w:val="006F1283"/>
    <w:rsid w:val="006F13AB"/>
    <w:rsid w:val="006F226D"/>
    <w:rsid w:val="006F343D"/>
    <w:rsid w:val="006F3556"/>
    <w:rsid w:val="006F5C08"/>
    <w:rsid w:val="00700207"/>
    <w:rsid w:val="00705E01"/>
    <w:rsid w:val="00706CCF"/>
    <w:rsid w:val="00710CC8"/>
    <w:rsid w:val="00712458"/>
    <w:rsid w:val="00713DED"/>
    <w:rsid w:val="00716FC6"/>
    <w:rsid w:val="007175B2"/>
    <w:rsid w:val="007232E7"/>
    <w:rsid w:val="00725CF9"/>
    <w:rsid w:val="00725D85"/>
    <w:rsid w:val="00725DC5"/>
    <w:rsid w:val="00730B3F"/>
    <w:rsid w:val="00731E24"/>
    <w:rsid w:val="00735989"/>
    <w:rsid w:val="007428B3"/>
    <w:rsid w:val="00742CA3"/>
    <w:rsid w:val="007441FF"/>
    <w:rsid w:val="007459C7"/>
    <w:rsid w:val="007468FC"/>
    <w:rsid w:val="00746F13"/>
    <w:rsid w:val="00746F6B"/>
    <w:rsid w:val="00751CBA"/>
    <w:rsid w:val="007533F3"/>
    <w:rsid w:val="00753569"/>
    <w:rsid w:val="0075638B"/>
    <w:rsid w:val="00756589"/>
    <w:rsid w:val="0075741B"/>
    <w:rsid w:val="00757895"/>
    <w:rsid w:val="00762F75"/>
    <w:rsid w:val="007731F3"/>
    <w:rsid w:val="00773DE8"/>
    <w:rsid w:val="0077469F"/>
    <w:rsid w:val="00785439"/>
    <w:rsid w:val="00786144"/>
    <w:rsid w:val="00786D8C"/>
    <w:rsid w:val="00790D31"/>
    <w:rsid w:val="007916B6"/>
    <w:rsid w:val="0079239C"/>
    <w:rsid w:val="00792CA3"/>
    <w:rsid w:val="00795FF4"/>
    <w:rsid w:val="00797665"/>
    <w:rsid w:val="007A2B5D"/>
    <w:rsid w:val="007A5172"/>
    <w:rsid w:val="007B2DEC"/>
    <w:rsid w:val="007B2FDD"/>
    <w:rsid w:val="007C060F"/>
    <w:rsid w:val="007C12D6"/>
    <w:rsid w:val="007C37D4"/>
    <w:rsid w:val="007D1271"/>
    <w:rsid w:val="007D2C0A"/>
    <w:rsid w:val="007D58FB"/>
    <w:rsid w:val="007D5EFE"/>
    <w:rsid w:val="007E08AE"/>
    <w:rsid w:val="007E33B9"/>
    <w:rsid w:val="007E4A6D"/>
    <w:rsid w:val="007E662F"/>
    <w:rsid w:val="007E7A1C"/>
    <w:rsid w:val="007F1FC7"/>
    <w:rsid w:val="007F3315"/>
    <w:rsid w:val="007F37B3"/>
    <w:rsid w:val="0080116B"/>
    <w:rsid w:val="00801C18"/>
    <w:rsid w:val="008040E1"/>
    <w:rsid w:val="008047A7"/>
    <w:rsid w:val="008077C2"/>
    <w:rsid w:val="008248F0"/>
    <w:rsid w:val="0083055E"/>
    <w:rsid w:val="00833E67"/>
    <w:rsid w:val="0083468A"/>
    <w:rsid w:val="00836E07"/>
    <w:rsid w:val="00837064"/>
    <w:rsid w:val="00840D46"/>
    <w:rsid w:val="00842D43"/>
    <w:rsid w:val="00843F3B"/>
    <w:rsid w:val="008456CA"/>
    <w:rsid w:val="00845D14"/>
    <w:rsid w:val="00852CC8"/>
    <w:rsid w:val="0085345E"/>
    <w:rsid w:val="00853AE4"/>
    <w:rsid w:val="00856D1C"/>
    <w:rsid w:val="00856E74"/>
    <w:rsid w:val="00857DB1"/>
    <w:rsid w:val="00860ACB"/>
    <w:rsid w:val="00867978"/>
    <w:rsid w:val="008713AD"/>
    <w:rsid w:val="008717A3"/>
    <w:rsid w:val="008761C0"/>
    <w:rsid w:val="00876AC0"/>
    <w:rsid w:val="00877677"/>
    <w:rsid w:val="008801DD"/>
    <w:rsid w:val="00880293"/>
    <w:rsid w:val="008803F5"/>
    <w:rsid w:val="008910CD"/>
    <w:rsid w:val="00891E89"/>
    <w:rsid w:val="00892601"/>
    <w:rsid w:val="0089487D"/>
    <w:rsid w:val="008967C9"/>
    <w:rsid w:val="008A747B"/>
    <w:rsid w:val="008B1AEC"/>
    <w:rsid w:val="008B3597"/>
    <w:rsid w:val="008B59C0"/>
    <w:rsid w:val="008B6D18"/>
    <w:rsid w:val="008C0D6B"/>
    <w:rsid w:val="008C182C"/>
    <w:rsid w:val="008C30DE"/>
    <w:rsid w:val="008D011B"/>
    <w:rsid w:val="008D03EB"/>
    <w:rsid w:val="008D529D"/>
    <w:rsid w:val="008D5BF5"/>
    <w:rsid w:val="008E1416"/>
    <w:rsid w:val="008E1ADC"/>
    <w:rsid w:val="008E74B1"/>
    <w:rsid w:val="008F05A5"/>
    <w:rsid w:val="008F10A7"/>
    <w:rsid w:val="008F10EF"/>
    <w:rsid w:val="008F2024"/>
    <w:rsid w:val="008F227E"/>
    <w:rsid w:val="008F2E12"/>
    <w:rsid w:val="008F3384"/>
    <w:rsid w:val="008F6E6E"/>
    <w:rsid w:val="008F720B"/>
    <w:rsid w:val="00900093"/>
    <w:rsid w:val="00903408"/>
    <w:rsid w:val="00903482"/>
    <w:rsid w:val="00903E9A"/>
    <w:rsid w:val="00904393"/>
    <w:rsid w:val="009047AA"/>
    <w:rsid w:val="009079A2"/>
    <w:rsid w:val="009116EA"/>
    <w:rsid w:val="009127D2"/>
    <w:rsid w:val="00916813"/>
    <w:rsid w:val="00917BA0"/>
    <w:rsid w:val="009202EA"/>
    <w:rsid w:val="00925B1F"/>
    <w:rsid w:val="00926338"/>
    <w:rsid w:val="009267AE"/>
    <w:rsid w:val="009273ED"/>
    <w:rsid w:val="009306B8"/>
    <w:rsid w:val="009313E3"/>
    <w:rsid w:val="00933671"/>
    <w:rsid w:val="009347C3"/>
    <w:rsid w:val="00935F6E"/>
    <w:rsid w:val="00936A52"/>
    <w:rsid w:val="00937419"/>
    <w:rsid w:val="00941EC9"/>
    <w:rsid w:val="00942025"/>
    <w:rsid w:val="00942277"/>
    <w:rsid w:val="00944391"/>
    <w:rsid w:val="00947583"/>
    <w:rsid w:val="00953E25"/>
    <w:rsid w:val="00954D24"/>
    <w:rsid w:val="00957148"/>
    <w:rsid w:val="00960510"/>
    <w:rsid w:val="009610F4"/>
    <w:rsid w:val="00961603"/>
    <w:rsid w:val="009624D3"/>
    <w:rsid w:val="00964363"/>
    <w:rsid w:val="009670EF"/>
    <w:rsid w:val="009676E6"/>
    <w:rsid w:val="009676EC"/>
    <w:rsid w:val="00972BF7"/>
    <w:rsid w:val="00972DD5"/>
    <w:rsid w:val="0097577A"/>
    <w:rsid w:val="00983B2B"/>
    <w:rsid w:val="00984879"/>
    <w:rsid w:val="00985632"/>
    <w:rsid w:val="009856D8"/>
    <w:rsid w:val="00985758"/>
    <w:rsid w:val="0098743A"/>
    <w:rsid w:val="00990C80"/>
    <w:rsid w:val="00991B63"/>
    <w:rsid w:val="00995881"/>
    <w:rsid w:val="00996B98"/>
    <w:rsid w:val="009A0531"/>
    <w:rsid w:val="009A2E74"/>
    <w:rsid w:val="009A4A31"/>
    <w:rsid w:val="009A6431"/>
    <w:rsid w:val="009A72A9"/>
    <w:rsid w:val="009A7FFC"/>
    <w:rsid w:val="009B2428"/>
    <w:rsid w:val="009B5CB7"/>
    <w:rsid w:val="009C0542"/>
    <w:rsid w:val="009C4BF9"/>
    <w:rsid w:val="009D5DE3"/>
    <w:rsid w:val="009D5F9A"/>
    <w:rsid w:val="009D7316"/>
    <w:rsid w:val="009D7907"/>
    <w:rsid w:val="009E7257"/>
    <w:rsid w:val="009F03DB"/>
    <w:rsid w:val="009F0BFF"/>
    <w:rsid w:val="009F2FE4"/>
    <w:rsid w:val="009F4382"/>
    <w:rsid w:val="009F7165"/>
    <w:rsid w:val="00A0025B"/>
    <w:rsid w:val="00A0048D"/>
    <w:rsid w:val="00A0402C"/>
    <w:rsid w:val="00A04EB2"/>
    <w:rsid w:val="00A11F04"/>
    <w:rsid w:val="00A1260F"/>
    <w:rsid w:val="00A20657"/>
    <w:rsid w:val="00A23000"/>
    <w:rsid w:val="00A2630E"/>
    <w:rsid w:val="00A31242"/>
    <w:rsid w:val="00A312A5"/>
    <w:rsid w:val="00A31A07"/>
    <w:rsid w:val="00A336A3"/>
    <w:rsid w:val="00A3441F"/>
    <w:rsid w:val="00A36A31"/>
    <w:rsid w:val="00A4278C"/>
    <w:rsid w:val="00A4289B"/>
    <w:rsid w:val="00A42AD4"/>
    <w:rsid w:val="00A43AF3"/>
    <w:rsid w:val="00A43E99"/>
    <w:rsid w:val="00A45A80"/>
    <w:rsid w:val="00A475CB"/>
    <w:rsid w:val="00A52530"/>
    <w:rsid w:val="00A551BF"/>
    <w:rsid w:val="00A56900"/>
    <w:rsid w:val="00A57724"/>
    <w:rsid w:val="00A6173F"/>
    <w:rsid w:val="00A635D6"/>
    <w:rsid w:val="00A63792"/>
    <w:rsid w:val="00A6543E"/>
    <w:rsid w:val="00A70057"/>
    <w:rsid w:val="00A70524"/>
    <w:rsid w:val="00A73346"/>
    <w:rsid w:val="00A73406"/>
    <w:rsid w:val="00A74871"/>
    <w:rsid w:val="00A809A1"/>
    <w:rsid w:val="00A84EBF"/>
    <w:rsid w:val="00A853CB"/>
    <w:rsid w:val="00A859F8"/>
    <w:rsid w:val="00A86924"/>
    <w:rsid w:val="00A92D8B"/>
    <w:rsid w:val="00A93CE9"/>
    <w:rsid w:val="00AA1F73"/>
    <w:rsid w:val="00AA3F2F"/>
    <w:rsid w:val="00AA56E6"/>
    <w:rsid w:val="00AA7869"/>
    <w:rsid w:val="00AB2141"/>
    <w:rsid w:val="00AB2E82"/>
    <w:rsid w:val="00AB384F"/>
    <w:rsid w:val="00AB5365"/>
    <w:rsid w:val="00AB55F9"/>
    <w:rsid w:val="00AB6510"/>
    <w:rsid w:val="00AC30CF"/>
    <w:rsid w:val="00AC65DA"/>
    <w:rsid w:val="00AD09E4"/>
    <w:rsid w:val="00AD1893"/>
    <w:rsid w:val="00AD21BF"/>
    <w:rsid w:val="00AD57FB"/>
    <w:rsid w:val="00AD7285"/>
    <w:rsid w:val="00AE0C3B"/>
    <w:rsid w:val="00AE1576"/>
    <w:rsid w:val="00AE4391"/>
    <w:rsid w:val="00AE6155"/>
    <w:rsid w:val="00AE6E57"/>
    <w:rsid w:val="00AF1737"/>
    <w:rsid w:val="00AF5C69"/>
    <w:rsid w:val="00AF5E29"/>
    <w:rsid w:val="00AF6183"/>
    <w:rsid w:val="00AF6C41"/>
    <w:rsid w:val="00AF785B"/>
    <w:rsid w:val="00B0152F"/>
    <w:rsid w:val="00B0187E"/>
    <w:rsid w:val="00B02CC3"/>
    <w:rsid w:val="00B0671C"/>
    <w:rsid w:val="00B1080F"/>
    <w:rsid w:val="00B10C97"/>
    <w:rsid w:val="00B1306D"/>
    <w:rsid w:val="00B13D6C"/>
    <w:rsid w:val="00B1729E"/>
    <w:rsid w:val="00B20AAB"/>
    <w:rsid w:val="00B2127A"/>
    <w:rsid w:val="00B24F12"/>
    <w:rsid w:val="00B2722A"/>
    <w:rsid w:val="00B278C0"/>
    <w:rsid w:val="00B32BA5"/>
    <w:rsid w:val="00B330F7"/>
    <w:rsid w:val="00B36014"/>
    <w:rsid w:val="00B4490F"/>
    <w:rsid w:val="00B46084"/>
    <w:rsid w:val="00B475CE"/>
    <w:rsid w:val="00B50E18"/>
    <w:rsid w:val="00B5380F"/>
    <w:rsid w:val="00B53FDE"/>
    <w:rsid w:val="00B54FF4"/>
    <w:rsid w:val="00B5693A"/>
    <w:rsid w:val="00B56C9D"/>
    <w:rsid w:val="00B57023"/>
    <w:rsid w:val="00B618BA"/>
    <w:rsid w:val="00B631EB"/>
    <w:rsid w:val="00B66C26"/>
    <w:rsid w:val="00B672E7"/>
    <w:rsid w:val="00B7129C"/>
    <w:rsid w:val="00B71935"/>
    <w:rsid w:val="00B73773"/>
    <w:rsid w:val="00B77316"/>
    <w:rsid w:val="00B80B7D"/>
    <w:rsid w:val="00B80BC7"/>
    <w:rsid w:val="00B846BA"/>
    <w:rsid w:val="00B91A2F"/>
    <w:rsid w:val="00B91AAB"/>
    <w:rsid w:val="00B921AE"/>
    <w:rsid w:val="00BA282D"/>
    <w:rsid w:val="00BA4D57"/>
    <w:rsid w:val="00BB22E9"/>
    <w:rsid w:val="00BB2B6B"/>
    <w:rsid w:val="00BB4F5D"/>
    <w:rsid w:val="00BB6260"/>
    <w:rsid w:val="00BB7DBD"/>
    <w:rsid w:val="00BC12D6"/>
    <w:rsid w:val="00BC27F1"/>
    <w:rsid w:val="00BC739C"/>
    <w:rsid w:val="00BC781F"/>
    <w:rsid w:val="00BD652A"/>
    <w:rsid w:val="00BE0F9F"/>
    <w:rsid w:val="00BE1B3F"/>
    <w:rsid w:val="00BE25A5"/>
    <w:rsid w:val="00BE2A6F"/>
    <w:rsid w:val="00BE2F2A"/>
    <w:rsid w:val="00BE725D"/>
    <w:rsid w:val="00BF39B9"/>
    <w:rsid w:val="00BF50FD"/>
    <w:rsid w:val="00BF6ED6"/>
    <w:rsid w:val="00BF764A"/>
    <w:rsid w:val="00C0038E"/>
    <w:rsid w:val="00C03EC0"/>
    <w:rsid w:val="00C05B76"/>
    <w:rsid w:val="00C05E74"/>
    <w:rsid w:val="00C10C19"/>
    <w:rsid w:val="00C11476"/>
    <w:rsid w:val="00C143B8"/>
    <w:rsid w:val="00C172DC"/>
    <w:rsid w:val="00C17683"/>
    <w:rsid w:val="00C17D02"/>
    <w:rsid w:val="00C20033"/>
    <w:rsid w:val="00C20C89"/>
    <w:rsid w:val="00C23442"/>
    <w:rsid w:val="00C267A7"/>
    <w:rsid w:val="00C27C4D"/>
    <w:rsid w:val="00C30E50"/>
    <w:rsid w:val="00C34F9A"/>
    <w:rsid w:val="00C4070B"/>
    <w:rsid w:val="00C41DFC"/>
    <w:rsid w:val="00C453C9"/>
    <w:rsid w:val="00C46A6F"/>
    <w:rsid w:val="00C5136F"/>
    <w:rsid w:val="00C5151A"/>
    <w:rsid w:val="00C5282A"/>
    <w:rsid w:val="00C54979"/>
    <w:rsid w:val="00C55E52"/>
    <w:rsid w:val="00C56075"/>
    <w:rsid w:val="00C5649C"/>
    <w:rsid w:val="00C564DA"/>
    <w:rsid w:val="00C5740A"/>
    <w:rsid w:val="00C60B3B"/>
    <w:rsid w:val="00C648F5"/>
    <w:rsid w:val="00C70D60"/>
    <w:rsid w:val="00C71537"/>
    <w:rsid w:val="00C729FA"/>
    <w:rsid w:val="00C734D9"/>
    <w:rsid w:val="00C73F11"/>
    <w:rsid w:val="00C7448D"/>
    <w:rsid w:val="00C75486"/>
    <w:rsid w:val="00C7611B"/>
    <w:rsid w:val="00C801E3"/>
    <w:rsid w:val="00C80989"/>
    <w:rsid w:val="00C8202C"/>
    <w:rsid w:val="00C827C5"/>
    <w:rsid w:val="00C86E37"/>
    <w:rsid w:val="00C86F8E"/>
    <w:rsid w:val="00C92A5B"/>
    <w:rsid w:val="00C93093"/>
    <w:rsid w:val="00CA3E83"/>
    <w:rsid w:val="00CA46EC"/>
    <w:rsid w:val="00CB0ABB"/>
    <w:rsid w:val="00CB2999"/>
    <w:rsid w:val="00CB36AC"/>
    <w:rsid w:val="00CB74CB"/>
    <w:rsid w:val="00CB7C79"/>
    <w:rsid w:val="00CC437A"/>
    <w:rsid w:val="00CC6198"/>
    <w:rsid w:val="00CC6A80"/>
    <w:rsid w:val="00CC6BDF"/>
    <w:rsid w:val="00CC70B1"/>
    <w:rsid w:val="00CD113D"/>
    <w:rsid w:val="00CD133B"/>
    <w:rsid w:val="00CD3E4F"/>
    <w:rsid w:val="00CD568B"/>
    <w:rsid w:val="00CE1042"/>
    <w:rsid w:val="00CE10C9"/>
    <w:rsid w:val="00CE4754"/>
    <w:rsid w:val="00CE728F"/>
    <w:rsid w:val="00CF3AFF"/>
    <w:rsid w:val="00CF3D4B"/>
    <w:rsid w:val="00CF5376"/>
    <w:rsid w:val="00D05B29"/>
    <w:rsid w:val="00D1394D"/>
    <w:rsid w:val="00D15709"/>
    <w:rsid w:val="00D1730B"/>
    <w:rsid w:val="00D200C9"/>
    <w:rsid w:val="00D20762"/>
    <w:rsid w:val="00D21376"/>
    <w:rsid w:val="00D22395"/>
    <w:rsid w:val="00D23BC5"/>
    <w:rsid w:val="00D26F60"/>
    <w:rsid w:val="00D328BA"/>
    <w:rsid w:val="00D3458C"/>
    <w:rsid w:val="00D35322"/>
    <w:rsid w:val="00D36227"/>
    <w:rsid w:val="00D36BD9"/>
    <w:rsid w:val="00D37C8B"/>
    <w:rsid w:val="00D439D8"/>
    <w:rsid w:val="00D45286"/>
    <w:rsid w:val="00D46BF8"/>
    <w:rsid w:val="00D47740"/>
    <w:rsid w:val="00D51809"/>
    <w:rsid w:val="00D526A3"/>
    <w:rsid w:val="00D536E0"/>
    <w:rsid w:val="00D6175A"/>
    <w:rsid w:val="00D627C9"/>
    <w:rsid w:val="00D63BD7"/>
    <w:rsid w:val="00D64688"/>
    <w:rsid w:val="00D66D36"/>
    <w:rsid w:val="00D70E0E"/>
    <w:rsid w:val="00D734C0"/>
    <w:rsid w:val="00D73F39"/>
    <w:rsid w:val="00D7418A"/>
    <w:rsid w:val="00D761AA"/>
    <w:rsid w:val="00D77A4D"/>
    <w:rsid w:val="00D808EC"/>
    <w:rsid w:val="00D812B9"/>
    <w:rsid w:val="00D879AC"/>
    <w:rsid w:val="00D90357"/>
    <w:rsid w:val="00D903FD"/>
    <w:rsid w:val="00D9091D"/>
    <w:rsid w:val="00D91946"/>
    <w:rsid w:val="00D93AA7"/>
    <w:rsid w:val="00D942B8"/>
    <w:rsid w:val="00D9430B"/>
    <w:rsid w:val="00D94BC5"/>
    <w:rsid w:val="00D96C08"/>
    <w:rsid w:val="00DA5107"/>
    <w:rsid w:val="00DA5AD8"/>
    <w:rsid w:val="00DB1572"/>
    <w:rsid w:val="00DB1B20"/>
    <w:rsid w:val="00DB31E2"/>
    <w:rsid w:val="00DB4EA6"/>
    <w:rsid w:val="00DB577D"/>
    <w:rsid w:val="00DB5FF9"/>
    <w:rsid w:val="00DC3052"/>
    <w:rsid w:val="00DC37B8"/>
    <w:rsid w:val="00DC743D"/>
    <w:rsid w:val="00DD222B"/>
    <w:rsid w:val="00DD34A4"/>
    <w:rsid w:val="00DD4A9C"/>
    <w:rsid w:val="00DD5252"/>
    <w:rsid w:val="00DE02EA"/>
    <w:rsid w:val="00DE1D24"/>
    <w:rsid w:val="00DE6767"/>
    <w:rsid w:val="00DE68E9"/>
    <w:rsid w:val="00DE6BB3"/>
    <w:rsid w:val="00DF3E82"/>
    <w:rsid w:val="00DF46C4"/>
    <w:rsid w:val="00DF4B96"/>
    <w:rsid w:val="00DF4CA3"/>
    <w:rsid w:val="00DF59E4"/>
    <w:rsid w:val="00DF751A"/>
    <w:rsid w:val="00E02B9C"/>
    <w:rsid w:val="00E050A5"/>
    <w:rsid w:val="00E05C8A"/>
    <w:rsid w:val="00E062F6"/>
    <w:rsid w:val="00E07FFA"/>
    <w:rsid w:val="00E10FE3"/>
    <w:rsid w:val="00E11A47"/>
    <w:rsid w:val="00E145F4"/>
    <w:rsid w:val="00E21CAE"/>
    <w:rsid w:val="00E22471"/>
    <w:rsid w:val="00E22513"/>
    <w:rsid w:val="00E2480A"/>
    <w:rsid w:val="00E26706"/>
    <w:rsid w:val="00E30ED0"/>
    <w:rsid w:val="00E36A84"/>
    <w:rsid w:val="00E37589"/>
    <w:rsid w:val="00E37941"/>
    <w:rsid w:val="00E409F5"/>
    <w:rsid w:val="00E41735"/>
    <w:rsid w:val="00E41D11"/>
    <w:rsid w:val="00E461E7"/>
    <w:rsid w:val="00E57DBE"/>
    <w:rsid w:val="00E635F5"/>
    <w:rsid w:val="00E64839"/>
    <w:rsid w:val="00E64876"/>
    <w:rsid w:val="00E70B7F"/>
    <w:rsid w:val="00E734C9"/>
    <w:rsid w:val="00E74412"/>
    <w:rsid w:val="00E75AB0"/>
    <w:rsid w:val="00E76590"/>
    <w:rsid w:val="00E90580"/>
    <w:rsid w:val="00E94430"/>
    <w:rsid w:val="00E94ED2"/>
    <w:rsid w:val="00E9535C"/>
    <w:rsid w:val="00EA077C"/>
    <w:rsid w:val="00EA2C8D"/>
    <w:rsid w:val="00EA2D9C"/>
    <w:rsid w:val="00EB023D"/>
    <w:rsid w:val="00EB10B8"/>
    <w:rsid w:val="00EB39B1"/>
    <w:rsid w:val="00EB5A1A"/>
    <w:rsid w:val="00EB6159"/>
    <w:rsid w:val="00EC0C23"/>
    <w:rsid w:val="00EC78E7"/>
    <w:rsid w:val="00ED1A13"/>
    <w:rsid w:val="00ED1C34"/>
    <w:rsid w:val="00ED43D2"/>
    <w:rsid w:val="00ED462B"/>
    <w:rsid w:val="00ED5B11"/>
    <w:rsid w:val="00EE1207"/>
    <w:rsid w:val="00EE24D6"/>
    <w:rsid w:val="00EE3B8C"/>
    <w:rsid w:val="00EE671D"/>
    <w:rsid w:val="00EF12BB"/>
    <w:rsid w:val="00EF29C4"/>
    <w:rsid w:val="00EF4A38"/>
    <w:rsid w:val="00EF5845"/>
    <w:rsid w:val="00EF5B87"/>
    <w:rsid w:val="00F04E64"/>
    <w:rsid w:val="00F0611E"/>
    <w:rsid w:val="00F118E7"/>
    <w:rsid w:val="00F11B8F"/>
    <w:rsid w:val="00F12B06"/>
    <w:rsid w:val="00F14634"/>
    <w:rsid w:val="00F14E8C"/>
    <w:rsid w:val="00F20B0F"/>
    <w:rsid w:val="00F2177F"/>
    <w:rsid w:val="00F26017"/>
    <w:rsid w:val="00F26ECC"/>
    <w:rsid w:val="00F3103B"/>
    <w:rsid w:val="00F34F2A"/>
    <w:rsid w:val="00F36691"/>
    <w:rsid w:val="00F36AE5"/>
    <w:rsid w:val="00F36DCD"/>
    <w:rsid w:val="00F401F0"/>
    <w:rsid w:val="00F429FB"/>
    <w:rsid w:val="00F4405E"/>
    <w:rsid w:val="00F45195"/>
    <w:rsid w:val="00F47193"/>
    <w:rsid w:val="00F5178D"/>
    <w:rsid w:val="00F52BA1"/>
    <w:rsid w:val="00F54EE5"/>
    <w:rsid w:val="00F60613"/>
    <w:rsid w:val="00F62EC3"/>
    <w:rsid w:val="00F715C9"/>
    <w:rsid w:val="00F720DD"/>
    <w:rsid w:val="00F74011"/>
    <w:rsid w:val="00F75D8C"/>
    <w:rsid w:val="00F80CFC"/>
    <w:rsid w:val="00F8123E"/>
    <w:rsid w:val="00F822C1"/>
    <w:rsid w:val="00F83176"/>
    <w:rsid w:val="00F85109"/>
    <w:rsid w:val="00F86999"/>
    <w:rsid w:val="00F86DEA"/>
    <w:rsid w:val="00F86EE4"/>
    <w:rsid w:val="00F90D29"/>
    <w:rsid w:val="00F919C1"/>
    <w:rsid w:val="00F91AF9"/>
    <w:rsid w:val="00F93F40"/>
    <w:rsid w:val="00F945EC"/>
    <w:rsid w:val="00F94BF1"/>
    <w:rsid w:val="00F94F40"/>
    <w:rsid w:val="00FA364D"/>
    <w:rsid w:val="00FA5505"/>
    <w:rsid w:val="00FA67F9"/>
    <w:rsid w:val="00FA7372"/>
    <w:rsid w:val="00FB0C79"/>
    <w:rsid w:val="00FB10CB"/>
    <w:rsid w:val="00FB1A71"/>
    <w:rsid w:val="00FB37B6"/>
    <w:rsid w:val="00FB6141"/>
    <w:rsid w:val="00FB66BF"/>
    <w:rsid w:val="00FC00AC"/>
    <w:rsid w:val="00FC0355"/>
    <w:rsid w:val="00FC059C"/>
    <w:rsid w:val="00FC0F27"/>
    <w:rsid w:val="00FC1212"/>
    <w:rsid w:val="00FC4D58"/>
    <w:rsid w:val="00FC50F6"/>
    <w:rsid w:val="00FC6725"/>
    <w:rsid w:val="00FD0008"/>
    <w:rsid w:val="00FD57CE"/>
    <w:rsid w:val="00FD6AD5"/>
    <w:rsid w:val="00FE082C"/>
    <w:rsid w:val="00FE49D5"/>
    <w:rsid w:val="00FF0CAF"/>
    <w:rsid w:val="00FF45A5"/>
    <w:rsid w:val="00FF6AD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614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8C"/>
    <w:pPr>
      <w:spacing w:after="120" w:line="252" w:lineRule="auto"/>
    </w:pPr>
    <w:rPr>
      <w:rFonts w:ascii="Myriad Pro" w:hAnsi="Myriad Pro"/>
    </w:rPr>
  </w:style>
  <w:style w:type="paragraph" w:styleId="Heading1">
    <w:name w:val="heading 1"/>
    <w:basedOn w:val="Normal"/>
    <w:next w:val="Normal"/>
    <w:link w:val="Heading1Char"/>
    <w:uiPriority w:val="9"/>
    <w:qFormat/>
    <w:rsid w:val="00F54EE5"/>
    <w:pPr>
      <w:spacing w:after="240" w:line="240" w:lineRule="auto"/>
      <w:contextualSpacing/>
      <w:outlineLvl w:val="0"/>
    </w:pPr>
    <w:rPr>
      <w:rFonts w:eastAsiaTheme="majorEastAsia" w:cstheme="majorBidi"/>
      <w:b/>
      <w:bCs/>
      <w:color w:val="58317F"/>
      <w:sz w:val="36"/>
      <w:szCs w:val="28"/>
    </w:rPr>
  </w:style>
  <w:style w:type="paragraph" w:styleId="Heading2">
    <w:name w:val="heading 2"/>
    <w:basedOn w:val="Normal"/>
    <w:next w:val="Normal"/>
    <w:link w:val="Heading2Char"/>
    <w:uiPriority w:val="9"/>
    <w:unhideWhenUsed/>
    <w:qFormat/>
    <w:rsid w:val="00515242"/>
    <w:pPr>
      <w:spacing w:after="0"/>
      <w:outlineLvl w:val="1"/>
    </w:pPr>
    <w:rPr>
      <w:rFonts w:eastAsiaTheme="majorEastAsia" w:cstheme="majorBidi"/>
      <w:b/>
      <w:bCs/>
      <w:color w:val="58317F"/>
      <w:sz w:val="32"/>
      <w:szCs w:val="26"/>
    </w:rPr>
  </w:style>
  <w:style w:type="paragraph" w:styleId="Heading3">
    <w:name w:val="heading 3"/>
    <w:basedOn w:val="Normal"/>
    <w:next w:val="Normal"/>
    <w:link w:val="Heading3Char"/>
    <w:uiPriority w:val="9"/>
    <w:unhideWhenUsed/>
    <w:qFormat/>
    <w:rsid w:val="00687A97"/>
    <w:pPr>
      <w:keepNext/>
      <w:spacing w:before="200" w:after="0"/>
      <w:outlineLvl w:val="2"/>
    </w:pPr>
    <w:rPr>
      <w:rFonts w:eastAsiaTheme="majorEastAsia" w:cstheme="majorBidi"/>
      <w:b/>
      <w:bCs/>
      <w:color w:val="58317F"/>
      <w:sz w:val="24"/>
    </w:rPr>
  </w:style>
  <w:style w:type="paragraph" w:styleId="Heading4">
    <w:name w:val="heading 4"/>
    <w:basedOn w:val="Normal"/>
    <w:next w:val="Normal"/>
    <w:link w:val="Heading4Char"/>
    <w:uiPriority w:val="9"/>
    <w:unhideWhenUsed/>
    <w:qFormat/>
    <w:rsid w:val="00636DAE"/>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636DAE"/>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unhideWhenUsed/>
    <w:qFormat/>
    <w:rsid w:val="00636DAE"/>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basedOn w:val="Textemphasis"/>
    <w:uiPriority w:val="20"/>
    <w:qFormat/>
    <w:rsid w:val="00856E74"/>
    <w:rPr>
      <w:b/>
      <w:color w:val="58317F"/>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636DAE"/>
    <w:rPr>
      <w:rFonts w:ascii="Myriad Pro" w:hAnsi="Myriad Pro"/>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54EE5"/>
    <w:rPr>
      <w:rFonts w:ascii="Myriad Pro" w:eastAsiaTheme="majorEastAsia" w:hAnsi="Myriad Pro" w:cstheme="majorBidi"/>
      <w:b/>
      <w:bCs/>
      <w:color w:val="58317F"/>
      <w:sz w:val="36"/>
      <w:szCs w:val="28"/>
    </w:rPr>
  </w:style>
  <w:style w:type="character" w:customStyle="1" w:styleId="Heading2Char">
    <w:name w:val="Heading 2 Char"/>
    <w:basedOn w:val="DefaultParagraphFont"/>
    <w:link w:val="Heading2"/>
    <w:uiPriority w:val="9"/>
    <w:rsid w:val="00515242"/>
    <w:rPr>
      <w:rFonts w:ascii="Myriad Pro" w:eastAsiaTheme="majorEastAsia" w:hAnsi="Myriad Pro" w:cstheme="majorBidi"/>
      <w:b/>
      <w:bCs/>
      <w:color w:val="58317F"/>
      <w:sz w:val="32"/>
      <w:szCs w:val="26"/>
    </w:rPr>
  </w:style>
  <w:style w:type="character" w:customStyle="1" w:styleId="Heading3Char">
    <w:name w:val="Heading 3 Char"/>
    <w:basedOn w:val="DefaultParagraphFont"/>
    <w:link w:val="Heading3"/>
    <w:uiPriority w:val="9"/>
    <w:rsid w:val="00687A97"/>
    <w:rPr>
      <w:rFonts w:ascii="Myriad Pro" w:eastAsiaTheme="majorEastAsia" w:hAnsi="Myriad Pro" w:cstheme="majorBidi"/>
      <w:b/>
      <w:bCs/>
      <w:color w:val="58317F"/>
      <w:sz w:val="24"/>
    </w:rPr>
  </w:style>
  <w:style w:type="character" w:customStyle="1" w:styleId="Heading4Char">
    <w:name w:val="Heading 4 Char"/>
    <w:basedOn w:val="DefaultParagraphFont"/>
    <w:link w:val="Heading4"/>
    <w:uiPriority w:val="9"/>
    <w:rsid w:val="00636DAE"/>
    <w:rPr>
      <w:rFonts w:ascii="Myriad Pro" w:eastAsiaTheme="majorEastAsia" w:hAnsi="Myriad Pro" w:cstheme="majorBidi"/>
      <w:b/>
      <w:bCs/>
      <w:i/>
      <w:iCs/>
    </w:rPr>
  </w:style>
  <w:style w:type="character" w:customStyle="1" w:styleId="Heading5Char">
    <w:name w:val="Heading 5 Char"/>
    <w:basedOn w:val="DefaultParagraphFont"/>
    <w:link w:val="Heading5"/>
    <w:uiPriority w:val="9"/>
    <w:rsid w:val="00636DAE"/>
    <w:rPr>
      <w:rFonts w:ascii="Myriad Pro" w:eastAsiaTheme="majorEastAsia" w:hAnsi="Myriad Pro" w:cstheme="majorBidi"/>
      <w:b/>
      <w:bCs/>
      <w:color w:val="757575"/>
    </w:rPr>
  </w:style>
  <w:style w:type="character" w:customStyle="1" w:styleId="Heading6Char">
    <w:name w:val="Heading 6 Char"/>
    <w:basedOn w:val="DefaultParagraphFont"/>
    <w:link w:val="Heading6"/>
    <w:uiPriority w:val="9"/>
    <w:rsid w:val="00636DAE"/>
    <w:rPr>
      <w:rFonts w:ascii="Myriad Pro" w:eastAsiaTheme="majorEastAsia" w:hAnsi="Myriad Pro"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506E"/>
    <w:pPr>
      <w:tabs>
        <w:tab w:val="left" w:pos="1134"/>
      </w:tabs>
      <w:spacing w:before="2000" w:line="240" w:lineRule="auto"/>
      <w:contextualSpacing/>
    </w:pPr>
    <w:rPr>
      <w:rFonts w:eastAsiaTheme="majorEastAsia" w:cstheme="majorBidi"/>
      <w:color w:val="FFFFFF" w:themeColor="background2"/>
      <w:spacing w:val="5"/>
      <w:sz w:val="56"/>
      <w:szCs w:val="72"/>
    </w:rPr>
  </w:style>
  <w:style w:type="character" w:customStyle="1" w:styleId="TitleChar">
    <w:name w:val="Title Char"/>
    <w:basedOn w:val="DefaultParagraphFont"/>
    <w:link w:val="Title"/>
    <w:uiPriority w:val="10"/>
    <w:rsid w:val="000C506E"/>
    <w:rPr>
      <w:rFonts w:ascii="Myriad Pro" w:eastAsiaTheme="majorEastAsia" w:hAnsi="Myriad Pro" w:cstheme="majorBidi"/>
      <w:color w:val="FFFFFF" w:themeColor="background2"/>
      <w:spacing w:val="5"/>
      <w:sz w:val="56"/>
      <w:szCs w:val="72"/>
    </w:rPr>
  </w:style>
  <w:style w:type="paragraph" w:styleId="Subtitle">
    <w:name w:val="Subtitle"/>
    <w:basedOn w:val="Normal"/>
    <w:next w:val="Normal"/>
    <w:link w:val="SubtitleChar"/>
    <w:uiPriority w:val="11"/>
    <w:qFormat/>
    <w:rsid w:val="000C506E"/>
    <w:pPr>
      <w:spacing w:before="360" w:after="240"/>
      <w:jc w:val="center"/>
    </w:pPr>
    <w:rPr>
      <w:rFonts w:ascii="Calibri" w:eastAsiaTheme="majorEastAsia" w:hAnsi="Calibri" w:cstheme="majorBidi"/>
      <w:iCs/>
      <w:color w:val="FFFFFF" w:themeColor="background2"/>
      <w:spacing w:val="13"/>
      <w:sz w:val="26"/>
      <w:szCs w:val="26"/>
    </w:rPr>
  </w:style>
  <w:style w:type="character" w:customStyle="1" w:styleId="SubtitleChar">
    <w:name w:val="Subtitle Char"/>
    <w:basedOn w:val="DefaultParagraphFont"/>
    <w:link w:val="Subtitle"/>
    <w:uiPriority w:val="11"/>
    <w:rsid w:val="000C506E"/>
    <w:rPr>
      <w:rFonts w:ascii="Calibri" w:eastAsiaTheme="majorEastAsia" w:hAnsi="Calibri" w:cstheme="majorBidi"/>
      <w:iCs/>
      <w:color w:val="FFFFFF" w:themeColor="background2"/>
      <w:spacing w:val="13"/>
      <w:sz w:val="26"/>
      <w:szCs w:val="26"/>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Dot point 1.5 line spacing,L,List Paragraph1,List Paragraph11,Recommendation,bullet point list,List Paragraph - bullets"/>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F20B0F"/>
    <w:pPr>
      <w:outlineLvl w:val="9"/>
    </w:pPr>
    <w:rPr>
      <w:lang w:bidi="en-US"/>
    </w:rPr>
  </w:style>
  <w:style w:type="paragraph" w:styleId="ListNumber">
    <w:name w:val="List Number"/>
    <w:basedOn w:val="Normal"/>
    <w:uiPriority w:val="99"/>
    <w:unhideWhenUsed/>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rsid w:val="00CA46EC"/>
    <w:pPr>
      <w:numPr>
        <w:numId w:val="16"/>
      </w:numPr>
      <w:contextualSpacing/>
    </w:pPr>
  </w:style>
  <w:style w:type="paragraph" w:styleId="ListBullet2">
    <w:name w:val="List Bullet 2"/>
    <w:basedOn w:val="Normal"/>
    <w:uiPriority w:val="99"/>
    <w:unhideWhenUsed/>
    <w:rsid w:val="00CA46EC"/>
    <w:pPr>
      <w:numPr>
        <w:ilvl w:val="1"/>
        <w:numId w:val="16"/>
      </w:numPr>
      <w:ind w:left="766" w:hanging="369"/>
      <w:contextualSpacing/>
    </w:pPr>
  </w:style>
  <w:style w:type="paragraph" w:styleId="ListBullet3">
    <w:name w:val="List Bullet 3"/>
    <w:basedOn w:val="Normal"/>
    <w:uiPriority w:val="99"/>
    <w:unhideWhenUsed/>
    <w:rsid w:val="00CA46EC"/>
    <w:pPr>
      <w:numPr>
        <w:ilvl w:val="2"/>
        <w:numId w:val="16"/>
      </w:numPr>
      <w:ind w:left="1163" w:hanging="369"/>
      <w:contextualSpacing/>
    </w:pPr>
  </w:style>
  <w:style w:type="paragraph" w:styleId="ListBullet4">
    <w:name w:val="List Bullet 4"/>
    <w:basedOn w:val="Normal"/>
    <w:uiPriority w:val="99"/>
    <w:unhideWhenUsed/>
    <w:rsid w:val="00CA46EC"/>
    <w:pPr>
      <w:numPr>
        <w:ilvl w:val="3"/>
        <w:numId w:val="16"/>
      </w:numPr>
      <w:ind w:left="1503" w:hanging="369"/>
      <w:contextualSpacing/>
    </w:pPr>
  </w:style>
  <w:style w:type="table" w:styleId="TableGrid">
    <w:name w:val="Table Grid"/>
    <w:basedOn w:val="TableNormal"/>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VETisTable">
    <w:name w:val="VETis Table"/>
    <w:basedOn w:val="TableNormal"/>
    <w:uiPriority w:val="99"/>
    <w:rsid w:val="00A42AD4"/>
    <w:pPr>
      <w:spacing w:after="0" w:line="240" w:lineRule="auto"/>
    </w:pPr>
    <w:rPr>
      <w:rFonts w:ascii="Myriad Pro" w:hAnsi="Myriad Pro"/>
      <w:color w:val="000000" w:themeColor="text1"/>
      <w:sz w:val="20"/>
    </w:rPr>
    <w:tblPr>
      <w:tblStyleRowBandSize w:val="1"/>
      <w:tblStyleColBandSize w:val="1"/>
      <w:tblInd w:w="0" w:type="dxa"/>
      <w:tblCellMar>
        <w:top w:w="57" w:type="dxa"/>
        <w:left w:w="108" w:type="dxa"/>
        <w:bottom w:w="57"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8317F"/>
      </w:tcPr>
    </w:tblStylePr>
    <w:tblStylePr w:type="lastRow">
      <w:rPr>
        <w:rFonts w:ascii="Myriad Pro" w:hAnsi="Myriad Pro"/>
      </w:rPr>
      <w:tblPr/>
      <w:tcPr>
        <w:tcBorders>
          <w:top w:val="single" w:sz="12" w:space="0" w:color="58317F"/>
          <w:left w:val="nil"/>
          <w:bottom w:val="single" w:sz="12" w:space="0" w:color="58317F"/>
          <w:right w:val="nil"/>
          <w:insideH w:val="nil"/>
          <w:insideV w:val="nil"/>
          <w:tl2br w:val="nil"/>
          <w:tr2bl w:val="nil"/>
        </w:tcBorders>
      </w:tcPr>
    </w:tblStylePr>
    <w:tblStylePr w:type="firstCol">
      <w:pPr>
        <w:jc w:val="left"/>
      </w:pPr>
      <w:rPr>
        <w:b/>
      </w:rPr>
    </w:tblStylePr>
    <w:tblStylePr w:type="lastCol">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single" w:sz="4" w:space="0" w:color="024759"/>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ED0E9" w:themeFill="accent2" w:themeFillTint="33"/>
      </w:tc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E37589"/>
    <w:pPr>
      <w:tabs>
        <w:tab w:val="center" w:pos="4513"/>
        <w:tab w:val="right" w:pos="9026"/>
      </w:tabs>
      <w:spacing w:after="0" w:line="240" w:lineRule="auto"/>
      <w:jc w:val="center"/>
    </w:pPr>
    <w:rPr>
      <w:color w:val="58317F"/>
    </w:rPr>
  </w:style>
  <w:style w:type="character" w:customStyle="1" w:styleId="HeaderChar">
    <w:name w:val="Header Char"/>
    <w:basedOn w:val="DefaultParagraphFont"/>
    <w:link w:val="Header"/>
    <w:uiPriority w:val="99"/>
    <w:rsid w:val="00E37589"/>
    <w:rPr>
      <w:rFonts w:ascii="Myriad Pro" w:hAnsi="Myriad Pro"/>
      <w:color w:val="58317F"/>
    </w:rPr>
  </w:style>
  <w:style w:type="paragraph" w:styleId="Footer">
    <w:name w:val="footer"/>
    <w:basedOn w:val="Normal"/>
    <w:link w:val="FooterChar"/>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rsid w:val="00130923"/>
  </w:style>
  <w:style w:type="paragraph" w:styleId="TOC1">
    <w:name w:val="toc 1"/>
    <w:basedOn w:val="Normal"/>
    <w:next w:val="Normal"/>
    <w:autoRedefine/>
    <w:uiPriority w:val="39"/>
    <w:unhideWhenUsed/>
    <w:rsid w:val="009F03DB"/>
    <w:pPr>
      <w:spacing w:before="240"/>
    </w:pPr>
    <w:rPr>
      <w:rFonts w:asciiTheme="minorHAnsi" w:hAnsiTheme="minorHAnsi" w:cstheme="minorHAnsi"/>
      <w:b/>
      <w:bCs/>
      <w:sz w:val="20"/>
      <w:szCs w:val="20"/>
    </w:rPr>
  </w:style>
  <w:style w:type="paragraph" w:styleId="TOC2">
    <w:name w:val="toc 2"/>
    <w:basedOn w:val="Normal"/>
    <w:next w:val="Normal"/>
    <w:autoRedefine/>
    <w:uiPriority w:val="39"/>
    <w:unhideWhenUsed/>
    <w:rsid w:val="00731E24"/>
    <w:pPr>
      <w:tabs>
        <w:tab w:val="right" w:pos="9016"/>
      </w:tabs>
      <w:spacing w:before="120" w:after="0"/>
      <w:ind w:left="220"/>
    </w:pPr>
    <w:rPr>
      <w:rFonts w:asciiTheme="minorHAnsi" w:hAnsiTheme="minorHAnsi" w:cstheme="minorHAnsi"/>
      <w:i/>
      <w:iCs/>
      <w:noProof/>
      <w:sz w:val="20"/>
      <w:szCs w:val="20"/>
    </w:rPr>
  </w:style>
  <w:style w:type="paragraph" w:styleId="TOC3">
    <w:name w:val="toc 3"/>
    <w:basedOn w:val="Normal"/>
    <w:next w:val="Normal"/>
    <w:autoRedefine/>
    <w:uiPriority w:val="39"/>
    <w:unhideWhenUsed/>
    <w:rsid w:val="00C11476"/>
    <w:pPr>
      <w:spacing w:after="0"/>
      <w:ind w:left="440"/>
    </w:pPr>
    <w:rPr>
      <w:rFonts w:asciiTheme="minorHAnsi" w:hAnsiTheme="minorHAnsi" w:cstheme="minorHAnsi"/>
      <w:sz w:val="20"/>
      <w:szCs w:val="20"/>
    </w:rPr>
  </w:style>
  <w:style w:type="paragraph" w:styleId="Caption">
    <w:name w:val="caption"/>
    <w:basedOn w:val="Heading4"/>
    <w:next w:val="Normal"/>
    <w:link w:val="CaptionChar"/>
    <w:uiPriority w:val="35"/>
    <w:unhideWhenUsed/>
    <w:rsid w:val="00DE6767"/>
    <w:pPr>
      <w:spacing w:before="360" w:after="120"/>
      <w:jc w:val="center"/>
    </w:pPr>
    <w:rPr>
      <w:rFonts w:asciiTheme="minorHAnsi" w:hAnsiTheme="minorHAnsi"/>
      <w:b w:val="0"/>
      <w:bCs w:val="0"/>
      <w:i w:val="0"/>
      <w:color w:val="7030A0"/>
      <w:sz w:val="24"/>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409F5"/>
    <w:rPr>
      <w:color w:val="FF0000"/>
    </w:rPr>
  </w:style>
  <w:style w:type="paragraph" w:customStyle="1" w:styleId="BoxBody">
    <w:name w:val="Box Body"/>
    <w:basedOn w:val="Normal"/>
    <w:qFormat/>
    <w:rsid w:val="00AF6183"/>
    <w:pPr>
      <w:keepNext/>
      <w:keepLines/>
      <w:pBdr>
        <w:left w:val="single" w:sz="18" w:space="4" w:color="58317F"/>
        <w:bottom w:val="single" w:sz="18" w:space="1" w:color="58317F"/>
        <w:right w:val="single" w:sz="18" w:space="4" w:color="58317F"/>
      </w:pBdr>
    </w:pPr>
    <w:rPr>
      <w:noProof/>
    </w:rPr>
  </w:style>
  <w:style w:type="paragraph" w:customStyle="1" w:styleId="BoxHeading">
    <w:name w:val="Box Heading"/>
    <w:basedOn w:val="Heading3"/>
    <w:next w:val="BoxBody"/>
    <w:qFormat/>
    <w:rsid w:val="00AF6183"/>
    <w:pPr>
      <w:pBdr>
        <w:top w:val="single" w:sz="18" w:space="1" w:color="58317F"/>
        <w:left w:val="single" w:sz="18" w:space="4" w:color="58317F"/>
        <w:right w:val="single" w:sz="18" w:space="4" w:color="58317F"/>
      </w:pBdr>
    </w:pPr>
  </w:style>
  <w:style w:type="paragraph" w:customStyle="1" w:styleId="CircleText">
    <w:name w:val="Circle Text"/>
    <w:basedOn w:val="Normal"/>
    <w:qFormat/>
    <w:rsid w:val="00725CF9"/>
    <w:pPr>
      <w:spacing w:before="1200" w:after="480"/>
      <w:ind w:left="-709"/>
    </w:pPr>
    <w:rPr>
      <w:noProof/>
      <w:color w:val="FFFFFF" w:themeColor="background2"/>
      <w:sz w:val="32"/>
    </w:rPr>
  </w:style>
  <w:style w:type="paragraph" w:customStyle="1" w:styleId="BasicParagraph">
    <w:name w:val="[Basic Paragraph]"/>
    <w:basedOn w:val="Normal"/>
    <w:uiPriority w:val="99"/>
    <w:rsid w:val="00FC0F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nexttocircle">
    <w:name w:val="Text next to circle"/>
    <w:basedOn w:val="Normal"/>
    <w:qFormat/>
    <w:rsid w:val="006C16C6"/>
    <w:pPr>
      <w:spacing w:before="480"/>
      <w:ind w:left="-2552" w:hanging="1134"/>
    </w:pPr>
    <w:rPr>
      <w:noProof/>
    </w:rPr>
  </w:style>
  <w:style w:type="paragraph" w:customStyle="1" w:styleId="PullQuote">
    <w:name w:val="Pull Quote"/>
    <w:basedOn w:val="Normal"/>
    <w:qFormat/>
    <w:rsid w:val="00856E74"/>
    <w:pPr>
      <w:ind w:left="720"/>
    </w:pPr>
    <w:rPr>
      <w:b/>
      <w:i/>
      <w:noProof/>
      <w:color w:val="58317F"/>
      <w:sz w:val="26"/>
    </w:rPr>
  </w:style>
  <w:style w:type="paragraph" w:customStyle="1" w:styleId="Boxbullets">
    <w:name w:val="Box bullets"/>
    <w:basedOn w:val="BoxBody"/>
    <w:qFormat/>
    <w:rsid w:val="000E1C5D"/>
    <w:pPr>
      <w:numPr>
        <w:numId w:val="19"/>
      </w:numPr>
      <w:spacing w:after="0"/>
      <w:ind w:left="357" w:hanging="357"/>
    </w:pPr>
    <w:rPr>
      <w:noProof w:val="0"/>
    </w:rPr>
  </w:style>
  <w:style w:type="paragraph" w:styleId="FootnoteText">
    <w:name w:val="footnote text"/>
    <w:basedOn w:val="Normal"/>
    <w:link w:val="FootnoteTextChar"/>
    <w:rsid w:val="00473E6C"/>
    <w:pPr>
      <w:spacing w:after="0" w:line="240" w:lineRule="auto"/>
    </w:pPr>
    <w:rPr>
      <w:rFonts w:asciiTheme="minorHAnsi" w:hAnsiTheme="minorHAnsi"/>
      <w:sz w:val="20"/>
      <w:szCs w:val="20"/>
      <w:lang w:eastAsia="en-AU"/>
    </w:rPr>
  </w:style>
  <w:style w:type="character" w:customStyle="1" w:styleId="FootnoteTextChar">
    <w:name w:val="Footnote Text Char"/>
    <w:basedOn w:val="DefaultParagraphFont"/>
    <w:link w:val="FootnoteText"/>
    <w:rsid w:val="00473E6C"/>
    <w:rPr>
      <w:sz w:val="20"/>
      <w:szCs w:val="20"/>
      <w:lang w:eastAsia="en-AU"/>
    </w:rPr>
  </w:style>
  <w:style w:type="character" w:styleId="FootnoteReference">
    <w:name w:val="footnote reference"/>
    <w:basedOn w:val="DefaultParagraphFont"/>
    <w:rsid w:val="00E30ED0"/>
    <w:rPr>
      <w:vertAlign w:val="superscript"/>
    </w:rPr>
  </w:style>
  <w:style w:type="paragraph" w:customStyle="1" w:styleId="Parastyle1">
    <w:name w:val="Para style 1"/>
    <w:basedOn w:val="ListParagraph"/>
    <w:link w:val="Parastyle1Char"/>
    <w:qFormat/>
    <w:rsid w:val="00E30ED0"/>
    <w:pPr>
      <w:spacing w:line="240" w:lineRule="auto"/>
      <w:ind w:left="0"/>
      <w:contextualSpacing w:val="0"/>
    </w:pPr>
    <w:rPr>
      <w:rFonts w:asciiTheme="minorHAnsi" w:hAnsiTheme="minorHAnsi"/>
      <w:lang w:eastAsia="en-AU"/>
    </w:rPr>
  </w:style>
  <w:style w:type="character" w:customStyle="1" w:styleId="Parastyle1Char">
    <w:name w:val="Para style 1 Char"/>
    <w:basedOn w:val="DefaultParagraphFont"/>
    <w:link w:val="Parastyle1"/>
    <w:rsid w:val="00E30ED0"/>
    <w:rPr>
      <w:lang w:eastAsia="en-AU"/>
    </w:rPr>
  </w:style>
  <w:style w:type="character" w:customStyle="1" w:styleId="ListParagraphChar">
    <w:name w:val="List Paragraph Char"/>
    <w:aliases w:val="Dot point 1.5 line spacing Char,L Char,List Paragraph1 Char,List Paragraph11 Char,Recommendation Char,bullet point list Char,List Paragraph - bullets Char"/>
    <w:basedOn w:val="DefaultParagraphFont"/>
    <w:link w:val="ListParagraph"/>
    <w:uiPriority w:val="34"/>
    <w:rsid w:val="00785439"/>
    <w:rPr>
      <w:rFonts w:ascii="Myriad Pro" w:hAnsi="Myriad Pro"/>
    </w:rPr>
  </w:style>
  <w:style w:type="character" w:customStyle="1" w:styleId="Textemphasis">
    <w:name w:val="Text emphasis"/>
    <w:basedOn w:val="DefaultParagraphFont"/>
    <w:uiPriority w:val="1"/>
    <w:qFormat/>
    <w:rsid w:val="00856E74"/>
    <w:rPr>
      <w:b/>
      <w:color w:val="58317F"/>
    </w:rPr>
  </w:style>
  <w:style w:type="character" w:customStyle="1" w:styleId="Componentcross-reference">
    <w:name w:val="Component cross-reference"/>
    <w:basedOn w:val="Emphasis"/>
    <w:uiPriority w:val="1"/>
    <w:qFormat/>
    <w:rsid w:val="00096418"/>
    <w:rPr>
      <w:b w:val="0"/>
      <w:i/>
      <w:color w:val="58317F"/>
    </w:rPr>
  </w:style>
  <w:style w:type="paragraph" w:customStyle="1" w:styleId="Mycaption">
    <w:name w:val="My caption"/>
    <w:link w:val="MycaptionChar"/>
    <w:qFormat/>
    <w:rsid w:val="00983B2B"/>
    <w:pPr>
      <w:jc w:val="center"/>
    </w:pPr>
    <w:rPr>
      <w:rFonts w:ascii="Myriad Pro" w:eastAsiaTheme="majorEastAsia" w:hAnsi="Myriad Pro" w:cstheme="majorBidi"/>
      <w:bCs/>
      <w:i/>
      <w:iCs/>
      <w:sz w:val="20"/>
    </w:rPr>
  </w:style>
  <w:style w:type="character" w:customStyle="1" w:styleId="CaptionChar">
    <w:name w:val="Caption Char"/>
    <w:basedOn w:val="Heading4Char"/>
    <w:link w:val="Caption"/>
    <w:uiPriority w:val="35"/>
    <w:rsid w:val="00DE6767"/>
    <w:rPr>
      <w:rFonts w:ascii="Myriad Pro" w:eastAsiaTheme="majorEastAsia" w:hAnsi="Myriad Pro" w:cstheme="majorBidi"/>
      <w:b w:val="0"/>
      <w:bCs w:val="0"/>
      <w:i w:val="0"/>
      <w:iCs/>
      <w:color w:val="7030A0"/>
      <w:sz w:val="24"/>
    </w:rPr>
  </w:style>
  <w:style w:type="character" w:customStyle="1" w:styleId="MycaptionChar">
    <w:name w:val="My caption Char"/>
    <w:basedOn w:val="CaptionChar"/>
    <w:link w:val="Mycaption"/>
    <w:rsid w:val="00983B2B"/>
    <w:rPr>
      <w:rFonts w:ascii="Myriad Pro" w:eastAsiaTheme="majorEastAsia" w:hAnsi="Myriad Pro" w:cstheme="majorBidi"/>
      <w:b w:val="0"/>
      <w:bCs w:val="0"/>
      <w:i/>
      <w:iCs/>
      <w:color w:val="7030A0"/>
      <w:sz w:val="20"/>
    </w:rPr>
  </w:style>
  <w:style w:type="paragraph" w:customStyle="1" w:styleId="DotPointForDiagram">
    <w:name w:val="DotPointForDiagram"/>
    <w:basedOn w:val="ListParagraph"/>
    <w:qFormat/>
    <w:rsid w:val="00F822C1"/>
    <w:pPr>
      <w:numPr>
        <w:numId w:val="33"/>
      </w:numPr>
      <w:tabs>
        <w:tab w:val="num" w:pos="360"/>
        <w:tab w:val="left" w:pos="3440"/>
      </w:tabs>
      <w:spacing w:after="0" w:line="240" w:lineRule="auto"/>
      <w:ind w:left="-29" w:hanging="170"/>
      <w:contextualSpacing w:val="0"/>
    </w:pPr>
    <w:rPr>
      <w:rFonts w:cs="Times New Roman"/>
      <w:color w:val="000000" w:themeColor="text1"/>
      <w:sz w:val="20"/>
      <w:szCs w:val="20"/>
    </w:rPr>
  </w:style>
  <w:style w:type="character" w:styleId="CommentReference">
    <w:name w:val="annotation reference"/>
    <w:basedOn w:val="DefaultParagraphFont"/>
    <w:uiPriority w:val="99"/>
    <w:semiHidden/>
    <w:unhideWhenUsed/>
    <w:rsid w:val="009202EA"/>
    <w:rPr>
      <w:sz w:val="16"/>
      <w:szCs w:val="16"/>
    </w:rPr>
  </w:style>
  <w:style w:type="paragraph" w:styleId="CommentText">
    <w:name w:val="annotation text"/>
    <w:basedOn w:val="Normal"/>
    <w:link w:val="CommentTextChar"/>
    <w:uiPriority w:val="99"/>
    <w:semiHidden/>
    <w:unhideWhenUsed/>
    <w:rsid w:val="009202EA"/>
    <w:pPr>
      <w:spacing w:line="240" w:lineRule="auto"/>
    </w:pPr>
    <w:rPr>
      <w:sz w:val="20"/>
      <w:szCs w:val="20"/>
    </w:rPr>
  </w:style>
  <w:style w:type="character" w:customStyle="1" w:styleId="CommentTextChar">
    <w:name w:val="Comment Text Char"/>
    <w:basedOn w:val="DefaultParagraphFont"/>
    <w:link w:val="CommentText"/>
    <w:uiPriority w:val="99"/>
    <w:semiHidden/>
    <w:rsid w:val="009202EA"/>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9202EA"/>
    <w:rPr>
      <w:b/>
      <w:bCs/>
    </w:rPr>
  </w:style>
  <w:style w:type="character" w:customStyle="1" w:styleId="CommentSubjectChar">
    <w:name w:val="Comment Subject Char"/>
    <w:basedOn w:val="CommentTextChar"/>
    <w:link w:val="CommentSubject"/>
    <w:uiPriority w:val="99"/>
    <w:semiHidden/>
    <w:rsid w:val="009202EA"/>
    <w:rPr>
      <w:rFonts w:ascii="Myriad Pro" w:hAnsi="Myriad Pro"/>
      <w:b/>
      <w:bCs/>
      <w:sz w:val="20"/>
      <w:szCs w:val="20"/>
    </w:rPr>
  </w:style>
  <w:style w:type="paragraph" w:styleId="Revision">
    <w:name w:val="Revision"/>
    <w:hidden/>
    <w:uiPriority w:val="99"/>
    <w:semiHidden/>
    <w:rsid w:val="009202EA"/>
    <w:pPr>
      <w:spacing w:after="0" w:line="240" w:lineRule="auto"/>
    </w:pPr>
    <w:rPr>
      <w:rFonts w:ascii="Myriad Pro" w:hAnsi="Myriad Pro"/>
    </w:rPr>
  </w:style>
  <w:style w:type="paragraph" w:styleId="PlainText">
    <w:name w:val="Plain Text"/>
    <w:basedOn w:val="Normal"/>
    <w:link w:val="PlainTextChar"/>
    <w:uiPriority w:val="99"/>
    <w:semiHidden/>
    <w:unhideWhenUsed/>
    <w:rsid w:val="003A06A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A06A0"/>
    <w:rPr>
      <w:rFonts w:ascii="Calibri" w:eastAsiaTheme="minorHAnsi" w:hAnsi="Calibri"/>
      <w:szCs w:val="21"/>
    </w:rPr>
  </w:style>
  <w:style w:type="paragraph" w:styleId="TOC4">
    <w:name w:val="toc 4"/>
    <w:basedOn w:val="Normal"/>
    <w:next w:val="Normal"/>
    <w:autoRedefine/>
    <w:uiPriority w:val="39"/>
    <w:unhideWhenUsed/>
    <w:rsid w:val="00731E24"/>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731E24"/>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731E24"/>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731E24"/>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731E24"/>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731E24"/>
    <w:pPr>
      <w:spacing w:after="0"/>
      <w:ind w:left="176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8C"/>
    <w:pPr>
      <w:spacing w:after="120" w:line="252" w:lineRule="auto"/>
    </w:pPr>
    <w:rPr>
      <w:rFonts w:ascii="Myriad Pro" w:hAnsi="Myriad Pro"/>
    </w:rPr>
  </w:style>
  <w:style w:type="paragraph" w:styleId="Heading1">
    <w:name w:val="heading 1"/>
    <w:basedOn w:val="Normal"/>
    <w:next w:val="Normal"/>
    <w:link w:val="Heading1Char"/>
    <w:uiPriority w:val="9"/>
    <w:qFormat/>
    <w:rsid w:val="00F54EE5"/>
    <w:pPr>
      <w:spacing w:after="240" w:line="240" w:lineRule="auto"/>
      <w:contextualSpacing/>
      <w:outlineLvl w:val="0"/>
    </w:pPr>
    <w:rPr>
      <w:rFonts w:eastAsiaTheme="majorEastAsia" w:cstheme="majorBidi"/>
      <w:b/>
      <w:bCs/>
      <w:color w:val="58317F"/>
      <w:sz w:val="36"/>
      <w:szCs w:val="28"/>
    </w:rPr>
  </w:style>
  <w:style w:type="paragraph" w:styleId="Heading2">
    <w:name w:val="heading 2"/>
    <w:basedOn w:val="Normal"/>
    <w:next w:val="Normal"/>
    <w:link w:val="Heading2Char"/>
    <w:uiPriority w:val="9"/>
    <w:unhideWhenUsed/>
    <w:qFormat/>
    <w:rsid w:val="00515242"/>
    <w:pPr>
      <w:spacing w:after="0"/>
      <w:outlineLvl w:val="1"/>
    </w:pPr>
    <w:rPr>
      <w:rFonts w:eastAsiaTheme="majorEastAsia" w:cstheme="majorBidi"/>
      <w:b/>
      <w:bCs/>
      <w:color w:val="58317F"/>
      <w:sz w:val="32"/>
      <w:szCs w:val="26"/>
    </w:rPr>
  </w:style>
  <w:style w:type="paragraph" w:styleId="Heading3">
    <w:name w:val="heading 3"/>
    <w:basedOn w:val="Normal"/>
    <w:next w:val="Normal"/>
    <w:link w:val="Heading3Char"/>
    <w:uiPriority w:val="9"/>
    <w:unhideWhenUsed/>
    <w:qFormat/>
    <w:rsid w:val="00687A97"/>
    <w:pPr>
      <w:keepNext/>
      <w:spacing w:before="200" w:after="0"/>
      <w:outlineLvl w:val="2"/>
    </w:pPr>
    <w:rPr>
      <w:rFonts w:eastAsiaTheme="majorEastAsia" w:cstheme="majorBidi"/>
      <w:b/>
      <w:bCs/>
      <w:color w:val="58317F"/>
      <w:sz w:val="24"/>
    </w:rPr>
  </w:style>
  <w:style w:type="paragraph" w:styleId="Heading4">
    <w:name w:val="heading 4"/>
    <w:basedOn w:val="Normal"/>
    <w:next w:val="Normal"/>
    <w:link w:val="Heading4Char"/>
    <w:uiPriority w:val="9"/>
    <w:unhideWhenUsed/>
    <w:qFormat/>
    <w:rsid w:val="00636DAE"/>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636DAE"/>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unhideWhenUsed/>
    <w:qFormat/>
    <w:rsid w:val="00636DAE"/>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basedOn w:val="Textemphasis"/>
    <w:uiPriority w:val="20"/>
    <w:qFormat/>
    <w:rsid w:val="00856E74"/>
    <w:rPr>
      <w:b/>
      <w:color w:val="58317F"/>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636DAE"/>
    <w:rPr>
      <w:rFonts w:ascii="Myriad Pro" w:hAnsi="Myriad Pro"/>
      <w:color w:val="165788" w:themeColor="hyperlink"/>
      <w:u w:val="single"/>
    </w:rPr>
  </w:style>
  <w:style w:type="paragraph" w:styleId="Quote">
    <w:name w:val="Quote"/>
    <w:basedOn w:val="Normal"/>
    <w:next w:val="Normal"/>
    <w:link w:val="QuoteChar"/>
    <w:uiPriority w:val="29"/>
    <w:qFormat/>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54EE5"/>
    <w:rPr>
      <w:rFonts w:ascii="Myriad Pro" w:eastAsiaTheme="majorEastAsia" w:hAnsi="Myriad Pro" w:cstheme="majorBidi"/>
      <w:b/>
      <w:bCs/>
      <w:color w:val="58317F"/>
      <w:sz w:val="36"/>
      <w:szCs w:val="28"/>
    </w:rPr>
  </w:style>
  <w:style w:type="character" w:customStyle="1" w:styleId="Heading2Char">
    <w:name w:val="Heading 2 Char"/>
    <w:basedOn w:val="DefaultParagraphFont"/>
    <w:link w:val="Heading2"/>
    <w:uiPriority w:val="9"/>
    <w:rsid w:val="00515242"/>
    <w:rPr>
      <w:rFonts w:ascii="Myriad Pro" w:eastAsiaTheme="majorEastAsia" w:hAnsi="Myriad Pro" w:cstheme="majorBidi"/>
      <w:b/>
      <w:bCs/>
      <w:color w:val="58317F"/>
      <w:sz w:val="32"/>
      <w:szCs w:val="26"/>
    </w:rPr>
  </w:style>
  <w:style w:type="character" w:customStyle="1" w:styleId="Heading3Char">
    <w:name w:val="Heading 3 Char"/>
    <w:basedOn w:val="DefaultParagraphFont"/>
    <w:link w:val="Heading3"/>
    <w:uiPriority w:val="9"/>
    <w:rsid w:val="00687A97"/>
    <w:rPr>
      <w:rFonts w:ascii="Myriad Pro" w:eastAsiaTheme="majorEastAsia" w:hAnsi="Myriad Pro" w:cstheme="majorBidi"/>
      <w:b/>
      <w:bCs/>
      <w:color w:val="58317F"/>
      <w:sz w:val="24"/>
    </w:rPr>
  </w:style>
  <w:style w:type="character" w:customStyle="1" w:styleId="Heading4Char">
    <w:name w:val="Heading 4 Char"/>
    <w:basedOn w:val="DefaultParagraphFont"/>
    <w:link w:val="Heading4"/>
    <w:uiPriority w:val="9"/>
    <w:rsid w:val="00636DAE"/>
    <w:rPr>
      <w:rFonts w:ascii="Myriad Pro" w:eastAsiaTheme="majorEastAsia" w:hAnsi="Myriad Pro" w:cstheme="majorBidi"/>
      <w:b/>
      <w:bCs/>
      <w:i/>
      <w:iCs/>
    </w:rPr>
  </w:style>
  <w:style w:type="character" w:customStyle="1" w:styleId="Heading5Char">
    <w:name w:val="Heading 5 Char"/>
    <w:basedOn w:val="DefaultParagraphFont"/>
    <w:link w:val="Heading5"/>
    <w:uiPriority w:val="9"/>
    <w:rsid w:val="00636DAE"/>
    <w:rPr>
      <w:rFonts w:ascii="Myriad Pro" w:eastAsiaTheme="majorEastAsia" w:hAnsi="Myriad Pro" w:cstheme="majorBidi"/>
      <w:b/>
      <w:bCs/>
      <w:color w:val="757575"/>
    </w:rPr>
  </w:style>
  <w:style w:type="character" w:customStyle="1" w:styleId="Heading6Char">
    <w:name w:val="Heading 6 Char"/>
    <w:basedOn w:val="DefaultParagraphFont"/>
    <w:link w:val="Heading6"/>
    <w:uiPriority w:val="9"/>
    <w:rsid w:val="00636DAE"/>
    <w:rPr>
      <w:rFonts w:ascii="Myriad Pro" w:eastAsiaTheme="majorEastAsia" w:hAnsi="Myriad Pro"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506E"/>
    <w:pPr>
      <w:tabs>
        <w:tab w:val="left" w:pos="1134"/>
      </w:tabs>
      <w:spacing w:before="2000" w:line="240" w:lineRule="auto"/>
      <w:contextualSpacing/>
    </w:pPr>
    <w:rPr>
      <w:rFonts w:eastAsiaTheme="majorEastAsia" w:cstheme="majorBidi"/>
      <w:color w:val="FFFFFF" w:themeColor="background2"/>
      <w:spacing w:val="5"/>
      <w:sz w:val="56"/>
      <w:szCs w:val="72"/>
    </w:rPr>
  </w:style>
  <w:style w:type="character" w:customStyle="1" w:styleId="TitleChar">
    <w:name w:val="Title Char"/>
    <w:basedOn w:val="DefaultParagraphFont"/>
    <w:link w:val="Title"/>
    <w:uiPriority w:val="10"/>
    <w:rsid w:val="000C506E"/>
    <w:rPr>
      <w:rFonts w:ascii="Myriad Pro" w:eastAsiaTheme="majorEastAsia" w:hAnsi="Myriad Pro" w:cstheme="majorBidi"/>
      <w:color w:val="FFFFFF" w:themeColor="background2"/>
      <w:spacing w:val="5"/>
      <w:sz w:val="56"/>
      <w:szCs w:val="72"/>
    </w:rPr>
  </w:style>
  <w:style w:type="paragraph" w:styleId="Subtitle">
    <w:name w:val="Subtitle"/>
    <w:basedOn w:val="Normal"/>
    <w:next w:val="Normal"/>
    <w:link w:val="SubtitleChar"/>
    <w:uiPriority w:val="11"/>
    <w:qFormat/>
    <w:rsid w:val="000C506E"/>
    <w:pPr>
      <w:spacing w:before="360" w:after="240"/>
      <w:jc w:val="center"/>
    </w:pPr>
    <w:rPr>
      <w:rFonts w:ascii="Calibri" w:eastAsiaTheme="majorEastAsia" w:hAnsi="Calibri" w:cstheme="majorBidi"/>
      <w:iCs/>
      <w:color w:val="FFFFFF" w:themeColor="background2"/>
      <w:spacing w:val="13"/>
      <w:sz w:val="26"/>
      <w:szCs w:val="26"/>
    </w:rPr>
  </w:style>
  <w:style w:type="character" w:customStyle="1" w:styleId="SubtitleChar">
    <w:name w:val="Subtitle Char"/>
    <w:basedOn w:val="DefaultParagraphFont"/>
    <w:link w:val="Subtitle"/>
    <w:uiPriority w:val="11"/>
    <w:rsid w:val="000C506E"/>
    <w:rPr>
      <w:rFonts w:ascii="Calibri" w:eastAsiaTheme="majorEastAsia" w:hAnsi="Calibri" w:cstheme="majorBidi"/>
      <w:iCs/>
      <w:color w:val="FFFFFF" w:themeColor="background2"/>
      <w:spacing w:val="13"/>
      <w:sz w:val="26"/>
      <w:szCs w:val="26"/>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Dot point 1.5 line spacing,L,List Paragraph1,List Paragraph11,Recommendation,bullet point list,List Paragraph - bullets"/>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F20B0F"/>
    <w:pPr>
      <w:outlineLvl w:val="9"/>
    </w:pPr>
    <w:rPr>
      <w:lang w:bidi="en-US"/>
    </w:rPr>
  </w:style>
  <w:style w:type="paragraph" w:styleId="ListNumber">
    <w:name w:val="List Number"/>
    <w:basedOn w:val="Normal"/>
    <w:uiPriority w:val="99"/>
    <w:unhideWhenUsed/>
    <w:rsid w:val="00FB10CB"/>
    <w:pPr>
      <w:numPr>
        <w:numId w:val="11"/>
      </w:numPr>
      <w:ind w:left="369" w:hanging="369"/>
      <w:contextualSpacing/>
    </w:pPr>
  </w:style>
  <w:style w:type="paragraph" w:styleId="ListNumber2">
    <w:name w:val="List Number 2"/>
    <w:basedOn w:val="Normal"/>
    <w:uiPriority w:val="99"/>
    <w:unhideWhenUsed/>
    <w:rsid w:val="00985632"/>
    <w:pPr>
      <w:numPr>
        <w:ilvl w:val="1"/>
        <w:numId w:val="11"/>
      </w:numPr>
      <w:tabs>
        <w:tab w:val="left" w:pos="1134"/>
      </w:tabs>
      <w:ind w:left="936" w:hanging="567"/>
      <w:contextualSpacing/>
    </w:pPr>
  </w:style>
  <w:style w:type="paragraph" w:styleId="ListNumber3">
    <w:name w:val="List Number 3"/>
    <w:basedOn w:val="Normal"/>
    <w:uiPriority w:val="99"/>
    <w:unhideWhenUsed/>
    <w:rsid w:val="00985632"/>
    <w:pPr>
      <w:numPr>
        <w:ilvl w:val="2"/>
        <w:numId w:val="11"/>
      </w:numPr>
      <w:ind w:left="1701" w:hanging="765"/>
      <w:contextualSpacing/>
    </w:pPr>
  </w:style>
  <w:style w:type="paragraph" w:styleId="ListNumber4">
    <w:name w:val="List Number 4"/>
    <w:basedOn w:val="Normal"/>
    <w:uiPriority w:val="99"/>
    <w:unhideWhenUsed/>
    <w:rsid w:val="00406E5A"/>
    <w:pPr>
      <w:numPr>
        <w:ilvl w:val="3"/>
        <w:numId w:val="11"/>
      </w:numPr>
      <w:ind w:left="2637" w:hanging="936"/>
      <w:contextualSpacing/>
    </w:pPr>
  </w:style>
  <w:style w:type="paragraph" w:styleId="ListBullet">
    <w:name w:val="List Bullet"/>
    <w:basedOn w:val="Normal"/>
    <w:uiPriority w:val="99"/>
    <w:unhideWhenUsed/>
    <w:rsid w:val="00CA46EC"/>
    <w:pPr>
      <w:numPr>
        <w:numId w:val="16"/>
      </w:numPr>
      <w:contextualSpacing/>
    </w:pPr>
  </w:style>
  <w:style w:type="paragraph" w:styleId="ListBullet2">
    <w:name w:val="List Bullet 2"/>
    <w:basedOn w:val="Normal"/>
    <w:uiPriority w:val="99"/>
    <w:unhideWhenUsed/>
    <w:rsid w:val="00CA46EC"/>
    <w:pPr>
      <w:numPr>
        <w:ilvl w:val="1"/>
        <w:numId w:val="16"/>
      </w:numPr>
      <w:ind w:left="766" w:hanging="369"/>
      <w:contextualSpacing/>
    </w:pPr>
  </w:style>
  <w:style w:type="paragraph" w:styleId="ListBullet3">
    <w:name w:val="List Bullet 3"/>
    <w:basedOn w:val="Normal"/>
    <w:uiPriority w:val="99"/>
    <w:unhideWhenUsed/>
    <w:rsid w:val="00CA46EC"/>
    <w:pPr>
      <w:numPr>
        <w:ilvl w:val="2"/>
        <w:numId w:val="16"/>
      </w:numPr>
      <w:ind w:left="1163" w:hanging="369"/>
      <w:contextualSpacing/>
    </w:pPr>
  </w:style>
  <w:style w:type="paragraph" w:styleId="ListBullet4">
    <w:name w:val="List Bullet 4"/>
    <w:basedOn w:val="Normal"/>
    <w:uiPriority w:val="99"/>
    <w:unhideWhenUsed/>
    <w:rsid w:val="00CA46EC"/>
    <w:pPr>
      <w:numPr>
        <w:ilvl w:val="3"/>
        <w:numId w:val="16"/>
      </w:numPr>
      <w:ind w:left="1503" w:hanging="369"/>
      <w:contextualSpacing/>
    </w:pPr>
  </w:style>
  <w:style w:type="table" w:styleId="TableGrid">
    <w:name w:val="Table Grid"/>
    <w:basedOn w:val="TableNormal"/>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VETisTable">
    <w:name w:val="VETis Table"/>
    <w:basedOn w:val="TableNormal"/>
    <w:uiPriority w:val="99"/>
    <w:rsid w:val="00A42AD4"/>
    <w:pPr>
      <w:spacing w:after="0" w:line="240" w:lineRule="auto"/>
    </w:pPr>
    <w:rPr>
      <w:rFonts w:ascii="Myriad Pro" w:hAnsi="Myriad Pro"/>
      <w:color w:val="000000" w:themeColor="text1"/>
      <w:sz w:val="20"/>
    </w:rPr>
    <w:tblPr>
      <w:tblStyleRowBandSize w:val="1"/>
      <w:tblStyleColBandSize w:val="1"/>
      <w:tblInd w:w="0" w:type="dxa"/>
      <w:tblCellMar>
        <w:top w:w="57" w:type="dxa"/>
        <w:left w:w="108" w:type="dxa"/>
        <w:bottom w:w="57"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8317F"/>
      </w:tcPr>
    </w:tblStylePr>
    <w:tblStylePr w:type="lastRow">
      <w:rPr>
        <w:rFonts w:ascii="Myriad Pro" w:hAnsi="Myriad Pro"/>
      </w:rPr>
      <w:tblPr/>
      <w:tcPr>
        <w:tcBorders>
          <w:top w:val="single" w:sz="12" w:space="0" w:color="58317F"/>
          <w:left w:val="nil"/>
          <w:bottom w:val="single" w:sz="12" w:space="0" w:color="58317F"/>
          <w:right w:val="nil"/>
          <w:insideH w:val="nil"/>
          <w:insideV w:val="nil"/>
          <w:tl2br w:val="nil"/>
          <w:tr2bl w:val="nil"/>
        </w:tcBorders>
      </w:tcPr>
    </w:tblStylePr>
    <w:tblStylePr w:type="firstCol">
      <w:pPr>
        <w:jc w:val="left"/>
      </w:pPr>
      <w:rPr>
        <w:b/>
      </w:rPr>
    </w:tblStylePr>
    <w:tblStylePr w:type="lastCol">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single" w:sz="4" w:space="0" w:color="024759"/>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DED0E9" w:themeFill="accent2" w:themeFillTint="33"/>
      </w:tc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E37589"/>
    <w:pPr>
      <w:tabs>
        <w:tab w:val="center" w:pos="4513"/>
        <w:tab w:val="right" w:pos="9026"/>
      </w:tabs>
      <w:spacing w:after="0" w:line="240" w:lineRule="auto"/>
      <w:jc w:val="center"/>
    </w:pPr>
    <w:rPr>
      <w:color w:val="58317F"/>
    </w:rPr>
  </w:style>
  <w:style w:type="character" w:customStyle="1" w:styleId="HeaderChar">
    <w:name w:val="Header Char"/>
    <w:basedOn w:val="DefaultParagraphFont"/>
    <w:link w:val="Header"/>
    <w:uiPriority w:val="99"/>
    <w:rsid w:val="00E37589"/>
    <w:rPr>
      <w:rFonts w:ascii="Myriad Pro" w:hAnsi="Myriad Pro"/>
      <w:color w:val="58317F"/>
    </w:rPr>
  </w:style>
  <w:style w:type="paragraph" w:styleId="Footer">
    <w:name w:val="footer"/>
    <w:basedOn w:val="Normal"/>
    <w:link w:val="FooterChar"/>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rsid w:val="00130923"/>
  </w:style>
  <w:style w:type="paragraph" w:styleId="TOC1">
    <w:name w:val="toc 1"/>
    <w:basedOn w:val="Normal"/>
    <w:next w:val="Normal"/>
    <w:autoRedefine/>
    <w:uiPriority w:val="39"/>
    <w:unhideWhenUsed/>
    <w:rsid w:val="009F03DB"/>
    <w:pPr>
      <w:spacing w:before="240"/>
    </w:pPr>
    <w:rPr>
      <w:rFonts w:asciiTheme="minorHAnsi" w:hAnsiTheme="minorHAnsi" w:cstheme="minorHAnsi"/>
      <w:b/>
      <w:bCs/>
      <w:sz w:val="20"/>
      <w:szCs w:val="20"/>
    </w:rPr>
  </w:style>
  <w:style w:type="paragraph" w:styleId="TOC2">
    <w:name w:val="toc 2"/>
    <w:basedOn w:val="Normal"/>
    <w:next w:val="Normal"/>
    <w:autoRedefine/>
    <w:uiPriority w:val="39"/>
    <w:unhideWhenUsed/>
    <w:rsid w:val="00731E24"/>
    <w:pPr>
      <w:tabs>
        <w:tab w:val="right" w:pos="9016"/>
      </w:tabs>
      <w:spacing w:before="120" w:after="0"/>
      <w:ind w:left="220"/>
    </w:pPr>
    <w:rPr>
      <w:rFonts w:asciiTheme="minorHAnsi" w:hAnsiTheme="minorHAnsi" w:cstheme="minorHAnsi"/>
      <w:i/>
      <w:iCs/>
      <w:noProof/>
      <w:sz w:val="20"/>
      <w:szCs w:val="20"/>
    </w:rPr>
  </w:style>
  <w:style w:type="paragraph" w:styleId="TOC3">
    <w:name w:val="toc 3"/>
    <w:basedOn w:val="Normal"/>
    <w:next w:val="Normal"/>
    <w:autoRedefine/>
    <w:uiPriority w:val="39"/>
    <w:unhideWhenUsed/>
    <w:rsid w:val="00C11476"/>
    <w:pPr>
      <w:spacing w:after="0"/>
      <w:ind w:left="440"/>
    </w:pPr>
    <w:rPr>
      <w:rFonts w:asciiTheme="minorHAnsi" w:hAnsiTheme="minorHAnsi" w:cstheme="minorHAnsi"/>
      <w:sz w:val="20"/>
      <w:szCs w:val="20"/>
    </w:rPr>
  </w:style>
  <w:style w:type="paragraph" w:styleId="Caption">
    <w:name w:val="caption"/>
    <w:basedOn w:val="Heading4"/>
    <w:next w:val="Normal"/>
    <w:link w:val="CaptionChar"/>
    <w:uiPriority w:val="35"/>
    <w:unhideWhenUsed/>
    <w:rsid w:val="00DE6767"/>
    <w:pPr>
      <w:spacing w:before="360" w:after="120"/>
      <w:jc w:val="center"/>
    </w:pPr>
    <w:rPr>
      <w:rFonts w:asciiTheme="minorHAnsi" w:hAnsiTheme="minorHAnsi"/>
      <w:b w:val="0"/>
      <w:bCs w:val="0"/>
      <w:i w:val="0"/>
      <w:color w:val="7030A0"/>
      <w:sz w:val="24"/>
    </w:rPr>
  </w:style>
  <w:style w:type="paragraph" w:customStyle="1" w:styleId="Source">
    <w:name w:val="Source"/>
    <w:basedOn w:val="Normal"/>
    <w:qFormat/>
    <w:rsid w:val="001B6137"/>
    <w:pPr>
      <w:spacing w:before="120"/>
    </w:pPr>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409F5"/>
    <w:rPr>
      <w:color w:val="FF0000"/>
    </w:rPr>
  </w:style>
  <w:style w:type="paragraph" w:customStyle="1" w:styleId="BoxBody">
    <w:name w:val="Box Body"/>
    <w:basedOn w:val="Normal"/>
    <w:qFormat/>
    <w:rsid w:val="00AF6183"/>
    <w:pPr>
      <w:keepNext/>
      <w:keepLines/>
      <w:pBdr>
        <w:left w:val="single" w:sz="18" w:space="4" w:color="58317F"/>
        <w:bottom w:val="single" w:sz="18" w:space="1" w:color="58317F"/>
        <w:right w:val="single" w:sz="18" w:space="4" w:color="58317F"/>
      </w:pBdr>
    </w:pPr>
    <w:rPr>
      <w:noProof/>
    </w:rPr>
  </w:style>
  <w:style w:type="paragraph" w:customStyle="1" w:styleId="BoxHeading">
    <w:name w:val="Box Heading"/>
    <w:basedOn w:val="Heading3"/>
    <w:next w:val="BoxBody"/>
    <w:qFormat/>
    <w:rsid w:val="00AF6183"/>
    <w:pPr>
      <w:pBdr>
        <w:top w:val="single" w:sz="18" w:space="1" w:color="58317F"/>
        <w:left w:val="single" w:sz="18" w:space="4" w:color="58317F"/>
        <w:right w:val="single" w:sz="18" w:space="4" w:color="58317F"/>
      </w:pBdr>
    </w:pPr>
  </w:style>
  <w:style w:type="paragraph" w:customStyle="1" w:styleId="CircleText">
    <w:name w:val="Circle Text"/>
    <w:basedOn w:val="Normal"/>
    <w:qFormat/>
    <w:rsid w:val="00725CF9"/>
    <w:pPr>
      <w:spacing w:before="1200" w:after="480"/>
      <w:ind w:left="-709"/>
    </w:pPr>
    <w:rPr>
      <w:noProof/>
      <w:color w:val="FFFFFF" w:themeColor="background2"/>
      <w:sz w:val="32"/>
    </w:rPr>
  </w:style>
  <w:style w:type="paragraph" w:customStyle="1" w:styleId="BasicParagraph">
    <w:name w:val="[Basic Paragraph]"/>
    <w:basedOn w:val="Normal"/>
    <w:uiPriority w:val="99"/>
    <w:rsid w:val="00FC0F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nexttocircle">
    <w:name w:val="Text next to circle"/>
    <w:basedOn w:val="Normal"/>
    <w:qFormat/>
    <w:rsid w:val="006C16C6"/>
    <w:pPr>
      <w:spacing w:before="480"/>
      <w:ind w:left="-2552" w:hanging="1134"/>
    </w:pPr>
    <w:rPr>
      <w:noProof/>
    </w:rPr>
  </w:style>
  <w:style w:type="paragraph" w:customStyle="1" w:styleId="PullQuote">
    <w:name w:val="Pull Quote"/>
    <w:basedOn w:val="Normal"/>
    <w:qFormat/>
    <w:rsid w:val="00856E74"/>
    <w:pPr>
      <w:ind w:left="720"/>
    </w:pPr>
    <w:rPr>
      <w:b/>
      <w:i/>
      <w:noProof/>
      <w:color w:val="58317F"/>
      <w:sz w:val="26"/>
    </w:rPr>
  </w:style>
  <w:style w:type="paragraph" w:customStyle="1" w:styleId="Boxbullets">
    <w:name w:val="Box bullets"/>
    <w:basedOn w:val="BoxBody"/>
    <w:qFormat/>
    <w:rsid w:val="000E1C5D"/>
    <w:pPr>
      <w:numPr>
        <w:numId w:val="19"/>
      </w:numPr>
      <w:spacing w:after="0"/>
      <w:ind w:left="357" w:hanging="357"/>
    </w:pPr>
    <w:rPr>
      <w:noProof w:val="0"/>
    </w:rPr>
  </w:style>
  <w:style w:type="paragraph" w:styleId="FootnoteText">
    <w:name w:val="footnote text"/>
    <w:basedOn w:val="Normal"/>
    <w:link w:val="FootnoteTextChar"/>
    <w:rsid w:val="00473E6C"/>
    <w:pPr>
      <w:spacing w:after="0" w:line="240" w:lineRule="auto"/>
    </w:pPr>
    <w:rPr>
      <w:rFonts w:asciiTheme="minorHAnsi" w:hAnsiTheme="minorHAnsi"/>
      <w:sz w:val="20"/>
      <w:szCs w:val="20"/>
      <w:lang w:eastAsia="en-AU"/>
    </w:rPr>
  </w:style>
  <w:style w:type="character" w:customStyle="1" w:styleId="FootnoteTextChar">
    <w:name w:val="Footnote Text Char"/>
    <w:basedOn w:val="DefaultParagraphFont"/>
    <w:link w:val="FootnoteText"/>
    <w:rsid w:val="00473E6C"/>
    <w:rPr>
      <w:sz w:val="20"/>
      <w:szCs w:val="20"/>
      <w:lang w:eastAsia="en-AU"/>
    </w:rPr>
  </w:style>
  <w:style w:type="character" w:styleId="FootnoteReference">
    <w:name w:val="footnote reference"/>
    <w:basedOn w:val="DefaultParagraphFont"/>
    <w:rsid w:val="00E30ED0"/>
    <w:rPr>
      <w:vertAlign w:val="superscript"/>
    </w:rPr>
  </w:style>
  <w:style w:type="paragraph" w:customStyle="1" w:styleId="Parastyle1">
    <w:name w:val="Para style 1"/>
    <w:basedOn w:val="ListParagraph"/>
    <w:link w:val="Parastyle1Char"/>
    <w:qFormat/>
    <w:rsid w:val="00E30ED0"/>
    <w:pPr>
      <w:spacing w:line="240" w:lineRule="auto"/>
      <w:ind w:left="0"/>
      <w:contextualSpacing w:val="0"/>
    </w:pPr>
    <w:rPr>
      <w:rFonts w:asciiTheme="minorHAnsi" w:hAnsiTheme="minorHAnsi"/>
      <w:lang w:eastAsia="en-AU"/>
    </w:rPr>
  </w:style>
  <w:style w:type="character" w:customStyle="1" w:styleId="Parastyle1Char">
    <w:name w:val="Para style 1 Char"/>
    <w:basedOn w:val="DefaultParagraphFont"/>
    <w:link w:val="Parastyle1"/>
    <w:rsid w:val="00E30ED0"/>
    <w:rPr>
      <w:lang w:eastAsia="en-AU"/>
    </w:rPr>
  </w:style>
  <w:style w:type="character" w:customStyle="1" w:styleId="ListParagraphChar">
    <w:name w:val="List Paragraph Char"/>
    <w:aliases w:val="Dot point 1.5 line spacing Char,L Char,List Paragraph1 Char,List Paragraph11 Char,Recommendation Char,bullet point list Char,List Paragraph - bullets Char"/>
    <w:basedOn w:val="DefaultParagraphFont"/>
    <w:link w:val="ListParagraph"/>
    <w:uiPriority w:val="34"/>
    <w:rsid w:val="00785439"/>
    <w:rPr>
      <w:rFonts w:ascii="Myriad Pro" w:hAnsi="Myriad Pro"/>
    </w:rPr>
  </w:style>
  <w:style w:type="character" w:customStyle="1" w:styleId="Textemphasis">
    <w:name w:val="Text emphasis"/>
    <w:basedOn w:val="DefaultParagraphFont"/>
    <w:uiPriority w:val="1"/>
    <w:qFormat/>
    <w:rsid w:val="00856E74"/>
    <w:rPr>
      <w:b/>
      <w:color w:val="58317F"/>
    </w:rPr>
  </w:style>
  <w:style w:type="character" w:customStyle="1" w:styleId="Componentcross-reference">
    <w:name w:val="Component cross-reference"/>
    <w:basedOn w:val="Emphasis"/>
    <w:uiPriority w:val="1"/>
    <w:qFormat/>
    <w:rsid w:val="00096418"/>
    <w:rPr>
      <w:b w:val="0"/>
      <w:i/>
      <w:color w:val="58317F"/>
    </w:rPr>
  </w:style>
  <w:style w:type="paragraph" w:customStyle="1" w:styleId="Mycaption">
    <w:name w:val="My caption"/>
    <w:link w:val="MycaptionChar"/>
    <w:qFormat/>
    <w:rsid w:val="00983B2B"/>
    <w:pPr>
      <w:jc w:val="center"/>
    </w:pPr>
    <w:rPr>
      <w:rFonts w:ascii="Myriad Pro" w:eastAsiaTheme="majorEastAsia" w:hAnsi="Myriad Pro" w:cstheme="majorBidi"/>
      <w:bCs/>
      <w:i/>
      <w:iCs/>
      <w:sz w:val="20"/>
    </w:rPr>
  </w:style>
  <w:style w:type="character" w:customStyle="1" w:styleId="CaptionChar">
    <w:name w:val="Caption Char"/>
    <w:basedOn w:val="Heading4Char"/>
    <w:link w:val="Caption"/>
    <w:uiPriority w:val="35"/>
    <w:rsid w:val="00DE6767"/>
    <w:rPr>
      <w:rFonts w:ascii="Myriad Pro" w:eastAsiaTheme="majorEastAsia" w:hAnsi="Myriad Pro" w:cstheme="majorBidi"/>
      <w:b w:val="0"/>
      <w:bCs w:val="0"/>
      <w:i w:val="0"/>
      <w:iCs/>
      <w:color w:val="7030A0"/>
      <w:sz w:val="24"/>
    </w:rPr>
  </w:style>
  <w:style w:type="character" w:customStyle="1" w:styleId="MycaptionChar">
    <w:name w:val="My caption Char"/>
    <w:basedOn w:val="CaptionChar"/>
    <w:link w:val="Mycaption"/>
    <w:rsid w:val="00983B2B"/>
    <w:rPr>
      <w:rFonts w:ascii="Myriad Pro" w:eastAsiaTheme="majorEastAsia" w:hAnsi="Myriad Pro" w:cstheme="majorBidi"/>
      <w:b w:val="0"/>
      <w:bCs w:val="0"/>
      <w:i/>
      <w:iCs/>
      <w:color w:val="7030A0"/>
      <w:sz w:val="20"/>
    </w:rPr>
  </w:style>
  <w:style w:type="paragraph" w:customStyle="1" w:styleId="DotPointForDiagram">
    <w:name w:val="DotPointForDiagram"/>
    <w:basedOn w:val="ListParagraph"/>
    <w:qFormat/>
    <w:rsid w:val="00F822C1"/>
    <w:pPr>
      <w:numPr>
        <w:numId w:val="33"/>
      </w:numPr>
      <w:tabs>
        <w:tab w:val="num" w:pos="360"/>
        <w:tab w:val="left" w:pos="3440"/>
      </w:tabs>
      <w:spacing w:after="0" w:line="240" w:lineRule="auto"/>
      <w:ind w:left="-29" w:hanging="170"/>
      <w:contextualSpacing w:val="0"/>
    </w:pPr>
    <w:rPr>
      <w:rFonts w:cs="Times New Roman"/>
      <w:color w:val="000000" w:themeColor="text1"/>
      <w:sz w:val="20"/>
      <w:szCs w:val="20"/>
    </w:rPr>
  </w:style>
  <w:style w:type="character" w:styleId="CommentReference">
    <w:name w:val="annotation reference"/>
    <w:basedOn w:val="DefaultParagraphFont"/>
    <w:uiPriority w:val="99"/>
    <w:semiHidden/>
    <w:unhideWhenUsed/>
    <w:rsid w:val="009202EA"/>
    <w:rPr>
      <w:sz w:val="16"/>
      <w:szCs w:val="16"/>
    </w:rPr>
  </w:style>
  <w:style w:type="paragraph" w:styleId="CommentText">
    <w:name w:val="annotation text"/>
    <w:basedOn w:val="Normal"/>
    <w:link w:val="CommentTextChar"/>
    <w:uiPriority w:val="99"/>
    <w:semiHidden/>
    <w:unhideWhenUsed/>
    <w:rsid w:val="009202EA"/>
    <w:pPr>
      <w:spacing w:line="240" w:lineRule="auto"/>
    </w:pPr>
    <w:rPr>
      <w:sz w:val="20"/>
      <w:szCs w:val="20"/>
    </w:rPr>
  </w:style>
  <w:style w:type="character" w:customStyle="1" w:styleId="CommentTextChar">
    <w:name w:val="Comment Text Char"/>
    <w:basedOn w:val="DefaultParagraphFont"/>
    <w:link w:val="CommentText"/>
    <w:uiPriority w:val="99"/>
    <w:semiHidden/>
    <w:rsid w:val="009202EA"/>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9202EA"/>
    <w:rPr>
      <w:b/>
      <w:bCs/>
    </w:rPr>
  </w:style>
  <w:style w:type="character" w:customStyle="1" w:styleId="CommentSubjectChar">
    <w:name w:val="Comment Subject Char"/>
    <w:basedOn w:val="CommentTextChar"/>
    <w:link w:val="CommentSubject"/>
    <w:uiPriority w:val="99"/>
    <w:semiHidden/>
    <w:rsid w:val="009202EA"/>
    <w:rPr>
      <w:rFonts w:ascii="Myriad Pro" w:hAnsi="Myriad Pro"/>
      <w:b/>
      <w:bCs/>
      <w:sz w:val="20"/>
      <w:szCs w:val="20"/>
    </w:rPr>
  </w:style>
  <w:style w:type="paragraph" w:styleId="Revision">
    <w:name w:val="Revision"/>
    <w:hidden/>
    <w:uiPriority w:val="99"/>
    <w:semiHidden/>
    <w:rsid w:val="009202EA"/>
    <w:pPr>
      <w:spacing w:after="0" w:line="240" w:lineRule="auto"/>
    </w:pPr>
    <w:rPr>
      <w:rFonts w:ascii="Myriad Pro" w:hAnsi="Myriad Pro"/>
    </w:rPr>
  </w:style>
  <w:style w:type="paragraph" w:styleId="PlainText">
    <w:name w:val="Plain Text"/>
    <w:basedOn w:val="Normal"/>
    <w:link w:val="PlainTextChar"/>
    <w:uiPriority w:val="99"/>
    <w:semiHidden/>
    <w:unhideWhenUsed/>
    <w:rsid w:val="003A06A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A06A0"/>
    <w:rPr>
      <w:rFonts w:ascii="Calibri" w:eastAsiaTheme="minorHAnsi" w:hAnsi="Calibri"/>
      <w:szCs w:val="21"/>
    </w:rPr>
  </w:style>
  <w:style w:type="paragraph" w:styleId="TOC4">
    <w:name w:val="toc 4"/>
    <w:basedOn w:val="Normal"/>
    <w:next w:val="Normal"/>
    <w:autoRedefine/>
    <w:uiPriority w:val="39"/>
    <w:unhideWhenUsed/>
    <w:rsid w:val="00731E24"/>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731E24"/>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731E24"/>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731E24"/>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731E24"/>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731E24"/>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603">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68703645">
      <w:bodyDiv w:val="1"/>
      <w:marLeft w:val="0"/>
      <w:marRight w:val="0"/>
      <w:marTop w:val="0"/>
      <w:marBottom w:val="0"/>
      <w:divBdr>
        <w:top w:val="none" w:sz="0" w:space="0" w:color="auto"/>
        <w:left w:val="none" w:sz="0" w:space="0" w:color="auto"/>
        <w:bottom w:val="none" w:sz="0" w:space="0" w:color="auto"/>
        <w:right w:val="none" w:sz="0" w:space="0" w:color="auto"/>
      </w:divBdr>
    </w:div>
    <w:div w:id="287055040">
      <w:bodyDiv w:val="1"/>
      <w:marLeft w:val="0"/>
      <w:marRight w:val="0"/>
      <w:marTop w:val="0"/>
      <w:marBottom w:val="0"/>
      <w:divBdr>
        <w:top w:val="none" w:sz="0" w:space="0" w:color="auto"/>
        <w:left w:val="none" w:sz="0" w:space="0" w:color="auto"/>
        <w:bottom w:val="none" w:sz="0" w:space="0" w:color="auto"/>
        <w:right w:val="none" w:sz="0" w:space="0" w:color="auto"/>
      </w:divBdr>
    </w:div>
    <w:div w:id="840659094">
      <w:bodyDiv w:val="1"/>
      <w:marLeft w:val="0"/>
      <w:marRight w:val="0"/>
      <w:marTop w:val="0"/>
      <w:marBottom w:val="0"/>
      <w:divBdr>
        <w:top w:val="none" w:sz="0" w:space="0" w:color="auto"/>
        <w:left w:val="none" w:sz="0" w:space="0" w:color="auto"/>
        <w:bottom w:val="none" w:sz="0" w:space="0" w:color="auto"/>
        <w:right w:val="none" w:sz="0" w:space="0" w:color="auto"/>
      </w:divBdr>
    </w:div>
    <w:div w:id="1035034424">
      <w:bodyDiv w:val="1"/>
      <w:marLeft w:val="0"/>
      <w:marRight w:val="0"/>
      <w:marTop w:val="0"/>
      <w:marBottom w:val="0"/>
      <w:divBdr>
        <w:top w:val="none" w:sz="0" w:space="0" w:color="auto"/>
        <w:left w:val="none" w:sz="0" w:space="0" w:color="auto"/>
        <w:bottom w:val="none" w:sz="0" w:space="0" w:color="auto"/>
        <w:right w:val="none" w:sz="0" w:space="0" w:color="auto"/>
      </w:divBdr>
    </w:div>
    <w:div w:id="1278180715">
      <w:bodyDiv w:val="1"/>
      <w:marLeft w:val="0"/>
      <w:marRight w:val="0"/>
      <w:marTop w:val="0"/>
      <w:marBottom w:val="0"/>
      <w:divBdr>
        <w:top w:val="none" w:sz="0" w:space="0" w:color="auto"/>
        <w:left w:val="none" w:sz="0" w:space="0" w:color="auto"/>
        <w:bottom w:val="none" w:sz="0" w:space="0" w:color="auto"/>
        <w:right w:val="none" w:sz="0" w:space="0" w:color="auto"/>
      </w:divBdr>
    </w:div>
    <w:div w:id="1345087472">
      <w:bodyDiv w:val="1"/>
      <w:marLeft w:val="0"/>
      <w:marRight w:val="0"/>
      <w:marTop w:val="0"/>
      <w:marBottom w:val="0"/>
      <w:divBdr>
        <w:top w:val="none" w:sz="0" w:space="0" w:color="auto"/>
        <w:left w:val="none" w:sz="0" w:space="0" w:color="auto"/>
        <w:bottom w:val="none" w:sz="0" w:space="0" w:color="auto"/>
        <w:right w:val="none" w:sz="0" w:space="0" w:color="auto"/>
      </w:divBdr>
    </w:div>
    <w:div w:id="1588034139">
      <w:bodyDiv w:val="1"/>
      <w:marLeft w:val="0"/>
      <w:marRight w:val="0"/>
      <w:marTop w:val="0"/>
      <w:marBottom w:val="0"/>
      <w:divBdr>
        <w:top w:val="none" w:sz="0" w:space="0" w:color="auto"/>
        <w:left w:val="none" w:sz="0" w:space="0" w:color="auto"/>
        <w:bottom w:val="none" w:sz="0" w:space="0" w:color="auto"/>
        <w:right w:val="none" w:sz="0" w:space="0" w:color="auto"/>
      </w:divBdr>
    </w:div>
    <w:div w:id="1867476354">
      <w:bodyDiv w:val="1"/>
      <w:marLeft w:val="0"/>
      <w:marRight w:val="0"/>
      <w:marTop w:val="0"/>
      <w:marBottom w:val="0"/>
      <w:divBdr>
        <w:top w:val="none" w:sz="0" w:space="0" w:color="auto"/>
        <w:left w:val="none" w:sz="0" w:space="0" w:color="auto"/>
        <w:bottom w:val="none" w:sz="0" w:space="0" w:color="auto"/>
        <w:right w:val="none" w:sz="0" w:space="0" w:color="auto"/>
      </w:divBdr>
    </w:div>
    <w:div w:id="1899197243">
      <w:bodyDiv w:val="1"/>
      <w:marLeft w:val="0"/>
      <w:marRight w:val="0"/>
      <w:marTop w:val="0"/>
      <w:marBottom w:val="0"/>
      <w:divBdr>
        <w:top w:val="none" w:sz="0" w:space="0" w:color="auto"/>
        <w:left w:val="none" w:sz="0" w:space="0" w:color="auto"/>
        <w:bottom w:val="none" w:sz="0" w:space="0" w:color="auto"/>
        <w:right w:val="none" w:sz="0" w:space="0" w:color="auto"/>
      </w:divBdr>
    </w:div>
    <w:div w:id="1905791663">
      <w:bodyDiv w:val="1"/>
      <w:marLeft w:val="0"/>
      <w:marRight w:val="0"/>
      <w:marTop w:val="0"/>
      <w:marBottom w:val="0"/>
      <w:divBdr>
        <w:top w:val="none" w:sz="0" w:space="0" w:color="auto"/>
        <w:left w:val="none" w:sz="0" w:space="0" w:color="auto"/>
        <w:bottom w:val="none" w:sz="0" w:space="0" w:color="auto"/>
        <w:right w:val="none" w:sz="0" w:space="0" w:color="auto"/>
      </w:divBdr>
    </w:div>
    <w:div w:id="208359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cid:image001.png@01CC5B5E.C6C84990" TargetMode="External"/><Relationship Id="rId26" Type="http://schemas.openxmlformats.org/officeDocument/2006/relationships/image" Target="media/image5.png"/><Relationship Id="rId39"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image" Target="media/image9.png"/><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6.png"/><Relationship Id="rId36"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image" Target="media/image7.png"/><Relationship Id="rId35" Type="http://schemas.openxmlformats.org/officeDocument/2006/relationships/header" Target="header10.xml"/><Relationship Id="rId43"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530061C7CC4BA6A3E64CD270B9A130"/>
        <w:category>
          <w:name w:val="General"/>
          <w:gallery w:val="placeholder"/>
        </w:category>
        <w:types>
          <w:type w:val="bbPlcHdr"/>
        </w:types>
        <w:behaviors>
          <w:behavior w:val="content"/>
        </w:behaviors>
        <w:guid w:val="{A5EEE46F-E74D-4F94-8A3D-7B8930884830}"/>
      </w:docPartPr>
      <w:docPartBody>
        <w:p w14:paraId="03FC4D7C" w14:textId="3F21DABC" w:rsidR="00D21FCA" w:rsidRDefault="00D21FCA">
          <w:r w:rsidRPr="0035733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CA"/>
    <w:rsid w:val="00110BC4"/>
    <w:rsid w:val="00D21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FCA"/>
    <w:rPr>
      <w:color w:val="808080"/>
    </w:rPr>
  </w:style>
  <w:style w:type="paragraph" w:customStyle="1" w:styleId="C93B584A6222496298956B156E14D4F5">
    <w:name w:val="C93B584A6222496298956B156E14D4F5"/>
    <w:rsid w:val="00D21FCA"/>
  </w:style>
  <w:style w:type="paragraph" w:customStyle="1" w:styleId="2511E926AC654F10B6D39B4494470FD1">
    <w:name w:val="2511E926AC654F10B6D39B4494470FD1"/>
    <w:rsid w:val="00D21FCA"/>
  </w:style>
  <w:style w:type="paragraph" w:customStyle="1" w:styleId="AD7AF698AFF047EBBE2E523A31E45EAF">
    <w:name w:val="AD7AF698AFF047EBBE2E523A31E45EAF"/>
    <w:rsid w:val="00D21F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FCA"/>
    <w:rPr>
      <w:color w:val="808080"/>
    </w:rPr>
  </w:style>
  <w:style w:type="paragraph" w:customStyle="1" w:styleId="C93B584A6222496298956B156E14D4F5">
    <w:name w:val="C93B584A6222496298956B156E14D4F5"/>
    <w:rsid w:val="00D21FCA"/>
  </w:style>
  <w:style w:type="paragraph" w:customStyle="1" w:styleId="2511E926AC654F10B6D39B4494470FD1">
    <w:name w:val="2511E926AC654F10B6D39B4494470FD1"/>
    <w:rsid w:val="00D21FCA"/>
  </w:style>
  <w:style w:type="paragraph" w:customStyle="1" w:styleId="AD7AF698AFF047EBBE2E523A31E45EAF">
    <w:name w:val="AD7AF698AFF047EBBE2E523A31E45EAF"/>
    <w:rsid w:val="00D21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EWRDocument" ma:contentTypeID="0x0101009EDC4876AF524A70BD125A9D2C0D191E000479EDFA51D86F45A0C81432ABAE4A67" ma:contentTypeVersion="7" ma:contentTypeDescription="Create a new DEEWR Document." ma:contentTypeScope="" ma:versionID="eec2d510a71e78dc81457cde75347010">
  <xsd:schema xmlns:xsd="http://www.w3.org/2001/XMLSchema" xmlns:xs="http://www.w3.org/2001/XMLSchema" xmlns:p="http://schemas.microsoft.com/office/2006/metadata/properties" xmlns:ns1="http://schemas.microsoft.com/sharepoint/v3" xmlns:ns2="796b3b64-4086-4905-ae04-77fa79d1aa97" xmlns:ns3="f1dbda1a-7fbc-4c5c-b5bc-7a3a8ee7102f" targetNamespace="http://schemas.microsoft.com/office/2006/metadata/properties" ma:root="true" ma:fieldsID="dd1a62dde3c352068629128223fc8f46" ns1:_="" ns2:_="" ns3:_="">
    <xsd:import namespace="http://schemas.microsoft.com/sharepoint/v3"/>
    <xsd:import namespace="796b3b64-4086-4905-ae04-77fa79d1aa97"/>
    <xsd:import namespace="f1dbda1a-7fbc-4c5c-b5bc-7a3a8ee7102f"/>
    <xsd:element name="properties">
      <xsd:complexType>
        <xsd:sequence>
          <xsd:element name="documentManagement">
            <xsd:complexType>
              <xsd:all>
                <xsd:element ref="ns2:Board_x002f_Committee" minOccurs="0"/>
                <xsd:element ref="ns1:DEEWRCategory" minOccurs="0"/>
                <xsd:element ref="ns3:_x003e__x003e_" minOccurs="0"/>
                <xsd:element ref="ns3:Security_x0020_DLM" minOccurs="0"/>
                <xsd:element ref="ns3: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WRCategory" ma:index="3" nillable="true" ma:displayName="&gt;" ma:default="Templates" ma:format="Dropdown" ma:internalName="DEEWRCategory" ma:readOnly="false">
      <xsd:simpleType>
        <xsd:restriction base="dms:Choice">
          <xsd:enumeration value="General"/>
          <xsd:enumeration value="Factsheets"/>
          <xsd:enumeration value="Forms"/>
          <xsd:enumeration value="Guides"/>
          <xsd:enumeration value="Guidelines"/>
          <xsd:enumeration value="Info"/>
          <xsd:enumeration value="Procedures"/>
          <xsd:enumeration value="Templates"/>
          <xsd:enumeration value="Publishing"/>
          <xsd:enumeration value="Newsletter"/>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796b3b64-4086-4905-ae04-77fa79d1aa97" elementFormDefault="qualified">
    <xsd:import namespace="http://schemas.microsoft.com/office/2006/documentManagement/types"/>
    <xsd:import namespace="http://schemas.microsoft.com/office/infopath/2007/PartnerControls"/>
    <xsd:element name="Board_x002f_Committee" ma:index="2" nillable="true" ma:displayName="Board/Committee" ma:internalName="Board_x002f_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bda1a-7fbc-4c5c-b5bc-7a3a8ee7102f" elementFormDefault="qualified">
    <xsd:import namespace="http://schemas.microsoft.com/office/2006/documentManagement/types"/>
    <xsd:import namespace="http://schemas.microsoft.com/office/infopath/2007/PartnerControls"/>
    <xsd:element name="_x003e__x003e_" ma:index="4" nillable="true" ma:displayName="&gt;&gt;" ma:default="SSC" ma:format="Dropdown" ma:internalName="_x003e__x003e_">
      <xsd:simpleType>
        <xsd:restriction base="dms:Choice">
          <xsd:enumeration value="Education - Secretary"/>
          <xsd:enumeration value="Education - Letter - State Office"/>
          <xsd:enumeration value="Education - Letter - Regional Office"/>
          <xsd:enumeration value="Education - Letter - Deputy or Associate Secretary"/>
          <xsd:enumeration value="Education - Letter - Other"/>
          <xsd:enumeration value="Education - Fax"/>
          <xsd:enumeration value="Education - File Note"/>
          <xsd:enumeration value="Education - Minutes and meetings"/>
          <xsd:enumeration value="Education - Other"/>
          <xsd:enumeration value="Education - PowerPoint"/>
          <xsd:enumeration value="-----------------"/>
          <xsd:enumeration value="Employment - Secretary"/>
          <xsd:enumeration value="Employment - Letter - State Office"/>
          <xsd:enumeration value="Employment - Letter - Regional Office"/>
          <xsd:enumeration value="Employment - Letter - Deputy or Associate Secretary"/>
          <xsd:enumeration value="Employment - Letter"/>
          <xsd:enumeration value="Employment - Fax"/>
          <xsd:enumeration value="Employment - File Note"/>
          <xsd:enumeration value="Employment - Minutes and meetings"/>
          <xsd:enumeration value="Employment - Other"/>
          <xsd:enumeration value="Employment - PowerPoint"/>
          <xsd:enumeration value="Employment - Word templates"/>
          <xsd:enumeration value="General"/>
          <xsd:enumeration value="SSC"/>
        </xsd:restriction>
      </xsd:simpleType>
    </xsd:element>
    <xsd:element name="Security_x0020_DLM" ma:index="6"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enumeration value="Sensitive: Cabinet"/>
        </xsd:restriction>
      </xsd:simpleType>
    </xsd:element>
    <xsd:element name="Security_x0020_Classification" ma:index="7" nillable="true" ma:displayName="Security Classification" ma:format="Dropdown" ma:internalName="Security_x0020_Classification">
      <xsd:simpleType>
        <xsd:restriction base="dms:Choice">
          <xsd:enumeration valu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WRCategory xmlns="http://schemas.microsoft.com/sharepoint/v3">Templates</DEEWRCategory>
    <Security_x0020_DLM xmlns="f1dbda1a-7fbc-4c5c-b5bc-7a3a8ee7102f" xsi:nil="true"/>
    <_x003e__x003e_ xmlns="f1dbda1a-7fbc-4c5c-b5bc-7a3a8ee7102f">Education - Other</_x003e__x003e_>
    <Security_x0020_Classification xmlns="f1dbda1a-7fbc-4c5c-b5bc-7a3a8ee7102f" xsi:nil="true"/>
    <Board_x002f_Committee xmlns="796b3b64-4086-4905-ae04-77fa79d1aa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17302-6E03-4B74-9917-E0571A099F9E}">
  <ds:schemaRefs>
    <ds:schemaRef ds:uri="http://schemas.microsoft.com/sharepoint/v3/contenttype/forms"/>
  </ds:schemaRefs>
</ds:datastoreItem>
</file>

<file path=customXml/itemProps2.xml><?xml version="1.0" encoding="utf-8"?>
<ds:datastoreItem xmlns:ds="http://schemas.openxmlformats.org/officeDocument/2006/customXml" ds:itemID="{6B0FB423-42C7-4689-B456-9039F533B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6b3b64-4086-4905-ae04-77fa79d1aa97"/>
    <ds:schemaRef ds:uri="f1dbda1a-7fbc-4c5c-b5bc-7a3a8ee7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BBA81-5FE6-4E73-A1AE-2B6460AF8190}">
  <ds:schemaRefs>
    <ds:schemaRef ds:uri="http://purl.org/dc/terms/"/>
    <ds:schemaRef ds:uri="http://www.w3.org/XML/1998/namespace"/>
    <ds:schemaRef ds:uri="http://schemas.microsoft.com/office/2006/metadata/properties"/>
    <ds:schemaRef ds:uri="796b3b64-4086-4905-ae04-77fa79d1aa97"/>
    <ds:schemaRef ds:uri="http://schemas.microsoft.com/office/2006/documentManagement/types"/>
    <ds:schemaRef ds:uri="http://schemas.openxmlformats.org/package/2006/metadata/core-properties"/>
    <ds:schemaRef ds:uri="http://purl.org/dc/dcmitype/"/>
    <ds:schemaRef ds:uri="http://purl.org/dc/elements/1.1/"/>
    <ds:schemaRef ds:uri="http://schemas.microsoft.com/sharepoint/v3"/>
    <ds:schemaRef ds:uri="http://schemas.microsoft.com/office/infopath/2007/PartnerControls"/>
    <ds:schemaRef ds:uri="f1dbda1a-7fbc-4c5c-b5bc-7a3a8ee7102f"/>
  </ds:schemaRefs>
</ds:datastoreItem>
</file>

<file path=customXml/itemProps4.xml><?xml version="1.0" encoding="utf-8"?>
<ds:datastoreItem xmlns:ds="http://schemas.openxmlformats.org/officeDocument/2006/customXml" ds:itemID="{57A8888C-5990-4BA0-A308-417E22F4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28</Pages>
  <Words>10432</Words>
  <Characters>59467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Preparing secondary students for work</vt:lpstr>
    </vt:vector>
  </TitlesOfParts>
  <Company>Australian Government</Company>
  <LinksUpToDate>false</LinksUpToDate>
  <CharactersWithSpaces>69760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secondary students for work</dc:title>
  <dc:creator>Melissa Bareis</dc:creator>
  <cp:lastModifiedBy>David HARCOURT</cp:lastModifiedBy>
  <cp:revision>19</cp:revision>
  <cp:lastPrinted>2014-11-20T04:23:00Z</cp:lastPrinted>
  <dcterms:created xsi:type="dcterms:W3CDTF">2014-12-10T00:06:00Z</dcterms:created>
  <dcterms:modified xsi:type="dcterms:W3CDTF">2014-12-11T06:01:00Z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0x0101009EDC4876AF524A70BD125A9D2C0D191E000479EDFA51D86F45A0C81432ABAE4A67</vt:lpwstr>
  </property>
</Properties>
</file>