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DF" w:rsidRPr="00DF0ED0" w:rsidRDefault="00670BDF" w:rsidP="00A84927">
      <w:pPr>
        <w:rPr>
          <w:rFonts w:cstheme="minorHAnsi"/>
          <w:b/>
          <w:u w:val="single"/>
        </w:rPr>
      </w:pPr>
      <w:r w:rsidRPr="00DF0ED0">
        <w:rPr>
          <w:rFonts w:cstheme="minorHAnsi"/>
          <w:b/>
          <w:u w:val="single"/>
        </w:rPr>
        <w:t>T</w:t>
      </w:r>
      <w:r w:rsidR="00282EFE" w:rsidRPr="00DF0ED0">
        <w:rPr>
          <w:rFonts w:cstheme="minorHAnsi"/>
          <w:b/>
          <w:u w:val="single"/>
        </w:rPr>
        <w:t xml:space="preserve">rade Training Centres in Schools </w:t>
      </w:r>
      <w:r w:rsidR="008D38EB" w:rsidRPr="00DF0ED0">
        <w:rPr>
          <w:rFonts w:cstheme="minorHAnsi"/>
          <w:b/>
          <w:u w:val="single"/>
        </w:rPr>
        <w:t xml:space="preserve">Program </w:t>
      </w:r>
      <w:r w:rsidRPr="00DF0ED0">
        <w:rPr>
          <w:rFonts w:cstheme="minorHAnsi"/>
          <w:b/>
          <w:u w:val="single"/>
        </w:rPr>
        <w:t xml:space="preserve">Independent </w:t>
      </w:r>
      <w:r w:rsidR="00C6030E" w:rsidRPr="00DF0ED0">
        <w:rPr>
          <w:rFonts w:cstheme="minorHAnsi"/>
          <w:b/>
          <w:u w:val="single"/>
        </w:rPr>
        <w:t>R</w:t>
      </w:r>
      <w:r w:rsidR="00F70132" w:rsidRPr="00DF0ED0">
        <w:rPr>
          <w:rFonts w:cstheme="minorHAnsi"/>
          <w:b/>
          <w:u w:val="single"/>
        </w:rPr>
        <w:t>eview – Frequently</w:t>
      </w:r>
      <w:r w:rsidR="00282EFE" w:rsidRPr="00DF0ED0">
        <w:rPr>
          <w:rFonts w:cstheme="minorHAnsi"/>
          <w:b/>
          <w:u w:val="single"/>
        </w:rPr>
        <w:t xml:space="preserve"> asked Questions</w:t>
      </w:r>
      <w:r w:rsidR="007162A6" w:rsidRPr="00DF0ED0">
        <w:rPr>
          <w:rFonts w:cstheme="minorHAnsi"/>
          <w:b/>
          <w:u w:val="single"/>
        </w:rPr>
        <w:t xml:space="preserve"> </w:t>
      </w:r>
    </w:p>
    <w:p w:rsidR="00273BCD" w:rsidRPr="00DF0ED0" w:rsidRDefault="00273BCD" w:rsidP="00A84927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 w:rsidRPr="00DF0ED0">
        <w:rPr>
          <w:rFonts w:cstheme="minorHAnsi"/>
          <w:b/>
        </w:rPr>
        <w:t xml:space="preserve">Why </w:t>
      </w:r>
      <w:r w:rsidR="00134C7E">
        <w:rPr>
          <w:rFonts w:cstheme="minorHAnsi"/>
          <w:b/>
        </w:rPr>
        <w:t>did</w:t>
      </w:r>
      <w:r w:rsidR="00F80125" w:rsidRPr="00DF0ED0">
        <w:rPr>
          <w:rFonts w:cstheme="minorHAnsi"/>
          <w:b/>
        </w:rPr>
        <w:t xml:space="preserve"> the Government</w:t>
      </w:r>
      <w:r w:rsidRPr="00DF0ED0">
        <w:rPr>
          <w:rFonts w:cstheme="minorHAnsi"/>
          <w:b/>
        </w:rPr>
        <w:t xml:space="preserve"> </w:t>
      </w:r>
      <w:r w:rsidR="00134C7E">
        <w:rPr>
          <w:rFonts w:cstheme="minorHAnsi"/>
          <w:b/>
        </w:rPr>
        <w:t>conduct</w:t>
      </w:r>
      <w:r w:rsidR="00CB58C6" w:rsidRPr="00DF0ED0">
        <w:rPr>
          <w:rFonts w:cstheme="minorHAnsi"/>
          <w:b/>
        </w:rPr>
        <w:t xml:space="preserve"> an independent </w:t>
      </w:r>
      <w:r w:rsidR="007C0635" w:rsidRPr="00DF0ED0">
        <w:rPr>
          <w:rFonts w:cstheme="minorHAnsi"/>
          <w:b/>
        </w:rPr>
        <w:t>review</w:t>
      </w:r>
      <w:r w:rsidR="00CB58C6" w:rsidRPr="00DF0ED0">
        <w:rPr>
          <w:rFonts w:cstheme="minorHAnsi"/>
          <w:b/>
        </w:rPr>
        <w:t xml:space="preserve"> into the Trade Training Centres</w:t>
      </w:r>
      <w:r w:rsidR="0013596F" w:rsidRPr="00DF0ED0">
        <w:rPr>
          <w:rFonts w:cstheme="minorHAnsi"/>
          <w:b/>
        </w:rPr>
        <w:t xml:space="preserve"> (TTC</w:t>
      </w:r>
      <w:r w:rsidR="00CF5D4D" w:rsidRPr="00DF0ED0">
        <w:rPr>
          <w:rFonts w:cstheme="minorHAnsi"/>
          <w:b/>
        </w:rPr>
        <w:t>s</w:t>
      </w:r>
      <w:r w:rsidR="0013596F" w:rsidRPr="00DF0ED0">
        <w:rPr>
          <w:rFonts w:cstheme="minorHAnsi"/>
          <w:b/>
        </w:rPr>
        <w:t>)</w:t>
      </w:r>
      <w:r w:rsidR="00CB58C6" w:rsidRPr="00DF0ED0">
        <w:rPr>
          <w:rFonts w:cstheme="minorHAnsi"/>
          <w:b/>
        </w:rPr>
        <w:t xml:space="preserve"> in Schools </w:t>
      </w:r>
      <w:r w:rsidR="008D38EB" w:rsidRPr="00DF0ED0">
        <w:rPr>
          <w:rFonts w:cstheme="minorHAnsi"/>
          <w:b/>
        </w:rPr>
        <w:t xml:space="preserve">Program </w:t>
      </w:r>
      <w:r w:rsidR="00977299" w:rsidRPr="00DF0ED0">
        <w:rPr>
          <w:rFonts w:cstheme="minorHAnsi"/>
          <w:b/>
        </w:rPr>
        <w:t xml:space="preserve">(the </w:t>
      </w:r>
      <w:r w:rsidR="008D38EB" w:rsidRPr="00DF0ED0">
        <w:rPr>
          <w:rFonts w:cstheme="minorHAnsi"/>
          <w:b/>
        </w:rPr>
        <w:t>Program</w:t>
      </w:r>
      <w:r w:rsidR="00977299" w:rsidRPr="00DF0ED0">
        <w:rPr>
          <w:rFonts w:cstheme="minorHAnsi"/>
          <w:b/>
        </w:rPr>
        <w:t>)</w:t>
      </w:r>
      <w:r w:rsidRPr="00DF0ED0">
        <w:rPr>
          <w:rFonts w:cstheme="minorHAnsi"/>
          <w:b/>
        </w:rPr>
        <w:t>?</w:t>
      </w:r>
    </w:p>
    <w:p w:rsidR="009A7DE6" w:rsidRPr="00DF0ED0" w:rsidRDefault="002C7B1D" w:rsidP="009A7DE6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 xml:space="preserve">The Government </w:t>
      </w:r>
      <w:r w:rsidR="00134C7E">
        <w:rPr>
          <w:rFonts w:asciiTheme="minorHAnsi" w:hAnsiTheme="minorHAnsi" w:cstheme="minorHAnsi"/>
        </w:rPr>
        <w:t>reviewed</w:t>
      </w:r>
      <w:r w:rsidRPr="00DF0ED0">
        <w:rPr>
          <w:rFonts w:asciiTheme="minorHAnsi" w:hAnsiTheme="minorHAnsi" w:cstheme="minorHAnsi"/>
        </w:rPr>
        <w:t xml:space="preserve"> </w:t>
      </w:r>
      <w:r w:rsidR="0003782F" w:rsidRPr="00DF0ED0">
        <w:rPr>
          <w:rFonts w:asciiTheme="minorHAnsi" w:hAnsiTheme="minorHAnsi" w:cstheme="minorHAnsi"/>
        </w:rPr>
        <w:t xml:space="preserve">all </w:t>
      </w:r>
      <w:r w:rsidR="0013596F" w:rsidRPr="00DF0ED0">
        <w:rPr>
          <w:rFonts w:asciiTheme="minorHAnsi" w:hAnsiTheme="minorHAnsi" w:cstheme="minorHAnsi"/>
        </w:rPr>
        <w:t>TTCs</w:t>
      </w:r>
      <w:r w:rsidRPr="00DF0ED0">
        <w:rPr>
          <w:rFonts w:asciiTheme="minorHAnsi" w:hAnsiTheme="minorHAnsi" w:cstheme="minorHAnsi"/>
        </w:rPr>
        <w:t xml:space="preserve"> </w:t>
      </w:r>
      <w:r w:rsidR="0003782F" w:rsidRPr="00DF0ED0">
        <w:rPr>
          <w:rFonts w:asciiTheme="minorHAnsi" w:hAnsiTheme="minorHAnsi" w:cstheme="minorHAnsi"/>
        </w:rPr>
        <w:t xml:space="preserve">that were </w:t>
      </w:r>
      <w:r w:rsidR="00CB58C6" w:rsidRPr="00DF0ED0">
        <w:rPr>
          <w:rFonts w:asciiTheme="minorHAnsi" w:hAnsiTheme="minorHAnsi" w:cstheme="minorHAnsi"/>
        </w:rPr>
        <w:t>operati</w:t>
      </w:r>
      <w:r w:rsidR="0003782F" w:rsidRPr="00DF0ED0">
        <w:rPr>
          <w:rFonts w:asciiTheme="minorHAnsi" w:hAnsiTheme="minorHAnsi" w:cstheme="minorHAnsi"/>
        </w:rPr>
        <w:t>ng</w:t>
      </w:r>
      <w:r w:rsidR="00CB58C6" w:rsidRPr="00DF0ED0">
        <w:rPr>
          <w:rFonts w:asciiTheme="minorHAnsi" w:hAnsiTheme="minorHAnsi" w:cstheme="minorHAnsi"/>
        </w:rPr>
        <w:t xml:space="preserve"> </w:t>
      </w:r>
      <w:r w:rsidR="00AA05C4" w:rsidRPr="00DF0ED0">
        <w:rPr>
          <w:rFonts w:asciiTheme="minorHAnsi" w:hAnsiTheme="minorHAnsi" w:cstheme="minorHAnsi"/>
        </w:rPr>
        <w:t>in</w:t>
      </w:r>
      <w:r w:rsidR="00CB58C6" w:rsidRPr="00DF0ED0">
        <w:rPr>
          <w:rFonts w:asciiTheme="minorHAnsi" w:hAnsiTheme="minorHAnsi" w:cstheme="minorHAnsi"/>
        </w:rPr>
        <w:t xml:space="preserve"> 2012 </w:t>
      </w:r>
      <w:r w:rsidRPr="00DF0ED0">
        <w:rPr>
          <w:rFonts w:asciiTheme="minorHAnsi" w:hAnsiTheme="minorHAnsi" w:cstheme="minorHAnsi"/>
        </w:rPr>
        <w:t xml:space="preserve">to </w:t>
      </w:r>
      <w:r w:rsidR="00C23A2A" w:rsidRPr="00DF0ED0">
        <w:rPr>
          <w:rFonts w:asciiTheme="minorHAnsi" w:hAnsiTheme="minorHAnsi" w:cstheme="minorHAnsi"/>
        </w:rPr>
        <w:t>determine</w:t>
      </w:r>
      <w:r w:rsidR="0003782F" w:rsidRPr="00DF0ED0">
        <w:rPr>
          <w:rFonts w:asciiTheme="minorHAnsi" w:hAnsiTheme="minorHAnsi" w:cstheme="minorHAnsi"/>
        </w:rPr>
        <w:t xml:space="preserve"> whether</w:t>
      </w:r>
      <w:r w:rsidR="00134C7E">
        <w:rPr>
          <w:rFonts w:asciiTheme="minorHAnsi" w:hAnsiTheme="minorHAnsi" w:cstheme="minorHAnsi"/>
        </w:rPr>
        <w:t xml:space="preserve"> the training being delivered was relevant and met</w:t>
      </w:r>
      <w:r w:rsidR="0003782F" w:rsidRPr="00DF0ED0">
        <w:rPr>
          <w:rFonts w:asciiTheme="minorHAnsi" w:hAnsiTheme="minorHAnsi" w:cstheme="minorHAnsi"/>
        </w:rPr>
        <w:t xml:space="preserve"> industry, employer and student needs</w:t>
      </w:r>
      <w:r w:rsidR="009A7DE6" w:rsidRPr="00DF0ED0">
        <w:rPr>
          <w:rFonts w:asciiTheme="minorHAnsi" w:hAnsiTheme="minorHAnsi" w:cstheme="minorHAnsi"/>
        </w:rPr>
        <w:t>.</w:t>
      </w:r>
    </w:p>
    <w:p w:rsidR="009A7DE6" w:rsidRPr="00DF0ED0" w:rsidRDefault="009A7DE6" w:rsidP="009A7DE6">
      <w:pPr>
        <w:pStyle w:val="ListParagraph"/>
        <w:ind w:left="360"/>
        <w:rPr>
          <w:rFonts w:asciiTheme="minorHAnsi" w:hAnsiTheme="minorHAnsi" w:cstheme="minorHAnsi"/>
        </w:rPr>
      </w:pPr>
    </w:p>
    <w:p w:rsidR="009A7DE6" w:rsidRPr="00DF0ED0" w:rsidRDefault="009A7DE6" w:rsidP="009A7DE6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 xml:space="preserve">The </w:t>
      </w:r>
      <w:r w:rsidR="004901FB" w:rsidRPr="00DF0ED0">
        <w:rPr>
          <w:rFonts w:asciiTheme="minorHAnsi" w:hAnsiTheme="minorHAnsi" w:cstheme="minorHAnsi"/>
        </w:rPr>
        <w:t xml:space="preserve">outcomes of the </w:t>
      </w:r>
      <w:r w:rsidR="007C0635" w:rsidRPr="00DF0ED0">
        <w:rPr>
          <w:rFonts w:asciiTheme="minorHAnsi" w:hAnsiTheme="minorHAnsi" w:cstheme="minorHAnsi"/>
        </w:rPr>
        <w:t>review</w:t>
      </w:r>
      <w:r w:rsidR="00335EA0" w:rsidRPr="00DF0ED0">
        <w:rPr>
          <w:rFonts w:asciiTheme="minorHAnsi" w:hAnsiTheme="minorHAnsi" w:cstheme="minorHAnsi"/>
        </w:rPr>
        <w:t xml:space="preserve"> </w:t>
      </w:r>
      <w:r w:rsidR="00134C7E">
        <w:rPr>
          <w:rFonts w:asciiTheme="minorHAnsi" w:hAnsiTheme="minorHAnsi" w:cstheme="minorHAnsi"/>
        </w:rPr>
        <w:t>has given</w:t>
      </w:r>
      <w:r w:rsidR="00335EA0" w:rsidRPr="00DF0ED0">
        <w:rPr>
          <w:rFonts w:asciiTheme="minorHAnsi" w:hAnsiTheme="minorHAnsi" w:cstheme="minorHAnsi"/>
        </w:rPr>
        <w:t xml:space="preserve"> the G</w:t>
      </w:r>
      <w:r w:rsidRPr="00DF0ED0">
        <w:rPr>
          <w:rFonts w:asciiTheme="minorHAnsi" w:hAnsiTheme="minorHAnsi" w:cstheme="minorHAnsi"/>
        </w:rPr>
        <w:t>o</w:t>
      </w:r>
      <w:r w:rsidR="00CE181A" w:rsidRPr="00DF0ED0">
        <w:rPr>
          <w:rFonts w:asciiTheme="minorHAnsi" w:hAnsiTheme="minorHAnsi" w:cstheme="minorHAnsi"/>
        </w:rPr>
        <w:t xml:space="preserve">vernment options for improving </w:t>
      </w:r>
      <w:r w:rsidR="00134C7E">
        <w:rPr>
          <w:rFonts w:asciiTheme="minorHAnsi" w:hAnsiTheme="minorHAnsi" w:cstheme="minorHAnsi"/>
        </w:rPr>
        <w:t>vocational training and VET delivered to secondary students</w:t>
      </w:r>
      <w:r w:rsidR="00CE181A" w:rsidRPr="00DF0ED0">
        <w:rPr>
          <w:rFonts w:asciiTheme="minorHAnsi" w:hAnsiTheme="minorHAnsi" w:cstheme="minorHAnsi"/>
        </w:rPr>
        <w:t xml:space="preserve"> </w:t>
      </w:r>
      <w:r w:rsidRPr="00DF0ED0">
        <w:rPr>
          <w:rFonts w:asciiTheme="minorHAnsi" w:hAnsiTheme="minorHAnsi" w:cstheme="minorHAnsi"/>
        </w:rPr>
        <w:t xml:space="preserve">and </w:t>
      </w:r>
      <w:r w:rsidR="00134C7E">
        <w:rPr>
          <w:rFonts w:asciiTheme="minorHAnsi" w:hAnsiTheme="minorHAnsi" w:cstheme="minorHAnsi"/>
        </w:rPr>
        <w:t xml:space="preserve">has </w:t>
      </w:r>
      <w:r w:rsidRPr="00DF0ED0">
        <w:rPr>
          <w:rFonts w:asciiTheme="minorHAnsi" w:hAnsiTheme="minorHAnsi" w:cstheme="minorHAnsi"/>
        </w:rPr>
        <w:t>provide</w:t>
      </w:r>
      <w:r w:rsidR="00134C7E">
        <w:rPr>
          <w:rFonts w:asciiTheme="minorHAnsi" w:hAnsiTheme="minorHAnsi" w:cstheme="minorHAnsi"/>
        </w:rPr>
        <w:t>d</w:t>
      </w:r>
      <w:r w:rsidRPr="00DF0ED0">
        <w:rPr>
          <w:rFonts w:asciiTheme="minorHAnsi" w:hAnsiTheme="minorHAnsi" w:cstheme="minorHAnsi"/>
        </w:rPr>
        <w:t xml:space="preserve"> advice on future </w:t>
      </w:r>
      <w:r w:rsidR="00EE7E82" w:rsidRPr="00DF0ED0">
        <w:rPr>
          <w:rFonts w:asciiTheme="minorHAnsi" w:hAnsiTheme="minorHAnsi" w:cstheme="minorHAnsi"/>
        </w:rPr>
        <w:t xml:space="preserve">use </w:t>
      </w:r>
      <w:r w:rsidR="00CE3F40" w:rsidRPr="00DF0ED0">
        <w:rPr>
          <w:rFonts w:asciiTheme="minorHAnsi" w:hAnsiTheme="minorHAnsi" w:cstheme="minorHAnsi"/>
        </w:rPr>
        <w:t>of</w:t>
      </w:r>
      <w:r w:rsidRPr="00DF0ED0">
        <w:rPr>
          <w:rFonts w:asciiTheme="minorHAnsi" w:hAnsiTheme="minorHAnsi" w:cstheme="minorHAnsi"/>
        </w:rPr>
        <w:t xml:space="preserve"> the facilities</w:t>
      </w:r>
      <w:r w:rsidR="00CE3F40" w:rsidRPr="00DF0ED0">
        <w:rPr>
          <w:rFonts w:asciiTheme="minorHAnsi" w:hAnsiTheme="minorHAnsi" w:cstheme="minorHAnsi"/>
        </w:rPr>
        <w:t>, including strengthening engagement</w:t>
      </w:r>
      <w:r w:rsidR="00EE7E82" w:rsidRPr="00DF0ED0">
        <w:rPr>
          <w:rFonts w:asciiTheme="minorHAnsi" w:hAnsiTheme="minorHAnsi" w:cstheme="minorHAnsi"/>
        </w:rPr>
        <w:t xml:space="preserve"> </w:t>
      </w:r>
      <w:r w:rsidR="00CE3F40" w:rsidRPr="00DF0ED0">
        <w:rPr>
          <w:rFonts w:asciiTheme="minorHAnsi" w:hAnsiTheme="minorHAnsi" w:cstheme="minorHAnsi"/>
        </w:rPr>
        <w:t xml:space="preserve">with </w:t>
      </w:r>
      <w:r w:rsidR="00565170" w:rsidRPr="00DF0ED0">
        <w:rPr>
          <w:rFonts w:asciiTheme="minorHAnsi" w:hAnsiTheme="minorHAnsi" w:cstheme="minorHAnsi"/>
        </w:rPr>
        <w:t>industry where</w:t>
      </w:r>
      <w:r w:rsidR="00EE7E82" w:rsidRPr="00DF0ED0">
        <w:rPr>
          <w:rFonts w:asciiTheme="minorHAnsi" w:hAnsiTheme="minorHAnsi" w:cstheme="minorHAnsi"/>
        </w:rPr>
        <w:t xml:space="preserve"> appropriate</w:t>
      </w:r>
      <w:r w:rsidRPr="00DF0ED0">
        <w:rPr>
          <w:rFonts w:asciiTheme="minorHAnsi" w:hAnsiTheme="minorHAnsi" w:cstheme="minorHAnsi"/>
        </w:rPr>
        <w:t>.</w:t>
      </w:r>
    </w:p>
    <w:p w:rsidR="00133919" w:rsidRPr="00DF0ED0" w:rsidRDefault="00133919" w:rsidP="00133919">
      <w:pPr>
        <w:spacing w:after="0" w:line="240" w:lineRule="auto"/>
        <w:ind w:left="360" w:right="338"/>
        <w:rPr>
          <w:rFonts w:cstheme="minorHAnsi"/>
        </w:rPr>
      </w:pPr>
    </w:p>
    <w:p w:rsidR="00ED5EBD" w:rsidRPr="00DF0ED0" w:rsidRDefault="004B01A2" w:rsidP="00133919">
      <w:pPr>
        <w:spacing w:after="0" w:line="240" w:lineRule="auto"/>
        <w:ind w:left="360" w:right="338"/>
        <w:rPr>
          <w:rFonts w:cstheme="minorHAnsi"/>
        </w:rPr>
      </w:pPr>
      <w:r w:rsidRPr="00DF0ED0">
        <w:rPr>
          <w:rFonts w:cstheme="minorHAnsi"/>
        </w:rPr>
        <w:t xml:space="preserve">In total, </w:t>
      </w:r>
      <w:r w:rsidR="00273BCD" w:rsidRPr="00DF0ED0">
        <w:rPr>
          <w:rFonts w:cstheme="minorHAnsi"/>
        </w:rPr>
        <w:t>$1.4 billion</w:t>
      </w:r>
      <w:r w:rsidR="0003782F" w:rsidRPr="00DF0ED0">
        <w:rPr>
          <w:rFonts w:cstheme="minorHAnsi"/>
        </w:rPr>
        <w:t xml:space="preserve"> has been </w:t>
      </w:r>
      <w:r w:rsidR="003C4BA5" w:rsidRPr="00DF0ED0">
        <w:rPr>
          <w:rFonts w:cstheme="minorHAnsi"/>
        </w:rPr>
        <w:t>expended</w:t>
      </w:r>
      <w:r w:rsidR="00CE2F2D" w:rsidRPr="00DF0ED0">
        <w:rPr>
          <w:rFonts w:cstheme="minorHAnsi"/>
        </w:rPr>
        <w:t xml:space="preserve"> through</w:t>
      </w:r>
      <w:r w:rsidR="00273BCD" w:rsidRPr="00DF0ED0">
        <w:rPr>
          <w:rFonts w:cstheme="minorHAnsi"/>
        </w:rPr>
        <w:t xml:space="preserve"> the </w:t>
      </w:r>
      <w:r w:rsidR="008D38EB" w:rsidRPr="00DF0ED0">
        <w:rPr>
          <w:rFonts w:cstheme="minorHAnsi"/>
        </w:rPr>
        <w:t xml:space="preserve">Program </w:t>
      </w:r>
      <w:r w:rsidR="00273BCD" w:rsidRPr="00DF0ED0">
        <w:rPr>
          <w:rFonts w:cstheme="minorHAnsi"/>
        </w:rPr>
        <w:t>since 200</w:t>
      </w:r>
      <w:r w:rsidR="00DE25B9">
        <w:rPr>
          <w:rFonts w:cstheme="minorHAnsi"/>
        </w:rPr>
        <w:t>9</w:t>
      </w:r>
      <w:r w:rsidR="0003782F" w:rsidRPr="00DF0ED0">
        <w:rPr>
          <w:rFonts w:cstheme="minorHAnsi"/>
        </w:rPr>
        <w:t xml:space="preserve">. </w:t>
      </w:r>
      <w:r w:rsidR="00A11ADB" w:rsidRPr="00DF0ED0">
        <w:rPr>
          <w:rFonts w:cstheme="minorHAnsi"/>
        </w:rPr>
        <w:t>As funding rounds have now ceased, t</w:t>
      </w:r>
      <w:r w:rsidR="0003782F" w:rsidRPr="00DF0ED0">
        <w:rPr>
          <w:rFonts w:cstheme="minorHAnsi"/>
        </w:rPr>
        <w:t>he Gover</w:t>
      </w:r>
      <w:r w:rsidR="00C23A2A" w:rsidRPr="00DF0ED0">
        <w:rPr>
          <w:rFonts w:cstheme="minorHAnsi"/>
        </w:rPr>
        <w:t>nment needs to ensure the return from this</w:t>
      </w:r>
      <w:r w:rsidR="0003782F" w:rsidRPr="00DF0ED0">
        <w:rPr>
          <w:rFonts w:cstheme="minorHAnsi"/>
        </w:rPr>
        <w:t xml:space="preserve"> </w:t>
      </w:r>
      <w:r w:rsidR="008D38EB" w:rsidRPr="00DF0ED0">
        <w:rPr>
          <w:rFonts w:cstheme="minorHAnsi"/>
        </w:rPr>
        <w:t xml:space="preserve">expenditure </w:t>
      </w:r>
      <w:r w:rsidR="00273BCD" w:rsidRPr="00DF0ED0">
        <w:rPr>
          <w:rFonts w:cstheme="minorHAnsi"/>
        </w:rPr>
        <w:t>is maximised</w:t>
      </w:r>
      <w:r w:rsidR="0003782F" w:rsidRPr="00DF0ED0">
        <w:rPr>
          <w:rFonts w:cstheme="minorHAnsi"/>
        </w:rPr>
        <w:t>.</w:t>
      </w:r>
      <w:r w:rsidRPr="00DF0ED0">
        <w:rPr>
          <w:rFonts w:cstheme="minorHAnsi"/>
        </w:rPr>
        <w:t xml:space="preserve"> </w:t>
      </w:r>
    </w:p>
    <w:p w:rsidR="00EE7E82" w:rsidRPr="00DF0ED0" w:rsidRDefault="00EE7E82" w:rsidP="00133919">
      <w:pPr>
        <w:spacing w:after="0" w:line="240" w:lineRule="auto"/>
        <w:ind w:left="360" w:right="338"/>
        <w:rPr>
          <w:rFonts w:cstheme="minorHAnsi"/>
        </w:rPr>
      </w:pPr>
    </w:p>
    <w:p w:rsidR="00EE7E82" w:rsidRPr="00DF0ED0" w:rsidRDefault="00EE7E82" w:rsidP="00EE7E82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 w:rsidRPr="00DF0ED0">
        <w:rPr>
          <w:rFonts w:cstheme="minorHAnsi"/>
          <w:b/>
        </w:rPr>
        <w:t xml:space="preserve">What </w:t>
      </w:r>
      <w:r w:rsidR="00134C7E">
        <w:rPr>
          <w:rFonts w:cstheme="minorHAnsi"/>
          <w:b/>
        </w:rPr>
        <w:t>did</w:t>
      </w:r>
      <w:r w:rsidRPr="00DF0ED0">
        <w:rPr>
          <w:rFonts w:cstheme="minorHAnsi"/>
          <w:b/>
        </w:rPr>
        <w:t xml:space="preserve"> the independent review into the TTC </w:t>
      </w:r>
      <w:r w:rsidR="008D38EB" w:rsidRPr="00DF0ED0">
        <w:rPr>
          <w:rFonts w:cstheme="minorHAnsi"/>
          <w:b/>
        </w:rPr>
        <w:t xml:space="preserve">Program </w:t>
      </w:r>
      <w:r w:rsidRPr="00DF0ED0">
        <w:rPr>
          <w:rFonts w:cstheme="minorHAnsi"/>
          <w:b/>
        </w:rPr>
        <w:t>assess?</w:t>
      </w:r>
    </w:p>
    <w:p w:rsidR="00EE7E82" w:rsidRPr="00DF0ED0" w:rsidRDefault="00EE7E82" w:rsidP="00EE7E82">
      <w:pPr>
        <w:spacing w:after="0" w:line="240" w:lineRule="auto"/>
        <w:ind w:left="360" w:right="338"/>
        <w:rPr>
          <w:rFonts w:cstheme="minorHAnsi"/>
        </w:rPr>
      </w:pPr>
      <w:r w:rsidRPr="00DF0ED0">
        <w:rPr>
          <w:rFonts w:cstheme="minorHAnsi"/>
        </w:rPr>
        <w:t xml:space="preserve">The review of operational TTCs </w:t>
      </w:r>
      <w:r w:rsidR="00134C7E">
        <w:rPr>
          <w:rFonts w:cstheme="minorHAnsi"/>
        </w:rPr>
        <w:t>assessed</w:t>
      </w:r>
      <w:r w:rsidRPr="00DF0ED0">
        <w:rPr>
          <w:rFonts w:cstheme="minorHAnsi"/>
        </w:rPr>
        <w:t>:</w:t>
      </w:r>
    </w:p>
    <w:p w:rsidR="00EE7E82" w:rsidRPr="00DF0ED0" w:rsidRDefault="00EE7E82" w:rsidP="00EE7E82">
      <w:pPr>
        <w:pStyle w:val="NormalWeb"/>
        <w:numPr>
          <w:ilvl w:val="0"/>
          <w:numId w:val="2"/>
        </w:numPr>
        <w:shd w:val="clear" w:color="auto" w:fill="FFFFFF"/>
        <w:spacing w:after="0" w:line="240" w:lineRule="auto"/>
        <w:ind w:left="927" w:hanging="567"/>
        <w:rPr>
          <w:rFonts w:asciiTheme="minorHAnsi" w:hAnsiTheme="minorHAnsi" w:cstheme="minorHAnsi"/>
          <w:sz w:val="22"/>
          <w:szCs w:val="22"/>
        </w:rPr>
      </w:pPr>
      <w:r w:rsidRPr="00DF0ED0">
        <w:rPr>
          <w:rFonts w:asciiTheme="minorHAnsi" w:hAnsiTheme="minorHAnsi" w:cstheme="minorHAnsi"/>
          <w:sz w:val="22"/>
          <w:szCs w:val="22"/>
        </w:rPr>
        <w:t>effective use of the TTC</w:t>
      </w:r>
    </w:p>
    <w:p w:rsidR="00EE7E82" w:rsidRPr="00DF0ED0" w:rsidRDefault="00EE7E82" w:rsidP="00EE7E82">
      <w:pPr>
        <w:pStyle w:val="NormalWeb"/>
        <w:numPr>
          <w:ilvl w:val="0"/>
          <w:numId w:val="2"/>
        </w:numPr>
        <w:shd w:val="clear" w:color="auto" w:fill="FFFFFF"/>
        <w:spacing w:after="0" w:line="240" w:lineRule="auto"/>
        <w:ind w:left="927" w:hanging="567"/>
        <w:rPr>
          <w:rFonts w:asciiTheme="minorHAnsi" w:hAnsiTheme="minorHAnsi" w:cstheme="minorHAnsi"/>
          <w:sz w:val="22"/>
          <w:szCs w:val="22"/>
        </w:rPr>
      </w:pPr>
      <w:r w:rsidRPr="00DF0ED0">
        <w:rPr>
          <w:rFonts w:asciiTheme="minorHAnsi" w:hAnsiTheme="minorHAnsi" w:cstheme="minorHAnsi"/>
          <w:sz w:val="22"/>
          <w:szCs w:val="22"/>
        </w:rPr>
        <w:t>training provided, particularly in terms of industry and employer engagement</w:t>
      </w:r>
    </w:p>
    <w:p w:rsidR="00EE7E82" w:rsidRPr="00DF0ED0" w:rsidRDefault="00EE7E82" w:rsidP="00EE7E82">
      <w:pPr>
        <w:pStyle w:val="NormalWeb"/>
        <w:numPr>
          <w:ilvl w:val="0"/>
          <w:numId w:val="2"/>
        </w:numPr>
        <w:shd w:val="clear" w:color="auto" w:fill="FFFFFF"/>
        <w:spacing w:after="0" w:line="240" w:lineRule="auto"/>
        <w:ind w:left="927" w:hanging="567"/>
        <w:rPr>
          <w:rFonts w:asciiTheme="minorHAnsi" w:hAnsiTheme="minorHAnsi" w:cstheme="minorHAnsi"/>
          <w:sz w:val="22"/>
          <w:szCs w:val="22"/>
        </w:rPr>
      </w:pPr>
      <w:r w:rsidRPr="00DF0ED0">
        <w:rPr>
          <w:rFonts w:asciiTheme="minorHAnsi" w:hAnsiTheme="minorHAnsi" w:cstheme="minorHAnsi"/>
          <w:sz w:val="22"/>
          <w:szCs w:val="22"/>
        </w:rPr>
        <w:t>whether training outcomes are meeting industry and employer needs.</w:t>
      </w:r>
    </w:p>
    <w:p w:rsidR="00EE7E82" w:rsidRPr="00DF0ED0" w:rsidRDefault="00EE7E82" w:rsidP="00EE7E82">
      <w:pPr>
        <w:pStyle w:val="NormalWeb"/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EE7E82" w:rsidRPr="00DF0ED0" w:rsidRDefault="00EE7E82" w:rsidP="00EE7E82">
      <w:pPr>
        <w:spacing w:after="0" w:line="240" w:lineRule="auto"/>
        <w:ind w:left="360" w:right="338"/>
        <w:rPr>
          <w:rFonts w:cstheme="minorHAnsi"/>
        </w:rPr>
      </w:pPr>
      <w:r w:rsidRPr="00DF0ED0">
        <w:rPr>
          <w:rFonts w:cstheme="minorHAnsi"/>
        </w:rPr>
        <w:t xml:space="preserve">The review </w:t>
      </w:r>
      <w:r w:rsidR="00134C7E">
        <w:rPr>
          <w:rFonts w:cstheme="minorHAnsi"/>
        </w:rPr>
        <w:t>also</w:t>
      </w:r>
      <w:r w:rsidRPr="00DF0ED0">
        <w:rPr>
          <w:rFonts w:cstheme="minorHAnsi"/>
        </w:rPr>
        <w:t xml:space="preserve"> examine</w:t>
      </w:r>
      <w:r w:rsidR="00134C7E">
        <w:rPr>
          <w:rFonts w:cstheme="minorHAnsi"/>
        </w:rPr>
        <w:t>d</w:t>
      </w:r>
      <w:r w:rsidRPr="00DF0ED0">
        <w:rPr>
          <w:rFonts w:cstheme="minorHAnsi"/>
        </w:rPr>
        <w:t xml:space="preserve"> </w:t>
      </w:r>
      <w:r w:rsidR="00134C7E">
        <w:rPr>
          <w:rFonts w:cstheme="minorHAnsi"/>
        </w:rPr>
        <w:t xml:space="preserve">whether </w:t>
      </w:r>
      <w:r w:rsidRPr="00DF0ED0">
        <w:rPr>
          <w:rFonts w:cstheme="minorHAnsi"/>
        </w:rPr>
        <w:t xml:space="preserve">the </w:t>
      </w:r>
      <w:r w:rsidR="008D38EB" w:rsidRPr="00DF0ED0">
        <w:rPr>
          <w:rFonts w:cstheme="minorHAnsi"/>
        </w:rPr>
        <w:t xml:space="preserve">Program </w:t>
      </w:r>
      <w:r w:rsidRPr="00DF0ED0">
        <w:rPr>
          <w:rFonts w:cstheme="minorHAnsi"/>
        </w:rPr>
        <w:t>is meeting its aim of addressing national skills shortages in traditional trades</w:t>
      </w:r>
      <w:r w:rsidR="00D32654" w:rsidRPr="00DF0ED0">
        <w:rPr>
          <w:rFonts w:cstheme="minorHAnsi"/>
        </w:rPr>
        <w:t>,</w:t>
      </w:r>
      <w:r w:rsidRPr="00DF0ED0">
        <w:rPr>
          <w:rFonts w:cstheme="minorHAnsi"/>
        </w:rPr>
        <w:t xml:space="preserve"> </w:t>
      </w:r>
      <w:r w:rsidR="0006551B" w:rsidRPr="00DF0ED0">
        <w:rPr>
          <w:rFonts w:cstheme="minorHAnsi"/>
        </w:rPr>
        <w:t xml:space="preserve">emerging industries </w:t>
      </w:r>
      <w:r w:rsidRPr="00DF0ED0">
        <w:rPr>
          <w:rFonts w:cstheme="minorHAnsi"/>
        </w:rPr>
        <w:t>and eligible qualifications.</w:t>
      </w:r>
      <w:r w:rsidR="00CE2F2D" w:rsidRPr="00DF0ED0">
        <w:rPr>
          <w:rFonts w:cstheme="minorHAnsi"/>
        </w:rPr>
        <w:t xml:space="preserve"> </w:t>
      </w:r>
      <w:r w:rsidRPr="00DF0ED0">
        <w:rPr>
          <w:rFonts w:cstheme="minorHAnsi"/>
        </w:rPr>
        <w:t>It also explore</w:t>
      </w:r>
      <w:r w:rsidR="00134C7E">
        <w:rPr>
          <w:rFonts w:cstheme="minorHAnsi"/>
        </w:rPr>
        <w:t>d</w:t>
      </w:r>
      <w:r w:rsidRPr="00DF0ED0">
        <w:rPr>
          <w:rFonts w:cstheme="minorHAnsi"/>
        </w:rPr>
        <w:t xml:space="preserve"> the effectiveness of links between TTCs and local business, industry and communities.</w:t>
      </w:r>
    </w:p>
    <w:p w:rsidR="00EE7E82" w:rsidRPr="00DF0ED0" w:rsidRDefault="00EE7E82" w:rsidP="00133919">
      <w:pPr>
        <w:spacing w:after="0" w:line="240" w:lineRule="auto"/>
        <w:ind w:left="360" w:right="338"/>
        <w:rPr>
          <w:rFonts w:cstheme="minorHAnsi"/>
        </w:rPr>
      </w:pPr>
    </w:p>
    <w:p w:rsidR="00977299" w:rsidRPr="00DF0ED0" w:rsidRDefault="004901FB" w:rsidP="00977299">
      <w:pPr>
        <w:pStyle w:val="ListParagraph"/>
        <w:numPr>
          <w:ilvl w:val="0"/>
          <w:numId w:val="5"/>
        </w:numPr>
        <w:ind w:left="426" w:hanging="426"/>
        <w:rPr>
          <w:rFonts w:cstheme="minorHAnsi"/>
          <w:b/>
        </w:rPr>
      </w:pPr>
      <w:r w:rsidRPr="00DF0ED0">
        <w:rPr>
          <w:rFonts w:cstheme="minorHAnsi"/>
          <w:b/>
        </w:rPr>
        <w:t xml:space="preserve">Does the independent review into the TTC </w:t>
      </w:r>
      <w:r w:rsidR="008D38EB" w:rsidRPr="00DF0ED0">
        <w:rPr>
          <w:rFonts w:cstheme="minorHAnsi"/>
          <w:b/>
        </w:rPr>
        <w:t xml:space="preserve">Program </w:t>
      </w:r>
      <w:r w:rsidRPr="00DF0ED0">
        <w:rPr>
          <w:rFonts w:cstheme="minorHAnsi"/>
          <w:b/>
        </w:rPr>
        <w:t>mean my TTC is at risk of being closed?</w:t>
      </w:r>
      <w:r w:rsidR="00CE2F2D" w:rsidRPr="00DF0ED0">
        <w:rPr>
          <w:rFonts w:cstheme="minorHAnsi"/>
          <w:b/>
        </w:rPr>
        <w:t xml:space="preserve"> </w:t>
      </w:r>
      <w:r w:rsidR="00977299" w:rsidRPr="00DF0ED0">
        <w:rPr>
          <w:rFonts w:cstheme="minorHAnsi"/>
          <w:b/>
        </w:rPr>
        <w:br/>
      </w:r>
      <w:r w:rsidR="0054460A">
        <w:rPr>
          <w:rFonts w:asciiTheme="minorHAnsi" w:hAnsiTheme="minorHAnsi" w:cstheme="minorHAnsi"/>
        </w:rPr>
        <w:t>No</w:t>
      </w:r>
      <w:r w:rsidR="008D38EB" w:rsidRPr="00DF0ED0">
        <w:rPr>
          <w:rFonts w:asciiTheme="minorHAnsi" w:hAnsiTheme="minorHAnsi" w:cstheme="minorHAnsi"/>
        </w:rPr>
        <w:t xml:space="preserve">. </w:t>
      </w:r>
      <w:r w:rsidR="00977299" w:rsidRPr="00DF0ED0">
        <w:rPr>
          <w:rFonts w:asciiTheme="minorHAnsi" w:hAnsiTheme="minorHAnsi" w:cstheme="minorHAnsi"/>
        </w:rPr>
        <w:t>All approved TTCs and Trades Skills Centres will continue to operate in accordance with their Funding Agreements, noting that all facilities have a designated use period of 20 years.</w:t>
      </w:r>
    </w:p>
    <w:p w:rsidR="00977299" w:rsidRPr="004B56F9" w:rsidRDefault="00977299" w:rsidP="00977299">
      <w:pPr>
        <w:pStyle w:val="ListParagraph"/>
        <w:ind w:left="360"/>
        <w:rPr>
          <w:rFonts w:cstheme="minorHAnsi"/>
          <w:b/>
        </w:rPr>
      </w:pPr>
    </w:p>
    <w:p w:rsidR="00F04DB7" w:rsidRPr="00DF0ED0" w:rsidRDefault="004901FB" w:rsidP="00F04DB7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 w:rsidRPr="00DF0ED0">
        <w:rPr>
          <w:rFonts w:cstheme="minorHAnsi"/>
          <w:b/>
        </w:rPr>
        <w:t>What d</w:t>
      </w:r>
      <w:r w:rsidR="00134C7E">
        <w:rPr>
          <w:rFonts w:cstheme="minorHAnsi"/>
          <w:b/>
        </w:rPr>
        <w:t xml:space="preserve">id TTCs need to do </w:t>
      </w:r>
      <w:r w:rsidRPr="00DF0ED0">
        <w:rPr>
          <w:rFonts w:cstheme="minorHAnsi"/>
          <w:b/>
        </w:rPr>
        <w:t>for this review?</w:t>
      </w:r>
      <w:r w:rsidR="00CE2F2D" w:rsidRPr="00DF0ED0">
        <w:rPr>
          <w:rFonts w:cstheme="minorHAnsi"/>
          <w:b/>
        </w:rPr>
        <w:t xml:space="preserve"> </w:t>
      </w:r>
      <w:r w:rsidR="00134C7E">
        <w:rPr>
          <w:rFonts w:cstheme="minorHAnsi"/>
          <w:b/>
        </w:rPr>
        <w:t>Did</w:t>
      </w:r>
      <w:r w:rsidR="00F04DB7" w:rsidRPr="00DF0ED0">
        <w:rPr>
          <w:rFonts w:cstheme="minorHAnsi"/>
          <w:b/>
        </w:rPr>
        <w:t xml:space="preserve"> this r</w:t>
      </w:r>
      <w:r w:rsidR="00134C7E">
        <w:rPr>
          <w:rFonts w:cstheme="minorHAnsi"/>
          <w:b/>
        </w:rPr>
        <w:t xml:space="preserve">eview mean more red tape for </w:t>
      </w:r>
      <w:r w:rsidR="00F04DB7" w:rsidRPr="00DF0ED0">
        <w:rPr>
          <w:rFonts w:cstheme="minorHAnsi"/>
          <w:b/>
        </w:rPr>
        <w:t>school</w:t>
      </w:r>
      <w:r w:rsidR="00134C7E">
        <w:rPr>
          <w:rFonts w:cstheme="minorHAnsi"/>
          <w:b/>
        </w:rPr>
        <w:t>s</w:t>
      </w:r>
      <w:r w:rsidR="00F04DB7" w:rsidRPr="00DF0ED0">
        <w:rPr>
          <w:rFonts w:cstheme="minorHAnsi"/>
          <w:b/>
        </w:rPr>
        <w:t>?</w:t>
      </w:r>
    </w:p>
    <w:p w:rsidR="00F04DB7" w:rsidRPr="00DF0ED0" w:rsidRDefault="00F04DB7" w:rsidP="004901FB">
      <w:pPr>
        <w:pStyle w:val="ListParagraph"/>
        <w:ind w:left="426"/>
        <w:rPr>
          <w:rFonts w:cstheme="minorHAnsi"/>
        </w:rPr>
      </w:pPr>
      <w:r w:rsidRPr="00DF0ED0">
        <w:rPr>
          <w:rFonts w:cstheme="minorHAnsi"/>
        </w:rPr>
        <w:t>The Australian Government is committed to reducing the administrative burden on schools. As such, t</w:t>
      </w:r>
      <w:r w:rsidR="004901FB" w:rsidRPr="00DF0ED0">
        <w:rPr>
          <w:rFonts w:asciiTheme="minorHAnsi" w:hAnsiTheme="minorHAnsi" w:cstheme="minorHAnsi"/>
        </w:rPr>
        <w:t xml:space="preserve">he majority of work related to the review </w:t>
      </w:r>
      <w:r w:rsidR="00134C7E">
        <w:rPr>
          <w:rFonts w:asciiTheme="minorHAnsi" w:hAnsiTheme="minorHAnsi" w:cstheme="minorHAnsi"/>
        </w:rPr>
        <w:t>was</w:t>
      </w:r>
      <w:r w:rsidR="004901FB" w:rsidRPr="00DF0ED0">
        <w:rPr>
          <w:rFonts w:asciiTheme="minorHAnsi" w:hAnsiTheme="minorHAnsi" w:cstheme="minorHAnsi"/>
        </w:rPr>
        <w:t xml:space="preserve"> conducted using existing departmental records</w:t>
      </w:r>
      <w:r w:rsidR="001926B2" w:rsidRPr="00DF0ED0">
        <w:rPr>
          <w:rFonts w:asciiTheme="minorHAnsi" w:hAnsiTheme="minorHAnsi" w:cstheme="minorHAnsi"/>
        </w:rPr>
        <w:t xml:space="preserve"> </w:t>
      </w:r>
      <w:r w:rsidR="009416F0" w:rsidRPr="00DF0ED0">
        <w:rPr>
          <w:rFonts w:asciiTheme="minorHAnsi" w:hAnsiTheme="minorHAnsi" w:cstheme="minorHAnsi"/>
        </w:rPr>
        <w:t xml:space="preserve">including </w:t>
      </w:r>
      <w:r w:rsidR="0054460A">
        <w:rPr>
          <w:rFonts w:asciiTheme="minorHAnsi" w:hAnsiTheme="minorHAnsi" w:cstheme="minorHAnsi"/>
        </w:rPr>
        <w:t xml:space="preserve">activity reports, </w:t>
      </w:r>
      <w:r w:rsidR="008D38EB" w:rsidRPr="00DF0ED0">
        <w:rPr>
          <w:rFonts w:asciiTheme="minorHAnsi" w:hAnsiTheme="minorHAnsi" w:cstheme="minorHAnsi"/>
        </w:rPr>
        <w:t xml:space="preserve">Program </w:t>
      </w:r>
      <w:r w:rsidR="00414AF0" w:rsidRPr="00DF0ED0">
        <w:rPr>
          <w:rFonts w:asciiTheme="minorHAnsi" w:hAnsiTheme="minorHAnsi" w:cstheme="minorHAnsi"/>
        </w:rPr>
        <w:t xml:space="preserve">guidelines, </w:t>
      </w:r>
      <w:r w:rsidR="00FF694D" w:rsidRPr="00DF0ED0">
        <w:rPr>
          <w:rFonts w:asciiTheme="minorHAnsi" w:hAnsiTheme="minorHAnsi" w:cstheme="minorHAnsi"/>
        </w:rPr>
        <w:t xml:space="preserve">funding proposals, </w:t>
      </w:r>
      <w:r w:rsidR="009416F0" w:rsidRPr="00DF0ED0">
        <w:rPr>
          <w:rFonts w:asciiTheme="minorHAnsi" w:hAnsiTheme="minorHAnsi" w:cstheme="minorHAnsi"/>
        </w:rPr>
        <w:t>funding agreements</w:t>
      </w:r>
      <w:r w:rsidR="00FF694D" w:rsidRPr="00DF0ED0">
        <w:rPr>
          <w:rFonts w:asciiTheme="minorHAnsi" w:hAnsiTheme="minorHAnsi" w:cstheme="minorHAnsi"/>
        </w:rPr>
        <w:t xml:space="preserve"> </w:t>
      </w:r>
      <w:r w:rsidR="00414AF0" w:rsidRPr="00DF0ED0">
        <w:rPr>
          <w:rFonts w:asciiTheme="minorHAnsi" w:hAnsiTheme="minorHAnsi" w:cstheme="minorHAnsi"/>
        </w:rPr>
        <w:t xml:space="preserve">and </w:t>
      </w:r>
      <w:r w:rsidR="0054460A">
        <w:rPr>
          <w:rFonts w:asciiTheme="minorHAnsi" w:hAnsiTheme="minorHAnsi" w:cstheme="minorHAnsi"/>
        </w:rPr>
        <w:t xml:space="preserve">other </w:t>
      </w:r>
      <w:r w:rsidR="009416F0" w:rsidRPr="00DF0ED0">
        <w:rPr>
          <w:rFonts w:asciiTheme="minorHAnsi" w:hAnsiTheme="minorHAnsi" w:cstheme="minorHAnsi"/>
        </w:rPr>
        <w:t>reports.</w:t>
      </w:r>
      <w:r w:rsidR="004901FB" w:rsidRPr="00DF0ED0">
        <w:rPr>
          <w:rFonts w:asciiTheme="minorHAnsi" w:hAnsiTheme="minorHAnsi" w:cstheme="minorHAnsi"/>
        </w:rPr>
        <w:t xml:space="preserve"> </w:t>
      </w:r>
      <w:r w:rsidRPr="00DF0ED0">
        <w:rPr>
          <w:rFonts w:cstheme="minorHAnsi"/>
        </w:rPr>
        <w:t xml:space="preserve">Some TTCs </w:t>
      </w:r>
      <w:r w:rsidR="00134C7E">
        <w:rPr>
          <w:rFonts w:cstheme="minorHAnsi"/>
        </w:rPr>
        <w:t>were</w:t>
      </w:r>
      <w:r w:rsidRPr="00DF0ED0">
        <w:rPr>
          <w:rFonts w:cstheme="minorHAnsi"/>
        </w:rPr>
        <w:t xml:space="preserve"> contacted </w:t>
      </w:r>
      <w:r w:rsidR="00EE7E82" w:rsidRPr="00DF0ED0">
        <w:rPr>
          <w:rFonts w:cstheme="minorHAnsi"/>
        </w:rPr>
        <w:t>as</w:t>
      </w:r>
      <w:r w:rsidRPr="00DF0ED0">
        <w:rPr>
          <w:rFonts w:cstheme="minorHAnsi"/>
        </w:rPr>
        <w:t xml:space="preserve"> part of the review.</w:t>
      </w:r>
      <w:r w:rsidR="00CE2F2D" w:rsidRPr="00DF0ED0">
        <w:rPr>
          <w:rFonts w:cstheme="minorHAnsi"/>
        </w:rPr>
        <w:t xml:space="preserve"> </w:t>
      </w:r>
    </w:p>
    <w:p w:rsidR="001926B2" w:rsidRPr="00DF0ED0" w:rsidRDefault="001926B2" w:rsidP="004901FB">
      <w:pPr>
        <w:pStyle w:val="ListParagraph"/>
        <w:ind w:left="426"/>
        <w:rPr>
          <w:rFonts w:cstheme="minorHAnsi"/>
        </w:rPr>
      </w:pPr>
    </w:p>
    <w:p w:rsidR="001926B2" w:rsidRPr="007406B9" w:rsidRDefault="008F7D17" w:rsidP="004901FB">
      <w:pPr>
        <w:pStyle w:val="ListParagraph"/>
        <w:ind w:left="426"/>
        <w:rPr>
          <w:rFonts w:cstheme="minorHAnsi"/>
        </w:rPr>
      </w:pPr>
      <w:r w:rsidRPr="007406B9">
        <w:rPr>
          <w:rFonts w:cstheme="minorHAnsi"/>
        </w:rPr>
        <w:t xml:space="preserve">From 11 July to 15 August 2014, </w:t>
      </w:r>
      <w:r w:rsidR="002D609D">
        <w:rPr>
          <w:rFonts w:cstheme="minorHAnsi"/>
        </w:rPr>
        <w:t>VETiS staff associated with the Program</w:t>
      </w:r>
      <w:r w:rsidR="009416F0" w:rsidRPr="007406B9">
        <w:rPr>
          <w:rFonts w:cstheme="minorHAnsi"/>
        </w:rPr>
        <w:t xml:space="preserve"> </w:t>
      </w:r>
      <w:r w:rsidRPr="007406B9">
        <w:rPr>
          <w:rFonts w:cstheme="minorHAnsi"/>
        </w:rPr>
        <w:t>were</w:t>
      </w:r>
      <w:r w:rsidR="009416F0" w:rsidRPr="007406B9">
        <w:rPr>
          <w:rFonts w:cstheme="minorHAnsi"/>
        </w:rPr>
        <w:t xml:space="preserve"> invited to provide feedback to inform the review. P</w:t>
      </w:r>
      <w:r w:rsidRPr="007406B9">
        <w:rPr>
          <w:rFonts w:cstheme="minorHAnsi"/>
        </w:rPr>
        <w:t>articipation wa</w:t>
      </w:r>
      <w:r w:rsidR="009815B9" w:rsidRPr="007406B9">
        <w:rPr>
          <w:rFonts w:cstheme="minorHAnsi"/>
        </w:rPr>
        <w:t xml:space="preserve">s voluntary and responses </w:t>
      </w:r>
      <w:r w:rsidRPr="007406B9">
        <w:rPr>
          <w:rFonts w:cstheme="minorHAnsi"/>
        </w:rPr>
        <w:t>were</w:t>
      </w:r>
      <w:r w:rsidR="009815B9" w:rsidRPr="007406B9">
        <w:rPr>
          <w:rFonts w:cstheme="minorHAnsi"/>
        </w:rPr>
        <w:t xml:space="preserve"> confidential. </w:t>
      </w:r>
    </w:p>
    <w:p w:rsidR="00F04DB7" w:rsidRPr="00DF0ED0" w:rsidRDefault="00F04DB7" w:rsidP="004901FB">
      <w:pPr>
        <w:pStyle w:val="ListParagraph"/>
        <w:ind w:left="426"/>
        <w:rPr>
          <w:rFonts w:cstheme="minorHAnsi"/>
        </w:rPr>
      </w:pPr>
    </w:p>
    <w:p w:rsidR="009416F0" w:rsidRPr="00DF0ED0" w:rsidRDefault="004901FB" w:rsidP="008D38EB">
      <w:pPr>
        <w:pStyle w:val="ListParagraph"/>
        <w:ind w:left="426"/>
        <w:rPr>
          <w:rFonts w:cstheme="minorHAnsi"/>
          <w:b/>
        </w:rPr>
      </w:pPr>
      <w:r w:rsidRPr="00DF0ED0">
        <w:rPr>
          <w:rFonts w:asciiTheme="minorHAnsi" w:hAnsiTheme="minorHAnsi" w:cstheme="minorHAnsi"/>
        </w:rPr>
        <w:t xml:space="preserve">The independent reviewer </w:t>
      </w:r>
      <w:r w:rsidR="00134C7E">
        <w:rPr>
          <w:rFonts w:asciiTheme="minorHAnsi" w:hAnsiTheme="minorHAnsi" w:cstheme="minorHAnsi"/>
        </w:rPr>
        <w:t>undertook</w:t>
      </w:r>
      <w:r w:rsidRPr="00DF0ED0">
        <w:rPr>
          <w:rFonts w:asciiTheme="minorHAnsi" w:hAnsiTheme="minorHAnsi" w:cstheme="minorHAnsi"/>
        </w:rPr>
        <w:t xml:space="preserve"> some site visits to operational TTC facilities to help establish models of best practice and to understand the practicality of providing training on the ground.</w:t>
      </w:r>
      <w:r w:rsidR="00CE2F2D" w:rsidRPr="00DF0ED0">
        <w:rPr>
          <w:rFonts w:asciiTheme="minorHAnsi" w:hAnsiTheme="minorHAnsi" w:cstheme="minorHAnsi"/>
        </w:rPr>
        <w:t xml:space="preserve"> </w:t>
      </w:r>
      <w:r w:rsidRPr="00DF0ED0">
        <w:rPr>
          <w:rFonts w:cstheme="minorHAnsi"/>
        </w:rPr>
        <w:t xml:space="preserve">TTC site visits </w:t>
      </w:r>
      <w:r w:rsidR="00134C7E">
        <w:rPr>
          <w:rFonts w:cstheme="minorHAnsi"/>
        </w:rPr>
        <w:t>were</w:t>
      </w:r>
      <w:r w:rsidRPr="00DF0ED0">
        <w:rPr>
          <w:rFonts w:cstheme="minorHAnsi"/>
        </w:rPr>
        <w:t xml:space="preserve"> coordinated in advance through the schools’ relevant state or territory education authority.</w:t>
      </w:r>
      <w:r w:rsidR="00CE2F2D" w:rsidRPr="00DF0ED0">
        <w:rPr>
          <w:rFonts w:cstheme="minorHAnsi"/>
        </w:rPr>
        <w:t xml:space="preserve"> </w:t>
      </w:r>
      <w:r w:rsidR="009416F0" w:rsidRPr="00DF0ED0">
        <w:rPr>
          <w:rFonts w:cstheme="minorHAnsi"/>
          <w:b/>
        </w:rPr>
        <w:br w:type="page"/>
      </w:r>
    </w:p>
    <w:p w:rsidR="0003782F" w:rsidRPr="00DF0ED0" w:rsidRDefault="0003782F" w:rsidP="00A84927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 w:rsidRPr="00DF0ED0">
        <w:rPr>
          <w:rFonts w:cstheme="minorHAnsi"/>
          <w:b/>
        </w:rPr>
        <w:lastRenderedPageBreak/>
        <w:t xml:space="preserve">How many </w:t>
      </w:r>
      <w:r w:rsidR="0074773B" w:rsidRPr="00DF0ED0">
        <w:rPr>
          <w:rFonts w:cstheme="minorHAnsi"/>
          <w:b/>
        </w:rPr>
        <w:t>TTCs</w:t>
      </w:r>
      <w:r w:rsidRPr="00DF0ED0">
        <w:rPr>
          <w:rFonts w:cstheme="minorHAnsi"/>
          <w:b/>
        </w:rPr>
        <w:t xml:space="preserve"> </w:t>
      </w:r>
      <w:r w:rsidR="00134C7E">
        <w:rPr>
          <w:rFonts w:cstheme="minorHAnsi"/>
          <w:b/>
        </w:rPr>
        <w:t>were</w:t>
      </w:r>
      <w:r w:rsidRPr="00DF0ED0">
        <w:rPr>
          <w:rFonts w:cstheme="minorHAnsi"/>
          <w:b/>
        </w:rPr>
        <w:t xml:space="preserve"> subject to this </w:t>
      </w:r>
      <w:r w:rsidR="007C0635" w:rsidRPr="00DF0ED0">
        <w:rPr>
          <w:rFonts w:cstheme="minorHAnsi"/>
          <w:b/>
        </w:rPr>
        <w:t>review</w:t>
      </w:r>
      <w:r w:rsidRPr="00DF0ED0">
        <w:rPr>
          <w:rFonts w:cstheme="minorHAnsi"/>
          <w:b/>
        </w:rPr>
        <w:t>?</w:t>
      </w:r>
    </w:p>
    <w:p w:rsidR="009416F0" w:rsidRPr="00DF0ED0" w:rsidRDefault="00AA05C4" w:rsidP="00CF5D4D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 xml:space="preserve">The </w:t>
      </w:r>
      <w:r w:rsidR="007C0635" w:rsidRPr="00DF0ED0">
        <w:rPr>
          <w:rFonts w:asciiTheme="minorHAnsi" w:hAnsiTheme="minorHAnsi" w:cstheme="minorHAnsi"/>
        </w:rPr>
        <w:t>review</w:t>
      </w:r>
      <w:r w:rsidRPr="00DF0ED0">
        <w:rPr>
          <w:rFonts w:asciiTheme="minorHAnsi" w:hAnsiTheme="minorHAnsi" w:cstheme="minorHAnsi"/>
        </w:rPr>
        <w:t xml:space="preserve"> </w:t>
      </w:r>
      <w:r w:rsidR="00134C7E">
        <w:rPr>
          <w:rFonts w:asciiTheme="minorHAnsi" w:hAnsiTheme="minorHAnsi" w:cstheme="minorHAnsi"/>
        </w:rPr>
        <w:t>examined</w:t>
      </w:r>
      <w:r w:rsidRPr="00DF0ED0">
        <w:rPr>
          <w:rFonts w:asciiTheme="minorHAnsi" w:hAnsiTheme="minorHAnsi" w:cstheme="minorHAnsi"/>
        </w:rPr>
        <w:t xml:space="preserve"> TTCs which were operating in 2012 and provided an annual activity report. In 2012 this totalled 219 TTCs. </w:t>
      </w:r>
    </w:p>
    <w:p w:rsidR="00CF5D4D" w:rsidRPr="00DF0ED0" w:rsidRDefault="00CF5D4D" w:rsidP="00CF5D4D">
      <w:pPr>
        <w:pStyle w:val="ListParagraph"/>
        <w:ind w:left="360"/>
        <w:rPr>
          <w:rFonts w:asciiTheme="minorHAnsi" w:hAnsiTheme="minorHAnsi" w:cstheme="minorHAnsi"/>
        </w:rPr>
      </w:pPr>
    </w:p>
    <w:p w:rsidR="0003782F" w:rsidRPr="00DF0ED0" w:rsidRDefault="00134C7E" w:rsidP="009416F0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>
        <w:rPr>
          <w:rFonts w:cstheme="minorHAnsi"/>
          <w:b/>
        </w:rPr>
        <w:t>Why did</w:t>
      </w:r>
      <w:r w:rsidR="0003782F" w:rsidRPr="00DF0ED0">
        <w:rPr>
          <w:rFonts w:cstheme="minorHAnsi"/>
          <w:b/>
        </w:rPr>
        <w:t xml:space="preserve"> the </w:t>
      </w:r>
      <w:r w:rsidR="007C0635" w:rsidRPr="00DF0ED0">
        <w:rPr>
          <w:rFonts w:cstheme="minorHAnsi"/>
          <w:b/>
        </w:rPr>
        <w:t>review</w:t>
      </w:r>
      <w:r w:rsidR="0003782F" w:rsidRPr="00DF0ED0">
        <w:rPr>
          <w:rFonts w:cstheme="minorHAnsi"/>
          <w:b/>
        </w:rPr>
        <w:t xml:space="preserve"> involve TTCs operational </w:t>
      </w:r>
      <w:r w:rsidR="00AA05C4" w:rsidRPr="00DF0ED0">
        <w:rPr>
          <w:rFonts w:cstheme="minorHAnsi"/>
          <w:b/>
        </w:rPr>
        <w:t xml:space="preserve">in </w:t>
      </w:r>
      <w:r w:rsidR="0003782F" w:rsidRPr="00DF0ED0">
        <w:rPr>
          <w:rFonts w:cstheme="minorHAnsi"/>
          <w:b/>
        </w:rPr>
        <w:t>2012 only?</w:t>
      </w:r>
    </w:p>
    <w:p w:rsidR="00AA05C4" w:rsidRPr="00DF0ED0" w:rsidRDefault="00AA05C4" w:rsidP="00CF5D4D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>The majority of these TTCs have now had one or two full academic years of operation and provide</w:t>
      </w:r>
      <w:r w:rsidR="00134C7E">
        <w:rPr>
          <w:rFonts w:asciiTheme="minorHAnsi" w:hAnsiTheme="minorHAnsi" w:cstheme="minorHAnsi"/>
        </w:rPr>
        <w:t>d</w:t>
      </w:r>
      <w:r w:rsidRPr="00DF0ED0">
        <w:rPr>
          <w:rFonts w:asciiTheme="minorHAnsi" w:hAnsiTheme="minorHAnsi" w:cstheme="minorHAnsi"/>
        </w:rPr>
        <w:t xml:space="preserve"> a statistically significant data set.</w:t>
      </w:r>
    </w:p>
    <w:p w:rsidR="008E726A" w:rsidRPr="00DF0ED0" w:rsidRDefault="008E726A" w:rsidP="008E726A">
      <w:pPr>
        <w:pStyle w:val="ListParagraph"/>
        <w:ind w:left="360"/>
        <w:rPr>
          <w:rFonts w:cstheme="minorHAnsi"/>
          <w:b/>
        </w:rPr>
      </w:pPr>
    </w:p>
    <w:p w:rsidR="00012F37" w:rsidRPr="00DF0ED0" w:rsidRDefault="00012F37" w:rsidP="0031600A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 w:rsidRPr="00DF0ED0">
        <w:rPr>
          <w:rFonts w:cstheme="minorHAnsi"/>
          <w:b/>
        </w:rPr>
        <w:t xml:space="preserve">Who </w:t>
      </w:r>
      <w:r w:rsidR="00134C7E">
        <w:rPr>
          <w:rFonts w:cstheme="minorHAnsi"/>
          <w:b/>
        </w:rPr>
        <w:t>conducted</w:t>
      </w:r>
      <w:r w:rsidRPr="00DF0ED0">
        <w:rPr>
          <w:rFonts w:cstheme="minorHAnsi"/>
          <w:b/>
        </w:rPr>
        <w:t xml:space="preserve"> the </w:t>
      </w:r>
      <w:r w:rsidR="007C0635" w:rsidRPr="00DF0ED0">
        <w:rPr>
          <w:rFonts w:cstheme="minorHAnsi"/>
          <w:b/>
        </w:rPr>
        <w:t>review</w:t>
      </w:r>
      <w:r w:rsidRPr="00DF0ED0">
        <w:rPr>
          <w:rFonts w:cstheme="minorHAnsi"/>
          <w:b/>
        </w:rPr>
        <w:t>?</w:t>
      </w:r>
    </w:p>
    <w:p w:rsidR="006D57D9" w:rsidRPr="00DF0ED0" w:rsidRDefault="006D57D9" w:rsidP="00CF5D4D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 xml:space="preserve">Ms Patricia Scott </w:t>
      </w:r>
      <w:r w:rsidR="00134C7E">
        <w:rPr>
          <w:rFonts w:asciiTheme="minorHAnsi" w:hAnsiTheme="minorHAnsi" w:cstheme="minorHAnsi"/>
        </w:rPr>
        <w:t>was</w:t>
      </w:r>
      <w:r w:rsidRPr="00DF0ED0">
        <w:rPr>
          <w:rFonts w:asciiTheme="minorHAnsi" w:hAnsiTheme="minorHAnsi" w:cstheme="minorHAnsi"/>
        </w:rPr>
        <w:t xml:space="preserve"> engaged to undertake the review. Ms Scott has extensive policy, advisory and implementation experience as a senior policy adviser and former Departmental Secretary.</w:t>
      </w:r>
    </w:p>
    <w:p w:rsidR="00CF5D4D" w:rsidRPr="00DF0ED0" w:rsidRDefault="00CF5D4D" w:rsidP="00CF5D4D">
      <w:pPr>
        <w:pStyle w:val="ListParagraph"/>
        <w:ind w:left="360"/>
        <w:rPr>
          <w:rFonts w:asciiTheme="minorHAnsi" w:hAnsiTheme="minorHAnsi" w:cstheme="minorHAnsi"/>
        </w:rPr>
      </w:pPr>
    </w:p>
    <w:p w:rsidR="00AB19D0" w:rsidRPr="00DF0ED0" w:rsidRDefault="00134C7E" w:rsidP="00AB19D0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>
        <w:rPr>
          <w:rFonts w:cstheme="minorHAnsi"/>
          <w:b/>
        </w:rPr>
        <w:t>When did</w:t>
      </w:r>
      <w:r w:rsidR="00AB19D0" w:rsidRPr="00DF0ED0">
        <w:rPr>
          <w:rFonts w:cstheme="minorHAnsi"/>
          <w:b/>
        </w:rPr>
        <w:t xml:space="preserve"> the independent </w:t>
      </w:r>
      <w:r w:rsidR="00FF694D" w:rsidRPr="00DF0ED0">
        <w:rPr>
          <w:rFonts w:cstheme="minorHAnsi"/>
          <w:b/>
        </w:rPr>
        <w:t>review</w:t>
      </w:r>
      <w:r w:rsidR="00AB19D0" w:rsidRPr="00DF0ED0">
        <w:rPr>
          <w:rFonts w:cstheme="minorHAnsi"/>
          <w:b/>
        </w:rPr>
        <w:t xml:space="preserve"> begin?</w:t>
      </w:r>
    </w:p>
    <w:p w:rsidR="00134C7E" w:rsidRDefault="00AB19D0" w:rsidP="00AB19D0">
      <w:pPr>
        <w:pStyle w:val="ListParagraph"/>
        <w:ind w:left="360"/>
        <w:rPr>
          <w:rFonts w:asciiTheme="minorHAnsi" w:hAnsiTheme="minorHAnsi" w:cstheme="minorHAnsi"/>
        </w:rPr>
      </w:pPr>
      <w:r w:rsidRPr="00DF0ED0">
        <w:rPr>
          <w:rFonts w:asciiTheme="minorHAnsi" w:hAnsiTheme="minorHAnsi" w:cstheme="minorHAnsi"/>
        </w:rPr>
        <w:t xml:space="preserve">The independent reviewer </w:t>
      </w:r>
      <w:r w:rsidR="00134C7E">
        <w:rPr>
          <w:rFonts w:asciiTheme="minorHAnsi" w:hAnsiTheme="minorHAnsi" w:cstheme="minorHAnsi"/>
        </w:rPr>
        <w:t>was undertaken between May and October of 2014.</w:t>
      </w:r>
    </w:p>
    <w:p w:rsidR="00AB19D0" w:rsidRPr="004B56F9" w:rsidRDefault="00AB19D0" w:rsidP="00C036F7">
      <w:pPr>
        <w:pStyle w:val="ListParagraph"/>
        <w:ind w:left="360"/>
        <w:rPr>
          <w:rFonts w:cstheme="minorHAnsi"/>
          <w:b/>
        </w:rPr>
      </w:pPr>
    </w:p>
    <w:p w:rsidR="00730812" w:rsidRPr="004B56F9" w:rsidRDefault="00134C7E" w:rsidP="00730812">
      <w:pPr>
        <w:pStyle w:val="ListParagraph"/>
        <w:numPr>
          <w:ilvl w:val="0"/>
          <w:numId w:val="5"/>
        </w:numPr>
        <w:ind w:left="360"/>
        <w:rPr>
          <w:rFonts w:cstheme="minorHAnsi"/>
          <w:b/>
        </w:rPr>
      </w:pPr>
      <w:r>
        <w:rPr>
          <w:rFonts w:cstheme="minorHAnsi"/>
          <w:b/>
        </w:rPr>
        <w:t>When were</w:t>
      </w:r>
      <w:r w:rsidR="00730812" w:rsidRPr="004B56F9">
        <w:rPr>
          <w:rFonts w:cstheme="minorHAnsi"/>
          <w:b/>
        </w:rPr>
        <w:t xml:space="preserve"> the outcomes of the independent </w:t>
      </w:r>
      <w:r w:rsidR="007C0635" w:rsidRPr="004B56F9">
        <w:rPr>
          <w:rFonts w:cstheme="minorHAnsi"/>
          <w:b/>
        </w:rPr>
        <w:t>review</w:t>
      </w:r>
      <w:r w:rsidR="00730812" w:rsidRPr="004B56F9">
        <w:rPr>
          <w:rFonts w:cstheme="minorHAnsi"/>
          <w:b/>
        </w:rPr>
        <w:t xml:space="preserve"> </w:t>
      </w:r>
      <w:r w:rsidR="00B05C0F" w:rsidRPr="004B56F9">
        <w:rPr>
          <w:rFonts w:cstheme="minorHAnsi"/>
          <w:b/>
        </w:rPr>
        <w:t xml:space="preserve">into the TTC </w:t>
      </w:r>
      <w:r w:rsidR="008D38EB" w:rsidRPr="004B56F9">
        <w:rPr>
          <w:rFonts w:cstheme="minorHAnsi"/>
          <w:b/>
        </w:rPr>
        <w:t xml:space="preserve">Program </w:t>
      </w:r>
      <w:r>
        <w:rPr>
          <w:rFonts w:cstheme="minorHAnsi"/>
          <w:b/>
        </w:rPr>
        <w:t>made</w:t>
      </w:r>
      <w:r w:rsidR="00730812" w:rsidRPr="004B56F9">
        <w:rPr>
          <w:rFonts w:cstheme="minorHAnsi"/>
          <w:b/>
        </w:rPr>
        <w:t xml:space="preserve"> available?</w:t>
      </w:r>
    </w:p>
    <w:p w:rsidR="00730812" w:rsidRPr="004B56F9" w:rsidRDefault="0082006F" w:rsidP="00730812">
      <w:pPr>
        <w:pStyle w:val="ListParagraph"/>
        <w:ind w:left="360"/>
        <w:rPr>
          <w:rFonts w:asciiTheme="minorHAnsi" w:hAnsiTheme="minorHAnsi" w:cstheme="minorHAnsi"/>
        </w:rPr>
      </w:pPr>
      <w:r w:rsidRPr="004B56F9">
        <w:rPr>
          <w:rFonts w:asciiTheme="minorHAnsi" w:hAnsiTheme="minorHAnsi" w:cstheme="minorHAnsi"/>
        </w:rPr>
        <w:t xml:space="preserve">The </w:t>
      </w:r>
      <w:r w:rsidR="00134C7E">
        <w:rPr>
          <w:rFonts w:asciiTheme="minorHAnsi" w:hAnsiTheme="minorHAnsi" w:cstheme="minorHAnsi"/>
        </w:rPr>
        <w:t>review was published on the Department of Edu</w:t>
      </w:r>
      <w:r w:rsidR="001E4183">
        <w:rPr>
          <w:rFonts w:asciiTheme="minorHAnsi" w:hAnsiTheme="minorHAnsi" w:cstheme="minorHAnsi"/>
        </w:rPr>
        <w:t xml:space="preserve">cation and Training website on </w:t>
      </w:r>
      <w:r w:rsidR="00446293">
        <w:rPr>
          <w:rFonts w:asciiTheme="minorHAnsi" w:hAnsiTheme="minorHAnsi" w:cstheme="minorHAnsi"/>
        </w:rPr>
        <w:t>3</w:t>
      </w:r>
      <w:bookmarkStart w:id="0" w:name="_GoBack"/>
      <w:bookmarkEnd w:id="0"/>
      <w:r w:rsidR="00134C7E">
        <w:rPr>
          <w:rFonts w:asciiTheme="minorHAnsi" w:hAnsiTheme="minorHAnsi" w:cstheme="minorHAnsi"/>
        </w:rPr>
        <w:t> February 2015.</w:t>
      </w:r>
    </w:p>
    <w:p w:rsidR="00D61717" w:rsidRPr="004B56F9" w:rsidRDefault="00D61717" w:rsidP="00A07752">
      <w:pPr>
        <w:rPr>
          <w:rFonts w:cstheme="minorHAnsi"/>
        </w:rPr>
      </w:pPr>
    </w:p>
    <w:sectPr w:rsidR="00D61717" w:rsidRPr="004B56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34" w:rsidRDefault="00340434" w:rsidP="00D457CB">
      <w:pPr>
        <w:spacing w:after="0" w:line="240" w:lineRule="auto"/>
      </w:pPr>
      <w:r>
        <w:separator/>
      </w:r>
    </w:p>
  </w:endnote>
  <w:endnote w:type="continuationSeparator" w:id="0">
    <w:p w:rsidR="00340434" w:rsidRDefault="00340434" w:rsidP="00D4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34" w:rsidRDefault="00340434" w:rsidP="00D457CB">
      <w:pPr>
        <w:spacing w:after="0" w:line="240" w:lineRule="auto"/>
      </w:pPr>
      <w:r>
        <w:separator/>
      </w:r>
    </w:p>
  </w:footnote>
  <w:footnote w:type="continuationSeparator" w:id="0">
    <w:p w:rsidR="00340434" w:rsidRDefault="00340434" w:rsidP="00D4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CB" w:rsidRDefault="00D457CB">
    <w:pPr>
      <w:pStyle w:val="Header"/>
    </w:pPr>
  </w:p>
  <w:p w:rsidR="00D457CB" w:rsidRDefault="00D457CB">
    <w:pPr>
      <w:pStyle w:val="Header"/>
    </w:pPr>
  </w:p>
  <w:p w:rsidR="0063237C" w:rsidRDefault="0063237C">
    <w:pPr>
      <w:pStyle w:val="Header"/>
    </w:pPr>
    <w:r w:rsidRPr="00B51A86">
      <w:rPr>
        <w:noProof/>
        <w:lang w:eastAsia="en-AU"/>
      </w:rPr>
      <w:drawing>
        <wp:inline distT="0" distB="0" distL="0" distR="0" wp14:anchorId="76218EA2" wp14:editId="0069DBB6">
          <wp:extent cx="2247900" cy="561975"/>
          <wp:effectExtent l="0" t="0" r="0" b="9525"/>
          <wp:docPr id="3" name="Picture 3" descr="Australian Government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Technology Services Support Branch\Support, Accessibility and Strategy\Accessibility\Templates\DE - Department of Education\Inline\Dept Education_In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37C" w:rsidRDefault="0063237C">
    <w:pPr>
      <w:pStyle w:val="Header"/>
    </w:pPr>
  </w:p>
  <w:p w:rsidR="0063237C" w:rsidRDefault="00632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397"/>
    <w:multiLevelType w:val="hybridMultilevel"/>
    <w:tmpl w:val="9432B6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7846"/>
    <w:multiLevelType w:val="hybridMultilevel"/>
    <w:tmpl w:val="B98CA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C0A4A"/>
    <w:multiLevelType w:val="hybridMultilevel"/>
    <w:tmpl w:val="1A988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02750"/>
    <w:multiLevelType w:val="hybridMultilevel"/>
    <w:tmpl w:val="B68ED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47F15"/>
    <w:multiLevelType w:val="hybridMultilevel"/>
    <w:tmpl w:val="19E0F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1DCE"/>
    <w:multiLevelType w:val="hybridMultilevel"/>
    <w:tmpl w:val="60C25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AD4876"/>
    <w:multiLevelType w:val="hybridMultilevel"/>
    <w:tmpl w:val="4F781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7B771C"/>
    <w:multiLevelType w:val="hybridMultilevel"/>
    <w:tmpl w:val="6C36C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CD"/>
    <w:rsid w:val="0001211C"/>
    <w:rsid w:val="00012F37"/>
    <w:rsid w:val="0003782F"/>
    <w:rsid w:val="000511F9"/>
    <w:rsid w:val="00052C19"/>
    <w:rsid w:val="00056405"/>
    <w:rsid w:val="00061E16"/>
    <w:rsid w:val="0006551B"/>
    <w:rsid w:val="000A549C"/>
    <w:rsid w:val="00133919"/>
    <w:rsid w:val="00134C7E"/>
    <w:rsid w:val="0013596F"/>
    <w:rsid w:val="00184DA3"/>
    <w:rsid w:val="001926B2"/>
    <w:rsid w:val="001A53ED"/>
    <w:rsid w:val="001C101C"/>
    <w:rsid w:val="001E4183"/>
    <w:rsid w:val="00226C05"/>
    <w:rsid w:val="00273BCD"/>
    <w:rsid w:val="00282EFE"/>
    <w:rsid w:val="00290424"/>
    <w:rsid w:val="00291280"/>
    <w:rsid w:val="002C7B1D"/>
    <w:rsid w:val="002D609D"/>
    <w:rsid w:val="002E14EC"/>
    <w:rsid w:val="002E72D6"/>
    <w:rsid w:val="003126FF"/>
    <w:rsid w:val="0031600A"/>
    <w:rsid w:val="0031721C"/>
    <w:rsid w:val="00325658"/>
    <w:rsid w:val="00335EA0"/>
    <w:rsid w:val="00340434"/>
    <w:rsid w:val="00340DFA"/>
    <w:rsid w:val="003803E2"/>
    <w:rsid w:val="003857AF"/>
    <w:rsid w:val="003C4BA5"/>
    <w:rsid w:val="003D580E"/>
    <w:rsid w:val="00414AF0"/>
    <w:rsid w:val="00415355"/>
    <w:rsid w:val="004228B0"/>
    <w:rsid w:val="004242AC"/>
    <w:rsid w:val="00436FAB"/>
    <w:rsid w:val="00444912"/>
    <w:rsid w:val="00446293"/>
    <w:rsid w:val="004722C8"/>
    <w:rsid w:val="004901FB"/>
    <w:rsid w:val="004B01A2"/>
    <w:rsid w:val="004B17E8"/>
    <w:rsid w:val="004B56F9"/>
    <w:rsid w:val="004C3C7A"/>
    <w:rsid w:val="004C6765"/>
    <w:rsid w:val="0054460A"/>
    <w:rsid w:val="00544718"/>
    <w:rsid w:val="00565170"/>
    <w:rsid w:val="00590171"/>
    <w:rsid w:val="005E1D5F"/>
    <w:rsid w:val="005E7627"/>
    <w:rsid w:val="0061322C"/>
    <w:rsid w:val="0063237C"/>
    <w:rsid w:val="00642334"/>
    <w:rsid w:val="00670BDF"/>
    <w:rsid w:val="00692436"/>
    <w:rsid w:val="006C0309"/>
    <w:rsid w:val="006D57D9"/>
    <w:rsid w:val="006E3947"/>
    <w:rsid w:val="007162A6"/>
    <w:rsid w:val="00717A9B"/>
    <w:rsid w:val="00730812"/>
    <w:rsid w:val="00731474"/>
    <w:rsid w:val="007406B9"/>
    <w:rsid w:val="0074773B"/>
    <w:rsid w:val="00756423"/>
    <w:rsid w:val="00765A53"/>
    <w:rsid w:val="00787B94"/>
    <w:rsid w:val="007A36F4"/>
    <w:rsid w:val="007A7AE6"/>
    <w:rsid w:val="007C0635"/>
    <w:rsid w:val="007D39A1"/>
    <w:rsid w:val="008149D7"/>
    <w:rsid w:val="0082006F"/>
    <w:rsid w:val="00822081"/>
    <w:rsid w:val="00875EDE"/>
    <w:rsid w:val="008A6654"/>
    <w:rsid w:val="008D38EB"/>
    <w:rsid w:val="008E1C01"/>
    <w:rsid w:val="008E726A"/>
    <w:rsid w:val="008F7D17"/>
    <w:rsid w:val="00900D63"/>
    <w:rsid w:val="009416F0"/>
    <w:rsid w:val="00944C4C"/>
    <w:rsid w:val="00957739"/>
    <w:rsid w:val="00977299"/>
    <w:rsid w:val="009815B9"/>
    <w:rsid w:val="00984D94"/>
    <w:rsid w:val="009A7DE6"/>
    <w:rsid w:val="009B2DD0"/>
    <w:rsid w:val="00A07752"/>
    <w:rsid w:val="00A11ADB"/>
    <w:rsid w:val="00A42750"/>
    <w:rsid w:val="00A43717"/>
    <w:rsid w:val="00A547DA"/>
    <w:rsid w:val="00A804FA"/>
    <w:rsid w:val="00A84927"/>
    <w:rsid w:val="00A90C57"/>
    <w:rsid w:val="00A945AD"/>
    <w:rsid w:val="00AA05C4"/>
    <w:rsid w:val="00AA4BDE"/>
    <w:rsid w:val="00AB16EF"/>
    <w:rsid w:val="00AB19D0"/>
    <w:rsid w:val="00AD1F48"/>
    <w:rsid w:val="00B05C0F"/>
    <w:rsid w:val="00B126EF"/>
    <w:rsid w:val="00B258AD"/>
    <w:rsid w:val="00B37CF1"/>
    <w:rsid w:val="00B829AD"/>
    <w:rsid w:val="00B91982"/>
    <w:rsid w:val="00BB2D92"/>
    <w:rsid w:val="00C036F7"/>
    <w:rsid w:val="00C06043"/>
    <w:rsid w:val="00C23A2A"/>
    <w:rsid w:val="00C421CB"/>
    <w:rsid w:val="00C50092"/>
    <w:rsid w:val="00C6030E"/>
    <w:rsid w:val="00C75C08"/>
    <w:rsid w:val="00C83137"/>
    <w:rsid w:val="00C8675E"/>
    <w:rsid w:val="00CB58C6"/>
    <w:rsid w:val="00CE181A"/>
    <w:rsid w:val="00CE2F2D"/>
    <w:rsid w:val="00CE3F40"/>
    <w:rsid w:val="00CE7631"/>
    <w:rsid w:val="00CF1ACC"/>
    <w:rsid w:val="00CF5D4D"/>
    <w:rsid w:val="00D12E0A"/>
    <w:rsid w:val="00D32654"/>
    <w:rsid w:val="00D457CB"/>
    <w:rsid w:val="00D61717"/>
    <w:rsid w:val="00DB27A8"/>
    <w:rsid w:val="00DD1CBF"/>
    <w:rsid w:val="00DE25B9"/>
    <w:rsid w:val="00DF0ED0"/>
    <w:rsid w:val="00E01D95"/>
    <w:rsid w:val="00E4419A"/>
    <w:rsid w:val="00E922EA"/>
    <w:rsid w:val="00E967F1"/>
    <w:rsid w:val="00EB2633"/>
    <w:rsid w:val="00EC76E1"/>
    <w:rsid w:val="00ED5EBD"/>
    <w:rsid w:val="00ED65E3"/>
    <w:rsid w:val="00EE7E82"/>
    <w:rsid w:val="00F04DB7"/>
    <w:rsid w:val="00F40C15"/>
    <w:rsid w:val="00F44C7C"/>
    <w:rsid w:val="00F502E4"/>
    <w:rsid w:val="00F70132"/>
    <w:rsid w:val="00F80125"/>
    <w:rsid w:val="00FC5FFE"/>
    <w:rsid w:val="00FE25BD"/>
    <w:rsid w:val="00FE2AB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r List Paragraph,Content descriptions,FooterText,List Paragraph1,List Paragraph11,List Paragraph2,List Paragraph21,Listeafsnit1,NFP GP Bulleted List,Paragraphe de liste1,Parágrafo da Lista1,Recommendation,numbered,リスト段落1,列出段落,列出段落1"/>
    <w:basedOn w:val="Normal"/>
    <w:link w:val="ListParagraphChar"/>
    <w:uiPriority w:val="34"/>
    <w:qFormat/>
    <w:rsid w:val="00273BC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semiHidden/>
    <w:unhideWhenUsed/>
    <w:rsid w:val="00273BCD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r List Paragraph Char,Content descriptions Char,FooterText Char,List Paragraph1 Char,List Paragraph11 Char,List Paragraph2 Char,List Paragraph21 Char,Listeafsnit1 Char,NFP GP Bulleted List Char,Paragraphe de liste1 Char"/>
    <w:link w:val="ListParagraph"/>
    <w:uiPriority w:val="34"/>
    <w:locked/>
    <w:rsid w:val="00C036F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9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CB"/>
  </w:style>
  <w:style w:type="paragraph" w:styleId="Footer">
    <w:name w:val="footer"/>
    <w:basedOn w:val="Normal"/>
    <w:link w:val="FooterChar"/>
    <w:uiPriority w:val="99"/>
    <w:unhideWhenUsed/>
    <w:rsid w:val="00D45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r List Paragraph,Content descriptions,FooterText,List Paragraph1,List Paragraph11,List Paragraph2,List Paragraph21,Listeafsnit1,NFP GP Bulleted List,Paragraphe de liste1,Parágrafo da Lista1,Recommendation,numbered,リスト段落1,列出段落,列出段落1"/>
    <w:basedOn w:val="Normal"/>
    <w:link w:val="ListParagraphChar"/>
    <w:uiPriority w:val="34"/>
    <w:qFormat/>
    <w:rsid w:val="00273BC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semiHidden/>
    <w:unhideWhenUsed/>
    <w:rsid w:val="00273BCD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r List Paragraph Char,Content descriptions Char,FooterText Char,List Paragraph1 Char,List Paragraph11 Char,List Paragraph2 Char,List Paragraph21 Char,Listeafsnit1 Char,NFP GP Bulleted List Char,Paragraphe de liste1 Char"/>
    <w:link w:val="ListParagraph"/>
    <w:uiPriority w:val="34"/>
    <w:locked/>
    <w:rsid w:val="00C036F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9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CB"/>
  </w:style>
  <w:style w:type="paragraph" w:styleId="Footer">
    <w:name w:val="footer"/>
    <w:basedOn w:val="Normal"/>
    <w:link w:val="FooterChar"/>
    <w:uiPriority w:val="99"/>
    <w:unhideWhenUsed/>
    <w:rsid w:val="00D45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95F5-D044-46D0-BA9D-29650CA3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42AF70.dotm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Elouise White</dc:creator>
  <cp:lastModifiedBy>Mark Jamnik</cp:lastModifiedBy>
  <cp:revision>3</cp:revision>
  <cp:lastPrinted>2014-07-07T01:34:00Z</cp:lastPrinted>
  <dcterms:created xsi:type="dcterms:W3CDTF">2015-01-30T01:41:00Z</dcterms:created>
  <dcterms:modified xsi:type="dcterms:W3CDTF">2015-02-02T05:41:00Z</dcterms:modified>
</cp:coreProperties>
</file>