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2A2" w:rsidRDefault="00D362A2" w:rsidP="00D362A2">
      <w:pPr>
        <w:spacing w:before="120" w:after="120" w:line="240" w:lineRule="auto"/>
        <w:contextualSpacing/>
        <w:jc w:val="center"/>
        <w:rPr>
          <w:rFonts w:ascii="Calibri" w:eastAsia="Times New Roman" w:hAnsi="Calibri" w:cs="Times New Roman"/>
          <w:color w:val="165788"/>
          <w:sz w:val="56"/>
          <w:szCs w:val="56"/>
        </w:rPr>
      </w:pPr>
      <w:bookmarkStart w:id="0" w:name="_GoBack"/>
      <w:bookmarkEnd w:id="0"/>
      <w:r>
        <w:rPr>
          <w:noProof/>
          <w:sz w:val="20"/>
          <w:szCs w:val="20"/>
          <w:lang w:eastAsia="en-AU"/>
        </w:rPr>
        <w:drawing>
          <wp:inline distT="0" distB="0" distL="0" distR="0" wp14:anchorId="11E8D18F" wp14:editId="2BBC1206">
            <wp:extent cx="3994150" cy="1206500"/>
            <wp:effectExtent l="0" t="0" r="6350" b="0"/>
            <wp:docPr id="6" name="Picture 6" descr="Dept Education_Inl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 Education_Inl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4150" cy="1206500"/>
                    </a:xfrm>
                    <a:prstGeom prst="rect">
                      <a:avLst/>
                    </a:prstGeom>
                    <a:noFill/>
                    <a:ln>
                      <a:noFill/>
                    </a:ln>
                  </pic:spPr>
                </pic:pic>
              </a:graphicData>
            </a:graphic>
          </wp:inline>
        </w:drawing>
      </w:r>
    </w:p>
    <w:p w:rsidR="00D362A2" w:rsidRDefault="00D362A2" w:rsidP="00D362A2">
      <w:pPr>
        <w:spacing w:before="120" w:after="120" w:line="240" w:lineRule="auto"/>
        <w:contextualSpacing/>
        <w:jc w:val="center"/>
        <w:rPr>
          <w:rFonts w:ascii="Calibri" w:eastAsia="Times New Roman" w:hAnsi="Calibri" w:cs="Times New Roman"/>
          <w:color w:val="165788"/>
          <w:sz w:val="56"/>
          <w:szCs w:val="56"/>
        </w:rPr>
      </w:pPr>
    </w:p>
    <w:p w:rsidR="00D362A2" w:rsidRDefault="00D362A2" w:rsidP="00D362A2">
      <w:pPr>
        <w:spacing w:before="120" w:after="120" w:line="240" w:lineRule="auto"/>
        <w:contextualSpacing/>
        <w:jc w:val="center"/>
        <w:rPr>
          <w:rFonts w:ascii="Calibri" w:eastAsia="Times New Roman" w:hAnsi="Calibri" w:cs="Times New Roman"/>
          <w:color w:val="165788"/>
          <w:sz w:val="56"/>
          <w:szCs w:val="56"/>
        </w:rPr>
      </w:pPr>
    </w:p>
    <w:p w:rsidR="00D362A2" w:rsidRDefault="00D362A2" w:rsidP="00D362A2">
      <w:pPr>
        <w:spacing w:before="120" w:after="120" w:line="240" w:lineRule="auto"/>
        <w:contextualSpacing/>
        <w:jc w:val="center"/>
        <w:rPr>
          <w:rFonts w:ascii="Calibri" w:eastAsia="Times New Roman" w:hAnsi="Calibri" w:cs="Times New Roman"/>
          <w:color w:val="165788"/>
          <w:sz w:val="56"/>
          <w:szCs w:val="56"/>
        </w:rPr>
      </w:pPr>
    </w:p>
    <w:p w:rsidR="00D362A2" w:rsidRDefault="00D362A2" w:rsidP="00D362A2">
      <w:pPr>
        <w:spacing w:before="120" w:after="120" w:line="240" w:lineRule="auto"/>
        <w:contextualSpacing/>
        <w:jc w:val="center"/>
        <w:rPr>
          <w:rFonts w:ascii="Calibri" w:eastAsia="Times New Roman" w:hAnsi="Calibri" w:cs="Times New Roman"/>
          <w:color w:val="165788"/>
          <w:sz w:val="56"/>
          <w:szCs w:val="56"/>
        </w:rPr>
      </w:pPr>
    </w:p>
    <w:p w:rsidR="00D362A2" w:rsidRDefault="00D362A2" w:rsidP="00D362A2">
      <w:pPr>
        <w:spacing w:before="120" w:after="120" w:line="240" w:lineRule="auto"/>
        <w:contextualSpacing/>
        <w:jc w:val="center"/>
        <w:rPr>
          <w:rFonts w:ascii="Calibri" w:eastAsia="Times New Roman" w:hAnsi="Calibri" w:cs="Times New Roman"/>
          <w:color w:val="165788"/>
          <w:sz w:val="56"/>
          <w:szCs w:val="56"/>
        </w:rPr>
      </w:pPr>
    </w:p>
    <w:p w:rsidR="001163B9" w:rsidRPr="001163B9" w:rsidRDefault="001163B9" w:rsidP="00D362A2">
      <w:pPr>
        <w:spacing w:before="120" w:after="120" w:line="240" w:lineRule="auto"/>
        <w:contextualSpacing/>
        <w:jc w:val="center"/>
        <w:rPr>
          <w:rFonts w:ascii="Calibri" w:eastAsia="Times New Roman" w:hAnsi="Calibri" w:cs="Times New Roman"/>
          <w:color w:val="165788"/>
          <w:sz w:val="56"/>
          <w:szCs w:val="56"/>
        </w:rPr>
      </w:pPr>
      <w:r>
        <w:rPr>
          <w:rFonts w:ascii="Calibri" w:eastAsia="Times New Roman" w:hAnsi="Calibri" w:cs="Times New Roman"/>
          <w:color w:val="165788"/>
          <w:sz w:val="56"/>
          <w:szCs w:val="56"/>
        </w:rPr>
        <w:t xml:space="preserve">Completion Rates of Domestic </w:t>
      </w:r>
      <w:r w:rsidR="00C868E5">
        <w:rPr>
          <w:rFonts w:ascii="Calibri" w:eastAsia="Times New Roman" w:hAnsi="Calibri" w:cs="Times New Roman"/>
          <w:color w:val="165788"/>
          <w:sz w:val="56"/>
          <w:szCs w:val="56"/>
        </w:rPr>
        <w:t xml:space="preserve">Bachelor </w:t>
      </w:r>
      <w:r>
        <w:rPr>
          <w:rFonts w:ascii="Calibri" w:eastAsia="Times New Roman" w:hAnsi="Calibri" w:cs="Times New Roman"/>
          <w:color w:val="165788"/>
          <w:sz w:val="56"/>
          <w:szCs w:val="56"/>
        </w:rPr>
        <w:t>Students</w:t>
      </w:r>
      <w:r w:rsidR="00D362A2">
        <w:rPr>
          <w:rFonts w:ascii="Calibri" w:eastAsia="Times New Roman" w:hAnsi="Calibri" w:cs="Times New Roman"/>
          <w:color w:val="165788"/>
          <w:sz w:val="56"/>
          <w:szCs w:val="56"/>
        </w:rPr>
        <w:t>: A Cohort Analysis</w:t>
      </w:r>
    </w:p>
    <w:p w:rsidR="006F68B9" w:rsidRDefault="006F68B9" w:rsidP="001163B9">
      <w:pPr>
        <w:rPr>
          <w:b/>
          <w:sz w:val="24"/>
          <w:szCs w:val="24"/>
        </w:rPr>
        <w:sectPr w:rsidR="006F68B9" w:rsidSect="00BA170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4"/>
          <w:cols w:space="708"/>
          <w:docGrid w:linePitch="360"/>
        </w:sectPr>
      </w:pPr>
    </w:p>
    <w:p w:rsidR="006F68B9" w:rsidRDefault="006F68B9" w:rsidP="006F68B9">
      <w:r>
        <w:lastRenderedPageBreak/>
        <w:t>© Commonwealth of Australia 2014</w:t>
      </w:r>
    </w:p>
    <w:p w:rsidR="006F68B9" w:rsidRDefault="006F68B9" w:rsidP="006F68B9"/>
    <w:p w:rsidR="006F68B9" w:rsidRDefault="006F68B9" w:rsidP="006F68B9">
      <w:r>
        <w:t xml:space="preserve">This work is copyright. Apart from any use as permitted under the Copyright Act 1968, no part may be reproduced by any process without prior written permission from the Commonwealth. Requests and enquiries concerning reproduction and rights should be addressed to Commonwealth Copyright Administration, Attorney General’s Department, Robert Garran Offices, National Circuit, </w:t>
      </w:r>
      <w:proofErr w:type="gramStart"/>
      <w:r>
        <w:t>Barton</w:t>
      </w:r>
      <w:proofErr w:type="gramEnd"/>
      <w:r>
        <w:t xml:space="preserve"> ACT 2600 or posted at www.ag.gov.au/cca.</w:t>
      </w:r>
    </w:p>
    <w:p w:rsidR="006F68B9" w:rsidRDefault="006F68B9" w:rsidP="006F68B9"/>
    <w:p w:rsidR="006F68B9" w:rsidRDefault="006F68B9" w:rsidP="006F68B9">
      <w:proofErr w:type="gramStart"/>
      <w:r>
        <w:t>Produced by the Department of Education, 2014.</w:t>
      </w:r>
      <w:proofErr w:type="gramEnd"/>
    </w:p>
    <w:p w:rsidR="006F68B9" w:rsidRDefault="006F68B9" w:rsidP="006F68B9"/>
    <w:p w:rsidR="006F68B9" w:rsidRDefault="006F68B9" w:rsidP="006F68B9">
      <w:r>
        <w:t>Department of Education</w:t>
      </w:r>
    </w:p>
    <w:p w:rsidR="006F68B9" w:rsidRDefault="006F68B9" w:rsidP="006F68B9">
      <w:r>
        <w:t>GPO Box 9880</w:t>
      </w:r>
    </w:p>
    <w:p w:rsidR="006F68B9" w:rsidRDefault="006F68B9" w:rsidP="006F68B9">
      <w:r>
        <w:t>CANBERRA CITY ACT 2601</w:t>
      </w:r>
    </w:p>
    <w:p w:rsidR="006F68B9" w:rsidRDefault="006F68B9" w:rsidP="006F68B9"/>
    <w:p w:rsidR="00EE50C3" w:rsidRDefault="006F68B9" w:rsidP="00EE50C3">
      <w:pPr>
        <w:spacing w:after="0"/>
      </w:pPr>
      <w:r>
        <w:t xml:space="preserve">For questions regarding higher education data or for further information, please email </w:t>
      </w:r>
    </w:p>
    <w:p w:rsidR="001163B9" w:rsidRDefault="007D221D" w:rsidP="00EE50C3">
      <w:pPr>
        <w:spacing w:after="0"/>
        <w:rPr>
          <w:b/>
          <w:sz w:val="24"/>
          <w:szCs w:val="24"/>
        </w:rPr>
      </w:pPr>
      <w:hyperlink r:id="rId16" w:history="1">
        <w:r w:rsidR="00EE50C3" w:rsidRPr="008F612F">
          <w:rPr>
            <w:rStyle w:val="Hyperlink"/>
          </w:rPr>
          <w:t>university-statistics@education.gov.au</w:t>
        </w:r>
      </w:hyperlink>
      <w:r w:rsidR="006F68B9">
        <w:t>.</w:t>
      </w:r>
    </w:p>
    <w:p w:rsidR="001163B9" w:rsidRDefault="001163B9" w:rsidP="00D05506">
      <w:pPr>
        <w:jc w:val="center"/>
        <w:rPr>
          <w:b/>
          <w:sz w:val="24"/>
          <w:szCs w:val="24"/>
        </w:rPr>
      </w:pPr>
    </w:p>
    <w:p w:rsidR="001163B9" w:rsidRDefault="001163B9" w:rsidP="00D05506">
      <w:pPr>
        <w:jc w:val="center"/>
        <w:rPr>
          <w:b/>
          <w:sz w:val="24"/>
          <w:szCs w:val="24"/>
        </w:rPr>
      </w:pPr>
    </w:p>
    <w:p w:rsidR="001163B9" w:rsidRDefault="001163B9" w:rsidP="00D05506">
      <w:pPr>
        <w:jc w:val="center"/>
        <w:rPr>
          <w:b/>
          <w:sz w:val="24"/>
          <w:szCs w:val="24"/>
        </w:rPr>
      </w:pPr>
    </w:p>
    <w:p w:rsidR="001163B9" w:rsidRDefault="001163B9" w:rsidP="00D05506">
      <w:pPr>
        <w:jc w:val="center"/>
        <w:rPr>
          <w:b/>
          <w:sz w:val="24"/>
          <w:szCs w:val="24"/>
        </w:rPr>
      </w:pPr>
    </w:p>
    <w:p w:rsidR="001163B9" w:rsidRDefault="001163B9" w:rsidP="00D05506">
      <w:pPr>
        <w:jc w:val="center"/>
        <w:rPr>
          <w:b/>
          <w:sz w:val="24"/>
          <w:szCs w:val="24"/>
        </w:rPr>
      </w:pPr>
    </w:p>
    <w:p w:rsidR="001163B9" w:rsidRDefault="001163B9" w:rsidP="00D05506">
      <w:pPr>
        <w:jc w:val="center"/>
        <w:rPr>
          <w:b/>
          <w:sz w:val="24"/>
          <w:szCs w:val="24"/>
        </w:rPr>
      </w:pPr>
    </w:p>
    <w:p w:rsidR="001163B9" w:rsidRDefault="001163B9" w:rsidP="00D05506">
      <w:pPr>
        <w:jc w:val="center"/>
        <w:rPr>
          <w:b/>
          <w:sz w:val="24"/>
          <w:szCs w:val="24"/>
        </w:rPr>
      </w:pPr>
    </w:p>
    <w:p w:rsidR="001163B9" w:rsidRDefault="001163B9" w:rsidP="00D05506">
      <w:pPr>
        <w:jc w:val="center"/>
        <w:rPr>
          <w:b/>
          <w:sz w:val="24"/>
          <w:szCs w:val="24"/>
        </w:rPr>
      </w:pPr>
    </w:p>
    <w:p w:rsidR="001163B9" w:rsidRDefault="001163B9" w:rsidP="00D05506">
      <w:pPr>
        <w:jc w:val="center"/>
        <w:rPr>
          <w:b/>
          <w:sz w:val="24"/>
          <w:szCs w:val="24"/>
        </w:rPr>
      </w:pPr>
    </w:p>
    <w:p w:rsidR="001163B9" w:rsidRDefault="001163B9" w:rsidP="00D05506">
      <w:pPr>
        <w:jc w:val="center"/>
        <w:rPr>
          <w:b/>
          <w:sz w:val="24"/>
          <w:szCs w:val="24"/>
        </w:rPr>
      </w:pPr>
    </w:p>
    <w:p w:rsidR="001163B9" w:rsidRDefault="001163B9" w:rsidP="001163B9">
      <w:pPr>
        <w:rPr>
          <w:b/>
          <w:sz w:val="24"/>
          <w:szCs w:val="24"/>
        </w:rPr>
      </w:pPr>
    </w:p>
    <w:p w:rsidR="001163B9" w:rsidRDefault="001163B9" w:rsidP="001163B9">
      <w:pPr>
        <w:rPr>
          <w:b/>
          <w:sz w:val="24"/>
          <w:szCs w:val="24"/>
        </w:rPr>
      </w:pPr>
    </w:p>
    <w:p w:rsidR="001163B9" w:rsidRDefault="001163B9" w:rsidP="001163B9">
      <w:pPr>
        <w:rPr>
          <w:b/>
          <w:sz w:val="24"/>
          <w:szCs w:val="24"/>
        </w:rPr>
      </w:pPr>
    </w:p>
    <w:sdt>
      <w:sdtPr>
        <w:id w:val="-162479902"/>
        <w:docPartObj>
          <w:docPartGallery w:val="Table of Contents"/>
          <w:docPartUnique/>
        </w:docPartObj>
      </w:sdtPr>
      <w:sdtEndPr>
        <w:rPr>
          <w:noProof/>
        </w:rPr>
      </w:sdtEndPr>
      <w:sdtContent>
        <w:p w:rsidR="001163B9" w:rsidRPr="001163B9" w:rsidRDefault="001163B9" w:rsidP="001163B9">
          <w:pPr>
            <w:keepNext/>
            <w:keepLines/>
            <w:spacing w:before="240" w:after="240"/>
            <w:rPr>
              <w:rFonts w:eastAsiaTheme="majorEastAsia" w:cstheme="majorBidi"/>
              <w:b/>
              <w:bCs/>
              <w:color w:val="365F91" w:themeColor="accent1" w:themeShade="BF"/>
              <w:sz w:val="32"/>
              <w:szCs w:val="28"/>
              <w:lang w:val="en-US" w:eastAsia="ja-JP"/>
            </w:rPr>
          </w:pPr>
          <w:r w:rsidRPr="001163B9">
            <w:rPr>
              <w:rFonts w:eastAsiaTheme="majorEastAsia" w:cstheme="majorBidi"/>
              <w:b/>
              <w:bCs/>
              <w:color w:val="365F91" w:themeColor="accent1" w:themeShade="BF"/>
              <w:sz w:val="32"/>
              <w:szCs w:val="28"/>
              <w:lang w:val="en-US" w:eastAsia="ja-JP"/>
            </w:rPr>
            <w:t>Contents</w:t>
          </w:r>
        </w:p>
        <w:p w:rsidR="00187D9F" w:rsidRDefault="001163B9">
          <w:pPr>
            <w:pStyle w:val="TOC1"/>
            <w:tabs>
              <w:tab w:val="left" w:pos="440"/>
              <w:tab w:val="right" w:leader="dot" w:pos="9016"/>
            </w:tabs>
            <w:rPr>
              <w:rFonts w:eastAsiaTheme="minorEastAsia"/>
              <w:noProof/>
              <w:lang w:eastAsia="en-AU"/>
            </w:rPr>
          </w:pPr>
          <w:r w:rsidRPr="001163B9">
            <w:rPr>
              <w:rFonts w:ascii="Times New Roman" w:eastAsia="Times New Roman" w:hAnsi="Times New Roman" w:cs="Times New Roman"/>
              <w:noProof/>
              <w:color w:val="000000" w:themeColor="text1"/>
              <w:szCs w:val="20"/>
            </w:rPr>
            <w:fldChar w:fldCharType="begin"/>
          </w:r>
          <w:r w:rsidRPr="001163B9">
            <w:rPr>
              <w:rFonts w:ascii="Times New Roman" w:eastAsia="Times New Roman" w:hAnsi="Times New Roman" w:cs="Times New Roman"/>
              <w:noProof/>
              <w:color w:val="000000" w:themeColor="text1"/>
              <w:szCs w:val="20"/>
            </w:rPr>
            <w:instrText xml:space="preserve"> TOC \o "1-3" \h \z \u </w:instrText>
          </w:r>
          <w:r w:rsidRPr="001163B9">
            <w:rPr>
              <w:rFonts w:ascii="Times New Roman" w:eastAsia="Times New Roman" w:hAnsi="Times New Roman" w:cs="Times New Roman"/>
              <w:noProof/>
              <w:color w:val="000000" w:themeColor="text1"/>
              <w:szCs w:val="20"/>
            </w:rPr>
            <w:fldChar w:fldCharType="separate"/>
          </w:r>
          <w:hyperlink w:anchor="_Toc379882980" w:history="1">
            <w:r w:rsidR="00187D9F" w:rsidRPr="00042305">
              <w:rPr>
                <w:rStyle w:val="Hyperlink"/>
                <w:noProof/>
              </w:rPr>
              <w:t>1.</w:t>
            </w:r>
            <w:r w:rsidR="00187D9F">
              <w:rPr>
                <w:rFonts w:eastAsiaTheme="minorEastAsia"/>
                <w:noProof/>
                <w:lang w:eastAsia="en-AU"/>
              </w:rPr>
              <w:tab/>
            </w:r>
            <w:r w:rsidR="00187D9F" w:rsidRPr="00042305">
              <w:rPr>
                <w:rStyle w:val="Hyperlink"/>
                <w:noProof/>
              </w:rPr>
              <w:t>Executive Summary</w:t>
            </w:r>
            <w:r w:rsidR="00187D9F">
              <w:rPr>
                <w:noProof/>
                <w:webHidden/>
              </w:rPr>
              <w:tab/>
            </w:r>
            <w:r w:rsidR="00187D9F">
              <w:rPr>
                <w:noProof/>
                <w:webHidden/>
              </w:rPr>
              <w:fldChar w:fldCharType="begin"/>
            </w:r>
            <w:r w:rsidR="00187D9F">
              <w:rPr>
                <w:noProof/>
                <w:webHidden/>
              </w:rPr>
              <w:instrText xml:space="preserve"> PAGEREF _Toc379882980 \h </w:instrText>
            </w:r>
            <w:r w:rsidR="00187D9F">
              <w:rPr>
                <w:noProof/>
                <w:webHidden/>
              </w:rPr>
            </w:r>
            <w:r w:rsidR="00187D9F">
              <w:rPr>
                <w:noProof/>
                <w:webHidden/>
              </w:rPr>
              <w:fldChar w:fldCharType="separate"/>
            </w:r>
            <w:r w:rsidR="007D221D">
              <w:rPr>
                <w:noProof/>
                <w:webHidden/>
              </w:rPr>
              <w:t>4</w:t>
            </w:r>
            <w:r w:rsidR="00187D9F">
              <w:rPr>
                <w:noProof/>
                <w:webHidden/>
              </w:rPr>
              <w:fldChar w:fldCharType="end"/>
            </w:r>
          </w:hyperlink>
        </w:p>
        <w:p w:rsidR="00187D9F" w:rsidRDefault="007D221D">
          <w:pPr>
            <w:pStyle w:val="TOC1"/>
            <w:tabs>
              <w:tab w:val="left" w:pos="440"/>
              <w:tab w:val="right" w:leader="dot" w:pos="9016"/>
            </w:tabs>
            <w:rPr>
              <w:rFonts w:eastAsiaTheme="minorEastAsia"/>
              <w:noProof/>
              <w:lang w:eastAsia="en-AU"/>
            </w:rPr>
          </w:pPr>
          <w:hyperlink w:anchor="_Toc379882981" w:history="1">
            <w:r w:rsidR="00187D9F" w:rsidRPr="00042305">
              <w:rPr>
                <w:rStyle w:val="Hyperlink"/>
                <w:noProof/>
              </w:rPr>
              <w:t>2.</w:t>
            </w:r>
            <w:r w:rsidR="00187D9F">
              <w:rPr>
                <w:rFonts w:eastAsiaTheme="minorEastAsia"/>
                <w:noProof/>
                <w:lang w:eastAsia="en-AU"/>
              </w:rPr>
              <w:tab/>
            </w:r>
            <w:r w:rsidR="00187D9F" w:rsidRPr="00042305">
              <w:rPr>
                <w:rStyle w:val="Hyperlink"/>
                <w:noProof/>
              </w:rPr>
              <w:t>Introduction</w:t>
            </w:r>
            <w:r w:rsidR="00187D9F">
              <w:rPr>
                <w:noProof/>
                <w:webHidden/>
              </w:rPr>
              <w:tab/>
            </w:r>
            <w:r w:rsidR="00187D9F">
              <w:rPr>
                <w:noProof/>
                <w:webHidden/>
              </w:rPr>
              <w:fldChar w:fldCharType="begin"/>
            </w:r>
            <w:r w:rsidR="00187D9F">
              <w:rPr>
                <w:noProof/>
                <w:webHidden/>
              </w:rPr>
              <w:instrText xml:space="preserve"> PAGEREF _Toc379882981 \h </w:instrText>
            </w:r>
            <w:r w:rsidR="00187D9F">
              <w:rPr>
                <w:noProof/>
                <w:webHidden/>
              </w:rPr>
            </w:r>
            <w:r w:rsidR="00187D9F">
              <w:rPr>
                <w:noProof/>
                <w:webHidden/>
              </w:rPr>
              <w:fldChar w:fldCharType="separate"/>
            </w:r>
            <w:r>
              <w:rPr>
                <w:noProof/>
                <w:webHidden/>
              </w:rPr>
              <w:t>5</w:t>
            </w:r>
            <w:r w:rsidR="00187D9F">
              <w:rPr>
                <w:noProof/>
                <w:webHidden/>
              </w:rPr>
              <w:fldChar w:fldCharType="end"/>
            </w:r>
          </w:hyperlink>
        </w:p>
        <w:p w:rsidR="00187D9F" w:rsidRDefault="007D221D">
          <w:pPr>
            <w:pStyle w:val="TOC1"/>
            <w:tabs>
              <w:tab w:val="left" w:pos="440"/>
              <w:tab w:val="right" w:leader="dot" w:pos="9016"/>
            </w:tabs>
            <w:rPr>
              <w:rFonts w:eastAsiaTheme="minorEastAsia"/>
              <w:noProof/>
              <w:lang w:eastAsia="en-AU"/>
            </w:rPr>
          </w:pPr>
          <w:hyperlink w:anchor="_Toc379882982" w:history="1">
            <w:r w:rsidR="00187D9F" w:rsidRPr="00042305">
              <w:rPr>
                <w:rStyle w:val="Hyperlink"/>
                <w:noProof/>
              </w:rPr>
              <w:t>3.</w:t>
            </w:r>
            <w:r w:rsidR="00187D9F">
              <w:rPr>
                <w:rFonts w:eastAsiaTheme="minorEastAsia"/>
                <w:noProof/>
                <w:lang w:eastAsia="en-AU"/>
              </w:rPr>
              <w:tab/>
            </w:r>
            <w:r w:rsidR="00187D9F" w:rsidRPr="00042305">
              <w:rPr>
                <w:rStyle w:val="Hyperlink"/>
                <w:noProof/>
              </w:rPr>
              <w:t>Overall outcomes</w:t>
            </w:r>
            <w:r w:rsidR="00187D9F">
              <w:rPr>
                <w:noProof/>
                <w:webHidden/>
              </w:rPr>
              <w:tab/>
            </w:r>
            <w:r w:rsidR="00187D9F">
              <w:rPr>
                <w:noProof/>
                <w:webHidden/>
              </w:rPr>
              <w:fldChar w:fldCharType="begin"/>
            </w:r>
            <w:r w:rsidR="00187D9F">
              <w:rPr>
                <w:noProof/>
                <w:webHidden/>
              </w:rPr>
              <w:instrText xml:space="preserve"> PAGEREF _Toc379882982 \h </w:instrText>
            </w:r>
            <w:r w:rsidR="00187D9F">
              <w:rPr>
                <w:noProof/>
                <w:webHidden/>
              </w:rPr>
            </w:r>
            <w:r w:rsidR="00187D9F">
              <w:rPr>
                <w:noProof/>
                <w:webHidden/>
              </w:rPr>
              <w:fldChar w:fldCharType="separate"/>
            </w:r>
            <w:r>
              <w:rPr>
                <w:noProof/>
                <w:webHidden/>
              </w:rPr>
              <w:t>5</w:t>
            </w:r>
            <w:r w:rsidR="00187D9F">
              <w:rPr>
                <w:noProof/>
                <w:webHidden/>
              </w:rPr>
              <w:fldChar w:fldCharType="end"/>
            </w:r>
          </w:hyperlink>
        </w:p>
        <w:p w:rsidR="00187D9F" w:rsidRDefault="007D221D">
          <w:pPr>
            <w:pStyle w:val="TOC1"/>
            <w:tabs>
              <w:tab w:val="left" w:pos="440"/>
              <w:tab w:val="right" w:leader="dot" w:pos="9016"/>
            </w:tabs>
            <w:rPr>
              <w:rFonts w:eastAsiaTheme="minorEastAsia"/>
              <w:noProof/>
              <w:lang w:eastAsia="en-AU"/>
            </w:rPr>
          </w:pPr>
          <w:hyperlink w:anchor="_Toc379882983" w:history="1">
            <w:r w:rsidR="00187D9F" w:rsidRPr="00042305">
              <w:rPr>
                <w:rStyle w:val="Hyperlink"/>
                <w:noProof/>
              </w:rPr>
              <w:t>4.</w:t>
            </w:r>
            <w:r w:rsidR="00187D9F">
              <w:rPr>
                <w:rFonts w:eastAsiaTheme="minorEastAsia"/>
                <w:noProof/>
                <w:lang w:eastAsia="en-AU"/>
              </w:rPr>
              <w:tab/>
            </w:r>
            <w:r w:rsidR="00187D9F" w:rsidRPr="00042305">
              <w:rPr>
                <w:rStyle w:val="Hyperlink"/>
                <w:noProof/>
              </w:rPr>
              <w:t>Outcomes by course level</w:t>
            </w:r>
            <w:r w:rsidR="00187D9F">
              <w:rPr>
                <w:noProof/>
                <w:webHidden/>
              </w:rPr>
              <w:tab/>
            </w:r>
            <w:r w:rsidR="00187D9F">
              <w:rPr>
                <w:noProof/>
                <w:webHidden/>
              </w:rPr>
              <w:fldChar w:fldCharType="begin"/>
            </w:r>
            <w:r w:rsidR="00187D9F">
              <w:rPr>
                <w:noProof/>
                <w:webHidden/>
              </w:rPr>
              <w:instrText xml:space="preserve"> PAGEREF _Toc379882983 \h </w:instrText>
            </w:r>
            <w:r w:rsidR="00187D9F">
              <w:rPr>
                <w:noProof/>
                <w:webHidden/>
              </w:rPr>
            </w:r>
            <w:r w:rsidR="00187D9F">
              <w:rPr>
                <w:noProof/>
                <w:webHidden/>
              </w:rPr>
              <w:fldChar w:fldCharType="separate"/>
            </w:r>
            <w:r>
              <w:rPr>
                <w:noProof/>
                <w:webHidden/>
              </w:rPr>
              <w:t>6</w:t>
            </w:r>
            <w:r w:rsidR="00187D9F">
              <w:rPr>
                <w:noProof/>
                <w:webHidden/>
              </w:rPr>
              <w:fldChar w:fldCharType="end"/>
            </w:r>
          </w:hyperlink>
        </w:p>
        <w:p w:rsidR="00187D9F" w:rsidRDefault="007D221D">
          <w:pPr>
            <w:pStyle w:val="TOC1"/>
            <w:tabs>
              <w:tab w:val="left" w:pos="440"/>
              <w:tab w:val="right" w:leader="dot" w:pos="9016"/>
            </w:tabs>
            <w:rPr>
              <w:rFonts w:eastAsiaTheme="minorEastAsia"/>
              <w:noProof/>
              <w:lang w:eastAsia="en-AU"/>
            </w:rPr>
          </w:pPr>
          <w:hyperlink w:anchor="_Toc379882984" w:history="1">
            <w:r w:rsidR="00187D9F" w:rsidRPr="00042305">
              <w:rPr>
                <w:rStyle w:val="Hyperlink"/>
                <w:noProof/>
              </w:rPr>
              <w:t>5.</w:t>
            </w:r>
            <w:r w:rsidR="00187D9F">
              <w:rPr>
                <w:rFonts w:eastAsiaTheme="minorEastAsia"/>
                <w:noProof/>
                <w:lang w:eastAsia="en-AU"/>
              </w:rPr>
              <w:tab/>
            </w:r>
            <w:r w:rsidR="00187D9F" w:rsidRPr="00042305">
              <w:rPr>
                <w:rStyle w:val="Hyperlink"/>
                <w:noProof/>
              </w:rPr>
              <w:t>Mode of attendance</w:t>
            </w:r>
            <w:r w:rsidR="00187D9F">
              <w:rPr>
                <w:noProof/>
                <w:webHidden/>
              </w:rPr>
              <w:tab/>
            </w:r>
            <w:r w:rsidR="00187D9F">
              <w:rPr>
                <w:noProof/>
                <w:webHidden/>
              </w:rPr>
              <w:fldChar w:fldCharType="begin"/>
            </w:r>
            <w:r w:rsidR="00187D9F">
              <w:rPr>
                <w:noProof/>
                <w:webHidden/>
              </w:rPr>
              <w:instrText xml:space="preserve"> PAGEREF _Toc379882984 \h </w:instrText>
            </w:r>
            <w:r w:rsidR="00187D9F">
              <w:rPr>
                <w:noProof/>
                <w:webHidden/>
              </w:rPr>
            </w:r>
            <w:r w:rsidR="00187D9F">
              <w:rPr>
                <w:noProof/>
                <w:webHidden/>
              </w:rPr>
              <w:fldChar w:fldCharType="separate"/>
            </w:r>
            <w:r>
              <w:rPr>
                <w:noProof/>
                <w:webHidden/>
              </w:rPr>
              <w:t>6</w:t>
            </w:r>
            <w:r w:rsidR="00187D9F">
              <w:rPr>
                <w:noProof/>
                <w:webHidden/>
              </w:rPr>
              <w:fldChar w:fldCharType="end"/>
            </w:r>
          </w:hyperlink>
        </w:p>
        <w:p w:rsidR="00187D9F" w:rsidRDefault="007D221D">
          <w:pPr>
            <w:pStyle w:val="TOC1"/>
            <w:tabs>
              <w:tab w:val="left" w:pos="440"/>
              <w:tab w:val="right" w:leader="dot" w:pos="9016"/>
            </w:tabs>
            <w:rPr>
              <w:rFonts w:eastAsiaTheme="minorEastAsia"/>
              <w:noProof/>
              <w:lang w:eastAsia="en-AU"/>
            </w:rPr>
          </w:pPr>
          <w:hyperlink w:anchor="_Toc379882985" w:history="1">
            <w:r w:rsidR="00187D9F" w:rsidRPr="00042305">
              <w:rPr>
                <w:rStyle w:val="Hyperlink"/>
                <w:noProof/>
              </w:rPr>
              <w:t>6.</w:t>
            </w:r>
            <w:r w:rsidR="00187D9F">
              <w:rPr>
                <w:rFonts w:eastAsiaTheme="minorEastAsia"/>
                <w:noProof/>
                <w:lang w:eastAsia="en-AU"/>
              </w:rPr>
              <w:tab/>
            </w:r>
            <w:r w:rsidR="00187D9F" w:rsidRPr="00042305">
              <w:rPr>
                <w:rStyle w:val="Hyperlink"/>
                <w:noProof/>
              </w:rPr>
              <w:t>Type of attendance</w:t>
            </w:r>
            <w:r w:rsidR="00187D9F">
              <w:rPr>
                <w:noProof/>
                <w:webHidden/>
              </w:rPr>
              <w:tab/>
            </w:r>
            <w:r w:rsidR="00187D9F">
              <w:rPr>
                <w:noProof/>
                <w:webHidden/>
              </w:rPr>
              <w:fldChar w:fldCharType="begin"/>
            </w:r>
            <w:r w:rsidR="00187D9F">
              <w:rPr>
                <w:noProof/>
                <w:webHidden/>
              </w:rPr>
              <w:instrText xml:space="preserve"> PAGEREF _Toc379882985 \h </w:instrText>
            </w:r>
            <w:r w:rsidR="00187D9F">
              <w:rPr>
                <w:noProof/>
                <w:webHidden/>
              </w:rPr>
            </w:r>
            <w:r w:rsidR="00187D9F">
              <w:rPr>
                <w:noProof/>
                <w:webHidden/>
              </w:rPr>
              <w:fldChar w:fldCharType="separate"/>
            </w:r>
            <w:r>
              <w:rPr>
                <w:noProof/>
                <w:webHidden/>
              </w:rPr>
              <w:t>7</w:t>
            </w:r>
            <w:r w:rsidR="00187D9F">
              <w:rPr>
                <w:noProof/>
                <w:webHidden/>
              </w:rPr>
              <w:fldChar w:fldCharType="end"/>
            </w:r>
          </w:hyperlink>
        </w:p>
        <w:p w:rsidR="00187D9F" w:rsidRDefault="007D221D">
          <w:pPr>
            <w:pStyle w:val="TOC1"/>
            <w:tabs>
              <w:tab w:val="left" w:pos="440"/>
              <w:tab w:val="right" w:leader="dot" w:pos="9016"/>
            </w:tabs>
            <w:rPr>
              <w:rFonts w:eastAsiaTheme="minorEastAsia"/>
              <w:noProof/>
              <w:lang w:eastAsia="en-AU"/>
            </w:rPr>
          </w:pPr>
          <w:hyperlink w:anchor="_Toc379882986" w:history="1">
            <w:r w:rsidR="00187D9F" w:rsidRPr="00042305">
              <w:rPr>
                <w:rStyle w:val="Hyperlink"/>
                <w:noProof/>
              </w:rPr>
              <w:t>7.</w:t>
            </w:r>
            <w:r w:rsidR="00187D9F">
              <w:rPr>
                <w:rFonts w:eastAsiaTheme="minorEastAsia"/>
                <w:noProof/>
                <w:lang w:eastAsia="en-AU"/>
              </w:rPr>
              <w:tab/>
            </w:r>
            <w:r w:rsidR="00187D9F" w:rsidRPr="00042305">
              <w:rPr>
                <w:rStyle w:val="Hyperlink"/>
                <w:noProof/>
              </w:rPr>
              <w:t>Gender</w:t>
            </w:r>
            <w:r w:rsidR="00187D9F">
              <w:rPr>
                <w:noProof/>
                <w:webHidden/>
              </w:rPr>
              <w:tab/>
            </w:r>
            <w:r w:rsidR="00187D9F">
              <w:rPr>
                <w:noProof/>
                <w:webHidden/>
              </w:rPr>
              <w:fldChar w:fldCharType="begin"/>
            </w:r>
            <w:r w:rsidR="00187D9F">
              <w:rPr>
                <w:noProof/>
                <w:webHidden/>
              </w:rPr>
              <w:instrText xml:space="preserve"> PAGEREF _Toc379882986 \h </w:instrText>
            </w:r>
            <w:r w:rsidR="00187D9F">
              <w:rPr>
                <w:noProof/>
                <w:webHidden/>
              </w:rPr>
            </w:r>
            <w:r w:rsidR="00187D9F">
              <w:rPr>
                <w:noProof/>
                <w:webHidden/>
              </w:rPr>
              <w:fldChar w:fldCharType="separate"/>
            </w:r>
            <w:r>
              <w:rPr>
                <w:noProof/>
                <w:webHidden/>
              </w:rPr>
              <w:t>7</w:t>
            </w:r>
            <w:r w:rsidR="00187D9F">
              <w:rPr>
                <w:noProof/>
                <w:webHidden/>
              </w:rPr>
              <w:fldChar w:fldCharType="end"/>
            </w:r>
          </w:hyperlink>
        </w:p>
        <w:p w:rsidR="00187D9F" w:rsidRDefault="007D221D">
          <w:pPr>
            <w:pStyle w:val="TOC1"/>
            <w:tabs>
              <w:tab w:val="left" w:pos="440"/>
              <w:tab w:val="right" w:leader="dot" w:pos="9016"/>
            </w:tabs>
            <w:rPr>
              <w:rFonts w:eastAsiaTheme="minorEastAsia"/>
              <w:noProof/>
              <w:lang w:eastAsia="en-AU"/>
            </w:rPr>
          </w:pPr>
          <w:hyperlink w:anchor="_Toc379882987" w:history="1">
            <w:r w:rsidR="00187D9F" w:rsidRPr="00042305">
              <w:rPr>
                <w:rStyle w:val="Hyperlink"/>
                <w:noProof/>
              </w:rPr>
              <w:t>8.</w:t>
            </w:r>
            <w:r w:rsidR="00187D9F">
              <w:rPr>
                <w:rFonts w:eastAsiaTheme="minorEastAsia"/>
                <w:noProof/>
                <w:lang w:eastAsia="en-AU"/>
              </w:rPr>
              <w:tab/>
            </w:r>
            <w:r w:rsidR="00187D9F" w:rsidRPr="00042305">
              <w:rPr>
                <w:rStyle w:val="Hyperlink"/>
                <w:noProof/>
              </w:rPr>
              <w:t>Age</w:t>
            </w:r>
            <w:r w:rsidR="00187D9F">
              <w:rPr>
                <w:noProof/>
                <w:webHidden/>
              </w:rPr>
              <w:tab/>
            </w:r>
            <w:r w:rsidR="00187D9F">
              <w:rPr>
                <w:noProof/>
                <w:webHidden/>
              </w:rPr>
              <w:fldChar w:fldCharType="begin"/>
            </w:r>
            <w:r w:rsidR="00187D9F">
              <w:rPr>
                <w:noProof/>
                <w:webHidden/>
              </w:rPr>
              <w:instrText xml:space="preserve"> PAGEREF _Toc379882987 \h </w:instrText>
            </w:r>
            <w:r w:rsidR="00187D9F">
              <w:rPr>
                <w:noProof/>
                <w:webHidden/>
              </w:rPr>
            </w:r>
            <w:r w:rsidR="00187D9F">
              <w:rPr>
                <w:noProof/>
                <w:webHidden/>
              </w:rPr>
              <w:fldChar w:fldCharType="separate"/>
            </w:r>
            <w:r>
              <w:rPr>
                <w:noProof/>
                <w:webHidden/>
              </w:rPr>
              <w:t>7</w:t>
            </w:r>
            <w:r w:rsidR="00187D9F">
              <w:rPr>
                <w:noProof/>
                <w:webHidden/>
              </w:rPr>
              <w:fldChar w:fldCharType="end"/>
            </w:r>
          </w:hyperlink>
        </w:p>
        <w:p w:rsidR="00187D9F" w:rsidRDefault="007D221D">
          <w:pPr>
            <w:pStyle w:val="TOC1"/>
            <w:tabs>
              <w:tab w:val="left" w:pos="440"/>
              <w:tab w:val="right" w:leader="dot" w:pos="9016"/>
            </w:tabs>
            <w:rPr>
              <w:rFonts w:eastAsiaTheme="minorEastAsia"/>
              <w:noProof/>
              <w:lang w:eastAsia="en-AU"/>
            </w:rPr>
          </w:pPr>
          <w:hyperlink w:anchor="_Toc379882988" w:history="1">
            <w:r w:rsidR="00187D9F" w:rsidRPr="00042305">
              <w:rPr>
                <w:rStyle w:val="Hyperlink"/>
                <w:noProof/>
              </w:rPr>
              <w:t>9.</w:t>
            </w:r>
            <w:r w:rsidR="00187D9F">
              <w:rPr>
                <w:rFonts w:eastAsiaTheme="minorEastAsia"/>
                <w:noProof/>
                <w:lang w:eastAsia="en-AU"/>
              </w:rPr>
              <w:tab/>
            </w:r>
            <w:r w:rsidR="00187D9F" w:rsidRPr="00042305">
              <w:rPr>
                <w:rStyle w:val="Hyperlink"/>
                <w:noProof/>
              </w:rPr>
              <w:t>Basis of admission</w:t>
            </w:r>
            <w:r w:rsidR="00187D9F">
              <w:rPr>
                <w:noProof/>
                <w:webHidden/>
              </w:rPr>
              <w:tab/>
            </w:r>
            <w:r w:rsidR="00187D9F">
              <w:rPr>
                <w:noProof/>
                <w:webHidden/>
              </w:rPr>
              <w:fldChar w:fldCharType="begin"/>
            </w:r>
            <w:r w:rsidR="00187D9F">
              <w:rPr>
                <w:noProof/>
                <w:webHidden/>
              </w:rPr>
              <w:instrText xml:space="preserve"> PAGEREF _Toc379882988 \h </w:instrText>
            </w:r>
            <w:r w:rsidR="00187D9F">
              <w:rPr>
                <w:noProof/>
                <w:webHidden/>
              </w:rPr>
            </w:r>
            <w:r w:rsidR="00187D9F">
              <w:rPr>
                <w:noProof/>
                <w:webHidden/>
              </w:rPr>
              <w:fldChar w:fldCharType="separate"/>
            </w:r>
            <w:r>
              <w:rPr>
                <w:noProof/>
                <w:webHidden/>
              </w:rPr>
              <w:t>8</w:t>
            </w:r>
            <w:r w:rsidR="00187D9F">
              <w:rPr>
                <w:noProof/>
                <w:webHidden/>
              </w:rPr>
              <w:fldChar w:fldCharType="end"/>
            </w:r>
          </w:hyperlink>
        </w:p>
        <w:p w:rsidR="00187D9F" w:rsidRDefault="007D221D" w:rsidP="00EE50C3">
          <w:pPr>
            <w:pStyle w:val="TOC1"/>
            <w:tabs>
              <w:tab w:val="left" w:pos="426"/>
              <w:tab w:val="right" w:leader="dot" w:pos="9016"/>
            </w:tabs>
            <w:rPr>
              <w:rFonts w:eastAsiaTheme="minorEastAsia"/>
              <w:noProof/>
              <w:lang w:eastAsia="en-AU"/>
            </w:rPr>
          </w:pPr>
          <w:hyperlink w:anchor="_Toc379882989" w:history="1">
            <w:r w:rsidR="00187D9F" w:rsidRPr="00042305">
              <w:rPr>
                <w:rStyle w:val="Hyperlink"/>
                <w:noProof/>
              </w:rPr>
              <w:t>10.</w:t>
            </w:r>
            <w:r w:rsidR="00187D9F">
              <w:rPr>
                <w:rFonts w:eastAsiaTheme="minorEastAsia"/>
                <w:noProof/>
                <w:lang w:eastAsia="en-AU"/>
              </w:rPr>
              <w:tab/>
            </w:r>
            <w:r w:rsidR="00187D9F" w:rsidRPr="00042305">
              <w:rPr>
                <w:rStyle w:val="Hyperlink"/>
                <w:noProof/>
              </w:rPr>
              <w:t>ATAR bands</w:t>
            </w:r>
            <w:r w:rsidR="00187D9F">
              <w:rPr>
                <w:noProof/>
                <w:webHidden/>
              </w:rPr>
              <w:tab/>
            </w:r>
            <w:r w:rsidR="00187D9F">
              <w:rPr>
                <w:noProof/>
                <w:webHidden/>
              </w:rPr>
              <w:fldChar w:fldCharType="begin"/>
            </w:r>
            <w:r w:rsidR="00187D9F">
              <w:rPr>
                <w:noProof/>
                <w:webHidden/>
              </w:rPr>
              <w:instrText xml:space="preserve"> PAGEREF _Toc379882989 \h </w:instrText>
            </w:r>
            <w:r w:rsidR="00187D9F">
              <w:rPr>
                <w:noProof/>
                <w:webHidden/>
              </w:rPr>
            </w:r>
            <w:r w:rsidR="00187D9F">
              <w:rPr>
                <w:noProof/>
                <w:webHidden/>
              </w:rPr>
              <w:fldChar w:fldCharType="separate"/>
            </w:r>
            <w:r>
              <w:rPr>
                <w:noProof/>
                <w:webHidden/>
              </w:rPr>
              <w:t>8</w:t>
            </w:r>
            <w:r w:rsidR="00187D9F">
              <w:rPr>
                <w:noProof/>
                <w:webHidden/>
              </w:rPr>
              <w:fldChar w:fldCharType="end"/>
            </w:r>
          </w:hyperlink>
        </w:p>
        <w:p w:rsidR="00187D9F" w:rsidRDefault="007D221D" w:rsidP="00EE50C3">
          <w:pPr>
            <w:pStyle w:val="TOC1"/>
            <w:tabs>
              <w:tab w:val="left" w:pos="426"/>
              <w:tab w:val="right" w:leader="dot" w:pos="9016"/>
            </w:tabs>
            <w:rPr>
              <w:rFonts w:eastAsiaTheme="minorEastAsia"/>
              <w:noProof/>
              <w:lang w:eastAsia="en-AU"/>
            </w:rPr>
          </w:pPr>
          <w:hyperlink w:anchor="_Toc379882990" w:history="1">
            <w:r w:rsidR="00187D9F" w:rsidRPr="00042305">
              <w:rPr>
                <w:rStyle w:val="Hyperlink"/>
                <w:rFonts w:ascii="Calibri" w:hAnsi="Calibri"/>
                <w:noProof/>
              </w:rPr>
              <w:t>11.</w:t>
            </w:r>
            <w:r w:rsidR="00187D9F">
              <w:rPr>
                <w:rFonts w:eastAsiaTheme="minorEastAsia"/>
                <w:noProof/>
                <w:lang w:eastAsia="en-AU"/>
              </w:rPr>
              <w:tab/>
            </w:r>
            <w:r w:rsidR="00187D9F" w:rsidRPr="00042305">
              <w:rPr>
                <w:rStyle w:val="Hyperlink"/>
                <w:rFonts w:ascii="Calibri" w:hAnsi="Calibri"/>
                <w:noProof/>
              </w:rPr>
              <w:t>Enabling indicator</w:t>
            </w:r>
            <w:r w:rsidR="00187D9F">
              <w:rPr>
                <w:noProof/>
                <w:webHidden/>
              </w:rPr>
              <w:tab/>
            </w:r>
            <w:r w:rsidR="00187D9F">
              <w:rPr>
                <w:noProof/>
                <w:webHidden/>
              </w:rPr>
              <w:fldChar w:fldCharType="begin"/>
            </w:r>
            <w:r w:rsidR="00187D9F">
              <w:rPr>
                <w:noProof/>
                <w:webHidden/>
              </w:rPr>
              <w:instrText xml:space="preserve"> PAGEREF _Toc379882990 \h </w:instrText>
            </w:r>
            <w:r w:rsidR="00187D9F">
              <w:rPr>
                <w:noProof/>
                <w:webHidden/>
              </w:rPr>
            </w:r>
            <w:r w:rsidR="00187D9F">
              <w:rPr>
                <w:noProof/>
                <w:webHidden/>
              </w:rPr>
              <w:fldChar w:fldCharType="separate"/>
            </w:r>
            <w:r>
              <w:rPr>
                <w:noProof/>
                <w:webHidden/>
              </w:rPr>
              <w:t>9</w:t>
            </w:r>
            <w:r w:rsidR="00187D9F">
              <w:rPr>
                <w:noProof/>
                <w:webHidden/>
              </w:rPr>
              <w:fldChar w:fldCharType="end"/>
            </w:r>
          </w:hyperlink>
        </w:p>
        <w:p w:rsidR="00187D9F" w:rsidRDefault="007D221D" w:rsidP="00EE50C3">
          <w:pPr>
            <w:pStyle w:val="TOC1"/>
            <w:tabs>
              <w:tab w:val="left" w:pos="426"/>
              <w:tab w:val="right" w:leader="dot" w:pos="9016"/>
            </w:tabs>
            <w:rPr>
              <w:rFonts w:eastAsiaTheme="minorEastAsia"/>
              <w:noProof/>
              <w:lang w:eastAsia="en-AU"/>
            </w:rPr>
          </w:pPr>
          <w:hyperlink w:anchor="_Toc379882991" w:history="1">
            <w:r w:rsidR="00187D9F" w:rsidRPr="00042305">
              <w:rPr>
                <w:rStyle w:val="Hyperlink"/>
                <w:rFonts w:ascii="Calibri" w:hAnsi="Calibri"/>
                <w:noProof/>
              </w:rPr>
              <w:t>12.</w:t>
            </w:r>
            <w:r w:rsidR="00187D9F">
              <w:rPr>
                <w:rFonts w:eastAsiaTheme="minorEastAsia"/>
                <w:noProof/>
                <w:lang w:eastAsia="en-AU"/>
              </w:rPr>
              <w:tab/>
            </w:r>
            <w:r w:rsidR="00187D9F" w:rsidRPr="00042305">
              <w:rPr>
                <w:rStyle w:val="Hyperlink"/>
                <w:rFonts w:ascii="Calibri" w:hAnsi="Calibri"/>
                <w:noProof/>
              </w:rPr>
              <w:t>Indigenous indicator</w:t>
            </w:r>
            <w:r w:rsidR="00187D9F">
              <w:rPr>
                <w:noProof/>
                <w:webHidden/>
              </w:rPr>
              <w:tab/>
            </w:r>
            <w:r w:rsidR="00187D9F">
              <w:rPr>
                <w:noProof/>
                <w:webHidden/>
              </w:rPr>
              <w:fldChar w:fldCharType="begin"/>
            </w:r>
            <w:r w:rsidR="00187D9F">
              <w:rPr>
                <w:noProof/>
                <w:webHidden/>
              </w:rPr>
              <w:instrText xml:space="preserve"> PAGEREF _Toc379882991 \h </w:instrText>
            </w:r>
            <w:r w:rsidR="00187D9F">
              <w:rPr>
                <w:noProof/>
                <w:webHidden/>
              </w:rPr>
            </w:r>
            <w:r w:rsidR="00187D9F">
              <w:rPr>
                <w:noProof/>
                <w:webHidden/>
              </w:rPr>
              <w:fldChar w:fldCharType="separate"/>
            </w:r>
            <w:r>
              <w:rPr>
                <w:noProof/>
                <w:webHidden/>
              </w:rPr>
              <w:t>9</w:t>
            </w:r>
            <w:r w:rsidR="00187D9F">
              <w:rPr>
                <w:noProof/>
                <w:webHidden/>
              </w:rPr>
              <w:fldChar w:fldCharType="end"/>
            </w:r>
          </w:hyperlink>
        </w:p>
        <w:p w:rsidR="00187D9F" w:rsidRDefault="007D221D" w:rsidP="00EE50C3">
          <w:pPr>
            <w:pStyle w:val="TOC1"/>
            <w:tabs>
              <w:tab w:val="left" w:pos="426"/>
              <w:tab w:val="right" w:leader="dot" w:pos="9016"/>
            </w:tabs>
            <w:rPr>
              <w:rFonts w:eastAsiaTheme="minorEastAsia"/>
              <w:noProof/>
              <w:lang w:eastAsia="en-AU"/>
            </w:rPr>
          </w:pPr>
          <w:hyperlink w:anchor="_Toc379882992" w:history="1">
            <w:r w:rsidR="00187D9F" w:rsidRPr="00042305">
              <w:rPr>
                <w:rStyle w:val="Hyperlink"/>
                <w:rFonts w:ascii="Calibri" w:hAnsi="Calibri"/>
                <w:noProof/>
              </w:rPr>
              <w:t>13.</w:t>
            </w:r>
            <w:r w:rsidR="00187D9F">
              <w:rPr>
                <w:rFonts w:eastAsiaTheme="minorEastAsia"/>
                <w:noProof/>
                <w:lang w:eastAsia="en-AU"/>
              </w:rPr>
              <w:tab/>
            </w:r>
            <w:r w:rsidR="00187D9F" w:rsidRPr="00042305">
              <w:rPr>
                <w:rStyle w:val="Hyperlink"/>
                <w:rFonts w:ascii="Calibri" w:hAnsi="Calibri"/>
                <w:noProof/>
              </w:rPr>
              <w:t>Non-English speaking background</w:t>
            </w:r>
            <w:r w:rsidR="00187D9F">
              <w:rPr>
                <w:noProof/>
                <w:webHidden/>
              </w:rPr>
              <w:tab/>
            </w:r>
            <w:r w:rsidR="00187D9F">
              <w:rPr>
                <w:noProof/>
                <w:webHidden/>
              </w:rPr>
              <w:fldChar w:fldCharType="begin"/>
            </w:r>
            <w:r w:rsidR="00187D9F">
              <w:rPr>
                <w:noProof/>
                <w:webHidden/>
              </w:rPr>
              <w:instrText xml:space="preserve"> PAGEREF _Toc379882992 \h </w:instrText>
            </w:r>
            <w:r w:rsidR="00187D9F">
              <w:rPr>
                <w:noProof/>
                <w:webHidden/>
              </w:rPr>
            </w:r>
            <w:r w:rsidR="00187D9F">
              <w:rPr>
                <w:noProof/>
                <w:webHidden/>
              </w:rPr>
              <w:fldChar w:fldCharType="separate"/>
            </w:r>
            <w:r>
              <w:rPr>
                <w:noProof/>
                <w:webHidden/>
              </w:rPr>
              <w:t>9</w:t>
            </w:r>
            <w:r w:rsidR="00187D9F">
              <w:rPr>
                <w:noProof/>
                <w:webHidden/>
              </w:rPr>
              <w:fldChar w:fldCharType="end"/>
            </w:r>
          </w:hyperlink>
        </w:p>
        <w:p w:rsidR="00187D9F" w:rsidRDefault="007D221D" w:rsidP="00EE50C3">
          <w:pPr>
            <w:pStyle w:val="TOC1"/>
            <w:tabs>
              <w:tab w:val="left" w:pos="426"/>
              <w:tab w:val="right" w:leader="dot" w:pos="9016"/>
            </w:tabs>
            <w:rPr>
              <w:rFonts w:eastAsiaTheme="minorEastAsia"/>
              <w:noProof/>
              <w:lang w:eastAsia="en-AU"/>
            </w:rPr>
          </w:pPr>
          <w:hyperlink w:anchor="_Toc379882993" w:history="1">
            <w:r w:rsidR="00187D9F" w:rsidRPr="00042305">
              <w:rPr>
                <w:rStyle w:val="Hyperlink"/>
                <w:rFonts w:ascii="Calibri" w:hAnsi="Calibri"/>
                <w:noProof/>
              </w:rPr>
              <w:t>14.</w:t>
            </w:r>
            <w:r w:rsidR="00187D9F">
              <w:rPr>
                <w:rFonts w:eastAsiaTheme="minorEastAsia"/>
                <w:noProof/>
                <w:lang w:eastAsia="en-AU"/>
              </w:rPr>
              <w:tab/>
            </w:r>
            <w:r w:rsidR="00187D9F" w:rsidRPr="00042305">
              <w:rPr>
                <w:rStyle w:val="Hyperlink"/>
                <w:rFonts w:ascii="Calibri" w:hAnsi="Calibri"/>
                <w:noProof/>
              </w:rPr>
              <w:t>Socio-economic status</w:t>
            </w:r>
            <w:r w:rsidR="00187D9F">
              <w:rPr>
                <w:noProof/>
                <w:webHidden/>
              </w:rPr>
              <w:tab/>
            </w:r>
            <w:r w:rsidR="00187D9F">
              <w:rPr>
                <w:noProof/>
                <w:webHidden/>
              </w:rPr>
              <w:fldChar w:fldCharType="begin"/>
            </w:r>
            <w:r w:rsidR="00187D9F">
              <w:rPr>
                <w:noProof/>
                <w:webHidden/>
              </w:rPr>
              <w:instrText xml:space="preserve"> PAGEREF _Toc379882993 \h </w:instrText>
            </w:r>
            <w:r w:rsidR="00187D9F">
              <w:rPr>
                <w:noProof/>
                <w:webHidden/>
              </w:rPr>
            </w:r>
            <w:r w:rsidR="00187D9F">
              <w:rPr>
                <w:noProof/>
                <w:webHidden/>
              </w:rPr>
              <w:fldChar w:fldCharType="separate"/>
            </w:r>
            <w:r>
              <w:rPr>
                <w:noProof/>
                <w:webHidden/>
              </w:rPr>
              <w:t>10</w:t>
            </w:r>
            <w:r w:rsidR="00187D9F">
              <w:rPr>
                <w:noProof/>
                <w:webHidden/>
              </w:rPr>
              <w:fldChar w:fldCharType="end"/>
            </w:r>
          </w:hyperlink>
        </w:p>
        <w:p w:rsidR="00187D9F" w:rsidRDefault="007D221D" w:rsidP="00EE50C3">
          <w:pPr>
            <w:pStyle w:val="TOC1"/>
            <w:tabs>
              <w:tab w:val="left" w:pos="426"/>
              <w:tab w:val="right" w:leader="dot" w:pos="9016"/>
            </w:tabs>
            <w:rPr>
              <w:rFonts w:eastAsiaTheme="minorEastAsia"/>
              <w:noProof/>
              <w:lang w:eastAsia="en-AU"/>
            </w:rPr>
          </w:pPr>
          <w:hyperlink w:anchor="_Toc379882994" w:history="1">
            <w:r w:rsidR="00187D9F" w:rsidRPr="00042305">
              <w:rPr>
                <w:rStyle w:val="Hyperlink"/>
                <w:rFonts w:ascii="Calibri" w:hAnsi="Calibri"/>
                <w:noProof/>
              </w:rPr>
              <w:t>15.</w:t>
            </w:r>
            <w:r w:rsidR="00187D9F">
              <w:rPr>
                <w:rFonts w:eastAsiaTheme="minorEastAsia"/>
                <w:noProof/>
                <w:lang w:eastAsia="en-AU"/>
              </w:rPr>
              <w:tab/>
            </w:r>
            <w:r w:rsidR="00187D9F" w:rsidRPr="00042305">
              <w:rPr>
                <w:rStyle w:val="Hyperlink"/>
                <w:rFonts w:ascii="Calibri" w:hAnsi="Calibri"/>
                <w:noProof/>
              </w:rPr>
              <w:t>Regional/remote</w:t>
            </w:r>
            <w:r w:rsidR="00187D9F">
              <w:rPr>
                <w:noProof/>
                <w:webHidden/>
              </w:rPr>
              <w:tab/>
            </w:r>
            <w:r w:rsidR="00187D9F">
              <w:rPr>
                <w:noProof/>
                <w:webHidden/>
              </w:rPr>
              <w:fldChar w:fldCharType="begin"/>
            </w:r>
            <w:r w:rsidR="00187D9F">
              <w:rPr>
                <w:noProof/>
                <w:webHidden/>
              </w:rPr>
              <w:instrText xml:space="preserve"> PAGEREF _Toc379882994 \h </w:instrText>
            </w:r>
            <w:r w:rsidR="00187D9F">
              <w:rPr>
                <w:noProof/>
                <w:webHidden/>
              </w:rPr>
            </w:r>
            <w:r w:rsidR="00187D9F">
              <w:rPr>
                <w:noProof/>
                <w:webHidden/>
              </w:rPr>
              <w:fldChar w:fldCharType="separate"/>
            </w:r>
            <w:r>
              <w:rPr>
                <w:noProof/>
                <w:webHidden/>
              </w:rPr>
              <w:t>10</w:t>
            </w:r>
            <w:r w:rsidR="00187D9F">
              <w:rPr>
                <w:noProof/>
                <w:webHidden/>
              </w:rPr>
              <w:fldChar w:fldCharType="end"/>
            </w:r>
          </w:hyperlink>
        </w:p>
        <w:p w:rsidR="00187D9F" w:rsidRDefault="007D221D" w:rsidP="00EE50C3">
          <w:pPr>
            <w:pStyle w:val="TOC1"/>
            <w:tabs>
              <w:tab w:val="left" w:pos="426"/>
              <w:tab w:val="right" w:leader="dot" w:pos="9016"/>
            </w:tabs>
            <w:rPr>
              <w:rFonts w:eastAsiaTheme="minorEastAsia"/>
              <w:noProof/>
              <w:lang w:eastAsia="en-AU"/>
            </w:rPr>
          </w:pPr>
          <w:hyperlink w:anchor="_Toc379882995" w:history="1">
            <w:r w:rsidR="00187D9F" w:rsidRPr="00042305">
              <w:rPr>
                <w:rStyle w:val="Hyperlink"/>
                <w:rFonts w:ascii="Calibri" w:hAnsi="Calibri"/>
                <w:noProof/>
              </w:rPr>
              <w:t>16.</w:t>
            </w:r>
            <w:r w:rsidR="00187D9F">
              <w:rPr>
                <w:rFonts w:eastAsiaTheme="minorEastAsia"/>
                <w:noProof/>
                <w:lang w:eastAsia="en-AU"/>
              </w:rPr>
              <w:tab/>
            </w:r>
            <w:r w:rsidR="00187D9F" w:rsidRPr="00042305">
              <w:rPr>
                <w:rStyle w:val="Hyperlink"/>
                <w:rFonts w:ascii="Calibri" w:hAnsi="Calibri"/>
                <w:noProof/>
              </w:rPr>
              <w:t>Liability category</w:t>
            </w:r>
            <w:r w:rsidR="00187D9F">
              <w:rPr>
                <w:noProof/>
                <w:webHidden/>
              </w:rPr>
              <w:tab/>
            </w:r>
            <w:r w:rsidR="00187D9F">
              <w:rPr>
                <w:noProof/>
                <w:webHidden/>
              </w:rPr>
              <w:fldChar w:fldCharType="begin"/>
            </w:r>
            <w:r w:rsidR="00187D9F">
              <w:rPr>
                <w:noProof/>
                <w:webHidden/>
              </w:rPr>
              <w:instrText xml:space="preserve"> PAGEREF _Toc379882995 \h </w:instrText>
            </w:r>
            <w:r w:rsidR="00187D9F">
              <w:rPr>
                <w:noProof/>
                <w:webHidden/>
              </w:rPr>
            </w:r>
            <w:r w:rsidR="00187D9F">
              <w:rPr>
                <w:noProof/>
                <w:webHidden/>
              </w:rPr>
              <w:fldChar w:fldCharType="separate"/>
            </w:r>
            <w:r>
              <w:rPr>
                <w:noProof/>
                <w:webHidden/>
              </w:rPr>
              <w:t>11</w:t>
            </w:r>
            <w:r w:rsidR="00187D9F">
              <w:rPr>
                <w:noProof/>
                <w:webHidden/>
              </w:rPr>
              <w:fldChar w:fldCharType="end"/>
            </w:r>
          </w:hyperlink>
        </w:p>
        <w:p w:rsidR="00187D9F" w:rsidRDefault="007D221D" w:rsidP="00EE50C3">
          <w:pPr>
            <w:pStyle w:val="TOC1"/>
            <w:tabs>
              <w:tab w:val="left" w:pos="426"/>
              <w:tab w:val="right" w:leader="dot" w:pos="9016"/>
            </w:tabs>
            <w:rPr>
              <w:rFonts w:eastAsiaTheme="minorEastAsia"/>
              <w:noProof/>
              <w:lang w:eastAsia="en-AU"/>
            </w:rPr>
          </w:pPr>
          <w:hyperlink w:anchor="_Toc379882996" w:history="1">
            <w:r w:rsidR="00187D9F" w:rsidRPr="00042305">
              <w:rPr>
                <w:rStyle w:val="Hyperlink"/>
                <w:rFonts w:ascii="Calibri" w:hAnsi="Calibri"/>
                <w:noProof/>
              </w:rPr>
              <w:t>17.</w:t>
            </w:r>
            <w:r w:rsidR="00187D9F">
              <w:rPr>
                <w:rFonts w:eastAsiaTheme="minorEastAsia"/>
                <w:noProof/>
                <w:lang w:eastAsia="en-AU"/>
              </w:rPr>
              <w:tab/>
            </w:r>
            <w:r w:rsidR="00187D9F" w:rsidRPr="00042305">
              <w:rPr>
                <w:rStyle w:val="Hyperlink"/>
                <w:rFonts w:ascii="Calibri" w:hAnsi="Calibri"/>
                <w:noProof/>
              </w:rPr>
              <w:t>Field of education</w:t>
            </w:r>
            <w:r w:rsidR="00187D9F">
              <w:rPr>
                <w:noProof/>
                <w:webHidden/>
              </w:rPr>
              <w:tab/>
            </w:r>
            <w:r w:rsidR="00187D9F">
              <w:rPr>
                <w:noProof/>
                <w:webHidden/>
              </w:rPr>
              <w:fldChar w:fldCharType="begin"/>
            </w:r>
            <w:r w:rsidR="00187D9F">
              <w:rPr>
                <w:noProof/>
                <w:webHidden/>
              </w:rPr>
              <w:instrText xml:space="preserve"> PAGEREF _Toc379882996 \h </w:instrText>
            </w:r>
            <w:r w:rsidR="00187D9F">
              <w:rPr>
                <w:noProof/>
                <w:webHidden/>
              </w:rPr>
            </w:r>
            <w:r w:rsidR="00187D9F">
              <w:rPr>
                <w:noProof/>
                <w:webHidden/>
              </w:rPr>
              <w:fldChar w:fldCharType="separate"/>
            </w:r>
            <w:r>
              <w:rPr>
                <w:noProof/>
                <w:webHidden/>
              </w:rPr>
              <w:t>11</w:t>
            </w:r>
            <w:r w:rsidR="00187D9F">
              <w:rPr>
                <w:noProof/>
                <w:webHidden/>
              </w:rPr>
              <w:fldChar w:fldCharType="end"/>
            </w:r>
          </w:hyperlink>
        </w:p>
        <w:p w:rsidR="00187D9F" w:rsidRDefault="007D221D" w:rsidP="00EE50C3">
          <w:pPr>
            <w:pStyle w:val="TOC1"/>
            <w:tabs>
              <w:tab w:val="left" w:pos="426"/>
              <w:tab w:val="right" w:leader="dot" w:pos="9016"/>
            </w:tabs>
            <w:rPr>
              <w:rFonts w:eastAsiaTheme="minorEastAsia"/>
              <w:noProof/>
              <w:lang w:eastAsia="en-AU"/>
            </w:rPr>
          </w:pPr>
          <w:hyperlink w:anchor="_Toc379882997" w:history="1">
            <w:r w:rsidR="00187D9F" w:rsidRPr="00042305">
              <w:rPr>
                <w:rStyle w:val="Hyperlink"/>
                <w:rFonts w:ascii="Calibri" w:hAnsi="Calibri"/>
                <w:noProof/>
              </w:rPr>
              <w:t>18.</w:t>
            </w:r>
            <w:r w:rsidR="00187D9F">
              <w:rPr>
                <w:rFonts w:eastAsiaTheme="minorEastAsia"/>
                <w:noProof/>
                <w:lang w:eastAsia="en-AU"/>
              </w:rPr>
              <w:tab/>
            </w:r>
            <w:r w:rsidR="00187D9F" w:rsidRPr="00042305">
              <w:rPr>
                <w:rStyle w:val="Hyperlink"/>
                <w:rFonts w:ascii="Calibri" w:hAnsi="Calibri"/>
                <w:noProof/>
              </w:rPr>
              <w:t>2006 and 2007 Cohorts</w:t>
            </w:r>
            <w:r w:rsidR="00187D9F">
              <w:rPr>
                <w:noProof/>
                <w:webHidden/>
              </w:rPr>
              <w:tab/>
            </w:r>
            <w:r w:rsidR="00187D9F">
              <w:rPr>
                <w:noProof/>
                <w:webHidden/>
              </w:rPr>
              <w:fldChar w:fldCharType="begin"/>
            </w:r>
            <w:r w:rsidR="00187D9F">
              <w:rPr>
                <w:noProof/>
                <w:webHidden/>
              </w:rPr>
              <w:instrText xml:space="preserve"> PAGEREF _Toc379882997 \h </w:instrText>
            </w:r>
            <w:r w:rsidR="00187D9F">
              <w:rPr>
                <w:noProof/>
                <w:webHidden/>
              </w:rPr>
            </w:r>
            <w:r w:rsidR="00187D9F">
              <w:rPr>
                <w:noProof/>
                <w:webHidden/>
              </w:rPr>
              <w:fldChar w:fldCharType="separate"/>
            </w:r>
            <w:r>
              <w:rPr>
                <w:noProof/>
                <w:webHidden/>
              </w:rPr>
              <w:t>12</w:t>
            </w:r>
            <w:r w:rsidR="00187D9F">
              <w:rPr>
                <w:noProof/>
                <w:webHidden/>
              </w:rPr>
              <w:fldChar w:fldCharType="end"/>
            </w:r>
          </w:hyperlink>
        </w:p>
        <w:p w:rsidR="00187D9F" w:rsidRDefault="007D221D" w:rsidP="00EE50C3">
          <w:pPr>
            <w:pStyle w:val="TOC1"/>
            <w:tabs>
              <w:tab w:val="left" w:pos="426"/>
              <w:tab w:val="right" w:leader="dot" w:pos="9016"/>
            </w:tabs>
            <w:rPr>
              <w:rFonts w:eastAsiaTheme="minorEastAsia"/>
              <w:noProof/>
              <w:lang w:eastAsia="en-AU"/>
            </w:rPr>
          </w:pPr>
          <w:hyperlink w:anchor="_Toc379882998" w:history="1">
            <w:r w:rsidR="00187D9F" w:rsidRPr="00042305">
              <w:rPr>
                <w:rStyle w:val="Hyperlink"/>
                <w:rFonts w:ascii="Calibri" w:hAnsi="Calibri"/>
                <w:noProof/>
              </w:rPr>
              <w:t>19.</w:t>
            </w:r>
            <w:r w:rsidR="00187D9F">
              <w:rPr>
                <w:rFonts w:eastAsiaTheme="minorEastAsia"/>
                <w:noProof/>
                <w:lang w:eastAsia="en-AU"/>
              </w:rPr>
              <w:tab/>
            </w:r>
            <w:r w:rsidR="00187D9F" w:rsidRPr="00042305">
              <w:rPr>
                <w:rStyle w:val="Hyperlink"/>
                <w:rFonts w:ascii="Calibri" w:hAnsi="Calibri"/>
                <w:noProof/>
              </w:rPr>
              <w:t>2005 to 2012 – four-year cohort periods</w:t>
            </w:r>
            <w:r w:rsidR="00187D9F">
              <w:rPr>
                <w:noProof/>
                <w:webHidden/>
              </w:rPr>
              <w:tab/>
            </w:r>
            <w:r w:rsidR="00187D9F">
              <w:rPr>
                <w:noProof/>
                <w:webHidden/>
              </w:rPr>
              <w:fldChar w:fldCharType="begin"/>
            </w:r>
            <w:r w:rsidR="00187D9F">
              <w:rPr>
                <w:noProof/>
                <w:webHidden/>
              </w:rPr>
              <w:instrText xml:space="preserve"> PAGEREF _Toc379882998 \h </w:instrText>
            </w:r>
            <w:r w:rsidR="00187D9F">
              <w:rPr>
                <w:noProof/>
                <w:webHidden/>
              </w:rPr>
            </w:r>
            <w:r w:rsidR="00187D9F">
              <w:rPr>
                <w:noProof/>
                <w:webHidden/>
              </w:rPr>
              <w:fldChar w:fldCharType="separate"/>
            </w:r>
            <w:r>
              <w:rPr>
                <w:noProof/>
                <w:webHidden/>
              </w:rPr>
              <w:t>13</w:t>
            </w:r>
            <w:r w:rsidR="00187D9F">
              <w:rPr>
                <w:noProof/>
                <w:webHidden/>
              </w:rPr>
              <w:fldChar w:fldCharType="end"/>
            </w:r>
          </w:hyperlink>
        </w:p>
        <w:p w:rsidR="006360B5" w:rsidRPr="006360B5" w:rsidRDefault="001163B9" w:rsidP="001163B9">
          <w:pPr>
            <w:rPr>
              <w:noProof/>
            </w:rPr>
            <w:sectPr w:rsidR="006360B5" w:rsidRPr="006360B5" w:rsidSect="00BA1703">
              <w:pgSz w:w="11906" w:h="16838"/>
              <w:pgMar w:top="1440" w:right="1440" w:bottom="1440" w:left="1440" w:header="708" w:footer="708" w:gutter="0"/>
              <w:pgNumType w:start="4"/>
              <w:cols w:space="708"/>
              <w:docGrid w:linePitch="360"/>
            </w:sectPr>
          </w:pPr>
          <w:r w:rsidRPr="001163B9">
            <w:rPr>
              <w:b/>
              <w:bCs/>
              <w:noProof/>
            </w:rPr>
            <w:fldChar w:fldCharType="end"/>
          </w:r>
        </w:p>
      </w:sdtContent>
    </w:sdt>
    <w:p w:rsidR="001163B9" w:rsidRDefault="001163B9" w:rsidP="001163B9">
      <w:pPr>
        <w:rPr>
          <w:b/>
          <w:sz w:val="24"/>
          <w:szCs w:val="24"/>
        </w:rPr>
      </w:pPr>
    </w:p>
    <w:p w:rsidR="001E188A" w:rsidRPr="007D18D6" w:rsidRDefault="001E188A" w:rsidP="001E188A">
      <w:pPr>
        <w:pStyle w:val="Heading1"/>
        <w:numPr>
          <w:ilvl w:val="0"/>
          <w:numId w:val="3"/>
        </w:numPr>
        <w:ind w:left="357" w:hanging="357"/>
        <w:rPr>
          <w:rStyle w:val="StyleCalibri16ptBoldCustomColorRGB2287136"/>
          <w:rFonts w:asciiTheme="minorHAnsi" w:hAnsiTheme="minorHAnsi"/>
          <w:b/>
          <w:bCs/>
          <w:color w:val="365F91" w:themeColor="accent1" w:themeShade="BF"/>
        </w:rPr>
      </w:pPr>
      <w:bookmarkStart w:id="1" w:name="_Toc379882980"/>
      <w:r>
        <w:rPr>
          <w:rStyle w:val="StyleCalibri16ptBoldCustomColorRGB2287136"/>
          <w:rFonts w:asciiTheme="minorHAnsi" w:hAnsiTheme="minorHAnsi"/>
          <w:b/>
          <w:color w:val="365F91" w:themeColor="accent1" w:themeShade="BF"/>
        </w:rPr>
        <w:t>Executive Summary</w:t>
      </w:r>
      <w:bookmarkEnd w:id="1"/>
    </w:p>
    <w:p w:rsidR="00284ABA" w:rsidRPr="00284ABA" w:rsidRDefault="00284ABA">
      <w:r w:rsidRPr="00284ABA">
        <w:t>The purpose of this study is to report on an analysis o</w:t>
      </w:r>
      <w:r w:rsidR="00491309">
        <w:t>f completion rates of domestic b</w:t>
      </w:r>
      <w:r w:rsidRPr="00284ABA">
        <w:t>achelor students who commenced in 2005 at a publicly funded university</w:t>
      </w:r>
      <w:r w:rsidR="00F021D6">
        <w:t xml:space="preserve"> and the</w:t>
      </w:r>
      <w:r w:rsidR="00971551">
        <w:t>ir</w:t>
      </w:r>
      <w:r w:rsidR="00F021D6">
        <w:t xml:space="preserve"> progression </w:t>
      </w:r>
      <w:r w:rsidR="00971551">
        <w:t>by 2012</w:t>
      </w:r>
      <w:r w:rsidR="00F021D6">
        <w:t>.</w:t>
      </w:r>
    </w:p>
    <w:p w:rsidR="00284ABA" w:rsidRDefault="00284ABA" w:rsidP="00284ABA">
      <w:r w:rsidRPr="001A6052">
        <w:rPr>
          <w:b/>
          <w:i/>
        </w:rPr>
        <w:t>Key Findings</w:t>
      </w:r>
      <w:r>
        <w:t>:</w:t>
      </w:r>
    </w:p>
    <w:p w:rsidR="00284ABA" w:rsidRDefault="00284ABA" w:rsidP="00284ABA">
      <w:pPr>
        <w:spacing w:after="0"/>
      </w:pPr>
      <w:r>
        <w:t>As at the end of 2012,</w:t>
      </w:r>
    </w:p>
    <w:p w:rsidR="00284ABA" w:rsidRDefault="00284ABA" w:rsidP="00284ABA">
      <w:pPr>
        <w:pStyle w:val="ListParagraph"/>
        <w:numPr>
          <w:ilvl w:val="0"/>
          <w:numId w:val="40"/>
        </w:numPr>
      </w:pPr>
      <w:r>
        <w:t xml:space="preserve">72.3% of domestic bachelor students in the 2005 cohort had completed their studies. </w:t>
      </w:r>
    </w:p>
    <w:p w:rsidR="00284ABA" w:rsidRDefault="00284ABA" w:rsidP="00284ABA">
      <w:pPr>
        <w:pStyle w:val="ListParagraph"/>
        <w:numPr>
          <w:ilvl w:val="0"/>
          <w:numId w:val="40"/>
        </w:numPr>
      </w:pPr>
      <w:r>
        <w:t xml:space="preserve">This rate of completion is consistent with the estimate attained in an earlier Departmental study of the 1992 and 1993 cohorts, where </w:t>
      </w:r>
      <w:r w:rsidR="00491309">
        <w:t xml:space="preserve">the </w:t>
      </w:r>
      <w:r>
        <w:t>undergraduate completion rate</w:t>
      </w:r>
      <w:r w:rsidR="00963732">
        <w:t>s</w:t>
      </w:r>
      <w:r>
        <w:t xml:space="preserve"> w</w:t>
      </w:r>
      <w:r w:rsidR="00963732">
        <w:t>ere</w:t>
      </w:r>
      <w:r>
        <w:t xml:space="preserve"> estimated at 71.6% </w:t>
      </w:r>
      <w:r w:rsidR="00491309">
        <w:t xml:space="preserve">and 70.8% </w:t>
      </w:r>
      <w:r w:rsidR="00963732">
        <w:t xml:space="preserve">respectively </w:t>
      </w:r>
      <w:r>
        <w:t xml:space="preserve">using </w:t>
      </w:r>
      <w:r w:rsidR="00491309">
        <w:t>a</w:t>
      </w:r>
      <w:r w:rsidR="00BD7FD1">
        <w:t xml:space="preserve">n extended </w:t>
      </w:r>
      <w:r>
        <w:t xml:space="preserve">approach (Martin </w:t>
      </w:r>
      <w:r w:rsidRPr="00F44DC0">
        <w:rPr>
          <w:i/>
        </w:rPr>
        <w:t>et</w:t>
      </w:r>
      <w:r>
        <w:t xml:space="preserve"> </w:t>
      </w:r>
      <w:r w:rsidRPr="00E16140">
        <w:rPr>
          <w:i/>
        </w:rPr>
        <w:t>al</w:t>
      </w:r>
      <w:r>
        <w:t>, 2001 pg. 1).</w:t>
      </w:r>
      <w:r>
        <w:rPr>
          <w:rStyle w:val="FootnoteReference"/>
        </w:rPr>
        <w:footnoteReference w:id="1"/>
      </w:r>
    </w:p>
    <w:p w:rsidR="00284ABA" w:rsidRDefault="00284ABA" w:rsidP="00284ABA">
      <w:pPr>
        <w:pStyle w:val="ListParagraph"/>
        <w:numPr>
          <w:ilvl w:val="0"/>
          <w:numId w:val="40"/>
        </w:numPr>
      </w:pPr>
      <w:r>
        <w:t>Also consistent with the Department’s findings from earlier years,</w:t>
      </w:r>
      <w:r>
        <w:rPr>
          <w:rStyle w:val="FootnoteReference"/>
        </w:rPr>
        <w:footnoteReference w:id="2"/>
      </w:r>
      <w:r>
        <w:t xml:space="preserve"> the cohorts with the highest completion rates are:</w:t>
      </w:r>
    </w:p>
    <w:p w:rsidR="00284ABA" w:rsidRDefault="00284ABA" w:rsidP="00284ABA">
      <w:pPr>
        <w:pStyle w:val="ListParagraph"/>
        <w:numPr>
          <w:ilvl w:val="1"/>
          <w:numId w:val="40"/>
        </w:numPr>
      </w:pPr>
      <w:r>
        <w:t>Women, 74.3%;</w:t>
      </w:r>
    </w:p>
    <w:p w:rsidR="00284ABA" w:rsidRDefault="00284ABA" w:rsidP="00284ABA">
      <w:pPr>
        <w:pStyle w:val="ListParagraph"/>
        <w:numPr>
          <w:ilvl w:val="1"/>
          <w:numId w:val="40"/>
        </w:numPr>
      </w:pPr>
      <w:r>
        <w:t>Full-time students, 77.7%;</w:t>
      </w:r>
    </w:p>
    <w:p w:rsidR="00284ABA" w:rsidRDefault="00284ABA" w:rsidP="00284ABA">
      <w:pPr>
        <w:pStyle w:val="ListParagraph"/>
        <w:numPr>
          <w:ilvl w:val="1"/>
          <w:numId w:val="40"/>
        </w:numPr>
      </w:pPr>
      <w:r>
        <w:t>Younger students (19 and under), 79.1%;</w:t>
      </w:r>
    </w:p>
    <w:p w:rsidR="00284ABA" w:rsidRDefault="00284ABA" w:rsidP="00284ABA">
      <w:pPr>
        <w:pStyle w:val="ListParagraph"/>
        <w:numPr>
          <w:ilvl w:val="1"/>
          <w:numId w:val="40"/>
        </w:numPr>
      </w:pPr>
      <w:r>
        <w:t xml:space="preserve">Students with high </w:t>
      </w:r>
      <w:proofErr w:type="spellStart"/>
      <w:r>
        <w:t>ATAR</w:t>
      </w:r>
      <w:proofErr w:type="spellEnd"/>
      <w:r>
        <w:t xml:space="preserve"> (95-</w:t>
      </w:r>
      <w:r w:rsidR="00900605">
        <w:t>100</w:t>
      </w:r>
      <w:r>
        <w:t>), 93.</w:t>
      </w:r>
      <w:r w:rsidR="00900605">
        <w:t>8</w:t>
      </w:r>
      <w:r>
        <w:t>%;</w:t>
      </w:r>
    </w:p>
    <w:p w:rsidR="00284ABA" w:rsidRDefault="00284ABA" w:rsidP="00284ABA">
      <w:pPr>
        <w:pStyle w:val="ListParagraph"/>
        <w:numPr>
          <w:ilvl w:val="1"/>
          <w:numId w:val="40"/>
        </w:numPr>
      </w:pPr>
      <w:r>
        <w:t>Non-English Speaking Background students, 77.7%;</w:t>
      </w:r>
    </w:p>
    <w:p w:rsidR="00284ABA" w:rsidRDefault="00284ABA" w:rsidP="00284ABA">
      <w:pPr>
        <w:pStyle w:val="ListParagraph"/>
        <w:numPr>
          <w:ilvl w:val="1"/>
          <w:numId w:val="40"/>
        </w:numPr>
      </w:pPr>
      <w:r>
        <w:t>Non-Indigenous students, 72.6%;</w:t>
      </w:r>
    </w:p>
    <w:p w:rsidR="00284ABA" w:rsidRDefault="00284ABA" w:rsidP="00284ABA">
      <w:pPr>
        <w:pStyle w:val="ListParagraph"/>
        <w:numPr>
          <w:ilvl w:val="1"/>
          <w:numId w:val="40"/>
        </w:numPr>
      </w:pPr>
      <w:r>
        <w:t>Metropolitan students, 73.7%;</w:t>
      </w:r>
    </w:p>
    <w:p w:rsidR="00284ABA" w:rsidRDefault="00491309" w:rsidP="00284ABA">
      <w:pPr>
        <w:pStyle w:val="ListParagraph"/>
        <w:numPr>
          <w:ilvl w:val="1"/>
          <w:numId w:val="40"/>
        </w:numPr>
      </w:pPr>
      <w:r>
        <w:t>High socio-e</w:t>
      </w:r>
      <w:r w:rsidR="00284ABA">
        <w:t>conomic status (SES) students, 76.5%.</w:t>
      </w:r>
    </w:p>
    <w:p w:rsidR="001E188A" w:rsidRPr="00284ABA" w:rsidRDefault="001E188A">
      <w:pPr>
        <w:rPr>
          <w:sz w:val="24"/>
          <w:szCs w:val="24"/>
        </w:rPr>
      </w:pPr>
      <w:r w:rsidRPr="00284ABA">
        <w:rPr>
          <w:sz w:val="24"/>
          <w:szCs w:val="24"/>
        </w:rPr>
        <w:br w:type="page"/>
      </w:r>
    </w:p>
    <w:p w:rsidR="001163B9" w:rsidRPr="007D18D6" w:rsidRDefault="001163B9" w:rsidP="007D18D6">
      <w:pPr>
        <w:pStyle w:val="Heading1"/>
        <w:numPr>
          <w:ilvl w:val="0"/>
          <w:numId w:val="3"/>
        </w:numPr>
        <w:ind w:left="357" w:hanging="357"/>
        <w:rPr>
          <w:rStyle w:val="StyleCalibri16ptBoldCustomColorRGB2287136"/>
          <w:rFonts w:asciiTheme="minorHAnsi" w:hAnsiTheme="minorHAnsi"/>
          <w:b/>
          <w:bCs/>
          <w:color w:val="365F91" w:themeColor="accent1" w:themeShade="BF"/>
        </w:rPr>
      </w:pPr>
      <w:bookmarkStart w:id="2" w:name="_Toc352940151"/>
      <w:bookmarkStart w:id="3" w:name="_Toc354134151"/>
      <w:bookmarkStart w:id="4" w:name="_Toc379882981"/>
      <w:r w:rsidRPr="007D18D6">
        <w:rPr>
          <w:rStyle w:val="StyleCalibri16ptBoldCustomColorRGB2287136"/>
          <w:rFonts w:asciiTheme="minorHAnsi" w:hAnsiTheme="minorHAnsi"/>
          <w:b/>
          <w:color w:val="365F91" w:themeColor="accent1" w:themeShade="BF"/>
        </w:rPr>
        <w:lastRenderedPageBreak/>
        <w:t>Introduction</w:t>
      </w:r>
      <w:bookmarkEnd w:id="2"/>
      <w:bookmarkEnd w:id="3"/>
      <w:bookmarkEnd w:id="4"/>
    </w:p>
    <w:p w:rsidR="002B0354" w:rsidRDefault="002B0354" w:rsidP="00716C00">
      <w:r w:rsidRPr="002B0354">
        <w:t xml:space="preserve">The Department has conducted a cohort </w:t>
      </w:r>
      <w:r w:rsidR="00304A7B">
        <w:t>study</w:t>
      </w:r>
      <w:r w:rsidRPr="002B0354">
        <w:t xml:space="preserve"> of completion rates for domestic bachelor students. </w:t>
      </w:r>
      <w:r w:rsidR="00D0530B">
        <w:t xml:space="preserve"> </w:t>
      </w:r>
      <w:r w:rsidRPr="002B0354">
        <w:t xml:space="preserve">All domestic bachelor students </w:t>
      </w:r>
      <w:r w:rsidR="00491309">
        <w:t>attending Table A universities</w:t>
      </w:r>
      <w:r w:rsidR="00CD0FF1">
        <w:t xml:space="preserve"> </w:t>
      </w:r>
      <w:r w:rsidRPr="002B0354">
        <w:t xml:space="preserve">in the 2005 cohort were tracked from commencement in 2005 to the end of 2012 using their student ID (within institution) and their Commonwealth Higher Education Student Support Number, CHESSN (across institutions). </w:t>
      </w:r>
      <w:r w:rsidR="00D0530B">
        <w:t xml:space="preserve"> </w:t>
      </w:r>
      <w:r w:rsidRPr="002B0354">
        <w:t xml:space="preserve">The results provide an overview of student </w:t>
      </w:r>
      <w:r w:rsidR="00D0530B">
        <w:t xml:space="preserve">outcomes between 2005 and 2012.  </w:t>
      </w:r>
      <w:r w:rsidR="00952D57">
        <w:t>That is, as of the end of 2012, how many of these students had completed their studies,</w:t>
      </w:r>
      <w:r w:rsidR="00952D57" w:rsidRPr="00E330DF">
        <w:rPr>
          <w:rStyle w:val="FootnoteReference"/>
        </w:rPr>
        <w:t xml:space="preserve"> </w:t>
      </w:r>
      <w:r w:rsidR="00952D57">
        <w:rPr>
          <w:rStyle w:val="FootnoteReference"/>
        </w:rPr>
        <w:footnoteReference w:id="3"/>
      </w:r>
      <w:r w:rsidR="00952D57">
        <w:t xml:space="preserve"> </w:t>
      </w:r>
      <w:r w:rsidRPr="002B0354">
        <w:t xml:space="preserve">how many were still studying, and how many were neither studying nor had completed </w:t>
      </w:r>
      <w:r w:rsidR="00952D57">
        <w:t xml:space="preserve">an award </w:t>
      </w:r>
      <w:r w:rsidRPr="002B0354">
        <w:t>and therefore were no longer at the original institution or the institution that they had transferred</w:t>
      </w:r>
      <w:r w:rsidR="00491309">
        <w:t xml:space="preserve"> to</w:t>
      </w:r>
      <w:r w:rsidRPr="002B0354">
        <w:t>.</w:t>
      </w:r>
      <w:r w:rsidR="00CD0FF1">
        <w:rPr>
          <w:rStyle w:val="FootnoteReference"/>
        </w:rPr>
        <w:footnoteReference w:id="4"/>
      </w:r>
    </w:p>
    <w:p w:rsidR="001163B9" w:rsidRDefault="00304A7B" w:rsidP="00716C00">
      <w:r>
        <w:t>Th</w:t>
      </w:r>
      <w:r w:rsidR="00105D78">
        <w:t>e</w:t>
      </w:r>
      <w:r>
        <w:t xml:space="preserve"> study seeks </w:t>
      </w:r>
      <w:r w:rsidR="00702299">
        <w:t xml:space="preserve">to build a detailed portrait of the progression of </w:t>
      </w:r>
      <w:r w:rsidR="002E1182">
        <w:t xml:space="preserve">these </w:t>
      </w:r>
      <w:r w:rsidR="00702299">
        <w:t>students through</w:t>
      </w:r>
      <w:r w:rsidR="00C076CA">
        <w:t xml:space="preserve"> the Higher Education System </w:t>
      </w:r>
      <w:r w:rsidR="002E1182">
        <w:t xml:space="preserve">to </w:t>
      </w:r>
      <w:r w:rsidR="00702299">
        <w:t xml:space="preserve">assist </w:t>
      </w:r>
      <w:r w:rsidR="00070CF4">
        <w:t xml:space="preserve">in understanding </w:t>
      </w:r>
      <w:r w:rsidR="00C076CA">
        <w:t xml:space="preserve">student performance.  </w:t>
      </w:r>
      <w:r w:rsidR="00952D57">
        <w:t>I</w:t>
      </w:r>
      <w:r w:rsidR="003F3CAA">
        <w:t xml:space="preserve">t </w:t>
      </w:r>
      <w:r w:rsidR="002E1182">
        <w:t xml:space="preserve">is </w:t>
      </w:r>
      <w:r w:rsidR="00952D57">
        <w:t xml:space="preserve">also </w:t>
      </w:r>
      <w:r w:rsidR="003F3CAA">
        <w:t xml:space="preserve">a useful tool in identifying </w:t>
      </w:r>
      <w:r w:rsidR="002E1182">
        <w:t xml:space="preserve">students with specific </w:t>
      </w:r>
      <w:r w:rsidR="003F3CAA">
        <w:t>characteristics who are more likel</w:t>
      </w:r>
      <w:r w:rsidR="00166D02">
        <w:t>y to drop out</w:t>
      </w:r>
      <w:r w:rsidR="002E1182">
        <w:t xml:space="preserve"> to facilitate </w:t>
      </w:r>
      <w:r w:rsidR="00105D78">
        <w:t xml:space="preserve">early </w:t>
      </w:r>
      <w:r w:rsidR="00166D02">
        <w:t>assistance</w:t>
      </w:r>
      <w:r w:rsidR="003F3CAA">
        <w:t xml:space="preserve"> </w:t>
      </w:r>
      <w:r w:rsidR="00166D02">
        <w:t xml:space="preserve">mechanisms </w:t>
      </w:r>
      <w:r w:rsidR="002E1182">
        <w:t xml:space="preserve">to support </w:t>
      </w:r>
      <w:r w:rsidR="00A42CCD">
        <w:t>them</w:t>
      </w:r>
      <w:r w:rsidR="00166D02">
        <w:t xml:space="preserve">. </w:t>
      </w:r>
    </w:p>
    <w:p w:rsidR="001163B9" w:rsidRDefault="001163B9" w:rsidP="00716C00">
      <w:pPr>
        <w:rPr>
          <w:b/>
        </w:rPr>
      </w:pPr>
    </w:p>
    <w:p w:rsidR="00221C51" w:rsidRPr="007D18D6" w:rsidRDefault="00221C51" w:rsidP="007D18D6">
      <w:pPr>
        <w:pStyle w:val="Heading1"/>
        <w:numPr>
          <w:ilvl w:val="0"/>
          <w:numId w:val="3"/>
        </w:numPr>
        <w:ind w:left="357" w:hanging="357"/>
        <w:rPr>
          <w:rStyle w:val="StyleCalibri16ptBoldCustomColorRGB2287136"/>
          <w:rFonts w:asciiTheme="minorHAnsi" w:hAnsiTheme="minorHAnsi"/>
          <w:b/>
          <w:bCs/>
          <w:color w:val="365F91" w:themeColor="accent1" w:themeShade="BF"/>
        </w:rPr>
      </w:pPr>
      <w:bookmarkStart w:id="5" w:name="_Toc379882982"/>
      <w:r w:rsidRPr="007D18D6">
        <w:rPr>
          <w:rStyle w:val="StyleCalibri16ptBoldCustomColorRGB2287136"/>
          <w:rFonts w:asciiTheme="minorHAnsi" w:hAnsiTheme="minorHAnsi"/>
          <w:b/>
          <w:color w:val="365F91" w:themeColor="accent1" w:themeShade="BF"/>
        </w:rPr>
        <w:t>Overall outcomes</w:t>
      </w:r>
      <w:bookmarkEnd w:id="5"/>
    </w:p>
    <w:p w:rsidR="006F59A0" w:rsidRPr="006F59A0" w:rsidRDefault="006F59A0" w:rsidP="00716C00">
      <w:pPr>
        <w:rPr>
          <w:b/>
          <w:i/>
        </w:rPr>
      </w:pPr>
      <w:r w:rsidRPr="006F59A0">
        <w:rPr>
          <w:b/>
          <w:i/>
        </w:rPr>
        <w:t>Domestic</w:t>
      </w:r>
    </w:p>
    <w:p w:rsidR="00BD7FD1" w:rsidRDefault="00CD0FF1" w:rsidP="00BD7FD1">
      <w:r>
        <w:t>F</w:t>
      </w:r>
      <w:r w:rsidR="00933277" w:rsidRPr="00933277">
        <w:t xml:space="preserve">or domestic bachelor students </w:t>
      </w:r>
      <w:r w:rsidR="00C57E64">
        <w:t>in the 2005 cohort</w:t>
      </w:r>
      <w:r w:rsidR="00BD7FD1">
        <w:t>:</w:t>
      </w:r>
      <w:r>
        <w:t xml:space="preserve"> </w:t>
      </w:r>
    </w:p>
    <w:p w:rsidR="00F13674" w:rsidRDefault="00BD7FD1" w:rsidP="00FD3C22">
      <w:pPr>
        <w:pStyle w:val="ListParagraph"/>
        <w:numPr>
          <w:ilvl w:val="0"/>
          <w:numId w:val="9"/>
        </w:numPr>
        <w:ind w:left="714" w:hanging="357"/>
      </w:pPr>
      <w:r>
        <w:t>T</w:t>
      </w:r>
      <w:r w:rsidR="00CD0FF1">
        <w:t xml:space="preserve">he overall completion rate </w:t>
      </w:r>
      <w:r w:rsidR="00933616">
        <w:t>wa</w:t>
      </w:r>
      <w:r w:rsidR="00933277" w:rsidRPr="00933277">
        <w:t xml:space="preserve">s 72.3% </w:t>
      </w:r>
      <w:r w:rsidR="00C57E64">
        <w:t>which consisted of</w:t>
      </w:r>
      <w:r w:rsidR="00933277" w:rsidRPr="00933277">
        <w:t xml:space="preserve"> 65.5% </w:t>
      </w:r>
      <w:r w:rsidR="00C57E64">
        <w:t>completing</w:t>
      </w:r>
      <w:r w:rsidR="00933277" w:rsidRPr="00933277">
        <w:t xml:space="preserve"> their stu</w:t>
      </w:r>
      <w:r w:rsidR="00C57E64">
        <w:t>dies with the same institution and</w:t>
      </w:r>
      <w:r w:rsidR="00933277" w:rsidRPr="00933277">
        <w:t xml:space="preserve"> 6.8% </w:t>
      </w:r>
      <w:r w:rsidR="00C57E64">
        <w:t xml:space="preserve">completing their studies </w:t>
      </w:r>
      <w:r w:rsidR="00C41FF4">
        <w:t>at</w:t>
      </w:r>
      <w:r w:rsidR="00C57E64">
        <w:t xml:space="preserve"> a</w:t>
      </w:r>
      <w:r w:rsidR="00C57E64" w:rsidRPr="00933277">
        <w:t xml:space="preserve"> different institution</w:t>
      </w:r>
      <w:r w:rsidR="000C4E66">
        <w:t xml:space="preserve"> (Table 1 and Chart 1)</w:t>
      </w:r>
      <w:r w:rsidR="00933277" w:rsidRPr="00933277">
        <w:t xml:space="preserve">. </w:t>
      </w:r>
    </w:p>
    <w:p w:rsidR="00933277" w:rsidRDefault="00F13674" w:rsidP="00FD3C22">
      <w:pPr>
        <w:pStyle w:val="ListParagraph"/>
        <w:numPr>
          <w:ilvl w:val="0"/>
          <w:numId w:val="9"/>
        </w:numPr>
        <w:ind w:left="714" w:hanging="357"/>
      </w:pPr>
      <w:r>
        <w:t>The proportion of students who</w:t>
      </w:r>
      <w:r w:rsidR="00933277" w:rsidRPr="00933277">
        <w:t xml:space="preserve"> had not completed and were still enrolled in 2012</w:t>
      </w:r>
      <w:r>
        <w:t xml:space="preserve"> </w:t>
      </w:r>
      <w:r w:rsidR="00933616">
        <w:t>wa</w:t>
      </w:r>
      <w:r>
        <w:t>s 5.3%</w:t>
      </w:r>
      <w:r w:rsidR="00C41FF4">
        <w:t>.</w:t>
      </w:r>
      <w:r>
        <w:t xml:space="preserve"> </w:t>
      </w:r>
      <w:proofErr w:type="gramStart"/>
      <w:r w:rsidR="00D8007B">
        <w:t>Those</w:t>
      </w:r>
      <w:proofErr w:type="gramEnd"/>
      <w:r w:rsidR="00D8007B">
        <w:t xml:space="preserve"> </w:t>
      </w:r>
      <w:r>
        <w:t>who</w:t>
      </w:r>
      <w:r w:rsidR="00933277" w:rsidRPr="00933277">
        <w:t xml:space="preserve"> re-e</w:t>
      </w:r>
      <w:r>
        <w:t>nrolled but dropped ou</w:t>
      </w:r>
      <w:r w:rsidR="00933616">
        <w:t>t by 2012 wa</w:t>
      </w:r>
      <w:r>
        <w:t>s 13.9%</w:t>
      </w:r>
      <w:r w:rsidR="00D8007B">
        <w:t>.</w:t>
      </w:r>
      <w:r w:rsidR="002175FF">
        <w:t xml:space="preserve"> </w:t>
      </w:r>
      <w:r w:rsidR="00933277" w:rsidRPr="00933277">
        <w:t xml:space="preserve">8.4% </w:t>
      </w:r>
      <w:r w:rsidR="00D8007B">
        <w:t xml:space="preserve">of the students </w:t>
      </w:r>
      <w:r w:rsidR="00C41FF4">
        <w:t xml:space="preserve">dropped out and </w:t>
      </w:r>
      <w:r w:rsidR="00933277" w:rsidRPr="00933277">
        <w:t>never came back.</w:t>
      </w:r>
    </w:p>
    <w:p w:rsidR="006F59A0" w:rsidRPr="006F59A0" w:rsidRDefault="006F59A0" w:rsidP="00716C00">
      <w:pPr>
        <w:rPr>
          <w:b/>
          <w:i/>
        </w:rPr>
      </w:pPr>
      <w:r w:rsidRPr="006F59A0">
        <w:rPr>
          <w:b/>
          <w:i/>
        </w:rPr>
        <w:t>International</w:t>
      </w:r>
    </w:p>
    <w:p w:rsidR="00872B30" w:rsidRDefault="00313E98" w:rsidP="00D16F44">
      <w:r w:rsidRPr="0099275A">
        <w:t xml:space="preserve">A distinct cohort of international bachelor students </w:t>
      </w:r>
      <w:r>
        <w:t>has been constructed for comparison purposes</w:t>
      </w:r>
      <w:r w:rsidR="00C41FF4">
        <w:t>.</w:t>
      </w:r>
      <w:r>
        <w:t xml:space="preserve"> </w:t>
      </w:r>
      <w:r w:rsidR="00C41FF4">
        <w:t>H</w:t>
      </w:r>
      <w:r w:rsidRPr="0099275A">
        <w:t>owever, it is not possible to determine what percentage</w:t>
      </w:r>
      <w:r w:rsidR="00C41FF4">
        <w:t xml:space="preserve"> of</w:t>
      </w:r>
      <w:r w:rsidRPr="0099275A">
        <w:t xml:space="preserve"> international students </w:t>
      </w:r>
      <w:r w:rsidR="00C41FF4">
        <w:t xml:space="preserve">may have completed their studies </w:t>
      </w:r>
      <w:r w:rsidRPr="0099275A">
        <w:t>at another institution because they do not have a CHESSN.</w:t>
      </w:r>
      <w:r>
        <w:t xml:space="preserve">  </w:t>
      </w:r>
    </w:p>
    <w:p w:rsidR="00872B30" w:rsidRDefault="00D16F44" w:rsidP="00872B30">
      <w:pPr>
        <w:pStyle w:val="ListParagraph"/>
        <w:numPr>
          <w:ilvl w:val="0"/>
          <w:numId w:val="33"/>
        </w:numPr>
      </w:pPr>
      <w:r>
        <w:lastRenderedPageBreak/>
        <w:t>The completion rate for i</w:t>
      </w:r>
      <w:r w:rsidR="00933616">
        <w:t>nternational bachelor students wa</w:t>
      </w:r>
      <w:r>
        <w:t>s</w:t>
      </w:r>
      <w:r w:rsidR="00313E98">
        <w:t xml:space="preserve"> </w:t>
      </w:r>
      <w:r>
        <w:t xml:space="preserve">74.1%, </w:t>
      </w:r>
      <w:r w:rsidR="00C41FF4">
        <w:t xml:space="preserve">which is </w:t>
      </w:r>
      <w:r w:rsidR="00313E98">
        <w:t>considerabl</w:t>
      </w:r>
      <w:r w:rsidR="00C41FF4">
        <w:t>y</w:t>
      </w:r>
      <w:r w:rsidR="00313E98">
        <w:t xml:space="preserve"> </w:t>
      </w:r>
      <w:r>
        <w:t xml:space="preserve">higher </w:t>
      </w:r>
      <w:r w:rsidR="00C41FF4">
        <w:t xml:space="preserve">than the completion rate for </w:t>
      </w:r>
      <w:r w:rsidRPr="00933277">
        <w:t>domestic bachelor students</w:t>
      </w:r>
      <w:r w:rsidR="00313E98">
        <w:t xml:space="preserve">.  </w:t>
      </w:r>
    </w:p>
    <w:p w:rsidR="000D08EF" w:rsidRDefault="007B7DE4" w:rsidP="00FF50F6">
      <w:pPr>
        <w:pStyle w:val="ListParagraph"/>
        <w:numPr>
          <w:ilvl w:val="0"/>
          <w:numId w:val="33"/>
        </w:numPr>
        <w:ind w:left="714" w:hanging="357"/>
      </w:pPr>
      <w:r>
        <w:t>The percentage of i</w:t>
      </w:r>
      <w:r w:rsidR="00D16F44">
        <w:t>nternational</w:t>
      </w:r>
      <w:r w:rsidR="00313E98">
        <w:t xml:space="preserve"> students still enrolled in stud</w:t>
      </w:r>
      <w:r w:rsidR="00C41FF4">
        <w:t>y</w:t>
      </w:r>
      <w:r w:rsidR="00313E98">
        <w:t xml:space="preserve"> </w:t>
      </w:r>
      <w:r w:rsidR="00D16F44">
        <w:t>at the end of the 8 year cohort period</w:t>
      </w:r>
      <w:r>
        <w:t xml:space="preserve"> within the same institution</w:t>
      </w:r>
      <w:r w:rsidR="00933616">
        <w:t xml:space="preserve"> wa</w:t>
      </w:r>
      <w:r w:rsidR="00D16F44">
        <w:t xml:space="preserve">s </w:t>
      </w:r>
      <w:r>
        <w:t xml:space="preserve">0.3% </w:t>
      </w:r>
      <w:r w:rsidR="00E62D14" w:rsidRPr="00E62D14">
        <w:t xml:space="preserve">while those who re-enrolled </w:t>
      </w:r>
      <w:r w:rsidR="00E62D14">
        <w:t xml:space="preserve">into the same institution </w:t>
      </w:r>
      <w:r w:rsidR="00933616">
        <w:t>but dropped out by 2012 wa</w:t>
      </w:r>
      <w:r w:rsidR="00E62D14" w:rsidRPr="00E62D14">
        <w:t>s 1</w:t>
      </w:r>
      <w:r w:rsidR="00E62D14">
        <w:t>5</w:t>
      </w:r>
      <w:r w:rsidR="00E62D14" w:rsidRPr="00E62D14">
        <w:t xml:space="preserve"> % and </w:t>
      </w:r>
      <w:r w:rsidR="00E62D14">
        <w:t>10</w:t>
      </w:r>
      <w:r w:rsidR="00E62D14" w:rsidRPr="00E62D14">
        <w:t>.</w:t>
      </w:r>
      <w:r w:rsidR="00E62D14">
        <w:t>5</w:t>
      </w:r>
      <w:r w:rsidR="00E62D14" w:rsidRPr="00E62D14">
        <w:t xml:space="preserve">% of the students </w:t>
      </w:r>
      <w:r w:rsidR="00C41FF4">
        <w:t xml:space="preserve">dropped out and </w:t>
      </w:r>
      <w:r w:rsidR="00E62D14" w:rsidRPr="00E62D14">
        <w:t>never came back.</w:t>
      </w:r>
    </w:p>
    <w:p w:rsidR="00FF50F6" w:rsidRPr="00FF50F6" w:rsidRDefault="00FF50F6" w:rsidP="00FF50F6">
      <w:pPr>
        <w:pStyle w:val="Heading1"/>
        <w:spacing w:before="0" w:after="200"/>
        <w:ind w:left="357"/>
        <w:rPr>
          <w:rStyle w:val="StyleCalibri16ptBoldCustomColorRGB2287136"/>
          <w:rFonts w:asciiTheme="minorHAnsi" w:hAnsiTheme="minorHAnsi"/>
          <w:b/>
          <w:bCs/>
          <w:color w:val="365F91" w:themeColor="accent1" w:themeShade="BF"/>
        </w:rPr>
      </w:pPr>
    </w:p>
    <w:p w:rsidR="008320D3" w:rsidRPr="007D18D6" w:rsidRDefault="002861C1" w:rsidP="007D18D6">
      <w:pPr>
        <w:pStyle w:val="Heading1"/>
        <w:numPr>
          <w:ilvl w:val="0"/>
          <w:numId w:val="3"/>
        </w:numPr>
        <w:ind w:left="357" w:hanging="357"/>
        <w:rPr>
          <w:rStyle w:val="StyleCalibri16ptBoldCustomColorRGB2287136"/>
          <w:rFonts w:asciiTheme="minorHAnsi" w:hAnsiTheme="minorHAnsi"/>
          <w:b/>
          <w:bCs/>
          <w:color w:val="365F91" w:themeColor="accent1" w:themeShade="BF"/>
        </w:rPr>
      </w:pPr>
      <w:bookmarkStart w:id="6" w:name="_Toc379882983"/>
      <w:r w:rsidRPr="007D18D6">
        <w:rPr>
          <w:rStyle w:val="StyleCalibri16ptBoldCustomColorRGB2287136"/>
          <w:rFonts w:asciiTheme="minorHAnsi" w:hAnsiTheme="minorHAnsi"/>
          <w:b/>
          <w:color w:val="365F91" w:themeColor="accent1" w:themeShade="BF"/>
        </w:rPr>
        <w:t xml:space="preserve">Outcomes </w:t>
      </w:r>
      <w:r w:rsidR="009C253A">
        <w:rPr>
          <w:rStyle w:val="StyleCalibri16ptBoldCustomColorRGB2287136"/>
          <w:rFonts w:asciiTheme="minorHAnsi" w:hAnsiTheme="minorHAnsi"/>
          <w:b/>
          <w:color w:val="365F91" w:themeColor="accent1" w:themeShade="BF"/>
        </w:rPr>
        <w:t>by</w:t>
      </w:r>
      <w:r w:rsidRPr="007D18D6">
        <w:rPr>
          <w:rStyle w:val="StyleCalibri16ptBoldCustomColorRGB2287136"/>
          <w:rFonts w:asciiTheme="minorHAnsi" w:hAnsiTheme="minorHAnsi"/>
          <w:b/>
          <w:color w:val="365F91" w:themeColor="accent1" w:themeShade="BF"/>
        </w:rPr>
        <w:t xml:space="preserve"> course level</w:t>
      </w:r>
      <w:bookmarkEnd w:id="6"/>
    </w:p>
    <w:p w:rsidR="000373E3" w:rsidRDefault="00A54EDF">
      <w:r>
        <w:t xml:space="preserve">The 2005 </w:t>
      </w:r>
      <w:r w:rsidR="00933616">
        <w:t>cohort included</w:t>
      </w:r>
      <w:r w:rsidRPr="00A54EDF">
        <w:t xml:space="preserve"> students in Bachelor’s Pass (95.4%), Bachelor’s Graduate Entry (3.1%), and Bachelor’s Honours (1.5%) degrees.</w:t>
      </w:r>
    </w:p>
    <w:p w:rsidR="00A54EDF" w:rsidRDefault="00A54EDF" w:rsidP="00A54EDF">
      <w:pPr>
        <w:pStyle w:val="ListParagraph"/>
        <w:numPr>
          <w:ilvl w:val="0"/>
          <w:numId w:val="9"/>
        </w:numPr>
      </w:pPr>
      <w:r>
        <w:t xml:space="preserve">Among these three categories, Honours students achieved the highest completion rate at 85.7% at either the same or </w:t>
      </w:r>
      <w:r w:rsidR="009C253A">
        <w:t xml:space="preserve">the </w:t>
      </w:r>
      <w:r>
        <w:t xml:space="preserve">different institution.  This compares </w:t>
      </w:r>
      <w:r w:rsidR="009C253A">
        <w:t>with</w:t>
      </w:r>
      <w:r>
        <w:t xml:space="preserve"> 81.8% for Graduate Entry students and 71.8% for Bachelor’s Pass students.</w:t>
      </w:r>
    </w:p>
    <w:p w:rsidR="00A54EDF" w:rsidRDefault="0045702E" w:rsidP="00A54EDF">
      <w:pPr>
        <w:pStyle w:val="ListParagraph"/>
        <w:numPr>
          <w:ilvl w:val="0"/>
          <w:numId w:val="9"/>
        </w:numPr>
      </w:pPr>
      <w:r>
        <w:t xml:space="preserve">The proportion of </w:t>
      </w:r>
      <w:r w:rsidR="00A54EDF">
        <w:t xml:space="preserve">Bachelor’s Pass </w:t>
      </w:r>
      <w:r>
        <w:t>students who</w:t>
      </w:r>
      <w:r w:rsidR="00A54EDF">
        <w:t xml:space="preserve"> had not completed and were still enrolled in 2012</w:t>
      </w:r>
      <w:r>
        <w:t xml:space="preserve"> was 5.5%.  </w:t>
      </w:r>
      <w:r w:rsidR="00A54EDF">
        <w:t>For Bachelor’s Graduate Entry and Bachelor’s Honours students these figures were 2.6% and 1.6% respectively.</w:t>
      </w:r>
    </w:p>
    <w:p w:rsidR="00A54EDF" w:rsidRDefault="00A54EDF" w:rsidP="00A54EDF">
      <w:pPr>
        <w:pStyle w:val="ListParagraph"/>
        <w:numPr>
          <w:ilvl w:val="0"/>
          <w:numId w:val="9"/>
        </w:numPr>
      </w:pPr>
      <w:r>
        <w:t>A total of 14.2% of Bachelor’s Pass students had re-enrolle</w:t>
      </w:r>
      <w:r w:rsidR="0003776B">
        <w:t xml:space="preserve">d, but dropped out before 2012.  </w:t>
      </w:r>
      <w:r>
        <w:t>This was followed by Bachelor’s Graduate Entry (7.5%), then Bachelor’s Honours (5.2%).</w:t>
      </w:r>
    </w:p>
    <w:p w:rsidR="00A54EDF" w:rsidRDefault="0003776B" w:rsidP="00C416D3">
      <w:pPr>
        <w:pStyle w:val="ListParagraph"/>
        <w:numPr>
          <w:ilvl w:val="0"/>
          <w:numId w:val="9"/>
        </w:numPr>
        <w:ind w:left="714" w:hanging="357"/>
      </w:pPr>
      <w:r>
        <w:t xml:space="preserve">While </w:t>
      </w:r>
      <w:r w:rsidR="00A54EDF">
        <w:t xml:space="preserve">8.5% of </w:t>
      </w:r>
      <w:r>
        <w:t xml:space="preserve">Bachelor’s </w:t>
      </w:r>
      <w:proofErr w:type="gramStart"/>
      <w:r>
        <w:t>Pass</w:t>
      </w:r>
      <w:proofErr w:type="gramEnd"/>
      <w:r>
        <w:t xml:space="preserve"> </w:t>
      </w:r>
      <w:r w:rsidR="00A54EDF">
        <w:t xml:space="preserve">students </w:t>
      </w:r>
      <w:r>
        <w:t xml:space="preserve">never came back after 2005.  </w:t>
      </w:r>
      <w:r w:rsidR="00A54EDF">
        <w:t>This was closely followed by Bachelor’s Graduate Entry (8.2%) then Bachelor’s Honours (7.5%).</w:t>
      </w:r>
    </w:p>
    <w:p w:rsidR="00AA3F91" w:rsidRDefault="00AA3F91"/>
    <w:p w:rsidR="009F0C13" w:rsidRPr="007D18D6" w:rsidRDefault="00924953" w:rsidP="007D18D6">
      <w:pPr>
        <w:pStyle w:val="Heading1"/>
        <w:numPr>
          <w:ilvl w:val="0"/>
          <w:numId w:val="3"/>
        </w:numPr>
        <w:ind w:left="357" w:hanging="357"/>
        <w:rPr>
          <w:rStyle w:val="StyleCalibri16ptBoldCustomColorRGB2287136"/>
          <w:rFonts w:asciiTheme="minorHAnsi" w:hAnsiTheme="minorHAnsi"/>
          <w:b/>
          <w:bCs/>
          <w:color w:val="365F91" w:themeColor="accent1" w:themeShade="BF"/>
        </w:rPr>
      </w:pPr>
      <w:bookmarkStart w:id="7" w:name="_Toc379882984"/>
      <w:r w:rsidRPr="007D18D6">
        <w:rPr>
          <w:rStyle w:val="StyleCalibri16ptBoldCustomColorRGB2287136"/>
          <w:rFonts w:asciiTheme="minorHAnsi" w:hAnsiTheme="minorHAnsi"/>
          <w:b/>
          <w:color w:val="365F91" w:themeColor="accent1" w:themeShade="BF"/>
        </w:rPr>
        <w:t xml:space="preserve">Mode of </w:t>
      </w:r>
      <w:r w:rsidR="009C253A">
        <w:rPr>
          <w:rStyle w:val="StyleCalibri16ptBoldCustomColorRGB2287136"/>
          <w:rFonts w:asciiTheme="minorHAnsi" w:hAnsiTheme="minorHAnsi"/>
          <w:b/>
          <w:color w:val="365F91" w:themeColor="accent1" w:themeShade="BF"/>
        </w:rPr>
        <w:t>a</w:t>
      </w:r>
      <w:r w:rsidRPr="007D18D6">
        <w:rPr>
          <w:rStyle w:val="StyleCalibri16ptBoldCustomColorRGB2287136"/>
          <w:rFonts w:asciiTheme="minorHAnsi" w:hAnsiTheme="minorHAnsi"/>
          <w:b/>
          <w:color w:val="365F91" w:themeColor="accent1" w:themeShade="BF"/>
        </w:rPr>
        <w:t>ttendance</w:t>
      </w:r>
      <w:bookmarkEnd w:id="7"/>
    </w:p>
    <w:p w:rsidR="00AA3F91" w:rsidRDefault="00AA3F91" w:rsidP="00AA3F91">
      <w:pPr>
        <w:spacing w:after="0"/>
      </w:pPr>
      <w:r>
        <w:t xml:space="preserve">Over 85% of the 2005 cohort studied internally (on campus), 8.9% studied externally (off campus) and 5.5% </w:t>
      </w:r>
      <w:r w:rsidR="009C253A">
        <w:t xml:space="preserve">undertook </w:t>
      </w:r>
      <w:r>
        <w:t>multi modal study (a combination of on and off campuses</w:t>
      </w:r>
      <w:r w:rsidR="009C253A">
        <w:t xml:space="preserve"> study</w:t>
      </w:r>
      <w:r>
        <w:t>).</w:t>
      </w:r>
    </w:p>
    <w:p w:rsidR="00AA3F91" w:rsidRDefault="00AA3F91" w:rsidP="00AA3F91">
      <w:pPr>
        <w:spacing w:after="0"/>
      </w:pPr>
    </w:p>
    <w:p w:rsidR="00AA3F91" w:rsidRDefault="00BB124B" w:rsidP="00C416D3">
      <w:pPr>
        <w:pStyle w:val="ListParagraph"/>
        <w:numPr>
          <w:ilvl w:val="0"/>
          <w:numId w:val="34"/>
        </w:numPr>
        <w:ind w:left="714" w:hanging="357"/>
      </w:pPr>
      <w:r>
        <w:t>S</w:t>
      </w:r>
      <w:r w:rsidR="00AA3F91">
        <w:t xml:space="preserve">tudents studying internally achieved the highest completion rate at </w:t>
      </w:r>
      <w:r w:rsidR="009C253A">
        <w:t xml:space="preserve">the same or a different institution of </w:t>
      </w:r>
      <w:r w:rsidR="00AA3F91">
        <w:t xml:space="preserve">75.4%.  The completion </w:t>
      </w:r>
      <w:proofErr w:type="gramStart"/>
      <w:r w:rsidR="00AA3F91">
        <w:t>rate</w:t>
      </w:r>
      <w:r w:rsidR="00933616">
        <w:t>s</w:t>
      </w:r>
      <w:r w:rsidR="00AA3F91">
        <w:t xml:space="preserve"> for students studying externally was</w:t>
      </w:r>
      <w:proofErr w:type="gramEnd"/>
      <w:r w:rsidR="00AA3F91">
        <w:t xml:space="preserve"> 44.4% and 69.5% for multi-modal</w:t>
      </w:r>
      <w:r w:rsidR="009C253A">
        <w:t xml:space="preserve"> study</w:t>
      </w:r>
      <w:r w:rsidR="00AA3F91">
        <w:t>.</w:t>
      </w:r>
    </w:p>
    <w:p w:rsidR="00AA3F91" w:rsidRDefault="00AA3F91" w:rsidP="00C416D3">
      <w:pPr>
        <w:pStyle w:val="ListParagraph"/>
        <w:numPr>
          <w:ilvl w:val="0"/>
          <w:numId w:val="34"/>
        </w:numPr>
        <w:ind w:left="714" w:hanging="357"/>
      </w:pPr>
      <w:r>
        <w:t>The highest proportion of students in this cohort who had not completed and were still enrolled in 2012 were those attending on an external basis (9.9%), followed by multi-modal (5.5%) and internal (4.9%).</w:t>
      </w:r>
    </w:p>
    <w:p w:rsidR="00AA3F91" w:rsidRDefault="00AA3F91" w:rsidP="00C416D3">
      <w:pPr>
        <w:pStyle w:val="ListParagraph"/>
        <w:numPr>
          <w:ilvl w:val="0"/>
          <w:numId w:val="34"/>
        </w:numPr>
        <w:ind w:left="714" w:hanging="357"/>
      </w:pPr>
      <w:r>
        <w:t>24.8% of students enrolled on an external basis had re-enrolled but dropped out before 2012. In comparison, 16.5% of multi-modal and 12.6% of internal students had re-enrolled but dropped out before 2012.</w:t>
      </w:r>
    </w:p>
    <w:p w:rsidR="00C416D3" w:rsidRPr="00F36CA8" w:rsidRDefault="00AA3F91" w:rsidP="00F36CA8">
      <w:pPr>
        <w:pStyle w:val="ListParagraph"/>
        <w:numPr>
          <w:ilvl w:val="0"/>
          <w:numId w:val="34"/>
        </w:numPr>
        <w:ind w:left="714" w:hanging="357"/>
        <w:rPr>
          <w:rStyle w:val="StyleCalibri16ptBoldCustomColorRGB2287136"/>
          <w:rFonts w:asciiTheme="minorHAnsi" w:hAnsiTheme="minorHAnsi"/>
          <w:b w:val="0"/>
          <w:bCs w:val="0"/>
          <w:color w:val="auto"/>
          <w:sz w:val="22"/>
        </w:rPr>
      </w:pPr>
      <w:r>
        <w:t>20.9% of students that had enrolled in 2005 on an external basis never came back after 2005. In comparison, only 8.6% of students studying on a multi-modal basis and 7.1% of students studying internally never returned.</w:t>
      </w:r>
    </w:p>
    <w:p w:rsidR="00354662" w:rsidRPr="007D18D6" w:rsidRDefault="00354662" w:rsidP="007D18D6">
      <w:pPr>
        <w:pStyle w:val="Heading1"/>
        <w:numPr>
          <w:ilvl w:val="0"/>
          <w:numId w:val="3"/>
        </w:numPr>
        <w:ind w:left="357" w:hanging="357"/>
        <w:rPr>
          <w:rStyle w:val="StyleCalibri16ptBoldCustomColorRGB2287136"/>
          <w:rFonts w:asciiTheme="minorHAnsi" w:hAnsiTheme="minorHAnsi"/>
          <w:b/>
          <w:bCs/>
          <w:color w:val="365F91" w:themeColor="accent1" w:themeShade="BF"/>
        </w:rPr>
      </w:pPr>
      <w:bookmarkStart w:id="8" w:name="_Toc379882985"/>
      <w:r w:rsidRPr="007D18D6">
        <w:rPr>
          <w:rStyle w:val="StyleCalibri16ptBoldCustomColorRGB2287136"/>
          <w:rFonts w:asciiTheme="minorHAnsi" w:hAnsiTheme="minorHAnsi"/>
          <w:b/>
          <w:color w:val="365F91" w:themeColor="accent1" w:themeShade="BF"/>
        </w:rPr>
        <w:lastRenderedPageBreak/>
        <w:t xml:space="preserve">Type of </w:t>
      </w:r>
      <w:r w:rsidR="009C253A">
        <w:rPr>
          <w:rStyle w:val="StyleCalibri16ptBoldCustomColorRGB2287136"/>
          <w:rFonts w:asciiTheme="minorHAnsi" w:hAnsiTheme="minorHAnsi"/>
          <w:b/>
          <w:color w:val="365F91" w:themeColor="accent1" w:themeShade="BF"/>
        </w:rPr>
        <w:t>a</w:t>
      </w:r>
      <w:r w:rsidRPr="007D18D6">
        <w:rPr>
          <w:rStyle w:val="StyleCalibri16ptBoldCustomColorRGB2287136"/>
          <w:rFonts w:asciiTheme="minorHAnsi" w:hAnsiTheme="minorHAnsi"/>
          <w:b/>
          <w:color w:val="365F91" w:themeColor="accent1" w:themeShade="BF"/>
        </w:rPr>
        <w:t>ttendance</w:t>
      </w:r>
      <w:bookmarkEnd w:id="8"/>
    </w:p>
    <w:p w:rsidR="00317944" w:rsidRPr="00317944" w:rsidRDefault="00317944" w:rsidP="00317944">
      <w:pPr>
        <w:spacing w:after="0"/>
      </w:pPr>
      <w:r w:rsidRPr="00317944">
        <w:t>Around 83% of the 2005 commencing domestic bachelor cohort studied full-time.</w:t>
      </w:r>
    </w:p>
    <w:p w:rsidR="00317944" w:rsidRPr="00317944" w:rsidRDefault="00317944" w:rsidP="00317944">
      <w:pPr>
        <w:spacing w:after="0"/>
      </w:pPr>
    </w:p>
    <w:p w:rsidR="001208CA" w:rsidRDefault="00317944" w:rsidP="00C416D3">
      <w:pPr>
        <w:pStyle w:val="ListParagraph"/>
        <w:numPr>
          <w:ilvl w:val="0"/>
          <w:numId w:val="35"/>
        </w:numPr>
        <w:spacing w:after="0"/>
        <w:ind w:left="714" w:hanging="357"/>
      </w:pPr>
      <w:r w:rsidRPr="00317944">
        <w:t xml:space="preserve">Full time students were more likely to complete their studies with </w:t>
      </w:r>
      <w:r w:rsidR="009C253A">
        <w:t xml:space="preserve">a </w:t>
      </w:r>
      <w:r w:rsidRPr="00317944">
        <w:t xml:space="preserve">77.7% completion rate compared to </w:t>
      </w:r>
      <w:r w:rsidR="009C253A">
        <w:t>a 47.1% completion rate for p</w:t>
      </w:r>
      <w:r w:rsidRPr="00317944">
        <w:t>art-time students.</w:t>
      </w:r>
    </w:p>
    <w:p w:rsidR="001208CA" w:rsidRDefault="009C253A" w:rsidP="00C416D3">
      <w:pPr>
        <w:pStyle w:val="ListParagraph"/>
        <w:numPr>
          <w:ilvl w:val="0"/>
          <w:numId w:val="35"/>
        </w:numPr>
        <w:spacing w:after="0"/>
        <w:ind w:left="714" w:hanging="357"/>
      </w:pPr>
      <w:r>
        <w:t>9.3% of students studying p</w:t>
      </w:r>
      <w:r w:rsidR="00317944" w:rsidRPr="00317944">
        <w:t xml:space="preserve">art-time had not completed and were still enrolled in 2012. This was almost twice as </w:t>
      </w:r>
      <w:r>
        <w:t>high as for f</w:t>
      </w:r>
      <w:r w:rsidR="00317944" w:rsidRPr="00317944">
        <w:t>ull-time students, where 4.5% had not completed and were still enrolled in 2012.</w:t>
      </w:r>
    </w:p>
    <w:p w:rsidR="001208CA" w:rsidRDefault="009C253A" w:rsidP="00C416D3">
      <w:pPr>
        <w:pStyle w:val="ListParagraph"/>
        <w:numPr>
          <w:ilvl w:val="0"/>
          <w:numId w:val="35"/>
        </w:numPr>
        <w:spacing w:after="0"/>
        <w:ind w:left="714" w:hanging="357"/>
      </w:pPr>
      <w:r>
        <w:t>23.6% of p</w:t>
      </w:r>
      <w:r w:rsidR="00317944" w:rsidRPr="00317944">
        <w:t>art-time students had re-enrolled but dropped out before 2012</w:t>
      </w:r>
      <w:r>
        <w:t xml:space="preserve">, </w:t>
      </w:r>
      <w:r w:rsidR="00BD7FD1">
        <w:t xml:space="preserve">compared with </w:t>
      </w:r>
      <w:r>
        <w:t>11.8% of f</w:t>
      </w:r>
      <w:r w:rsidR="00317944" w:rsidRPr="00317944">
        <w:t>ull-time students.</w:t>
      </w:r>
    </w:p>
    <w:p w:rsidR="00475A3A" w:rsidRDefault="00317944" w:rsidP="00C416D3">
      <w:pPr>
        <w:pStyle w:val="ListParagraph"/>
        <w:numPr>
          <w:ilvl w:val="0"/>
          <w:numId w:val="35"/>
        </w:numPr>
        <w:ind w:left="714" w:hanging="357"/>
      </w:pPr>
      <w:r w:rsidRPr="00317944">
        <w:t>20.0% of student</w:t>
      </w:r>
      <w:r w:rsidR="009C253A">
        <w:t>s that had enrolled in 2005 in p</w:t>
      </w:r>
      <w:r w:rsidRPr="00317944">
        <w:t>art-time stud</w:t>
      </w:r>
      <w:r w:rsidR="009C253A">
        <w:t>y</w:t>
      </w:r>
      <w:r w:rsidRPr="00317944">
        <w:t xml:space="preserve"> never came back after 2005. This was considerably higher than </w:t>
      </w:r>
      <w:r w:rsidR="009C253A">
        <w:t>among f</w:t>
      </w:r>
      <w:r w:rsidRPr="00317944">
        <w:t>ull-time students</w:t>
      </w:r>
      <w:r w:rsidR="00BD7FD1">
        <w:t xml:space="preserve"> at </w:t>
      </w:r>
      <w:r w:rsidRPr="00317944">
        <w:t>6.0%.</w:t>
      </w:r>
    </w:p>
    <w:p w:rsidR="00C416D3" w:rsidRPr="00C416D3" w:rsidRDefault="00C416D3" w:rsidP="00C416D3">
      <w:pPr>
        <w:pStyle w:val="Heading1"/>
        <w:spacing w:before="0" w:after="200"/>
        <w:ind w:left="357"/>
        <w:rPr>
          <w:rStyle w:val="StyleCalibri16ptBoldCustomColorRGB2287136"/>
          <w:rFonts w:asciiTheme="minorHAnsi" w:hAnsiTheme="minorHAnsi"/>
          <w:b/>
          <w:bCs/>
          <w:color w:val="365F91" w:themeColor="accent1" w:themeShade="BF"/>
        </w:rPr>
      </w:pPr>
    </w:p>
    <w:p w:rsidR="00405366" w:rsidRPr="007D18D6" w:rsidRDefault="00405366" w:rsidP="007D18D6">
      <w:pPr>
        <w:pStyle w:val="Heading1"/>
        <w:numPr>
          <w:ilvl w:val="0"/>
          <w:numId w:val="3"/>
        </w:numPr>
        <w:ind w:left="357" w:hanging="357"/>
        <w:rPr>
          <w:rStyle w:val="StyleCalibri16ptBoldCustomColorRGB2287136"/>
          <w:rFonts w:asciiTheme="minorHAnsi" w:hAnsiTheme="minorHAnsi"/>
          <w:b/>
          <w:bCs/>
          <w:color w:val="365F91" w:themeColor="accent1" w:themeShade="BF"/>
        </w:rPr>
      </w:pPr>
      <w:bookmarkStart w:id="9" w:name="_Toc379882986"/>
      <w:r w:rsidRPr="007D18D6">
        <w:rPr>
          <w:rStyle w:val="StyleCalibri16ptBoldCustomColorRGB2287136"/>
          <w:rFonts w:asciiTheme="minorHAnsi" w:hAnsiTheme="minorHAnsi"/>
          <w:b/>
          <w:color w:val="365F91" w:themeColor="accent1" w:themeShade="BF"/>
        </w:rPr>
        <w:t>Gender</w:t>
      </w:r>
      <w:bookmarkEnd w:id="9"/>
    </w:p>
    <w:p w:rsidR="001208CA" w:rsidRPr="001208CA" w:rsidRDefault="009C253A" w:rsidP="001208CA">
      <w:pPr>
        <w:spacing w:after="0"/>
      </w:pPr>
      <w:r>
        <w:t>The m</w:t>
      </w:r>
      <w:r w:rsidR="001208CA" w:rsidRPr="001208CA">
        <w:t xml:space="preserve">ajority of the </w:t>
      </w:r>
      <w:r w:rsidR="00BB124B">
        <w:t xml:space="preserve">2005 </w:t>
      </w:r>
      <w:r w:rsidR="001208CA" w:rsidRPr="001208CA">
        <w:t xml:space="preserve">cohort </w:t>
      </w:r>
      <w:proofErr w:type="gramStart"/>
      <w:r w:rsidR="001208CA" w:rsidRPr="001208CA">
        <w:t>were</w:t>
      </w:r>
      <w:proofErr w:type="gramEnd"/>
      <w:r w:rsidR="001208CA" w:rsidRPr="001208CA">
        <w:t xml:space="preserve"> female students (59%).</w:t>
      </w:r>
    </w:p>
    <w:p w:rsidR="001208CA" w:rsidRDefault="001208CA" w:rsidP="001208CA">
      <w:pPr>
        <w:spacing w:after="0"/>
      </w:pPr>
    </w:p>
    <w:p w:rsidR="001208CA" w:rsidRPr="001208CA" w:rsidRDefault="009C253A" w:rsidP="001208CA">
      <w:pPr>
        <w:pStyle w:val="ListParagraph"/>
        <w:numPr>
          <w:ilvl w:val="0"/>
          <w:numId w:val="38"/>
        </w:numPr>
        <w:spacing w:after="0"/>
        <w:ind w:left="993" w:hanging="284"/>
      </w:pPr>
      <w:r>
        <w:t>By the end of 2012, 74.3% of f</w:t>
      </w:r>
      <w:r w:rsidR="001208CA" w:rsidRPr="001208CA">
        <w:t>emale students</w:t>
      </w:r>
      <w:r>
        <w:t xml:space="preserve"> had</w:t>
      </w:r>
      <w:r w:rsidR="001208CA" w:rsidRPr="001208CA">
        <w:t xml:space="preserve"> completed their studies</w:t>
      </w:r>
      <w:r>
        <w:t>, in comparison with 69.5% for m</w:t>
      </w:r>
      <w:r w:rsidR="001208CA" w:rsidRPr="001208CA">
        <w:t>ale students.</w:t>
      </w:r>
    </w:p>
    <w:p w:rsidR="001208CA" w:rsidRPr="001208CA" w:rsidRDefault="008372E7" w:rsidP="001208CA">
      <w:pPr>
        <w:numPr>
          <w:ilvl w:val="0"/>
          <w:numId w:val="34"/>
        </w:numPr>
        <w:ind w:left="993" w:hanging="284"/>
        <w:contextualSpacing/>
        <w:rPr>
          <w:rFonts w:eastAsiaTheme="minorEastAsia"/>
          <w:lang w:eastAsia="zh-CN"/>
        </w:rPr>
      </w:pPr>
      <w:r>
        <w:rPr>
          <w:rFonts w:eastAsiaTheme="minorEastAsia"/>
          <w:lang w:eastAsia="zh-CN"/>
        </w:rPr>
        <w:t>Among m</w:t>
      </w:r>
      <w:r w:rsidR="001208CA" w:rsidRPr="001208CA">
        <w:rPr>
          <w:rFonts w:eastAsiaTheme="minorEastAsia"/>
          <w:lang w:eastAsia="zh-CN"/>
        </w:rPr>
        <w:t xml:space="preserve">ale students, 5.8% had not completed and were still enrolled in 2012 and </w:t>
      </w:r>
      <w:r>
        <w:rPr>
          <w:rFonts w:eastAsiaTheme="minorEastAsia"/>
          <w:lang w:eastAsia="zh-CN"/>
        </w:rPr>
        <w:t xml:space="preserve">among </w:t>
      </w:r>
      <w:r w:rsidR="001208CA" w:rsidRPr="001208CA">
        <w:rPr>
          <w:rFonts w:eastAsiaTheme="minorEastAsia"/>
          <w:lang w:eastAsia="zh-CN"/>
        </w:rPr>
        <w:t>female students the proportion was 5.0%.</w:t>
      </w:r>
    </w:p>
    <w:p w:rsidR="001208CA" w:rsidRPr="001208CA" w:rsidRDefault="008372E7" w:rsidP="001208CA">
      <w:pPr>
        <w:numPr>
          <w:ilvl w:val="0"/>
          <w:numId w:val="34"/>
        </w:numPr>
        <w:ind w:left="993" w:hanging="284"/>
        <w:contextualSpacing/>
        <w:rPr>
          <w:rFonts w:eastAsiaTheme="minorEastAsia"/>
          <w:lang w:eastAsia="zh-CN"/>
        </w:rPr>
      </w:pPr>
      <w:r>
        <w:rPr>
          <w:rFonts w:eastAsiaTheme="minorEastAsia"/>
          <w:lang w:eastAsia="zh-CN"/>
        </w:rPr>
        <w:t>15.7% of m</w:t>
      </w:r>
      <w:r w:rsidR="001208CA" w:rsidRPr="001208CA">
        <w:rPr>
          <w:rFonts w:eastAsiaTheme="minorEastAsia"/>
          <w:lang w:eastAsia="zh-CN"/>
        </w:rPr>
        <w:t>ale students had re-enrolled but dro</w:t>
      </w:r>
      <w:r>
        <w:rPr>
          <w:rFonts w:eastAsiaTheme="minorEastAsia"/>
          <w:lang w:eastAsia="zh-CN"/>
        </w:rPr>
        <w:t>pped out before 2012</w:t>
      </w:r>
      <w:r w:rsidR="00BD7FD1">
        <w:rPr>
          <w:rFonts w:eastAsiaTheme="minorEastAsia"/>
          <w:lang w:eastAsia="zh-CN"/>
        </w:rPr>
        <w:t xml:space="preserve">, compared with </w:t>
      </w:r>
      <w:r>
        <w:rPr>
          <w:rFonts w:eastAsiaTheme="minorEastAsia"/>
          <w:lang w:eastAsia="zh-CN"/>
        </w:rPr>
        <w:t>12.6% of f</w:t>
      </w:r>
      <w:r w:rsidR="001208CA" w:rsidRPr="001208CA">
        <w:rPr>
          <w:rFonts w:eastAsiaTheme="minorEastAsia"/>
          <w:lang w:eastAsia="zh-CN"/>
        </w:rPr>
        <w:t>emale students</w:t>
      </w:r>
      <w:r w:rsidR="00BD7FD1">
        <w:rPr>
          <w:rFonts w:eastAsiaTheme="minorEastAsia"/>
          <w:lang w:eastAsia="zh-CN"/>
        </w:rPr>
        <w:t>.</w:t>
      </w:r>
    </w:p>
    <w:p w:rsidR="00C557EB" w:rsidRPr="00415B9D" w:rsidRDefault="008372E7" w:rsidP="00415B9D">
      <w:pPr>
        <w:numPr>
          <w:ilvl w:val="0"/>
          <w:numId w:val="34"/>
        </w:numPr>
        <w:ind w:left="993" w:hanging="284"/>
        <w:contextualSpacing/>
        <w:rPr>
          <w:rFonts w:eastAsiaTheme="minorEastAsia"/>
          <w:lang w:eastAsia="zh-CN"/>
        </w:rPr>
      </w:pPr>
      <w:r>
        <w:rPr>
          <w:rFonts w:eastAsiaTheme="minorEastAsia"/>
          <w:lang w:eastAsia="zh-CN"/>
        </w:rPr>
        <w:t>9.1% of male students and 8.0% of f</w:t>
      </w:r>
      <w:r w:rsidR="001208CA" w:rsidRPr="001208CA">
        <w:rPr>
          <w:rFonts w:eastAsiaTheme="minorEastAsia"/>
          <w:lang w:eastAsia="zh-CN"/>
        </w:rPr>
        <w:t>emale students never came back after 2005.</w:t>
      </w:r>
    </w:p>
    <w:p w:rsidR="00BB124B" w:rsidRPr="00BB124B" w:rsidRDefault="00BB124B" w:rsidP="00BB124B">
      <w:pPr>
        <w:pStyle w:val="Heading1"/>
        <w:spacing w:before="0" w:after="200"/>
        <w:ind w:left="357"/>
        <w:rPr>
          <w:rStyle w:val="StyleCalibri16ptBoldCustomColorRGB2287136"/>
          <w:rFonts w:asciiTheme="minorHAnsi" w:hAnsiTheme="minorHAnsi"/>
          <w:b/>
          <w:bCs/>
          <w:color w:val="365F91" w:themeColor="accent1" w:themeShade="BF"/>
        </w:rPr>
      </w:pPr>
    </w:p>
    <w:p w:rsidR="00C557EB" w:rsidRPr="007D18D6" w:rsidRDefault="00C557EB" w:rsidP="007D18D6">
      <w:pPr>
        <w:pStyle w:val="Heading1"/>
        <w:numPr>
          <w:ilvl w:val="0"/>
          <w:numId w:val="3"/>
        </w:numPr>
        <w:ind w:left="357" w:hanging="357"/>
        <w:rPr>
          <w:rStyle w:val="StyleCalibri16ptBoldCustomColorRGB2287136"/>
          <w:rFonts w:asciiTheme="minorHAnsi" w:hAnsiTheme="minorHAnsi"/>
          <w:b/>
          <w:bCs/>
          <w:color w:val="365F91" w:themeColor="accent1" w:themeShade="BF"/>
        </w:rPr>
      </w:pPr>
      <w:bookmarkStart w:id="10" w:name="_Toc379882987"/>
      <w:r w:rsidRPr="007D18D6">
        <w:rPr>
          <w:rStyle w:val="StyleCalibri16ptBoldCustomColorRGB2287136"/>
          <w:rFonts w:asciiTheme="minorHAnsi" w:hAnsiTheme="minorHAnsi"/>
          <w:b/>
          <w:color w:val="365F91" w:themeColor="accent1" w:themeShade="BF"/>
        </w:rPr>
        <w:t>Age</w:t>
      </w:r>
      <w:bookmarkEnd w:id="10"/>
    </w:p>
    <w:p w:rsidR="001208CA" w:rsidRDefault="001208CA" w:rsidP="001208CA">
      <w:pPr>
        <w:spacing w:after="0"/>
      </w:pPr>
      <w:r>
        <w:t xml:space="preserve">Over half of the </w:t>
      </w:r>
      <w:r w:rsidR="00BB124B">
        <w:t xml:space="preserve">2005 </w:t>
      </w:r>
      <w:r>
        <w:t xml:space="preserve">cohort were </w:t>
      </w:r>
      <w:r w:rsidR="008372E7">
        <w:t xml:space="preserve">aged </w:t>
      </w:r>
      <w:r>
        <w:t>19 and under (57.5%), with the remainder 21.6%</w:t>
      </w:r>
      <w:r w:rsidR="008372E7">
        <w:t>,</w:t>
      </w:r>
      <w:r>
        <w:t xml:space="preserve"> aged between 20 </w:t>
      </w:r>
      <w:r w:rsidR="00781BD9">
        <w:t>and</w:t>
      </w:r>
      <w:r>
        <w:t xml:space="preserve"> 24 and 20.9% aged 25 and over.</w:t>
      </w:r>
    </w:p>
    <w:p w:rsidR="001208CA" w:rsidRDefault="001208CA" w:rsidP="001208CA">
      <w:pPr>
        <w:spacing w:after="0"/>
      </w:pPr>
    </w:p>
    <w:p w:rsidR="001208CA" w:rsidRDefault="001208CA" w:rsidP="00BB124B">
      <w:pPr>
        <w:pStyle w:val="ListParagraph"/>
        <w:numPr>
          <w:ilvl w:val="0"/>
          <w:numId w:val="34"/>
        </w:numPr>
        <w:spacing w:after="0"/>
        <w:ind w:left="714" w:hanging="357"/>
      </w:pPr>
      <w:r>
        <w:t xml:space="preserve">The probability of completing an award declines </w:t>
      </w:r>
      <w:r w:rsidR="008372E7">
        <w:t xml:space="preserve">the </w:t>
      </w:r>
      <w:r>
        <w:t>older</w:t>
      </w:r>
      <w:r w:rsidR="008372E7">
        <w:t xml:space="preserve"> the</w:t>
      </w:r>
      <w:r>
        <w:t xml:space="preserve"> student. This </w:t>
      </w:r>
      <w:r w:rsidR="008372E7">
        <w:t xml:space="preserve">may be associated with </w:t>
      </w:r>
      <w:r>
        <w:t>the fact that older students are more inclined to study part-time and therefore more were still studying in 2012.</w:t>
      </w:r>
    </w:p>
    <w:p w:rsidR="001208CA" w:rsidRDefault="001208CA" w:rsidP="00BB124B">
      <w:pPr>
        <w:pStyle w:val="ListParagraph"/>
        <w:numPr>
          <w:ilvl w:val="0"/>
          <w:numId w:val="34"/>
        </w:numPr>
        <w:spacing w:after="0"/>
        <w:ind w:left="714" w:hanging="357"/>
      </w:pPr>
      <w:r>
        <w:t xml:space="preserve">79.1% of students aged 19 years or under in 2005 </w:t>
      </w:r>
      <w:r w:rsidR="008372E7">
        <w:t xml:space="preserve">had </w:t>
      </w:r>
      <w:r>
        <w:t xml:space="preserve">completed their studies by 2012. However, only 69.2% of students aged between 20 and 24 and 57.1% of students aged 25 and above </w:t>
      </w:r>
      <w:r w:rsidR="008372E7">
        <w:t xml:space="preserve">had </w:t>
      </w:r>
      <w:r>
        <w:t>completed their studies by 2012.</w:t>
      </w:r>
    </w:p>
    <w:p w:rsidR="001208CA" w:rsidRDefault="001208CA" w:rsidP="00BB124B">
      <w:pPr>
        <w:pStyle w:val="ListParagraph"/>
        <w:numPr>
          <w:ilvl w:val="0"/>
          <w:numId w:val="34"/>
        </w:numPr>
        <w:spacing w:after="0"/>
        <w:ind w:left="714" w:hanging="357"/>
      </w:pPr>
      <w:r>
        <w:t xml:space="preserve">The highest </w:t>
      </w:r>
      <w:proofErr w:type="gramStart"/>
      <w:r>
        <w:t>proportion</w:t>
      </w:r>
      <w:proofErr w:type="gramEnd"/>
      <w:r>
        <w:t xml:space="preserve"> of students by age group who had not completed and were still enrolled in 2012 were those aged 25 and over (6.6%). This was followed by students aged 20-24 (5.5%) and 19 and under (4.8%).</w:t>
      </w:r>
    </w:p>
    <w:p w:rsidR="001208CA" w:rsidRDefault="001208CA" w:rsidP="00BB124B">
      <w:pPr>
        <w:pStyle w:val="ListParagraph"/>
        <w:numPr>
          <w:ilvl w:val="0"/>
          <w:numId w:val="34"/>
        </w:numPr>
        <w:ind w:left="714" w:hanging="357"/>
      </w:pPr>
      <w:r>
        <w:lastRenderedPageBreak/>
        <w:t xml:space="preserve">The age group with the highest proportion of students who had re-enrolled but dropped out before 2012 were those aged 25 and over (19.9%), </w:t>
      </w:r>
      <w:r w:rsidR="008372E7">
        <w:t xml:space="preserve">followed by </w:t>
      </w:r>
      <w:r w:rsidR="006435DA">
        <w:t>those</w:t>
      </w:r>
      <w:r w:rsidR="0047408D">
        <w:t xml:space="preserve"> aged </w:t>
      </w:r>
      <w:r>
        <w:t xml:space="preserve">20-24 (15.7%) and </w:t>
      </w:r>
      <w:r w:rsidR="008372E7">
        <w:t xml:space="preserve">those aged </w:t>
      </w:r>
      <w:r>
        <w:t>19 and under (11.0%).</w:t>
      </w:r>
    </w:p>
    <w:p w:rsidR="00E31C2C" w:rsidRDefault="001208CA" w:rsidP="00BB124B">
      <w:pPr>
        <w:pStyle w:val="ListParagraph"/>
        <w:numPr>
          <w:ilvl w:val="0"/>
          <w:numId w:val="34"/>
        </w:numPr>
        <w:ind w:left="714" w:hanging="357"/>
      </w:pPr>
      <w:r>
        <w:t>16.4% of students aged 25 and over enrolled in 2005 and never came back after 2005</w:t>
      </w:r>
      <w:r w:rsidR="007634FF">
        <w:t xml:space="preserve">, compared with </w:t>
      </w:r>
      <w:r>
        <w:t>9.7% of students aged 20-24 and 5.1% of students aged 19 and under.</w:t>
      </w:r>
    </w:p>
    <w:p w:rsidR="00BB124B" w:rsidRPr="00BB124B" w:rsidRDefault="00BB124B" w:rsidP="00BB124B">
      <w:pPr>
        <w:pStyle w:val="Heading1"/>
        <w:spacing w:before="0" w:after="200"/>
        <w:ind w:left="357"/>
        <w:rPr>
          <w:rStyle w:val="StyleCalibri16ptBoldCustomColorRGB2287136"/>
          <w:rFonts w:asciiTheme="minorHAnsi" w:hAnsiTheme="minorHAnsi"/>
          <w:b/>
          <w:bCs/>
          <w:color w:val="365F91" w:themeColor="accent1" w:themeShade="BF"/>
        </w:rPr>
      </w:pPr>
    </w:p>
    <w:p w:rsidR="00E31C2C" w:rsidRPr="007D18D6" w:rsidRDefault="008372E7" w:rsidP="007D18D6">
      <w:pPr>
        <w:pStyle w:val="Heading1"/>
        <w:numPr>
          <w:ilvl w:val="0"/>
          <w:numId w:val="3"/>
        </w:numPr>
        <w:ind w:left="357" w:hanging="357"/>
        <w:rPr>
          <w:rStyle w:val="StyleCalibri16ptBoldCustomColorRGB2287136"/>
          <w:rFonts w:asciiTheme="minorHAnsi" w:hAnsiTheme="minorHAnsi"/>
          <w:b/>
          <w:bCs/>
          <w:color w:val="365F91" w:themeColor="accent1" w:themeShade="BF"/>
        </w:rPr>
      </w:pPr>
      <w:bookmarkStart w:id="11" w:name="_Toc379882988"/>
      <w:r>
        <w:rPr>
          <w:rStyle w:val="StyleCalibri16ptBoldCustomColorRGB2287136"/>
          <w:rFonts w:asciiTheme="minorHAnsi" w:hAnsiTheme="minorHAnsi"/>
          <w:b/>
          <w:color w:val="365F91" w:themeColor="accent1" w:themeShade="BF"/>
        </w:rPr>
        <w:t>Basis of a</w:t>
      </w:r>
      <w:r w:rsidR="00E31C2C" w:rsidRPr="007D18D6">
        <w:rPr>
          <w:rStyle w:val="StyleCalibri16ptBoldCustomColorRGB2287136"/>
          <w:rFonts w:asciiTheme="minorHAnsi" w:hAnsiTheme="minorHAnsi"/>
          <w:b/>
          <w:color w:val="365F91" w:themeColor="accent1" w:themeShade="BF"/>
        </w:rPr>
        <w:t>dmission</w:t>
      </w:r>
      <w:bookmarkEnd w:id="11"/>
    </w:p>
    <w:p w:rsidR="0057223D" w:rsidRDefault="002F1158" w:rsidP="0057223D">
      <w:pPr>
        <w:spacing w:after="0"/>
      </w:pPr>
      <w:r>
        <w:t xml:space="preserve">The </w:t>
      </w:r>
      <w:r w:rsidR="006435DA">
        <w:t>m</w:t>
      </w:r>
      <w:r w:rsidR="0057223D">
        <w:t>ajority of students in th</w:t>
      </w:r>
      <w:r w:rsidR="006435DA">
        <w:t xml:space="preserve">e 2005 </w:t>
      </w:r>
      <w:r w:rsidR="0057223D">
        <w:t xml:space="preserve">cohort were admitted on </w:t>
      </w:r>
      <w:r w:rsidR="006435DA">
        <w:t>an ‘</w:t>
      </w:r>
      <w:r w:rsidR="0057223D">
        <w:t>other basis of admission</w:t>
      </w:r>
      <w:r w:rsidR="006435DA">
        <w:t>’</w:t>
      </w:r>
      <w:r w:rsidR="0057223D">
        <w:t>, such as mature age special entry, other higher education qualifications (complete or incomplete) or VET award courses.</w:t>
      </w:r>
      <w:r w:rsidR="006435DA">
        <w:t xml:space="preserve"> </w:t>
      </w:r>
      <w:r w:rsidR="00371C33">
        <w:t>Of the 2005 cohort, 45</w:t>
      </w:r>
      <w:r w:rsidR="006435DA">
        <w:t>% were admitted on the basis of ‘secondary education’ (with or without ATAR).</w:t>
      </w:r>
    </w:p>
    <w:p w:rsidR="0057223D" w:rsidRDefault="0057223D" w:rsidP="0057223D">
      <w:pPr>
        <w:spacing w:after="0"/>
      </w:pPr>
    </w:p>
    <w:p w:rsidR="0057223D" w:rsidRDefault="0015206A" w:rsidP="00BB124B">
      <w:pPr>
        <w:pStyle w:val="ListParagraph"/>
        <w:numPr>
          <w:ilvl w:val="0"/>
          <w:numId w:val="34"/>
        </w:numPr>
        <w:spacing w:after="0"/>
        <w:ind w:left="714" w:hanging="357"/>
      </w:pPr>
      <w:r>
        <w:t>77.4</w:t>
      </w:r>
      <w:r w:rsidR="0057223D">
        <w:t>% of stu</w:t>
      </w:r>
      <w:r w:rsidR="006435DA">
        <w:t xml:space="preserve">dents admitted on the basis of </w:t>
      </w:r>
      <w:r w:rsidR="00FF50F6">
        <w:t>‘</w:t>
      </w:r>
      <w:r w:rsidR="006435DA">
        <w:t>s</w:t>
      </w:r>
      <w:r w:rsidR="0057223D">
        <w:t xml:space="preserve">econdary </w:t>
      </w:r>
      <w:r w:rsidR="006435DA">
        <w:t>education</w:t>
      </w:r>
      <w:r w:rsidR="00FF50F6">
        <w:t>’</w:t>
      </w:r>
      <w:r w:rsidR="006435DA">
        <w:t xml:space="preserve"> </w:t>
      </w:r>
      <w:r w:rsidR="0057223D">
        <w:t xml:space="preserve">completed their studies by 2012 and </w:t>
      </w:r>
      <w:r>
        <w:t>68.1</w:t>
      </w:r>
      <w:r w:rsidR="0057223D">
        <w:t xml:space="preserve">% of students admitted on </w:t>
      </w:r>
      <w:r w:rsidR="006435DA">
        <w:t>an ‘</w:t>
      </w:r>
      <w:r w:rsidR="0057223D">
        <w:t xml:space="preserve">other basis </w:t>
      </w:r>
      <w:r w:rsidR="006435DA">
        <w:t xml:space="preserve">of admission’ </w:t>
      </w:r>
      <w:r w:rsidR="0057223D">
        <w:t>completed their studies.</w:t>
      </w:r>
    </w:p>
    <w:p w:rsidR="0057223D" w:rsidRDefault="0015206A" w:rsidP="00BB124B">
      <w:pPr>
        <w:pStyle w:val="ListParagraph"/>
        <w:numPr>
          <w:ilvl w:val="0"/>
          <w:numId w:val="34"/>
        </w:numPr>
        <w:spacing w:after="0"/>
        <w:ind w:left="714" w:hanging="357"/>
      </w:pPr>
      <w:r>
        <w:t>5.1</w:t>
      </w:r>
      <w:r w:rsidR="0057223D">
        <w:t xml:space="preserve">% of students </w:t>
      </w:r>
      <w:r>
        <w:t xml:space="preserve">admitted on the basis of ‘secondary education’ </w:t>
      </w:r>
      <w:r w:rsidR="0057223D">
        <w:t>had not completed and were still enrolled in 2012</w:t>
      </w:r>
      <w:r>
        <w:t xml:space="preserve"> (compared to 5.5% for students admitted on</w:t>
      </w:r>
      <w:r w:rsidR="002F1158">
        <w:t xml:space="preserve"> an</w:t>
      </w:r>
      <w:r>
        <w:t xml:space="preserve"> ‘other basis of admission’).</w:t>
      </w:r>
    </w:p>
    <w:p w:rsidR="0057223D" w:rsidRDefault="0015206A" w:rsidP="00BB124B">
      <w:pPr>
        <w:pStyle w:val="ListParagraph"/>
        <w:numPr>
          <w:ilvl w:val="0"/>
          <w:numId w:val="34"/>
        </w:numPr>
        <w:spacing w:after="0"/>
        <w:ind w:left="714" w:hanging="357"/>
      </w:pPr>
      <w:r>
        <w:t>15.9</w:t>
      </w:r>
      <w:r w:rsidR="0057223D">
        <w:t xml:space="preserve">% of students admitted on the basis of </w:t>
      </w:r>
      <w:r>
        <w:t xml:space="preserve">‘other basis of admission’ </w:t>
      </w:r>
      <w:r w:rsidR="0057223D">
        <w:t>had re-enrolled but dropped out before 2012.</w:t>
      </w:r>
      <w:r w:rsidR="0057223D" w:rsidRPr="006C3937">
        <w:t xml:space="preserve"> </w:t>
      </w:r>
      <w:r w:rsidR="0057223D">
        <w:t xml:space="preserve">This was followed by </w:t>
      </w:r>
      <w:r>
        <w:t>11.5</w:t>
      </w:r>
      <w:r w:rsidR="0057223D">
        <w:t xml:space="preserve">% of students admitted </w:t>
      </w:r>
      <w:r w:rsidR="00080BDA">
        <w:t>through</w:t>
      </w:r>
      <w:r w:rsidR="00FF50F6">
        <w:t xml:space="preserve"> ‘</w:t>
      </w:r>
      <w:r>
        <w:t>secondary education</w:t>
      </w:r>
      <w:r w:rsidR="00080BDA">
        <w:t>’</w:t>
      </w:r>
      <w:r w:rsidR="0057223D">
        <w:t>.</w:t>
      </w:r>
    </w:p>
    <w:p w:rsidR="00D83945" w:rsidRDefault="0015206A" w:rsidP="00BB124B">
      <w:pPr>
        <w:pStyle w:val="ListParagraph"/>
        <w:numPr>
          <w:ilvl w:val="0"/>
          <w:numId w:val="34"/>
        </w:numPr>
        <w:ind w:left="714" w:hanging="357"/>
      </w:pPr>
      <w:r>
        <w:t>6.0</w:t>
      </w:r>
      <w:r w:rsidR="0057223D">
        <w:t>%</w:t>
      </w:r>
      <w:r w:rsidR="0057223D" w:rsidRPr="006C3937">
        <w:t xml:space="preserve"> </w:t>
      </w:r>
      <w:r w:rsidR="0057223D">
        <w:t xml:space="preserve">of students admitted on the basis of </w:t>
      </w:r>
      <w:r w:rsidR="00FF50F6">
        <w:t>‘s</w:t>
      </w:r>
      <w:r w:rsidR="0057223D">
        <w:t xml:space="preserve">econdary </w:t>
      </w:r>
      <w:r w:rsidR="00FF50F6">
        <w:t>education’</w:t>
      </w:r>
      <w:r w:rsidR="0057223D">
        <w:t xml:space="preserve"> and </w:t>
      </w:r>
      <w:r>
        <w:t>10.5</w:t>
      </w:r>
      <w:r w:rsidR="0057223D">
        <w:t>% of students admitted on</w:t>
      </w:r>
      <w:r w:rsidR="00FF50F6">
        <w:t xml:space="preserve"> an</w:t>
      </w:r>
      <w:r w:rsidR="0057223D">
        <w:t xml:space="preserve"> </w:t>
      </w:r>
      <w:r w:rsidR="00FF50F6">
        <w:t>‘other basis of a</w:t>
      </w:r>
      <w:r w:rsidR="0057223D">
        <w:t>dmission</w:t>
      </w:r>
      <w:r w:rsidR="00FF50F6">
        <w:t>’</w:t>
      </w:r>
      <w:r w:rsidR="0057223D">
        <w:t xml:space="preserve"> had enrolled in 2005 but never came back after 2005.</w:t>
      </w:r>
    </w:p>
    <w:p w:rsidR="00475A3A" w:rsidRDefault="00475A3A" w:rsidP="00BB124B">
      <w:pPr>
        <w:ind w:left="357"/>
      </w:pPr>
    </w:p>
    <w:p w:rsidR="00D83945" w:rsidRPr="007D18D6" w:rsidRDefault="00D83945" w:rsidP="007D18D6">
      <w:pPr>
        <w:pStyle w:val="Heading1"/>
        <w:numPr>
          <w:ilvl w:val="0"/>
          <w:numId w:val="3"/>
        </w:numPr>
        <w:ind w:left="357" w:hanging="357"/>
        <w:rPr>
          <w:rStyle w:val="StyleCalibri16ptBoldCustomColorRGB2287136"/>
          <w:rFonts w:asciiTheme="minorHAnsi" w:hAnsiTheme="minorHAnsi"/>
          <w:b/>
          <w:color w:val="365F91" w:themeColor="accent1" w:themeShade="BF"/>
        </w:rPr>
      </w:pPr>
      <w:bookmarkStart w:id="12" w:name="_Toc379882989"/>
      <w:r w:rsidRPr="007D18D6">
        <w:rPr>
          <w:rStyle w:val="StyleCalibri16ptBoldCustomColorRGB2287136"/>
          <w:rFonts w:asciiTheme="minorHAnsi" w:hAnsiTheme="minorHAnsi"/>
          <w:b/>
          <w:color w:val="365F91" w:themeColor="accent1" w:themeShade="BF"/>
        </w:rPr>
        <w:t>ATAR bands</w:t>
      </w:r>
      <w:bookmarkEnd w:id="12"/>
    </w:p>
    <w:p w:rsidR="0027292C" w:rsidRDefault="0027292C" w:rsidP="0027292C">
      <w:pPr>
        <w:spacing w:after="0"/>
      </w:pPr>
      <w:r>
        <w:t>Over 36% of th</w:t>
      </w:r>
      <w:r w:rsidR="00FF50F6">
        <w:t>e 2005</w:t>
      </w:r>
      <w:r>
        <w:t xml:space="preserve"> cohort had an ATAR score.</w:t>
      </w:r>
    </w:p>
    <w:p w:rsidR="0027292C" w:rsidRDefault="0027292C" w:rsidP="0027292C">
      <w:pPr>
        <w:spacing w:after="0"/>
      </w:pPr>
    </w:p>
    <w:p w:rsidR="0027292C" w:rsidRDefault="0027292C" w:rsidP="00BB124B">
      <w:pPr>
        <w:pStyle w:val="ListParagraph"/>
        <w:numPr>
          <w:ilvl w:val="0"/>
          <w:numId w:val="34"/>
        </w:numPr>
        <w:spacing w:after="0"/>
        <w:ind w:left="714" w:hanging="357"/>
      </w:pPr>
      <w:r>
        <w:t>Among the ATAR bands, students in 95-</w:t>
      </w:r>
      <w:r w:rsidR="00900605">
        <w:t>100</w:t>
      </w:r>
      <w:r>
        <w:t xml:space="preserve"> </w:t>
      </w:r>
      <w:proofErr w:type="spellStart"/>
      <w:r w:rsidR="00FF50F6">
        <w:t>ATAR</w:t>
      </w:r>
      <w:proofErr w:type="spellEnd"/>
      <w:r>
        <w:t xml:space="preserve"> band achieved the</w:t>
      </w:r>
      <w:r w:rsidR="00900605">
        <w:t xml:space="preserve"> highest completion rate at 93.8</w:t>
      </w:r>
      <w:r>
        <w:t>%. Completion rates for other bands are 88.6% for 90-94, 81.4% for 80-90, 71.9% for 70-79, 63.7% for 60-69, 55.1% for 50-59 and 50.7% for 30-49. This compare</w:t>
      </w:r>
      <w:r w:rsidR="00FF50F6">
        <w:t>s</w:t>
      </w:r>
      <w:r>
        <w:t xml:space="preserve"> with </w:t>
      </w:r>
      <w:r w:rsidR="00FF50F6">
        <w:t xml:space="preserve">a </w:t>
      </w:r>
      <w:r>
        <w:t>completion rate of 68.</w:t>
      </w:r>
      <w:r w:rsidR="00900605">
        <w:t>0</w:t>
      </w:r>
      <w:r>
        <w:t xml:space="preserve">% for students with no ATAR. </w:t>
      </w:r>
    </w:p>
    <w:p w:rsidR="0027292C" w:rsidRDefault="0027292C" w:rsidP="00BB124B">
      <w:pPr>
        <w:pStyle w:val="ListParagraph"/>
        <w:numPr>
          <w:ilvl w:val="0"/>
          <w:numId w:val="34"/>
        </w:numPr>
        <w:spacing w:after="0"/>
        <w:ind w:left="714" w:hanging="357"/>
      </w:pPr>
      <w:r>
        <w:t>7.1% of students with an ATAR of 60-69 had not completed and were still enrolled in 2012. This was followed by the bands 50-59 (6.9%), 70-79 (6.3%), 80-89 (5.0%), 30-49 (4.7%), 90-94 (3.6%) and 95-</w:t>
      </w:r>
      <w:r w:rsidR="00900605">
        <w:t>100</w:t>
      </w:r>
      <w:r>
        <w:t xml:space="preserve"> (</w:t>
      </w:r>
      <w:r w:rsidR="00900605">
        <w:t>1.9</w:t>
      </w:r>
      <w:r>
        <w:t>%). For student</w:t>
      </w:r>
      <w:r w:rsidR="00FF50F6">
        <w:t>s</w:t>
      </w:r>
      <w:r>
        <w:t xml:space="preserve"> with no </w:t>
      </w:r>
      <w:proofErr w:type="spellStart"/>
      <w:r>
        <w:t>ATAR</w:t>
      </w:r>
      <w:proofErr w:type="spellEnd"/>
      <w:r>
        <w:t>, 5.</w:t>
      </w:r>
      <w:r w:rsidR="00900605">
        <w:t>7</w:t>
      </w:r>
      <w:r>
        <w:t>% were still enrolled.</w:t>
      </w:r>
    </w:p>
    <w:p w:rsidR="0027292C" w:rsidRDefault="0027292C" w:rsidP="00BB124B">
      <w:pPr>
        <w:pStyle w:val="ListParagraph"/>
        <w:numPr>
          <w:ilvl w:val="0"/>
          <w:numId w:val="34"/>
        </w:numPr>
        <w:spacing w:after="0"/>
        <w:ind w:left="714" w:hanging="357"/>
      </w:pPr>
      <w:r>
        <w:t>The highest proportion of students with an ATAR who re-enrolled but dropped out before 2012 were those with a score of 30-49 (26.5%). This was followed by the bands 50-59 (21.7%), 60-69 (18.4%), 70-79 (14.6%), 80-89 (9.8%), 90-94 (5.9%) and 95-</w:t>
      </w:r>
      <w:r w:rsidR="00900605">
        <w:t>100</w:t>
      </w:r>
      <w:r>
        <w:t>% (3.</w:t>
      </w:r>
      <w:r w:rsidR="00900605">
        <w:t>4</w:t>
      </w:r>
      <w:r>
        <w:t>%). For students wi</w:t>
      </w:r>
      <w:r w:rsidR="00900605">
        <w:t>th no ATAR, this figure was 15.9</w:t>
      </w:r>
      <w:r>
        <w:t>%.</w:t>
      </w:r>
    </w:p>
    <w:p w:rsidR="00475A3A" w:rsidRDefault="0027292C" w:rsidP="00BB124B">
      <w:pPr>
        <w:pStyle w:val="ListParagraph"/>
        <w:numPr>
          <w:ilvl w:val="0"/>
          <w:numId w:val="34"/>
        </w:numPr>
        <w:ind w:left="714" w:hanging="357"/>
      </w:pPr>
      <w:r>
        <w:lastRenderedPageBreak/>
        <w:t xml:space="preserve">Of the students who enrolled in 2005 and never came back, 18.1% were in the ATAR band 30-49. </w:t>
      </w:r>
      <w:r w:rsidR="00FF50F6">
        <w:t>This was followed by the bands</w:t>
      </w:r>
      <w:r>
        <w:t xml:space="preserve"> 50-59 (16.3%), 60-69 (10.9%), 70-79 (7.2%), 80-89 (3.9%), 90-94 (2.0%), 95-</w:t>
      </w:r>
      <w:r w:rsidR="00900605">
        <w:t>100 (0.9%) and 10.5</w:t>
      </w:r>
      <w:r>
        <w:t>% for students with no ATAR.</w:t>
      </w:r>
    </w:p>
    <w:p w:rsidR="00FF50F6" w:rsidRDefault="00FF50F6" w:rsidP="00FF50F6">
      <w:pPr>
        <w:pStyle w:val="Heading1"/>
        <w:spacing w:before="0" w:after="200"/>
        <w:ind w:left="357"/>
        <w:rPr>
          <w:rStyle w:val="StyleCalibri16ptBoldCustomColorRGB2287136"/>
          <w:b/>
        </w:rPr>
      </w:pPr>
    </w:p>
    <w:p w:rsidR="00227FF5" w:rsidRPr="00D27FF4" w:rsidRDefault="00227FF5" w:rsidP="00D27FF4">
      <w:pPr>
        <w:pStyle w:val="Heading1"/>
        <w:numPr>
          <w:ilvl w:val="0"/>
          <w:numId w:val="3"/>
        </w:numPr>
        <w:ind w:left="357" w:hanging="357"/>
        <w:rPr>
          <w:rStyle w:val="StyleCalibri16ptBoldCustomColorRGB2287136"/>
          <w:b/>
        </w:rPr>
      </w:pPr>
      <w:bookmarkStart w:id="13" w:name="_Toc379882990"/>
      <w:r w:rsidRPr="00D27FF4">
        <w:rPr>
          <w:rStyle w:val="StyleCalibri16ptBoldCustomColorRGB2287136"/>
          <w:b/>
        </w:rPr>
        <w:t>Enabling indicator</w:t>
      </w:r>
      <w:bookmarkEnd w:id="13"/>
    </w:p>
    <w:p w:rsidR="00E97F89" w:rsidRDefault="00E97F89" w:rsidP="00E97F89">
      <w:pPr>
        <w:spacing w:after="0"/>
      </w:pPr>
      <w:r>
        <w:t xml:space="preserve">Around 3% of the </w:t>
      </w:r>
      <w:r w:rsidR="00FF50F6">
        <w:t xml:space="preserve">2005 </w:t>
      </w:r>
      <w:r>
        <w:t xml:space="preserve">cohort had </w:t>
      </w:r>
      <w:r w:rsidR="00FF50F6">
        <w:t xml:space="preserve">completed </w:t>
      </w:r>
      <w:r>
        <w:t xml:space="preserve">a previous enabling course. The remainder 97% went straight to a bachelor course in 2005. </w:t>
      </w:r>
    </w:p>
    <w:p w:rsidR="00BF5748" w:rsidRPr="007773A2" w:rsidRDefault="00BF5748" w:rsidP="00E97F89">
      <w:pPr>
        <w:spacing w:after="0"/>
      </w:pPr>
    </w:p>
    <w:p w:rsidR="00E97F89" w:rsidRDefault="00E97F89" w:rsidP="00BB124B">
      <w:pPr>
        <w:pStyle w:val="ListParagraph"/>
        <w:numPr>
          <w:ilvl w:val="0"/>
          <w:numId w:val="34"/>
        </w:numPr>
        <w:spacing w:after="0"/>
        <w:ind w:left="714" w:hanging="357"/>
      </w:pPr>
      <w:r>
        <w:t xml:space="preserve">62.6% of students with prior enabling courses completed their studies </w:t>
      </w:r>
      <w:r w:rsidR="00FF50F6">
        <w:t xml:space="preserve">compared with </w:t>
      </w:r>
      <w:r>
        <w:t>72.6% of students with</w:t>
      </w:r>
      <w:r w:rsidR="00FF50F6">
        <w:t xml:space="preserve"> no prior </w:t>
      </w:r>
      <w:r>
        <w:t>enabling courses.</w:t>
      </w:r>
    </w:p>
    <w:p w:rsidR="00E97F89" w:rsidRDefault="00E97F89" w:rsidP="00BB124B">
      <w:pPr>
        <w:pStyle w:val="ListParagraph"/>
        <w:numPr>
          <w:ilvl w:val="0"/>
          <w:numId w:val="34"/>
        </w:numPr>
        <w:spacing w:after="0"/>
        <w:ind w:left="714" w:hanging="357"/>
      </w:pPr>
      <w:r>
        <w:t>7.1% of students with prior enabling courses and 5.3% with no prior enabling courses had not completed and were still enrolled in 2012.</w:t>
      </w:r>
    </w:p>
    <w:p w:rsidR="00E97F89" w:rsidRDefault="00E97F89" w:rsidP="00BB124B">
      <w:pPr>
        <w:pStyle w:val="ListParagraph"/>
        <w:numPr>
          <w:ilvl w:val="0"/>
          <w:numId w:val="34"/>
        </w:numPr>
        <w:spacing w:after="0"/>
        <w:ind w:left="714" w:hanging="357"/>
      </w:pPr>
      <w:r>
        <w:t>19.6% of students with prior enabling courses and 13.7% with no prior enabling courses had re-enrolled but dropped out before 2012.</w:t>
      </w:r>
    </w:p>
    <w:p w:rsidR="00192C86" w:rsidRDefault="00E97F89" w:rsidP="00BB124B">
      <w:pPr>
        <w:pStyle w:val="ListParagraph"/>
        <w:numPr>
          <w:ilvl w:val="0"/>
          <w:numId w:val="34"/>
        </w:numPr>
        <w:ind w:left="714" w:hanging="357"/>
      </w:pPr>
      <w:r>
        <w:t>10.7% of students with prior enabling courses and 8.4% with no prior enabling courses enrolled in 2005 and never came back after 2005.</w:t>
      </w:r>
    </w:p>
    <w:p w:rsidR="00475A3A" w:rsidRDefault="00475A3A" w:rsidP="00BB124B"/>
    <w:p w:rsidR="00192C86" w:rsidRPr="00D27FF4" w:rsidRDefault="00192C86" w:rsidP="00D27FF4">
      <w:pPr>
        <w:pStyle w:val="Heading1"/>
        <w:numPr>
          <w:ilvl w:val="0"/>
          <w:numId w:val="3"/>
        </w:numPr>
        <w:ind w:left="357" w:hanging="357"/>
        <w:rPr>
          <w:rStyle w:val="StyleCalibri16ptBoldCustomColorRGB2287136"/>
          <w:b/>
          <w:bCs/>
        </w:rPr>
      </w:pPr>
      <w:bookmarkStart w:id="14" w:name="_Toc379882991"/>
      <w:r w:rsidRPr="00D27FF4">
        <w:rPr>
          <w:rStyle w:val="StyleCalibri16ptBoldCustomColorRGB2287136"/>
          <w:b/>
        </w:rPr>
        <w:t>Indigenous indicator</w:t>
      </w:r>
      <w:bookmarkEnd w:id="14"/>
    </w:p>
    <w:p w:rsidR="00BF5748" w:rsidRDefault="00BF5748" w:rsidP="00BF5748">
      <w:pPr>
        <w:spacing w:after="0"/>
      </w:pPr>
      <w:r>
        <w:t>1.2% of th</w:t>
      </w:r>
      <w:r w:rsidR="00FF50F6">
        <w:t>e 2005</w:t>
      </w:r>
      <w:r>
        <w:t xml:space="preserve"> cohort were </w:t>
      </w:r>
      <w:r w:rsidR="00FF50F6">
        <w:t>I</w:t>
      </w:r>
      <w:r>
        <w:t>ndigenous students, the rest were non-indigenous students.</w:t>
      </w:r>
    </w:p>
    <w:p w:rsidR="00BF5748" w:rsidRDefault="00BF5748" w:rsidP="00BF5748">
      <w:pPr>
        <w:spacing w:after="0"/>
      </w:pPr>
    </w:p>
    <w:p w:rsidR="00BF5748" w:rsidRDefault="00BF5748" w:rsidP="00BB124B">
      <w:pPr>
        <w:pStyle w:val="ListParagraph"/>
        <w:numPr>
          <w:ilvl w:val="0"/>
          <w:numId w:val="34"/>
        </w:numPr>
        <w:spacing w:after="0"/>
        <w:ind w:left="714" w:hanging="357"/>
      </w:pPr>
      <w:r>
        <w:t xml:space="preserve">45.5% of students from </w:t>
      </w:r>
      <w:r w:rsidR="00FF50F6">
        <w:t>an I</w:t>
      </w:r>
      <w:r>
        <w:t xml:space="preserve">ndigenous background completed their studies by 2012 </w:t>
      </w:r>
      <w:r w:rsidR="00FF50F6">
        <w:t xml:space="preserve">compared with </w:t>
      </w:r>
      <w:r>
        <w:t>72.6% of students from</w:t>
      </w:r>
      <w:r w:rsidR="00FF50F6">
        <w:t xml:space="preserve"> a </w:t>
      </w:r>
      <w:r>
        <w:t>non-indigenous background.</w:t>
      </w:r>
    </w:p>
    <w:p w:rsidR="00BF5748" w:rsidRDefault="00BF5748" w:rsidP="00BB124B">
      <w:pPr>
        <w:pStyle w:val="ListParagraph"/>
        <w:numPr>
          <w:ilvl w:val="0"/>
          <w:numId w:val="34"/>
        </w:numPr>
        <w:spacing w:after="0"/>
        <w:ind w:left="714" w:hanging="357"/>
      </w:pPr>
      <w:r>
        <w:t xml:space="preserve">9.3% of students from an Indigenous background had not completed and were still enrolled in 2012 </w:t>
      </w:r>
      <w:r w:rsidR="008736BE">
        <w:t xml:space="preserve">compared with </w:t>
      </w:r>
      <w:r>
        <w:t>5.3% of students from a non-Indigenous background.</w:t>
      </w:r>
    </w:p>
    <w:p w:rsidR="00BF5748" w:rsidRDefault="00BF5748" w:rsidP="00BB124B">
      <w:pPr>
        <w:pStyle w:val="ListParagraph"/>
        <w:numPr>
          <w:ilvl w:val="0"/>
          <w:numId w:val="34"/>
        </w:numPr>
        <w:spacing w:after="0"/>
        <w:ind w:left="714" w:hanging="357"/>
      </w:pPr>
      <w:r>
        <w:t>24.5% of Indigenous students re-enrolled but dropped out before 2012</w:t>
      </w:r>
      <w:r w:rsidR="007634FF">
        <w:t xml:space="preserve">, compared with </w:t>
      </w:r>
      <w:r>
        <w:t>13.8% of non-Indigenous students.</w:t>
      </w:r>
    </w:p>
    <w:p w:rsidR="008736BE" w:rsidRPr="002175FF" w:rsidRDefault="00BF5748" w:rsidP="002175FF">
      <w:pPr>
        <w:pStyle w:val="ListParagraph"/>
        <w:numPr>
          <w:ilvl w:val="0"/>
          <w:numId w:val="34"/>
        </w:numPr>
        <w:ind w:left="714" w:hanging="357"/>
        <w:rPr>
          <w:rStyle w:val="StyleCalibri16ptBoldCustomColorRGB2287136"/>
          <w:rFonts w:asciiTheme="minorHAnsi" w:hAnsiTheme="minorHAnsi"/>
          <w:b w:val="0"/>
          <w:bCs w:val="0"/>
          <w:color w:val="auto"/>
          <w:sz w:val="22"/>
        </w:rPr>
      </w:pPr>
      <w:r>
        <w:t xml:space="preserve">20.8% of Indigenous students </w:t>
      </w:r>
      <w:r w:rsidR="008736BE">
        <w:t xml:space="preserve">dropped out and </w:t>
      </w:r>
      <w:r>
        <w:t>never came back</w:t>
      </w:r>
      <w:r w:rsidR="008736BE">
        <w:t xml:space="preserve"> while </w:t>
      </w:r>
      <w:r>
        <w:t>8.3% of non-Indigenous students never returned.</w:t>
      </w:r>
    </w:p>
    <w:p w:rsidR="002175FF" w:rsidRPr="002175FF" w:rsidRDefault="002175FF" w:rsidP="002175FF">
      <w:pPr>
        <w:pStyle w:val="Heading1"/>
        <w:spacing w:before="0" w:after="200"/>
        <w:rPr>
          <w:rStyle w:val="StyleCalibri16ptBoldCustomColorRGB2287136"/>
          <w:b/>
          <w:bCs/>
        </w:rPr>
      </w:pPr>
    </w:p>
    <w:p w:rsidR="00F32858" w:rsidRPr="00D27FF4" w:rsidRDefault="00F32858" w:rsidP="00D27FF4">
      <w:pPr>
        <w:pStyle w:val="Heading1"/>
        <w:numPr>
          <w:ilvl w:val="0"/>
          <w:numId w:val="3"/>
        </w:numPr>
        <w:ind w:left="357" w:hanging="357"/>
        <w:rPr>
          <w:rStyle w:val="StyleCalibri16ptBoldCustomColorRGB2287136"/>
          <w:b/>
          <w:bCs/>
        </w:rPr>
      </w:pPr>
      <w:bookmarkStart w:id="15" w:name="_Toc379882992"/>
      <w:r w:rsidRPr="00D27FF4">
        <w:rPr>
          <w:rStyle w:val="StyleCalibri16ptBoldCustomColorRGB2287136"/>
          <w:b/>
        </w:rPr>
        <w:t>Non-English speaking background</w:t>
      </w:r>
      <w:bookmarkEnd w:id="15"/>
    </w:p>
    <w:p w:rsidR="00BF5748" w:rsidRPr="00FF3520" w:rsidRDefault="00BF5748" w:rsidP="00BF5748">
      <w:pPr>
        <w:spacing w:after="0"/>
      </w:pPr>
      <w:r w:rsidRPr="00FF3520">
        <w:t>A</w:t>
      </w:r>
      <w:r>
        <w:t>round</w:t>
      </w:r>
      <w:r w:rsidRPr="00FF3520">
        <w:t xml:space="preserve"> 4% of the </w:t>
      </w:r>
      <w:r>
        <w:t xml:space="preserve">students </w:t>
      </w:r>
      <w:r w:rsidR="00A2050C">
        <w:t xml:space="preserve">from the 2005 cohort </w:t>
      </w:r>
      <w:r w:rsidRPr="00FF3520">
        <w:t>were from a non-English speaking background.</w:t>
      </w:r>
      <w:r>
        <w:t xml:space="preserve"> Students from </w:t>
      </w:r>
      <w:r w:rsidR="008736BE">
        <w:t>a</w:t>
      </w:r>
      <w:r>
        <w:t xml:space="preserve"> non-English background complete at a higher rate than those with an English speaking background.</w:t>
      </w:r>
    </w:p>
    <w:p w:rsidR="00BF5748" w:rsidRDefault="00BF5748" w:rsidP="00F557E5">
      <w:pPr>
        <w:pStyle w:val="ListParagraph"/>
        <w:numPr>
          <w:ilvl w:val="0"/>
          <w:numId w:val="34"/>
        </w:numPr>
        <w:spacing w:after="0"/>
        <w:ind w:left="714" w:hanging="357"/>
      </w:pPr>
      <w:r>
        <w:t xml:space="preserve">77.7% of students from a non-English speaking background completed their studies </w:t>
      </w:r>
      <w:r w:rsidR="008736BE">
        <w:t xml:space="preserve">compared with </w:t>
      </w:r>
      <w:r>
        <w:t>72.1% of students from an English speaking background.</w:t>
      </w:r>
    </w:p>
    <w:p w:rsidR="00BF5748" w:rsidRDefault="00BF5748" w:rsidP="00F557E5">
      <w:pPr>
        <w:pStyle w:val="ListParagraph"/>
        <w:numPr>
          <w:ilvl w:val="0"/>
          <w:numId w:val="34"/>
        </w:numPr>
        <w:spacing w:after="0"/>
        <w:ind w:left="714" w:hanging="357"/>
      </w:pPr>
      <w:r>
        <w:lastRenderedPageBreak/>
        <w:t>5.4% of students from an English speaking background and 4.3% of students from a non-English speaking background had not completed and were still enrolled in 2012.</w:t>
      </w:r>
    </w:p>
    <w:p w:rsidR="00BF5748" w:rsidRDefault="00BF5748" w:rsidP="00F557E5">
      <w:pPr>
        <w:pStyle w:val="ListParagraph"/>
        <w:numPr>
          <w:ilvl w:val="0"/>
          <w:numId w:val="34"/>
        </w:numPr>
        <w:spacing w:after="0"/>
        <w:ind w:left="714" w:hanging="357"/>
      </w:pPr>
      <w:r>
        <w:t>14.0% of students from an English speaking background and 11.8% of students from a non-English speaking background had re-enrolled but dropped out before 2012.</w:t>
      </w:r>
    </w:p>
    <w:p w:rsidR="007F7C0B" w:rsidRDefault="00BF5748" w:rsidP="00F557E5">
      <w:pPr>
        <w:pStyle w:val="ListParagraph"/>
        <w:numPr>
          <w:ilvl w:val="0"/>
          <w:numId w:val="34"/>
        </w:numPr>
        <w:ind w:left="714" w:hanging="357"/>
      </w:pPr>
      <w:r>
        <w:t xml:space="preserve">8.5% of students from an English speaking background and 6.2% of students from a non-English speaking background </w:t>
      </w:r>
      <w:r w:rsidR="008736BE">
        <w:t xml:space="preserve">dropped out and </w:t>
      </w:r>
      <w:r>
        <w:t>never came back.</w:t>
      </w:r>
    </w:p>
    <w:p w:rsidR="00A2050C" w:rsidRPr="00A2050C" w:rsidRDefault="00A2050C" w:rsidP="00A2050C">
      <w:pPr>
        <w:pStyle w:val="Heading1"/>
        <w:spacing w:before="0" w:after="200"/>
        <w:ind w:left="357"/>
        <w:rPr>
          <w:rStyle w:val="StyleCalibri16ptBoldCustomColorRGB2287136"/>
          <w:b/>
          <w:bCs/>
        </w:rPr>
      </w:pPr>
    </w:p>
    <w:p w:rsidR="007F7C0B" w:rsidRPr="00D27FF4" w:rsidRDefault="00A2050C" w:rsidP="00D27FF4">
      <w:pPr>
        <w:pStyle w:val="Heading1"/>
        <w:numPr>
          <w:ilvl w:val="0"/>
          <w:numId w:val="3"/>
        </w:numPr>
        <w:ind w:left="357" w:hanging="357"/>
        <w:rPr>
          <w:rStyle w:val="StyleCalibri16ptBoldCustomColorRGB2287136"/>
          <w:b/>
          <w:bCs/>
        </w:rPr>
      </w:pPr>
      <w:bookmarkStart w:id="16" w:name="_Toc379882993"/>
      <w:r>
        <w:rPr>
          <w:rStyle w:val="StyleCalibri16ptBoldCustomColorRGB2287136"/>
          <w:b/>
        </w:rPr>
        <w:t>Socio-economic s</w:t>
      </w:r>
      <w:r w:rsidR="007F7C0B" w:rsidRPr="00D27FF4">
        <w:rPr>
          <w:rStyle w:val="StyleCalibri16ptBoldCustomColorRGB2287136"/>
          <w:b/>
        </w:rPr>
        <w:t>tatus</w:t>
      </w:r>
      <w:bookmarkEnd w:id="16"/>
    </w:p>
    <w:p w:rsidR="009A4506" w:rsidRDefault="009A4506" w:rsidP="009A4506">
      <w:pPr>
        <w:spacing w:after="0"/>
      </w:pPr>
      <w:r>
        <w:t>Just over 16% of students from th</w:t>
      </w:r>
      <w:r w:rsidR="00A2050C">
        <w:t>e 2005</w:t>
      </w:r>
      <w:r>
        <w:t xml:space="preserve"> cohort were from a low socio-economic status (SES) background.  The remaining students were from </w:t>
      </w:r>
      <w:r w:rsidR="00A2050C">
        <w:t xml:space="preserve">a </w:t>
      </w:r>
      <w:r>
        <w:t xml:space="preserve">medium SES (47.5%) background, high SES (34.5%) background </w:t>
      </w:r>
      <w:r w:rsidR="006B7B31">
        <w:t xml:space="preserve">and the </w:t>
      </w:r>
      <w:r w:rsidR="00A2050C">
        <w:t>remainder</w:t>
      </w:r>
      <w:r w:rsidR="006B7B31">
        <w:t xml:space="preserve">, </w:t>
      </w:r>
      <w:r w:rsidR="00A2050C">
        <w:t xml:space="preserve">an </w:t>
      </w:r>
      <w:r>
        <w:t>unknown</w:t>
      </w:r>
      <w:r w:rsidR="00A2050C">
        <w:t xml:space="preserve"> background</w:t>
      </w:r>
      <w:r>
        <w:t xml:space="preserve">.  </w:t>
      </w:r>
    </w:p>
    <w:p w:rsidR="009A4506" w:rsidRDefault="009A4506" w:rsidP="009A4506">
      <w:pPr>
        <w:spacing w:after="0"/>
      </w:pPr>
    </w:p>
    <w:p w:rsidR="009A4506" w:rsidRDefault="009A4506" w:rsidP="00F557E5">
      <w:pPr>
        <w:pStyle w:val="ListParagraph"/>
        <w:numPr>
          <w:ilvl w:val="0"/>
          <w:numId w:val="34"/>
        </w:numPr>
        <w:spacing w:after="0"/>
        <w:ind w:left="714" w:hanging="357"/>
      </w:pPr>
      <w:r>
        <w:t>76.5% of students from</w:t>
      </w:r>
      <w:r w:rsidR="006B7B31">
        <w:t xml:space="preserve"> a</w:t>
      </w:r>
      <w:r>
        <w:t xml:space="preserve"> high SES </w:t>
      </w:r>
      <w:r w:rsidR="006B7B31">
        <w:t xml:space="preserve">background had </w:t>
      </w:r>
      <w:r>
        <w:t xml:space="preserve">completed their studies by 2012. Completion rates for other socio-economic groups were 71.3% for </w:t>
      </w:r>
      <w:r w:rsidR="006B7B31">
        <w:t xml:space="preserve">students from a </w:t>
      </w:r>
      <w:r>
        <w:t>medium SES</w:t>
      </w:r>
      <w:r w:rsidR="006B7B31">
        <w:t xml:space="preserve"> background </w:t>
      </w:r>
      <w:r w:rsidR="00F557E5">
        <w:t>and</w:t>
      </w:r>
      <w:r>
        <w:t xml:space="preserve"> 67.7% for </w:t>
      </w:r>
      <w:r w:rsidR="006B7B31">
        <w:t xml:space="preserve">students from a </w:t>
      </w:r>
      <w:r>
        <w:t xml:space="preserve">low SES </w:t>
      </w:r>
      <w:r w:rsidR="006B7B31">
        <w:t>background</w:t>
      </w:r>
      <w:r>
        <w:t>.</w:t>
      </w:r>
    </w:p>
    <w:p w:rsidR="009A4506" w:rsidRDefault="009A4506" w:rsidP="00F557E5">
      <w:pPr>
        <w:pStyle w:val="ListParagraph"/>
        <w:numPr>
          <w:ilvl w:val="0"/>
          <w:numId w:val="34"/>
        </w:numPr>
        <w:spacing w:after="0"/>
        <w:ind w:left="714" w:hanging="357"/>
      </w:pPr>
      <w:r>
        <w:t xml:space="preserve">Almost an equal </w:t>
      </w:r>
      <w:r w:rsidR="00781BD9">
        <w:t>number</w:t>
      </w:r>
      <w:r>
        <w:t xml:space="preserve"> of students from low SES and medium SES </w:t>
      </w:r>
      <w:r w:rsidR="006B7B31">
        <w:t xml:space="preserve">backgrounds </w:t>
      </w:r>
      <w:r>
        <w:t xml:space="preserve">had not completed and were still enrolled in 2012 (5.8% and 5.7% respectively). 4.7% of </w:t>
      </w:r>
      <w:r w:rsidR="006B7B31">
        <w:t xml:space="preserve">students from a </w:t>
      </w:r>
      <w:r>
        <w:t xml:space="preserve">high SES </w:t>
      </w:r>
      <w:r w:rsidR="006B7B31">
        <w:t xml:space="preserve">background </w:t>
      </w:r>
      <w:r>
        <w:t>had not completed and were still enrolled in 2012.</w:t>
      </w:r>
    </w:p>
    <w:p w:rsidR="009A4506" w:rsidRDefault="009A4506" w:rsidP="00F557E5">
      <w:pPr>
        <w:pStyle w:val="ListParagraph"/>
        <w:numPr>
          <w:ilvl w:val="0"/>
          <w:numId w:val="34"/>
        </w:numPr>
        <w:spacing w:after="0"/>
        <w:ind w:left="714" w:hanging="357"/>
      </w:pPr>
      <w:r>
        <w:t xml:space="preserve">The highest proportion of students from this cohort who had re-enrolled but dropped out before 2012 were from a low SES background (16.3%). This was followed by </w:t>
      </w:r>
      <w:r w:rsidR="006B7B31">
        <w:t xml:space="preserve">students </w:t>
      </w:r>
      <w:r>
        <w:t xml:space="preserve">medium SES (14.2%) and </w:t>
      </w:r>
      <w:r w:rsidR="006B7B31">
        <w:t xml:space="preserve">students from </w:t>
      </w:r>
      <w:r>
        <w:t>high SES (12.2%)</w:t>
      </w:r>
      <w:r w:rsidR="006B7B31">
        <w:t xml:space="preserve"> backgrounds</w:t>
      </w:r>
      <w:r>
        <w:t>.</w:t>
      </w:r>
    </w:p>
    <w:p w:rsidR="005E290A" w:rsidRDefault="009A4506" w:rsidP="00F557E5">
      <w:pPr>
        <w:pStyle w:val="ListParagraph"/>
        <w:numPr>
          <w:ilvl w:val="0"/>
          <w:numId w:val="34"/>
        </w:numPr>
        <w:ind w:left="714" w:hanging="357"/>
      </w:pPr>
      <w:r>
        <w:t>10.3% of low SES</w:t>
      </w:r>
      <w:r w:rsidR="006B7B31">
        <w:t xml:space="preserve"> students</w:t>
      </w:r>
      <w:r>
        <w:t>, 8.9% of medium SES</w:t>
      </w:r>
      <w:r w:rsidR="006B7B31">
        <w:t xml:space="preserve"> students</w:t>
      </w:r>
      <w:r>
        <w:t xml:space="preserve"> and 6.7% of high SES students enrolled in 2005 </w:t>
      </w:r>
      <w:r w:rsidR="006B7B31">
        <w:t>dropped out and ne</w:t>
      </w:r>
      <w:r>
        <w:t>ver came back.</w:t>
      </w:r>
    </w:p>
    <w:p w:rsidR="00F557E5" w:rsidRPr="00F557E5" w:rsidRDefault="00F557E5" w:rsidP="00F557E5">
      <w:pPr>
        <w:pStyle w:val="Heading1"/>
        <w:spacing w:before="0" w:after="200"/>
        <w:ind w:left="357"/>
        <w:rPr>
          <w:rStyle w:val="StyleCalibri16ptBoldCustomColorRGB2287136"/>
          <w:b/>
          <w:bCs/>
        </w:rPr>
      </w:pPr>
    </w:p>
    <w:p w:rsidR="005E290A" w:rsidRPr="00D27FF4" w:rsidRDefault="005E290A" w:rsidP="00D27FF4">
      <w:pPr>
        <w:pStyle w:val="Heading1"/>
        <w:numPr>
          <w:ilvl w:val="0"/>
          <w:numId w:val="3"/>
        </w:numPr>
        <w:ind w:left="357" w:hanging="357"/>
        <w:rPr>
          <w:rStyle w:val="StyleCalibri16ptBoldCustomColorRGB2287136"/>
          <w:b/>
          <w:bCs/>
        </w:rPr>
      </w:pPr>
      <w:bookmarkStart w:id="17" w:name="_Toc379882994"/>
      <w:r w:rsidRPr="00D27FF4">
        <w:rPr>
          <w:rStyle w:val="StyleCalibri16ptBoldCustomColorRGB2287136"/>
          <w:b/>
        </w:rPr>
        <w:t>Regional</w:t>
      </w:r>
      <w:r w:rsidR="006B7B31">
        <w:rPr>
          <w:rStyle w:val="StyleCalibri16ptBoldCustomColorRGB2287136"/>
          <w:b/>
        </w:rPr>
        <w:t>/remote</w:t>
      </w:r>
      <w:r w:rsidR="00F557E5" w:rsidRPr="00F557E5">
        <w:rPr>
          <w:rFonts w:eastAsiaTheme="minorEastAsia" w:cstheme="minorBidi"/>
          <w:bCs w:val="0"/>
          <w:color w:val="1F497D" w:themeColor="text2"/>
          <w:sz w:val="22"/>
          <w:szCs w:val="22"/>
          <w:vertAlign w:val="superscript"/>
          <w:lang w:eastAsia="zh-CN"/>
        </w:rPr>
        <w:footnoteReference w:id="5"/>
      </w:r>
      <w:bookmarkEnd w:id="17"/>
    </w:p>
    <w:p w:rsidR="009A4506" w:rsidRDefault="009A4506" w:rsidP="009A4506">
      <w:pPr>
        <w:spacing w:after="0"/>
      </w:pPr>
      <w:r>
        <w:t>Students in this cohort can be classified as having a metropolitan, regional or remote background. Just over 78% of students came from metro</w:t>
      </w:r>
      <w:r w:rsidR="006B7B31">
        <w:t>politan</w:t>
      </w:r>
      <w:r>
        <w:t xml:space="preserve"> areas, with the </w:t>
      </w:r>
      <w:r w:rsidR="006B7B31">
        <w:t>remaining</w:t>
      </w:r>
      <w:r>
        <w:t xml:space="preserve"> 20% from regional and 1.1% from remote areas.</w:t>
      </w:r>
    </w:p>
    <w:p w:rsidR="009A4506" w:rsidRDefault="009A4506" w:rsidP="009A4506">
      <w:pPr>
        <w:spacing w:after="0"/>
      </w:pPr>
    </w:p>
    <w:p w:rsidR="009A4506" w:rsidRDefault="006B7B31" w:rsidP="00F557E5">
      <w:pPr>
        <w:pStyle w:val="ListParagraph"/>
        <w:numPr>
          <w:ilvl w:val="0"/>
          <w:numId w:val="34"/>
        </w:numPr>
        <w:spacing w:after="0"/>
        <w:ind w:left="714" w:hanging="357"/>
      </w:pPr>
      <w:r>
        <w:t>73.7% of students from m</w:t>
      </w:r>
      <w:r w:rsidR="009A4506">
        <w:t xml:space="preserve">etropolitan areas in Australia completed their studies. The completion rate for </w:t>
      </w:r>
      <w:r>
        <w:t xml:space="preserve">regional </w:t>
      </w:r>
      <w:r w:rsidR="009A4506">
        <w:t>students was 68.5% and 58.3% for</w:t>
      </w:r>
      <w:r>
        <w:t xml:space="preserve"> r</w:t>
      </w:r>
      <w:r w:rsidR="009A4506">
        <w:t>emote</w:t>
      </w:r>
      <w:r>
        <w:t xml:space="preserve"> students</w:t>
      </w:r>
      <w:r w:rsidR="009A4506">
        <w:t>.</w:t>
      </w:r>
    </w:p>
    <w:p w:rsidR="009A4506" w:rsidRDefault="007634FF" w:rsidP="00F557E5">
      <w:pPr>
        <w:pStyle w:val="ListParagraph"/>
        <w:numPr>
          <w:ilvl w:val="0"/>
          <w:numId w:val="34"/>
        </w:numPr>
        <w:spacing w:after="0"/>
        <w:ind w:left="714" w:hanging="357"/>
      </w:pPr>
      <w:r>
        <w:t>Students from r</w:t>
      </w:r>
      <w:r w:rsidR="009A4506">
        <w:t>emote areas were most likely to have not completed and still be enrolled in 2012 (6.4%). This was followed by students fro</w:t>
      </w:r>
      <w:r w:rsidR="006B7B31">
        <w:t>m regional (5.6%) areas and then m</w:t>
      </w:r>
      <w:r w:rsidR="009A4506">
        <w:t>etropolitan (5.3%) areas.</w:t>
      </w:r>
    </w:p>
    <w:p w:rsidR="009A4506" w:rsidRDefault="006B7B31" w:rsidP="00F557E5">
      <w:pPr>
        <w:pStyle w:val="ListParagraph"/>
        <w:numPr>
          <w:ilvl w:val="0"/>
          <w:numId w:val="34"/>
        </w:numPr>
        <w:spacing w:after="0"/>
        <w:ind w:left="714" w:hanging="357"/>
      </w:pPr>
      <w:r>
        <w:lastRenderedPageBreak/>
        <w:t>19.9% of students from r</w:t>
      </w:r>
      <w:r w:rsidR="009A4506">
        <w:t>emote areas had re-enrolled but dropped out befor</w:t>
      </w:r>
      <w:r>
        <w:t>e 2012. 15.5% of students from r</w:t>
      </w:r>
      <w:r w:rsidR="009A4506">
        <w:t>egio</w:t>
      </w:r>
      <w:r>
        <w:t>nal areas and 13.3% of students from m</w:t>
      </w:r>
      <w:r w:rsidR="009A4506">
        <w:t>etropolitan areas had re-enrolled but dropped out before 2012.</w:t>
      </w:r>
    </w:p>
    <w:p w:rsidR="009A4506" w:rsidRDefault="002D46A0" w:rsidP="00F557E5">
      <w:pPr>
        <w:pStyle w:val="ListParagraph"/>
        <w:numPr>
          <w:ilvl w:val="0"/>
          <w:numId w:val="34"/>
        </w:numPr>
        <w:ind w:left="714" w:hanging="357"/>
      </w:pPr>
      <w:r>
        <w:t>15.4% of students from r</w:t>
      </w:r>
      <w:r w:rsidR="009A4506">
        <w:t xml:space="preserve">emote areas </w:t>
      </w:r>
      <w:r>
        <w:t xml:space="preserve">dropped out and </w:t>
      </w:r>
      <w:r w:rsidR="009A4506">
        <w:t>never came back</w:t>
      </w:r>
      <w:r>
        <w:t>. 10.4% of students from r</w:t>
      </w:r>
      <w:r w:rsidR="009A4506">
        <w:t xml:space="preserve">egional </w:t>
      </w:r>
      <w:r>
        <w:t>areas and 7.7% of students from m</w:t>
      </w:r>
      <w:r w:rsidR="009A4506">
        <w:t>etropolitan areas never came back after 2005.</w:t>
      </w:r>
    </w:p>
    <w:p w:rsidR="002D46A0" w:rsidRPr="002D46A0" w:rsidRDefault="002D46A0" w:rsidP="002D46A0">
      <w:pPr>
        <w:pStyle w:val="Heading1"/>
        <w:spacing w:before="0" w:after="200"/>
        <w:ind w:left="357"/>
        <w:rPr>
          <w:rStyle w:val="StyleCalibri16ptBoldCustomColorRGB2287136"/>
          <w:b/>
          <w:bCs/>
        </w:rPr>
      </w:pPr>
    </w:p>
    <w:p w:rsidR="0087485F" w:rsidRPr="00D27FF4" w:rsidRDefault="00BD7FD1" w:rsidP="00D27FF4">
      <w:pPr>
        <w:pStyle w:val="Heading1"/>
        <w:numPr>
          <w:ilvl w:val="0"/>
          <w:numId w:val="3"/>
        </w:numPr>
        <w:ind w:left="357" w:hanging="357"/>
        <w:rPr>
          <w:rStyle w:val="StyleCalibri16ptBoldCustomColorRGB2287136"/>
          <w:b/>
          <w:bCs/>
        </w:rPr>
      </w:pPr>
      <w:bookmarkStart w:id="18" w:name="_Toc379882995"/>
      <w:r>
        <w:rPr>
          <w:rStyle w:val="StyleCalibri16ptBoldCustomColorRGB2287136"/>
          <w:b/>
        </w:rPr>
        <w:t>Liability c</w:t>
      </w:r>
      <w:r w:rsidR="0087485F" w:rsidRPr="00D27FF4">
        <w:rPr>
          <w:rStyle w:val="StyleCalibri16ptBoldCustomColorRGB2287136"/>
          <w:b/>
        </w:rPr>
        <w:t>ategory</w:t>
      </w:r>
      <w:bookmarkEnd w:id="18"/>
    </w:p>
    <w:p w:rsidR="009A4506" w:rsidRDefault="009A4506" w:rsidP="009A4506">
      <w:pPr>
        <w:spacing w:after="0"/>
      </w:pPr>
      <w:r>
        <w:t xml:space="preserve">There were 95.2% </w:t>
      </w:r>
      <w:r w:rsidR="002D46A0">
        <w:t xml:space="preserve">of students with </w:t>
      </w:r>
      <w:r>
        <w:t>Commonwealth Supported Places and 4.8% Fee-Paying students in th</w:t>
      </w:r>
      <w:r w:rsidR="002D46A0">
        <w:t>e 2005</w:t>
      </w:r>
      <w:r>
        <w:t xml:space="preserve"> cohort.</w:t>
      </w:r>
    </w:p>
    <w:p w:rsidR="009A4506" w:rsidRDefault="009A4506" w:rsidP="009A4506">
      <w:pPr>
        <w:spacing w:after="0"/>
      </w:pPr>
    </w:p>
    <w:p w:rsidR="009A4506" w:rsidRDefault="009A4506" w:rsidP="00F557E5">
      <w:pPr>
        <w:pStyle w:val="ListParagraph"/>
        <w:numPr>
          <w:ilvl w:val="0"/>
          <w:numId w:val="34"/>
        </w:numPr>
        <w:spacing w:after="0"/>
        <w:ind w:left="714" w:hanging="357"/>
      </w:pPr>
      <w:r>
        <w:t>72.4% of students in Commonwealth Supported Places completed their studies by 2012 and 70.</w:t>
      </w:r>
      <w:r w:rsidR="007634FF">
        <w:t>4% of Fee-P</w:t>
      </w:r>
      <w:r>
        <w:t>aying students completed by 2012.</w:t>
      </w:r>
    </w:p>
    <w:p w:rsidR="009A4506" w:rsidRDefault="009A4506" w:rsidP="00F557E5">
      <w:pPr>
        <w:pStyle w:val="ListParagraph"/>
        <w:numPr>
          <w:ilvl w:val="0"/>
          <w:numId w:val="34"/>
        </w:numPr>
        <w:spacing w:after="0"/>
        <w:ind w:left="714" w:hanging="357"/>
      </w:pPr>
      <w:r>
        <w:t>5.4% of Commonwealth Supported students had not completed and were still enrolled in 2012 and 3.7% of Fee-Paying students were still enrolled.</w:t>
      </w:r>
    </w:p>
    <w:p w:rsidR="009A4506" w:rsidRDefault="009A4506" w:rsidP="00F557E5">
      <w:pPr>
        <w:pStyle w:val="ListParagraph"/>
        <w:numPr>
          <w:ilvl w:val="0"/>
          <w:numId w:val="34"/>
        </w:numPr>
        <w:spacing w:after="0"/>
        <w:ind w:left="714" w:hanging="357"/>
      </w:pPr>
      <w:r>
        <w:t>14.9% of Fee-Paying students had re-enrolled but dropped out before 2012 and 13.8% of Commonwealth Supported students had dropped out.</w:t>
      </w:r>
    </w:p>
    <w:p w:rsidR="00124065" w:rsidRDefault="009A4506" w:rsidP="00F557E5">
      <w:pPr>
        <w:pStyle w:val="ListParagraph"/>
        <w:numPr>
          <w:ilvl w:val="0"/>
          <w:numId w:val="34"/>
        </w:numPr>
        <w:ind w:left="714" w:hanging="357"/>
      </w:pPr>
      <w:r>
        <w:t>11.0% of Fee-Paying students and 8.3% of</w:t>
      </w:r>
      <w:r w:rsidRPr="003F252F">
        <w:t xml:space="preserve"> </w:t>
      </w:r>
      <w:r>
        <w:t xml:space="preserve">Commonwealth Supported students had </w:t>
      </w:r>
      <w:r w:rsidR="002D46A0">
        <w:t xml:space="preserve">dropped out and </w:t>
      </w:r>
      <w:r>
        <w:t>never came back.</w:t>
      </w:r>
    </w:p>
    <w:p w:rsidR="00F557E5" w:rsidRDefault="00F557E5" w:rsidP="007C03B0">
      <w:pPr>
        <w:pStyle w:val="Heading1"/>
        <w:spacing w:before="0" w:after="200"/>
        <w:ind w:left="357"/>
        <w:rPr>
          <w:rStyle w:val="StyleCalibri16ptBoldCustomColorRGB2287136"/>
          <w:b/>
        </w:rPr>
      </w:pPr>
    </w:p>
    <w:p w:rsidR="00124065" w:rsidRPr="00D27FF4" w:rsidRDefault="00124065" w:rsidP="00D27FF4">
      <w:pPr>
        <w:pStyle w:val="Heading1"/>
        <w:numPr>
          <w:ilvl w:val="0"/>
          <w:numId w:val="3"/>
        </w:numPr>
        <w:ind w:left="357" w:hanging="357"/>
        <w:rPr>
          <w:rStyle w:val="StyleCalibri16ptBoldCustomColorRGB2287136"/>
          <w:b/>
        </w:rPr>
      </w:pPr>
      <w:bookmarkStart w:id="19" w:name="_Toc379882996"/>
      <w:r w:rsidRPr="00D27FF4">
        <w:rPr>
          <w:rStyle w:val="StyleCalibri16ptBoldCustomColorRGB2287136"/>
          <w:b/>
        </w:rPr>
        <w:t xml:space="preserve">Field of </w:t>
      </w:r>
      <w:r w:rsidR="002D46A0">
        <w:rPr>
          <w:rStyle w:val="StyleCalibri16ptBoldCustomColorRGB2287136"/>
          <w:b/>
        </w:rPr>
        <w:t>e</w:t>
      </w:r>
      <w:r w:rsidRPr="00D27FF4">
        <w:rPr>
          <w:rStyle w:val="StyleCalibri16ptBoldCustomColorRGB2287136"/>
          <w:b/>
        </w:rPr>
        <w:t>ducation</w:t>
      </w:r>
      <w:bookmarkEnd w:id="19"/>
    </w:p>
    <w:p w:rsidR="009A4506" w:rsidRPr="009A4506" w:rsidRDefault="009A4506" w:rsidP="0083199E">
      <w:pPr>
        <w:numPr>
          <w:ilvl w:val="0"/>
          <w:numId w:val="34"/>
        </w:numPr>
        <w:ind w:left="714" w:hanging="357"/>
        <w:contextualSpacing/>
        <w:rPr>
          <w:rFonts w:eastAsiaTheme="minorEastAsia"/>
          <w:lang w:eastAsia="zh-CN"/>
        </w:rPr>
      </w:pPr>
      <w:r w:rsidRPr="009A4506">
        <w:rPr>
          <w:rFonts w:eastAsiaTheme="minorEastAsia"/>
          <w:lang w:eastAsia="zh-CN"/>
        </w:rPr>
        <w:t>Students studying Food, Hospitality and Personal Services achieved the highest completion rate by 2012 at 88.0%. Completion rates for other fields were Health (80.8%), Architecture and Building (77.7%), Natural and Physical Sciences (76.2%), Creative Arts (74.5%), Education (73.8%), Engineering and Related Technologies (72.8%), Non-award courses (71.3%), Management and Commerce (71.1%), Society and Culture (70.2%), Agriculture, Environmental and Related Studies (65.3%) and Information Technology (61.8%).</w:t>
      </w:r>
    </w:p>
    <w:p w:rsidR="009A4506" w:rsidRPr="009A4506" w:rsidRDefault="009A4506" w:rsidP="0083199E">
      <w:pPr>
        <w:numPr>
          <w:ilvl w:val="0"/>
          <w:numId w:val="34"/>
        </w:numPr>
        <w:ind w:left="714" w:hanging="357"/>
        <w:contextualSpacing/>
        <w:rPr>
          <w:rFonts w:eastAsiaTheme="minorEastAsia"/>
          <w:lang w:eastAsia="zh-CN"/>
        </w:rPr>
      </w:pPr>
      <w:r w:rsidRPr="009A4506">
        <w:rPr>
          <w:rFonts w:eastAsiaTheme="minorEastAsia"/>
          <w:lang w:eastAsia="zh-CN"/>
        </w:rPr>
        <w:t xml:space="preserve">The highest </w:t>
      </w:r>
      <w:proofErr w:type="gramStart"/>
      <w:r w:rsidR="0083199E" w:rsidRPr="009A4506">
        <w:rPr>
          <w:rFonts w:eastAsiaTheme="minorEastAsia"/>
          <w:lang w:eastAsia="zh-CN"/>
        </w:rPr>
        <w:t>proportion</w:t>
      </w:r>
      <w:proofErr w:type="gramEnd"/>
      <w:r w:rsidRPr="009A4506">
        <w:rPr>
          <w:rFonts w:eastAsiaTheme="minorEastAsia"/>
          <w:lang w:eastAsia="zh-CN"/>
        </w:rPr>
        <w:t xml:space="preserve"> of students in this cohort who had not completed and were still enrolled in 20</w:t>
      </w:r>
      <w:r w:rsidR="006D2C30">
        <w:rPr>
          <w:rFonts w:eastAsiaTheme="minorEastAsia"/>
          <w:lang w:eastAsia="zh-CN"/>
        </w:rPr>
        <w:t>12</w:t>
      </w:r>
      <w:r w:rsidRPr="009A4506">
        <w:rPr>
          <w:rFonts w:eastAsiaTheme="minorEastAsia"/>
          <w:lang w:eastAsia="zh-CN"/>
        </w:rPr>
        <w:t xml:space="preserve"> were enrolled in Engineering and Related Technologies (7.1%). This was followed by Information Technology (6.7%), Society and Culture (6.5%), Agriculture, Environmental and Related Studies (6.1%), Natural and Physical Sciences (5.7%), Non-award courses (5.4%), Management and Commerce (5.3%), Architecture and Building (4.5%), Creative Arts (4.3%), Education (4.1%), Food, Hospitality and Personal Services (4.0%) and Health (3.4%).</w:t>
      </w:r>
    </w:p>
    <w:p w:rsidR="009A4506" w:rsidRPr="009A4506" w:rsidRDefault="009A4506" w:rsidP="0083199E">
      <w:pPr>
        <w:numPr>
          <w:ilvl w:val="0"/>
          <w:numId w:val="34"/>
        </w:numPr>
        <w:ind w:left="714" w:hanging="357"/>
        <w:contextualSpacing/>
        <w:rPr>
          <w:rFonts w:eastAsiaTheme="minorEastAsia"/>
          <w:lang w:eastAsia="zh-CN"/>
        </w:rPr>
      </w:pPr>
      <w:r w:rsidRPr="009A4506">
        <w:rPr>
          <w:rFonts w:eastAsiaTheme="minorEastAsia"/>
          <w:lang w:eastAsia="zh-CN"/>
        </w:rPr>
        <w:t xml:space="preserve">The highest proportion of students in this cohort who had re-enrolled but dropped out before 2012 were enrolled in Information Technology (20.3%). This was followed by Agriculture, Environmental and Related Studies (17.2%), Management and Commerce (14.7%), Society and Culture (14.6%), Non-award courses (14.3%), Engineering and Related </w:t>
      </w:r>
      <w:r w:rsidRPr="009A4506">
        <w:rPr>
          <w:rFonts w:eastAsiaTheme="minorEastAsia"/>
          <w:lang w:eastAsia="zh-CN"/>
        </w:rPr>
        <w:lastRenderedPageBreak/>
        <w:t>Technologies (14.2%), Creative Arts (13.7%), Education (12.7%), Natural and Physical Sciences (12.2%), Architecture and Building (12.0%), Health (9.4%) and Food, Hospitality and Personal Services (4.0%).</w:t>
      </w:r>
    </w:p>
    <w:p w:rsidR="001B6B53" w:rsidRPr="000C4E66" w:rsidRDefault="009A4506" w:rsidP="000C4E66">
      <w:pPr>
        <w:numPr>
          <w:ilvl w:val="0"/>
          <w:numId w:val="34"/>
        </w:numPr>
        <w:ind w:left="714" w:hanging="357"/>
        <w:contextualSpacing/>
      </w:pPr>
      <w:r w:rsidRPr="0083199E">
        <w:rPr>
          <w:rFonts w:eastAsiaTheme="minorEastAsia"/>
          <w:lang w:eastAsia="zh-CN"/>
        </w:rPr>
        <w:t xml:space="preserve">The highest </w:t>
      </w:r>
      <w:proofErr w:type="gramStart"/>
      <w:r w:rsidRPr="0083199E">
        <w:rPr>
          <w:rFonts w:eastAsiaTheme="minorEastAsia"/>
          <w:lang w:eastAsia="zh-CN"/>
        </w:rPr>
        <w:t>proportion</w:t>
      </w:r>
      <w:proofErr w:type="gramEnd"/>
      <w:r w:rsidRPr="0083199E">
        <w:rPr>
          <w:rFonts w:eastAsiaTheme="minorEastAsia"/>
          <w:lang w:eastAsia="zh-CN"/>
        </w:rPr>
        <w:t xml:space="preserve"> of students in this cohort that </w:t>
      </w:r>
      <w:r w:rsidR="002D46A0">
        <w:rPr>
          <w:rFonts w:eastAsiaTheme="minorEastAsia"/>
          <w:lang w:eastAsia="zh-CN"/>
        </w:rPr>
        <w:t xml:space="preserve">dropped out and </w:t>
      </w:r>
      <w:r w:rsidRPr="0083199E">
        <w:rPr>
          <w:rFonts w:eastAsiaTheme="minorEastAsia"/>
          <w:lang w:eastAsia="zh-CN"/>
        </w:rPr>
        <w:t>never came back</w:t>
      </w:r>
      <w:r w:rsidR="002D46A0">
        <w:rPr>
          <w:rFonts w:eastAsiaTheme="minorEastAsia"/>
          <w:lang w:eastAsia="zh-CN"/>
        </w:rPr>
        <w:t xml:space="preserve"> </w:t>
      </w:r>
      <w:r w:rsidRPr="0083199E">
        <w:rPr>
          <w:rFonts w:eastAsiaTheme="minorEastAsia"/>
          <w:lang w:eastAsia="zh-CN"/>
        </w:rPr>
        <w:t xml:space="preserve">were those enrolled in Agriculture, Environmental and Related Studies (11.4%). This was closely followed by Information Technology (11.3%), Education (9.3%), Non-award courses (9.1%), Management and Commerce (8.9%), Society and Culture (8.7%), Creative Arts (7.5%), Health (6.4%), Natural and Physical Sciences and Engineering and Related Technologies (5.8% each), Architecture and Building (5.8%) and Food, Hospitality and Personal Services (4.0%). </w:t>
      </w:r>
    </w:p>
    <w:p w:rsidR="000C4E66" w:rsidRDefault="000C4E66" w:rsidP="000C4E66">
      <w:pPr>
        <w:pStyle w:val="Heading1"/>
        <w:spacing w:before="0" w:after="200"/>
        <w:ind w:left="357"/>
        <w:rPr>
          <w:rStyle w:val="StyleCalibri16ptBoldCustomColorRGB2287136"/>
          <w:b/>
        </w:rPr>
      </w:pPr>
    </w:p>
    <w:p w:rsidR="000C4E66" w:rsidRPr="00D27FF4" w:rsidRDefault="000C4E66" w:rsidP="000C4E66">
      <w:pPr>
        <w:pStyle w:val="Heading1"/>
        <w:numPr>
          <w:ilvl w:val="0"/>
          <w:numId w:val="3"/>
        </w:numPr>
        <w:ind w:left="357" w:hanging="357"/>
        <w:rPr>
          <w:rStyle w:val="StyleCalibri16ptBoldCustomColorRGB2287136"/>
          <w:b/>
        </w:rPr>
      </w:pPr>
      <w:bookmarkStart w:id="20" w:name="_Toc379882997"/>
      <w:r>
        <w:rPr>
          <w:rStyle w:val="StyleCalibri16ptBoldCustomColorRGB2287136"/>
          <w:b/>
        </w:rPr>
        <w:t>2006 and 2007 Cohorts</w:t>
      </w:r>
      <w:bookmarkEnd w:id="20"/>
    </w:p>
    <w:p w:rsidR="000C4E66" w:rsidRDefault="000C4E66" w:rsidP="000C4E66">
      <w:r>
        <w:t xml:space="preserve">The Department has now been able to obtain cohorts for subsequent years, 2006 and 2007.  However, </w:t>
      </w:r>
      <w:r w:rsidR="00DA29B6">
        <w:t xml:space="preserve">because of the shorter time period, </w:t>
      </w:r>
      <w:r>
        <w:t>comparative cohort analysis between 2005, 2006 and 2007 can only be done for a 6 year period rather than the 8 year period as for the 2005 cohort presented in previous sections.  The comparison between these cohorts allow</w:t>
      </w:r>
      <w:r w:rsidR="00DA29B6">
        <w:t>s</w:t>
      </w:r>
      <w:r>
        <w:t xml:space="preserve"> the Department </w:t>
      </w:r>
      <w:r w:rsidR="007634FF">
        <w:t xml:space="preserve">the ability </w:t>
      </w:r>
      <w:r>
        <w:t>to map the performance of students with specific characteristics through time to identify any underlying changes in their behaviours associated with changes to government policy, economic, social or labour markets conditions.</w:t>
      </w:r>
    </w:p>
    <w:p w:rsidR="000C4E66" w:rsidRDefault="000C4E66" w:rsidP="000C4E66">
      <w:r>
        <w:t xml:space="preserve">In general, there have not been </w:t>
      </w:r>
      <w:r w:rsidR="00DA29B6">
        <w:t xml:space="preserve">any </w:t>
      </w:r>
      <w:r>
        <w:t>major variations in the performance of students with specific characteristics amongst the three cohorts (Table 2 and Chart 2). Key highlights are:</w:t>
      </w:r>
    </w:p>
    <w:p w:rsidR="000C4E66" w:rsidRDefault="000C4E66" w:rsidP="000C4E66">
      <w:pPr>
        <w:pStyle w:val="ListParagraph"/>
        <w:numPr>
          <w:ilvl w:val="0"/>
          <w:numId w:val="39"/>
        </w:numPr>
      </w:pPr>
      <w:r w:rsidRPr="006B3673">
        <w:t xml:space="preserve">There has been a decline in the proportion of students never coming back after the first year, from </w:t>
      </w:r>
      <w:r>
        <w:t>9.2</w:t>
      </w:r>
      <w:r w:rsidRPr="006B3673">
        <w:t xml:space="preserve">% in </w:t>
      </w:r>
      <w:r>
        <w:t xml:space="preserve">the </w:t>
      </w:r>
      <w:r w:rsidRPr="006B3673">
        <w:t xml:space="preserve">2005 </w:t>
      </w:r>
      <w:r>
        <w:t xml:space="preserve">cohort </w:t>
      </w:r>
      <w:r w:rsidRPr="006B3673">
        <w:t xml:space="preserve">to </w:t>
      </w:r>
      <w:r>
        <w:t>8.6</w:t>
      </w:r>
      <w:r w:rsidRPr="006B3673">
        <w:t xml:space="preserve">% in </w:t>
      </w:r>
      <w:r>
        <w:t>the 2007 cohort</w:t>
      </w:r>
      <w:r w:rsidRPr="006B3673">
        <w:t xml:space="preserve">.  </w:t>
      </w:r>
    </w:p>
    <w:p w:rsidR="000C4E66" w:rsidRDefault="000C4E66" w:rsidP="000C4E66">
      <w:pPr>
        <w:pStyle w:val="ListParagraph"/>
        <w:numPr>
          <w:ilvl w:val="0"/>
          <w:numId w:val="39"/>
        </w:numPr>
      </w:pPr>
      <w:r w:rsidRPr="007C2ADE">
        <w:t xml:space="preserve">The </w:t>
      </w:r>
      <w:r>
        <w:t xml:space="preserve">completion rates for </w:t>
      </w:r>
      <w:r w:rsidRPr="007C2ADE">
        <w:t xml:space="preserve">students undertaking Honours increased </w:t>
      </w:r>
      <w:r>
        <w:t xml:space="preserve">from 84.2% for the 2005 cohort </w:t>
      </w:r>
      <w:r w:rsidRPr="007C2ADE">
        <w:t xml:space="preserve">to 86.2% for the 2006 cohort before falling to 82.8% </w:t>
      </w:r>
      <w:r w:rsidR="00DA29B6">
        <w:t>for</w:t>
      </w:r>
      <w:r w:rsidRPr="007C2ADE">
        <w:t xml:space="preserve"> </w:t>
      </w:r>
      <w:r>
        <w:t xml:space="preserve">the </w:t>
      </w:r>
      <w:r w:rsidRPr="007C2ADE">
        <w:t>2007</w:t>
      </w:r>
      <w:r>
        <w:t xml:space="preserve"> cohort</w:t>
      </w:r>
      <w:r w:rsidRPr="007C2ADE">
        <w:t>.</w:t>
      </w:r>
    </w:p>
    <w:p w:rsidR="000C4E66" w:rsidRPr="00D1428D" w:rsidRDefault="00DA29B6" w:rsidP="000C4E66">
      <w:pPr>
        <w:pStyle w:val="ListParagraph"/>
        <w:numPr>
          <w:ilvl w:val="0"/>
          <w:numId w:val="39"/>
        </w:numPr>
      </w:pPr>
      <w:r>
        <w:t>The c</w:t>
      </w:r>
      <w:r w:rsidR="000C4E66" w:rsidRPr="001C1253">
        <w:t>ompletion rate</w:t>
      </w:r>
      <w:r>
        <w:t>s</w:t>
      </w:r>
      <w:r w:rsidR="000C4E66" w:rsidRPr="001C1253">
        <w:t xml:space="preserve"> </w:t>
      </w:r>
      <w:r w:rsidR="000C4E66">
        <w:t xml:space="preserve">for female students </w:t>
      </w:r>
      <w:r w:rsidR="000C4E66" w:rsidRPr="001C1253">
        <w:t>declin</w:t>
      </w:r>
      <w:r>
        <w:t>ed</w:t>
      </w:r>
      <w:r w:rsidR="000C4E66" w:rsidRPr="001C1253">
        <w:t xml:space="preserve"> from 69.4% </w:t>
      </w:r>
      <w:r w:rsidR="000C4E66">
        <w:t xml:space="preserve">for the </w:t>
      </w:r>
      <w:r w:rsidR="000C4E66" w:rsidRPr="001C1253">
        <w:t xml:space="preserve">2005 </w:t>
      </w:r>
      <w:r w:rsidR="000C4E66">
        <w:t xml:space="preserve">cohort </w:t>
      </w:r>
      <w:r w:rsidR="000C4E66" w:rsidRPr="001C1253">
        <w:t xml:space="preserve">to 69.1% </w:t>
      </w:r>
      <w:r w:rsidR="000C4E66">
        <w:t xml:space="preserve">for the </w:t>
      </w:r>
      <w:r w:rsidR="000C4E66" w:rsidRPr="001C1253">
        <w:t>2006</w:t>
      </w:r>
      <w:r w:rsidR="000C4E66">
        <w:t xml:space="preserve"> cohort and </w:t>
      </w:r>
      <w:r w:rsidR="000C4E66" w:rsidRPr="001C1253">
        <w:t>68.7%</w:t>
      </w:r>
      <w:r w:rsidR="000C4E66">
        <w:t xml:space="preserve"> for the 2007 cohort</w:t>
      </w:r>
      <w:r w:rsidR="000C4E66" w:rsidRPr="001C1253">
        <w:t>.</w:t>
      </w:r>
      <w:r w:rsidR="000C4E66">
        <w:t xml:space="preserve"> For m</w:t>
      </w:r>
      <w:r w:rsidR="000C4E66" w:rsidRPr="00D1428D">
        <w:t>ale students</w:t>
      </w:r>
      <w:r w:rsidR="000C4E66">
        <w:t xml:space="preserve">, the </w:t>
      </w:r>
      <w:r w:rsidR="000C4E66" w:rsidRPr="00D1428D">
        <w:t xml:space="preserve">completion rate remained </w:t>
      </w:r>
      <w:r w:rsidR="000C4E66">
        <w:t xml:space="preserve">steady </w:t>
      </w:r>
      <w:r w:rsidR="000C4E66" w:rsidRPr="00D1428D">
        <w:t xml:space="preserve">at 63.6% for both </w:t>
      </w:r>
      <w:r w:rsidR="000C4E66">
        <w:t xml:space="preserve">the </w:t>
      </w:r>
      <w:r w:rsidR="000C4E66" w:rsidRPr="00D1428D">
        <w:t>2005 and 2006 cohort</w:t>
      </w:r>
      <w:r w:rsidR="000C4E66">
        <w:t>s</w:t>
      </w:r>
      <w:r w:rsidR="000C4E66" w:rsidRPr="00D1428D">
        <w:t xml:space="preserve"> before falling to 63.2% for the 2007 cohort.</w:t>
      </w:r>
    </w:p>
    <w:p w:rsidR="000C4E66" w:rsidRPr="008D0069" w:rsidRDefault="000C4E66" w:rsidP="000C4E66">
      <w:pPr>
        <w:pStyle w:val="ListParagraph"/>
        <w:numPr>
          <w:ilvl w:val="0"/>
          <w:numId w:val="39"/>
        </w:numPr>
      </w:pPr>
      <w:r>
        <w:t xml:space="preserve">There </w:t>
      </w:r>
      <w:r w:rsidR="00DA29B6">
        <w:t>was</w:t>
      </w:r>
      <w:r>
        <w:t xml:space="preserve"> a slight fall in the completion rates for s</w:t>
      </w:r>
      <w:r w:rsidRPr="008D0069">
        <w:t xml:space="preserve">tudents who </w:t>
      </w:r>
      <w:r>
        <w:t>were</w:t>
      </w:r>
      <w:r w:rsidRPr="008D0069">
        <w:t xml:space="preserve"> aged 19 and under</w:t>
      </w:r>
      <w:r>
        <w:t>, from</w:t>
      </w:r>
      <w:r w:rsidRPr="008D0069">
        <w:t xml:space="preserve"> 73.3% </w:t>
      </w:r>
      <w:r>
        <w:t xml:space="preserve">for the </w:t>
      </w:r>
      <w:r w:rsidRPr="008D0069">
        <w:t xml:space="preserve">2005 to 72.7% </w:t>
      </w:r>
      <w:r>
        <w:t xml:space="preserve">and 72.4% for the </w:t>
      </w:r>
      <w:r w:rsidRPr="008D0069">
        <w:t>2006</w:t>
      </w:r>
      <w:r>
        <w:t xml:space="preserve"> and </w:t>
      </w:r>
      <w:r w:rsidRPr="008D0069">
        <w:t>2007</w:t>
      </w:r>
      <w:r>
        <w:t xml:space="preserve"> cohorts respectively</w:t>
      </w:r>
      <w:r w:rsidRPr="008D0069">
        <w:t>.</w:t>
      </w:r>
    </w:p>
    <w:p w:rsidR="000C4E66" w:rsidRPr="002E0E5D" w:rsidRDefault="00DA29B6" w:rsidP="000C4E66">
      <w:pPr>
        <w:pStyle w:val="ListParagraph"/>
        <w:numPr>
          <w:ilvl w:val="0"/>
          <w:numId w:val="39"/>
        </w:numPr>
      </w:pPr>
      <w:r>
        <w:t>The c</w:t>
      </w:r>
      <w:r w:rsidR="000C4E66" w:rsidRPr="002E0E5D">
        <w:t>ompletion rate</w:t>
      </w:r>
      <w:r w:rsidR="000C4E66">
        <w:t>s for</w:t>
      </w:r>
      <w:r w:rsidR="000C4E66" w:rsidRPr="002E0E5D">
        <w:t xml:space="preserve"> </w:t>
      </w:r>
      <w:r w:rsidR="000C4E66">
        <w:t>s</w:t>
      </w:r>
      <w:r w:rsidR="000C4E66" w:rsidRPr="002E0E5D">
        <w:t>tudents in the 30-</w:t>
      </w:r>
      <w:r w:rsidR="007662DE" w:rsidRPr="002E0E5D">
        <w:t>49 ATAR</w:t>
      </w:r>
      <w:r w:rsidR="000C4E66">
        <w:t xml:space="preserve"> </w:t>
      </w:r>
      <w:r w:rsidR="000C4E66" w:rsidRPr="002E0E5D">
        <w:t xml:space="preserve">band showed considerable fluctuation </w:t>
      </w:r>
      <w:r w:rsidR="000C4E66">
        <w:t xml:space="preserve">(as a result of small sample size) </w:t>
      </w:r>
      <w:r w:rsidR="000C4E66" w:rsidRPr="002E0E5D">
        <w:t>between the cohorts</w:t>
      </w:r>
      <w:r w:rsidR="000C4E66">
        <w:t xml:space="preserve">: </w:t>
      </w:r>
      <w:r w:rsidR="000C4E66" w:rsidRPr="002E0E5D">
        <w:t xml:space="preserve"> 48.6% </w:t>
      </w:r>
      <w:r w:rsidR="000C4E66">
        <w:t xml:space="preserve">for the </w:t>
      </w:r>
      <w:r w:rsidR="000C4E66" w:rsidRPr="002E0E5D">
        <w:t xml:space="preserve">2005 </w:t>
      </w:r>
      <w:r w:rsidR="000C4E66">
        <w:t xml:space="preserve">cohort, </w:t>
      </w:r>
      <w:r w:rsidR="000C4E66" w:rsidRPr="002E0E5D">
        <w:t>decreas</w:t>
      </w:r>
      <w:r>
        <w:t>ing</w:t>
      </w:r>
      <w:r w:rsidR="000C4E66" w:rsidRPr="002E0E5D">
        <w:t xml:space="preserve"> to 44.5% </w:t>
      </w:r>
      <w:r w:rsidR="000C4E66">
        <w:t>for the 2006 cohort before increas</w:t>
      </w:r>
      <w:r>
        <w:t>ing</w:t>
      </w:r>
      <w:r w:rsidR="000C4E66">
        <w:t xml:space="preserve"> </w:t>
      </w:r>
      <w:r w:rsidR="000C4E66" w:rsidRPr="002E0E5D">
        <w:t xml:space="preserve">to 50.6% </w:t>
      </w:r>
      <w:r w:rsidR="000C4E66">
        <w:t xml:space="preserve">for the </w:t>
      </w:r>
      <w:r w:rsidR="000C4E66" w:rsidRPr="002E0E5D">
        <w:t>2007</w:t>
      </w:r>
      <w:r w:rsidR="000C4E66">
        <w:t xml:space="preserve"> cohort</w:t>
      </w:r>
      <w:r w:rsidR="000C4E66" w:rsidRPr="002E0E5D">
        <w:t xml:space="preserve">.  </w:t>
      </w:r>
    </w:p>
    <w:p w:rsidR="000C4E66" w:rsidRDefault="000C4E66" w:rsidP="000C4E66">
      <w:pPr>
        <w:pStyle w:val="ListParagraph"/>
        <w:numPr>
          <w:ilvl w:val="0"/>
          <w:numId w:val="39"/>
        </w:numPr>
      </w:pPr>
      <w:r>
        <w:t>For students with prior enabling course experience, completion rates increased from 56.6% for the 2005 to 58.2% for the 2007 cohort.  In contrast, completion rates for students with no prior enabling course experience decreased from 67.3 % for the 2005 cohort to 67.1% and 66.9% for the 2006 and the 2007 cohorts respectively.</w:t>
      </w:r>
    </w:p>
    <w:p w:rsidR="000C4E66" w:rsidRDefault="000C4E66" w:rsidP="000C4E66">
      <w:pPr>
        <w:pStyle w:val="ListParagraph"/>
        <w:numPr>
          <w:ilvl w:val="0"/>
          <w:numId w:val="39"/>
        </w:numPr>
      </w:pPr>
      <w:r>
        <w:t xml:space="preserve">No major variations in completions were seen across most broad fields of education amongst the three cohorts.  However, completion rates for students undertaking an </w:t>
      </w:r>
      <w:r>
        <w:lastRenderedPageBreak/>
        <w:t>Education course have declined in successive cohort years, from 70.2% for the 2005 cohort to 68.2% for the 2006 cohort and then to 66.7% for the 2007. For students studying an Architecture and Building course, completion rates increased from 72%for the 2005 cohort to 72.8% for the 2006 cohort before falling to 69.9% for the 2007 cohort.</w:t>
      </w:r>
    </w:p>
    <w:p w:rsidR="00187D9F" w:rsidRDefault="00187D9F" w:rsidP="00187D9F"/>
    <w:p w:rsidR="009448BA" w:rsidRPr="00D27FF4" w:rsidRDefault="008B2541" w:rsidP="009448BA">
      <w:pPr>
        <w:pStyle w:val="Heading1"/>
        <w:numPr>
          <w:ilvl w:val="0"/>
          <w:numId w:val="3"/>
        </w:numPr>
        <w:ind w:left="357" w:hanging="357"/>
        <w:rPr>
          <w:rStyle w:val="StyleCalibri16ptBoldCustomColorRGB2287136"/>
          <w:b/>
        </w:rPr>
      </w:pPr>
      <w:bookmarkStart w:id="21" w:name="_Toc379882998"/>
      <w:r>
        <w:rPr>
          <w:rStyle w:val="StyleCalibri16ptBoldCustomColorRGB2287136"/>
          <w:b/>
        </w:rPr>
        <w:t>2005 to 2012 – four-year cohort periods</w:t>
      </w:r>
      <w:bookmarkEnd w:id="21"/>
    </w:p>
    <w:p w:rsidR="00374262" w:rsidRDefault="00CE0E36" w:rsidP="00374262">
      <w:r>
        <w:t>The announcement of the demand driven system in 2009 saw a rapid growth in student enrolments in the high</w:t>
      </w:r>
      <w:r w:rsidR="009A5A52">
        <w:t xml:space="preserve">er education sector at around </w:t>
      </w:r>
      <w:r w:rsidR="00596E17">
        <w:t>4</w:t>
      </w:r>
      <w:r w:rsidR="009A5A52">
        <w:t xml:space="preserve">% </w:t>
      </w:r>
      <w:r>
        <w:t xml:space="preserve">per annum from 2009 to 2012. </w:t>
      </w:r>
      <w:r w:rsidR="009A5A52">
        <w:t>The c</w:t>
      </w:r>
      <w:r w:rsidR="00A60737">
        <w:t xml:space="preserve">ohort analysis </w:t>
      </w:r>
      <w:r w:rsidR="009A5A52">
        <w:t>has been</w:t>
      </w:r>
      <w:r w:rsidR="00A60737">
        <w:t xml:space="preserve"> extended to </w:t>
      </w:r>
      <w:r>
        <w:t>track the progress of the 2009 cohort of domestic bachelor students by 2012 (a</w:t>
      </w:r>
      <w:r w:rsidR="00A60737">
        <w:t xml:space="preserve"> 4 year period</w:t>
      </w:r>
      <w:r>
        <w:t>)</w:t>
      </w:r>
      <w:r w:rsidR="00A60737">
        <w:t xml:space="preserve">. </w:t>
      </w:r>
      <w:r>
        <w:t>Comparative cohorts include:</w:t>
      </w:r>
      <w:r w:rsidR="00374262">
        <w:t xml:space="preserve"> 2005-2008, 2006-2009, 2007-2010, 2008-2011 and 2009-2012.</w:t>
      </w:r>
    </w:p>
    <w:p w:rsidR="00A60737" w:rsidRDefault="00A60737" w:rsidP="00374262">
      <w:r>
        <w:t xml:space="preserve">Consistent with the 6 year period cohorts, there have not been </w:t>
      </w:r>
      <w:r w:rsidR="00445298">
        <w:t xml:space="preserve">any </w:t>
      </w:r>
      <w:r>
        <w:t xml:space="preserve">major variations in the performance of students with specific characteristics amongst the five cohorts (Chart 3). Key highlights include:  </w:t>
      </w:r>
    </w:p>
    <w:p w:rsidR="009448BA" w:rsidRDefault="00343AA0" w:rsidP="009448BA">
      <w:pPr>
        <w:pStyle w:val="ListParagraph"/>
        <w:numPr>
          <w:ilvl w:val="0"/>
          <w:numId w:val="39"/>
        </w:numPr>
      </w:pPr>
      <w:r>
        <w:t>There was some fluctuation in the completion rate</w:t>
      </w:r>
      <w:r w:rsidR="00445298">
        <w:t>s</w:t>
      </w:r>
      <w:r>
        <w:t xml:space="preserve"> for students studying Bachelor’s Honours, ranging from </w:t>
      </w:r>
      <w:r w:rsidR="00445298">
        <w:t xml:space="preserve">a low of </w:t>
      </w:r>
      <w:r>
        <w:t xml:space="preserve">77.8% for the 2007 and 2008 cohorts to </w:t>
      </w:r>
      <w:r w:rsidR="00445298">
        <w:t xml:space="preserve">a high of </w:t>
      </w:r>
      <w:r>
        <w:t>81.4% for the 2009 cohort. F</w:t>
      </w:r>
      <w:r w:rsidR="00F3500C">
        <w:t xml:space="preserve">or Bachelor’s Graduate Entry students, </w:t>
      </w:r>
      <w:r>
        <w:t>completion</w:t>
      </w:r>
      <w:r w:rsidR="004004E9">
        <w:t>s</w:t>
      </w:r>
      <w:r>
        <w:t xml:space="preserve"> </w:t>
      </w:r>
      <w:r w:rsidR="00DA29B6">
        <w:t>fell</w:t>
      </w:r>
      <w:r>
        <w:t xml:space="preserve"> </w:t>
      </w:r>
      <w:r w:rsidR="00F3500C">
        <w:t xml:space="preserve">from 73.2% for the 2005 cohort to </w:t>
      </w:r>
      <w:r>
        <w:t>67.1% for the 2009 cohort.</w:t>
      </w:r>
      <w:r w:rsidR="00F3500C">
        <w:t xml:space="preserve"> </w:t>
      </w:r>
    </w:p>
    <w:p w:rsidR="009448BA" w:rsidRPr="00D1428D" w:rsidRDefault="00DA29B6" w:rsidP="009448BA">
      <w:pPr>
        <w:pStyle w:val="ListParagraph"/>
        <w:numPr>
          <w:ilvl w:val="0"/>
          <w:numId w:val="39"/>
        </w:numPr>
      </w:pPr>
      <w:r>
        <w:t>The c</w:t>
      </w:r>
      <w:r w:rsidR="00E70F76">
        <w:t xml:space="preserve">ompletion </w:t>
      </w:r>
      <w:r w:rsidR="009448BA" w:rsidRPr="001C1253">
        <w:t>rate</w:t>
      </w:r>
      <w:r>
        <w:t>s</w:t>
      </w:r>
      <w:r w:rsidR="009448BA" w:rsidRPr="001C1253">
        <w:t xml:space="preserve"> </w:t>
      </w:r>
      <w:r w:rsidR="009448BA">
        <w:t xml:space="preserve">for female students </w:t>
      </w:r>
      <w:r w:rsidR="008B375F">
        <w:t>declined</w:t>
      </w:r>
      <w:r w:rsidR="009448BA" w:rsidRPr="001C1253">
        <w:t xml:space="preserve"> </w:t>
      </w:r>
      <w:r w:rsidR="00BC1117">
        <w:t xml:space="preserve">steadily </w:t>
      </w:r>
      <w:r w:rsidR="009448BA" w:rsidRPr="001C1253">
        <w:t xml:space="preserve">from </w:t>
      </w:r>
      <w:r w:rsidR="008B375F">
        <w:t>50.8</w:t>
      </w:r>
      <w:r w:rsidR="009448BA" w:rsidRPr="001C1253">
        <w:t xml:space="preserve">% </w:t>
      </w:r>
      <w:r w:rsidR="009448BA">
        <w:t xml:space="preserve">for the </w:t>
      </w:r>
      <w:r w:rsidR="009448BA" w:rsidRPr="001C1253">
        <w:t>2005</w:t>
      </w:r>
      <w:r w:rsidR="00CE420E">
        <w:t xml:space="preserve"> </w:t>
      </w:r>
      <w:r w:rsidR="009448BA">
        <w:t xml:space="preserve">cohort </w:t>
      </w:r>
      <w:r w:rsidR="009448BA" w:rsidRPr="001C1253">
        <w:t xml:space="preserve">to </w:t>
      </w:r>
      <w:r w:rsidR="00600C2B">
        <w:t xml:space="preserve">49.2% </w:t>
      </w:r>
      <w:r w:rsidR="000549BF">
        <w:t>for</w:t>
      </w:r>
      <w:r w:rsidR="00600C2B">
        <w:t xml:space="preserve"> the 2009 cohort.</w:t>
      </w:r>
      <w:r w:rsidR="00D336DE">
        <w:t xml:space="preserve"> </w:t>
      </w:r>
      <w:r w:rsidR="00543E72">
        <w:t>For male students, the completion rate</w:t>
      </w:r>
      <w:r>
        <w:t>s</w:t>
      </w:r>
      <w:r w:rsidR="00543E72">
        <w:t xml:space="preserve"> remained steady at around 42% for all the cohorts</w:t>
      </w:r>
      <w:r w:rsidR="009448BA" w:rsidRPr="00D1428D">
        <w:t>.</w:t>
      </w:r>
    </w:p>
    <w:p w:rsidR="009448BA" w:rsidRPr="008D0069" w:rsidRDefault="00A07374" w:rsidP="009448BA">
      <w:pPr>
        <w:pStyle w:val="ListParagraph"/>
        <w:numPr>
          <w:ilvl w:val="0"/>
          <w:numId w:val="39"/>
        </w:numPr>
      </w:pPr>
      <w:r>
        <w:t>S</w:t>
      </w:r>
      <w:r w:rsidR="00AF4D5C">
        <w:t>tudents of all age</w:t>
      </w:r>
      <w:r>
        <w:t xml:space="preserve"> groups</w:t>
      </w:r>
      <w:r w:rsidR="00AF4D5C">
        <w:t xml:space="preserve"> in the 2005 cohort recorded the </w:t>
      </w:r>
      <w:r w:rsidR="00111F44">
        <w:t>highest completion rate</w:t>
      </w:r>
      <w:r w:rsidRPr="00A07374">
        <w:t xml:space="preserve"> </w:t>
      </w:r>
      <w:r>
        <w:t>amongst all five cohorts</w:t>
      </w:r>
      <w:r w:rsidR="00CF531B">
        <w:t xml:space="preserve"> (53.0% for 20-24, 48.1% for 19 and under and 39.5%, 25 and over)</w:t>
      </w:r>
      <w:r w:rsidR="00AF4D5C">
        <w:t xml:space="preserve">. </w:t>
      </w:r>
      <w:r>
        <w:t>Completion rate</w:t>
      </w:r>
      <w:r w:rsidR="00DA29B6">
        <w:t>s</w:t>
      </w:r>
      <w:r>
        <w:t xml:space="preserve"> for the </w:t>
      </w:r>
      <w:r w:rsidR="00445298">
        <w:t>later</w:t>
      </w:r>
      <w:r>
        <w:t xml:space="preserve"> cohorts experienced </w:t>
      </w:r>
      <w:r w:rsidR="0014175E">
        <w:t>a downward</w:t>
      </w:r>
      <w:r w:rsidR="001A6AAF">
        <w:t xml:space="preserve"> trend </w:t>
      </w:r>
      <w:r>
        <w:t>for all age groups</w:t>
      </w:r>
      <w:r w:rsidR="001A6AAF">
        <w:t xml:space="preserve">, </w:t>
      </w:r>
      <w:r w:rsidR="0014175E">
        <w:t xml:space="preserve">with the lowest completion rate </w:t>
      </w:r>
      <w:r w:rsidR="001A6AAF">
        <w:t>being for students aged 25 and over in the 2009 cohort (37.4%).</w:t>
      </w:r>
    </w:p>
    <w:p w:rsidR="009448BA" w:rsidRPr="002E0E5D" w:rsidRDefault="00745DF7" w:rsidP="009448BA">
      <w:pPr>
        <w:pStyle w:val="ListParagraph"/>
        <w:numPr>
          <w:ilvl w:val="0"/>
          <w:numId w:val="39"/>
        </w:numPr>
      </w:pPr>
      <w:r>
        <w:t>Consistent with the 6 year cohorts, completion rate</w:t>
      </w:r>
      <w:r w:rsidR="00445298">
        <w:t>s</w:t>
      </w:r>
      <w:r>
        <w:t xml:space="preserve"> for students in the 30-49 ATAR </w:t>
      </w:r>
      <w:r w:rsidR="00DA29B6">
        <w:t xml:space="preserve">band </w:t>
      </w:r>
      <w:r>
        <w:t xml:space="preserve">showed considerable fluctuation between cohorts, ranging from 28.5% to 35.9%.  </w:t>
      </w:r>
      <w:r w:rsidR="00E64A0B">
        <w:t xml:space="preserve">For </w:t>
      </w:r>
      <w:r w:rsidR="00243235">
        <w:t xml:space="preserve">other </w:t>
      </w:r>
      <w:r w:rsidR="00E64A0B">
        <w:t>ATAR bands</w:t>
      </w:r>
      <w:r w:rsidR="00DA29B6">
        <w:t>,</w:t>
      </w:r>
      <w:r w:rsidR="00E64A0B">
        <w:t xml:space="preserve"> completion rate</w:t>
      </w:r>
      <w:r w:rsidR="00243235">
        <w:t xml:space="preserve">s peaked for the </w:t>
      </w:r>
      <w:r w:rsidR="00E64A0B">
        <w:t xml:space="preserve">2008 cohort, with the highest rate recorded for the 90-94 ATAR band </w:t>
      </w:r>
      <w:r w:rsidR="00243235">
        <w:t xml:space="preserve">at </w:t>
      </w:r>
      <w:r w:rsidR="00E64A0B">
        <w:t xml:space="preserve">54.0%. </w:t>
      </w:r>
      <w:r w:rsidR="00AD186D">
        <w:t xml:space="preserve">In comparison, completion rates </w:t>
      </w:r>
      <w:r w:rsidR="00DA29B6">
        <w:t xml:space="preserve">for students without an ATAR fell </w:t>
      </w:r>
      <w:r w:rsidR="00AD186D">
        <w:t>stead</w:t>
      </w:r>
      <w:r w:rsidR="00DA29B6">
        <w:t>il</w:t>
      </w:r>
      <w:r w:rsidR="00AD186D">
        <w:t xml:space="preserve">y from </w:t>
      </w:r>
      <w:r w:rsidR="00243235">
        <w:t xml:space="preserve">48.2% for the </w:t>
      </w:r>
      <w:r w:rsidR="00AD186D">
        <w:t xml:space="preserve">2005 cohort to </w:t>
      </w:r>
      <w:r w:rsidR="00243235">
        <w:t>46.1% for</w:t>
      </w:r>
      <w:r w:rsidR="00AD186D">
        <w:t xml:space="preserve"> the 2009 cohort.</w:t>
      </w:r>
    </w:p>
    <w:p w:rsidR="009448BA" w:rsidRDefault="00EF63A1" w:rsidP="009448BA">
      <w:pPr>
        <w:pStyle w:val="ListParagraph"/>
        <w:numPr>
          <w:ilvl w:val="0"/>
          <w:numId w:val="39"/>
        </w:numPr>
      </w:pPr>
      <w:r>
        <w:t>The completion rate</w:t>
      </w:r>
      <w:r w:rsidR="00243235">
        <w:t>s</w:t>
      </w:r>
      <w:r>
        <w:t xml:space="preserve"> for s</w:t>
      </w:r>
      <w:r w:rsidR="00645433">
        <w:t>tudents with prior enabling course experience</w:t>
      </w:r>
      <w:r w:rsidR="00243235">
        <w:t xml:space="preserve"> fell</w:t>
      </w:r>
      <w:r>
        <w:t xml:space="preserve"> </w:t>
      </w:r>
      <w:r w:rsidR="00243235">
        <w:t xml:space="preserve">steadily </w:t>
      </w:r>
      <w:r>
        <w:t xml:space="preserve">from 39.8% for the 2005 cohort to 36.9% for the 2009 cohort. In contrast, </w:t>
      </w:r>
      <w:r w:rsidR="004004E9">
        <w:t xml:space="preserve">the </w:t>
      </w:r>
      <w:r w:rsidR="00AD5BCF">
        <w:t>completion rate for students with no prior enabling course experience remained relatively stable between 46% and 47% for all cohorts</w:t>
      </w:r>
      <w:r w:rsidR="002D3675">
        <w:t>.</w:t>
      </w:r>
    </w:p>
    <w:p w:rsidR="000F1840" w:rsidRDefault="00345CF1" w:rsidP="009448BA">
      <w:pPr>
        <w:pStyle w:val="ListParagraph"/>
        <w:numPr>
          <w:ilvl w:val="0"/>
          <w:numId w:val="39"/>
        </w:numPr>
      </w:pPr>
      <w:r>
        <w:t>For indigenous students, t</w:t>
      </w:r>
      <w:r w:rsidR="000F1840">
        <w:t xml:space="preserve">here was </w:t>
      </w:r>
      <w:r w:rsidR="001B2CA1">
        <w:t>considerable</w:t>
      </w:r>
      <w:r w:rsidR="000F1840">
        <w:t xml:space="preserve"> fluctuation in the completion rates </w:t>
      </w:r>
      <w:r w:rsidR="001B2CA1">
        <w:t>between cohorts, from a high of 30.5% for the 2006 cohort to a low of 26.9% for the 2007 cohort</w:t>
      </w:r>
      <w:r w:rsidR="001D2C57">
        <w:t>.</w:t>
      </w:r>
    </w:p>
    <w:p w:rsidR="00186162" w:rsidRDefault="00A73824" w:rsidP="009448BA">
      <w:pPr>
        <w:pStyle w:val="ListParagraph"/>
        <w:numPr>
          <w:ilvl w:val="0"/>
          <w:numId w:val="39"/>
        </w:numPr>
      </w:pPr>
      <w:r>
        <w:t xml:space="preserve">Students </w:t>
      </w:r>
      <w:r w:rsidR="001B2CA1">
        <w:t xml:space="preserve">from low SES backgrounds showed a </w:t>
      </w:r>
      <w:r w:rsidR="00243235">
        <w:t xml:space="preserve">downward </w:t>
      </w:r>
      <w:r w:rsidR="001B2CA1">
        <w:t xml:space="preserve">trend in </w:t>
      </w:r>
      <w:r w:rsidR="00243235">
        <w:t xml:space="preserve">their </w:t>
      </w:r>
      <w:r w:rsidR="001B2CA1">
        <w:t>completion rates</w:t>
      </w:r>
      <w:r w:rsidR="00885632">
        <w:t xml:space="preserve">, </w:t>
      </w:r>
      <w:r w:rsidR="00243235">
        <w:t xml:space="preserve">falling from </w:t>
      </w:r>
      <w:r w:rsidR="001B2CA1">
        <w:t xml:space="preserve">45.5% for the 2005 cohort to 42.8% </w:t>
      </w:r>
      <w:r w:rsidR="00885632">
        <w:t xml:space="preserve">for the </w:t>
      </w:r>
      <w:r w:rsidR="001B2CA1">
        <w:t>2009</w:t>
      </w:r>
      <w:r w:rsidR="00885632">
        <w:t xml:space="preserve"> cohort. </w:t>
      </w:r>
    </w:p>
    <w:p w:rsidR="00DD39CC" w:rsidRDefault="004066A2" w:rsidP="00DD39CC">
      <w:pPr>
        <w:pStyle w:val="ListParagraph"/>
        <w:numPr>
          <w:ilvl w:val="0"/>
          <w:numId w:val="41"/>
        </w:numPr>
        <w:sectPr w:rsidR="00DD39CC" w:rsidSect="00BA1703">
          <w:footerReference w:type="default" r:id="rId17"/>
          <w:pgSz w:w="11906" w:h="16838"/>
          <w:pgMar w:top="1440" w:right="1440" w:bottom="1440" w:left="1440" w:header="708" w:footer="708" w:gutter="0"/>
          <w:pgNumType w:start="4"/>
          <w:cols w:space="708"/>
          <w:docGrid w:linePitch="360"/>
        </w:sectPr>
      </w:pPr>
      <w:r>
        <w:lastRenderedPageBreak/>
        <w:t>Overall</w:t>
      </w:r>
      <w:r w:rsidR="00885632">
        <w:t xml:space="preserve">, </w:t>
      </w:r>
      <w:r w:rsidR="00243235">
        <w:t xml:space="preserve">there have not been any </w:t>
      </w:r>
      <w:r w:rsidR="009448BA">
        <w:t xml:space="preserve">major variations in completions across </w:t>
      </w:r>
      <w:r w:rsidR="00885632">
        <w:t xml:space="preserve">most </w:t>
      </w:r>
      <w:r w:rsidR="009448BA">
        <w:t>broad field</w:t>
      </w:r>
      <w:r w:rsidR="00243235">
        <w:t>s</w:t>
      </w:r>
      <w:r w:rsidR="009448BA">
        <w:t xml:space="preserve"> of education amongst the </w:t>
      </w:r>
      <w:r w:rsidR="00A464C3">
        <w:t>five cohorts.</w:t>
      </w:r>
      <w:r w:rsidR="00885632">
        <w:t xml:space="preserve"> However, completion rates for students </w:t>
      </w:r>
      <w:r w:rsidR="006D7507">
        <w:t xml:space="preserve">studying Health </w:t>
      </w:r>
      <w:r w:rsidR="002C4A47">
        <w:t xml:space="preserve">(from 59.0% for the 2005 cohort to 54.8% for the 2009 cohort) </w:t>
      </w:r>
      <w:r>
        <w:t xml:space="preserve">and education </w:t>
      </w:r>
      <w:r w:rsidR="002C4A47">
        <w:t xml:space="preserve">(from 55.5% for the 2005 cohort to 45.5% for the 2009 cohort) </w:t>
      </w:r>
      <w:r>
        <w:t xml:space="preserve">courses have declined </w:t>
      </w:r>
      <w:r w:rsidR="00445298">
        <w:t>in</w:t>
      </w:r>
      <w:r>
        <w:t xml:space="preserve"> successive cohort</w:t>
      </w:r>
      <w:r w:rsidR="00445298">
        <w:t xml:space="preserve"> year</w:t>
      </w:r>
      <w:r w:rsidR="005611D3">
        <w:t>s</w:t>
      </w:r>
      <w:r>
        <w:t xml:space="preserve">. </w:t>
      </w:r>
      <w:r w:rsidR="009448BA">
        <w:t xml:space="preserve">For students studying an Architecture and Building course, completion rates increased from </w:t>
      </w:r>
      <w:r w:rsidR="00910F2A">
        <w:t>48.2</w:t>
      </w:r>
      <w:r w:rsidR="009448BA">
        <w:t>%</w:t>
      </w:r>
      <w:r w:rsidR="00910F2A">
        <w:t xml:space="preserve"> </w:t>
      </w:r>
      <w:r w:rsidR="009448BA">
        <w:t xml:space="preserve">for the 2005 cohort to </w:t>
      </w:r>
      <w:r w:rsidR="00910F2A">
        <w:t>50.0</w:t>
      </w:r>
      <w:r w:rsidR="009448BA">
        <w:t xml:space="preserve">% </w:t>
      </w:r>
      <w:r w:rsidR="00910F2A">
        <w:t xml:space="preserve">at its highest point </w:t>
      </w:r>
      <w:r w:rsidR="009448BA">
        <w:t xml:space="preserve">for the 2006 cohort </w:t>
      </w:r>
      <w:r w:rsidR="00910F2A">
        <w:t>then steadily</w:t>
      </w:r>
      <w:r w:rsidR="009448BA">
        <w:t xml:space="preserve"> </w:t>
      </w:r>
      <w:r w:rsidR="00906B7C">
        <w:t>decreased</w:t>
      </w:r>
      <w:r w:rsidR="009448BA">
        <w:t xml:space="preserve"> </w:t>
      </w:r>
      <w:r w:rsidR="00910F2A">
        <w:t xml:space="preserve">over each cohort </w:t>
      </w:r>
      <w:r w:rsidR="009448BA">
        <w:t xml:space="preserve">to </w:t>
      </w:r>
      <w:r w:rsidR="00910F2A">
        <w:t>43.6% for the 2009</w:t>
      </w:r>
      <w:r w:rsidR="009448BA">
        <w:t xml:space="preserve"> cohort.</w:t>
      </w:r>
    </w:p>
    <w:p w:rsidR="00FE6569" w:rsidRDefault="00D55346">
      <w:r w:rsidRPr="00D55346">
        <w:rPr>
          <w:noProof/>
          <w:lang w:eastAsia="en-AU"/>
        </w:rPr>
        <w:lastRenderedPageBreak/>
        <w:drawing>
          <wp:inline distT="0" distB="0" distL="0" distR="0" wp14:anchorId="5381EC43" wp14:editId="3A519936">
            <wp:extent cx="5870448" cy="871953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0518" cy="8719639"/>
                    </a:xfrm>
                    <a:prstGeom prst="rect">
                      <a:avLst/>
                    </a:prstGeom>
                    <a:noFill/>
                    <a:ln>
                      <a:noFill/>
                    </a:ln>
                  </pic:spPr>
                </pic:pic>
              </a:graphicData>
            </a:graphic>
          </wp:inline>
        </w:drawing>
      </w:r>
    </w:p>
    <w:p w:rsidR="000B754C" w:rsidRDefault="000B754C">
      <w:pPr>
        <w:sectPr w:rsidR="000B754C" w:rsidSect="00F41335">
          <w:pgSz w:w="11906" w:h="16838"/>
          <w:pgMar w:top="1440" w:right="1440" w:bottom="1440" w:left="1440" w:header="708" w:footer="708" w:gutter="0"/>
          <w:cols w:space="708"/>
          <w:docGrid w:linePitch="360"/>
        </w:sectPr>
      </w:pPr>
    </w:p>
    <w:p w:rsidR="000B754C" w:rsidRDefault="00E03875">
      <w:pPr>
        <w:sectPr w:rsidR="000B754C" w:rsidSect="000B754C">
          <w:pgSz w:w="16840" w:h="23820" w:code="154"/>
          <w:pgMar w:top="1440" w:right="1440" w:bottom="1440" w:left="1440" w:header="709" w:footer="709" w:gutter="0"/>
          <w:cols w:space="708"/>
          <w:docGrid w:linePitch="360"/>
        </w:sectPr>
      </w:pPr>
      <w:r w:rsidRPr="00E03875">
        <w:rPr>
          <w:noProof/>
          <w:lang w:eastAsia="en-AU"/>
        </w:rPr>
        <w:lastRenderedPageBreak/>
        <w:drawing>
          <wp:inline distT="0" distB="0" distL="0" distR="0" wp14:anchorId="2F4EC421" wp14:editId="7BC6F110">
            <wp:extent cx="8531352" cy="1320457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38633" cy="13215845"/>
                    </a:xfrm>
                    <a:prstGeom prst="rect">
                      <a:avLst/>
                    </a:prstGeom>
                    <a:noFill/>
                    <a:ln>
                      <a:noFill/>
                    </a:ln>
                  </pic:spPr>
                </pic:pic>
              </a:graphicData>
            </a:graphic>
          </wp:inline>
        </w:drawing>
      </w:r>
    </w:p>
    <w:p w:rsidR="0025112D" w:rsidRDefault="0025112D"/>
    <w:tbl>
      <w:tblPr>
        <w:tblW w:w="0" w:type="auto"/>
        <w:jc w:val="center"/>
        <w:tblInd w:w="-614" w:type="dxa"/>
        <w:tblLayout w:type="fixed"/>
        <w:tblLook w:val="04A0" w:firstRow="1" w:lastRow="0" w:firstColumn="1" w:lastColumn="0" w:noHBand="0" w:noVBand="1"/>
      </w:tblPr>
      <w:tblGrid>
        <w:gridCol w:w="1775"/>
        <w:gridCol w:w="892"/>
        <w:gridCol w:w="1517"/>
        <w:gridCol w:w="1560"/>
        <w:gridCol w:w="1559"/>
        <w:gridCol w:w="1625"/>
      </w:tblGrid>
      <w:tr w:rsidR="0025112D" w:rsidRPr="0025112D" w:rsidTr="00CB0793">
        <w:trPr>
          <w:trHeight w:val="465"/>
          <w:jc w:val="center"/>
        </w:trPr>
        <w:tc>
          <w:tcPr>
            <w:tcW w:w="8928" w:type="dxa"/>
            <w:gridSpan w:val="6"/>
            <w:tcBorders>
              <w:top w:val="single" w:sz="8" w:space="0" w:color="auto"/>
              <w:left w:val="single" w:sz="8" w:space="0" w:color="auto"/>
              <w:bottom w:val="single" w:sz="8" w:space="0" w:color="auto"/>
              <w:right w:val="single" w:sz="8" w:space="0" w:color="000000"/>
            </w:tcBorders>
            <w:shd w:val="clear" w:color="auto" w:fill="auto"/>
            <w:hideMark/>
          </w:tcPr>
          <w:p w:rsidR="0025112D" w:rsidRPr="00A11674" w:rsidRDefault="00CB0793" w:rsidP="00CB0793">
            <w:pPr>
              <w:spacing w:after="0" w:line="240" w:lineRule="auto"/>
              <w:rPr>
                <w:rFonts w:ascii="Calibri" w:eastAsia="Times New Roman" w:hAnsi="Calibri" w:cs="Times New Roman"/>
                <w:b/>
                <w:bCs/>
                <w:color w:val="000000"/>
                <w:sz w:val="20"/>
                <w:szCs w:val="20"/>
                <w:lang w:eastAsia="en-AU"/>
              </w:rPr>
            </w:pPr>
            <w:r w:rsidRPr="00A11674">
              <w:rPr>
                <w:rFonts w:ascii="Calibri" w:eastAsia="Times New Roman" w:hAnsi="Calibri" w:cs="Times New Roman"/>
                <w:b/>
                <w:bCs/>
                <w:color w:val="000000"/>
                <w:sz w:val="20"/>
                <w:szCs w:val="20"/>
                <w:lang w:eastAsia="en-AU"/>
              </w:rPr>
              <w:t xml:space="preserve">Table 2: </w:t>
            </w:r>
            <w:r w:rsidR="0025112D" w:rsidRPr="00A11674">
              <w:rPr>
                <w:rFonts w:ascii="Calibri" w:eastAsia="Times New Roman" w:hAnsi="Calibri" w:cs="Times New Roman"/>
                <w:b/>
                <w:bCs/>
                <w:color w:val="000000"/>
                <w:sz w:val="20"/>
                <w:szCs w:val="20"/>
                <w:lang w:eastAsia="en-AU"/>
              </w:rPr>
              <w:t>Cohort Analysis for Commencing Domestic Bachelor students</w:t>
            </w:r>
            <w:r w:rsidRPr="00A11674">
              <w:rPr>
                <w:rFonts w:ascii="Calibri" w:eastAsia="Times New Roman" w:hAnsi="Calibri" w:cs="Times New Roman"/>
                <w:b/>
                <w:bCs/>
                <w:color w:val="000000"/>
                <w:sz w:val="20"/>
                <w:szCs w:val="20"/>
                <w:lang w:eastAsia="en-AU"/>
              </w:rPr>
              <w:t xml:space="preserve"> over a 6 year period</w:t>
            </w:r>
            <w:r w:rsidR="0025112D" w:rsidRPr="00A11674">
              <w:rPr>
                <w:rFonts w:ascii="Calibri" w:eastAsia="Times New Roman" w:hAnsi="Calibri" w:cs="Times New Roman"/>
                <w:b/>
                <w:bCs/>
                <w:color w:val="000000"/>
                <w:sz w:val="20"/>
                <w:szCs w:val="20"/>
                <w:lang w:eastAsia="en-AU"/>
              </w:rPr>
              <w:t>, 2005-2010, 2006-2011 and 2007-2012</w:t>
            </w:r>
          </w:p>
        </w:tc>
      </w:tr>
      <w:tr w:rsidR="0025112D" w:rsidRPr="0025112D" w:rsidTr="00CB0793">
        <w:trPr>
          <w:trHeight w:val="840"/>
          <w:jc w:val="center"/>
        </w:trPr>
        <w:tc>
          <w:tcPr>
            <w:tcW w:w="2667" w:type="dxa"/>
            <w:gridSpan w:val="2"/>
            <w:tcBorders>
              <w:top w:val="single" w:sz="8" w:space="0" w:color="auto"/>
              <w:left w:val="single" w:sz="8" w:space="0" w:color="auto"/>
              <w:bottom w:val="nil"/>
              <w:right w:val="single" w:sz="4" w:space="0" w:color="000000"/>
            </w:tcBorders>
            <w:shd w:val="clear" w:color="000000" w:fill="FFFFFF"/>
            <w:hideMark/>
          </w:tcPr>
          <w:p w:rsidR="0025112D" w:rsidRPr="00B47299" w:rsidRDefault="0025112D" w:rsidP="0025112D">
            <w:pPr>
              <w:spacing w:after="0" w:line="240" w:lineRule="auto"/>
              <w:rPr>
                <w:rFonts w:ascii="Times New Roman" w:eastAsia="Times New Roman" w:hAnsi="Times New Roman" w:cs="Times New Roman"/>
                <w:b/>
                <w:bCs/>
                <w:color w:val="000000"/>
                <w:sz w:val="20"/>
                <w:szCs w:val="20"/>
                <w:lang w:eastAsia="en-AU"/>
              </w:rPr>
            </w:pPr>
            <w:r w:rsidRPr="00B47299">
              <w:rPr>
                <w:rFonts w:ascii="Times New Roman" w:eastAsia="Times New Roman" w:hAnsi="Times New Roman" w:cs="Times New Roman"/>
                <w:b/>
                <w:bCs/>
                <w:color w:val="000000"/>
                <w:sz w:val="20"/>
                <w:szCs w:val="20"/>
                <w:lang w:eastAsia="en-AU"/>
              </w:rPr>
              <w:t> </w:t>
            </w:r>
          </w:p>
        </w:tc>
        <w:tc>
          <w:tcPr>
            <w:tcW w:w="1517" w:type="dxa"/>
            <w:tcBorders>
              <w:top w:val="nil"/>
              <w:left w:val="nil"/>
              <w:bottom w:val="nil"/>
              <w:right w:val="nil"/>
            </w:tcBorders>
            <w:shd w:val="clear" w:color="000000" w:fill="FFFFFF"/>
            <w:vAlign w:val="center"/>
            <w:hideMark/>
          </w:tcPr>
          <w:p w:rsidR="0025112D" w:rsidRPr="00A11674" w:rsidRDefault="0025112D" w:rsidP="0025112D">
            <w:pPr>
              <w:spacing w:after="0" w:line="240" w:lineRule="auto"/>
              <w:jc w:val="center"/>
              <w:rPr>
                <w:rFonts w:eastAsia="Times New Roman" w:cs="Times New Roman"/>
                <w:b/>
                <w:bCs/>
                <w:color w:val="000000"/>
                <w:sz w:val="20"/>
                <w:szCs w:val="20"/>
                <w:lang w:eastAsia="en-AU"/>
              </w:rPr>
            </w:pPr>
            <w:r w:rsidRPr="00A11674">
              <w:rPr>
                <w:rFonts w:eastAsia="Times New Roman" w:cs="Times New Roman"/>
                <w:b/>
                <w:bCs/>
                <w:color w:val="000000"/>
                <w:sz w:val="20"/>
                <w:szCs w:val="20"/>
                <w:lang w:eastAsia="en-AU"/>
              </w:rPr>
              <w:t>Completed (in any year)</w:t>
            </w:r>
          </w:p>
        </w:tc>
        <w:tc>
          <w:tcPr>
            <w:tcW w:w="1560" w:type="dxa"/>
            <w:tcBorders>
              <w:top w:val="nil"/>
              <w:left w:val="single" w:sz="4" w:space="0" w:color="000000"/>
              <w:bottom w:val="nil"/>
              <w:right w:val="nil"/>
            </w:tcBorders>
            <w:shd w:val="clear" w:color="000000" w:fill="FFFFFF"/>
            <w:vAlign w:val="center"/>
            <w:hideMark/>
          </w:tcPr>
          <w:p w:rsidR="0025112D" w:rsidRPr="00A11674" w:rsidRDefault="0025112D" w:rsidP="0025112D">
            <w:pPr>
              <w:spacing w:after="0" w:line="240" w:lineRule="auto"/>
              <w:jc w:val="center"/>
              <w:rPr>
                <w:rFonts w:eastAsia="Times New Roman" w:cs="Times New Roman"/>
                <w:b/>
                <w:bCs/>
                <w:color w:val="000000"/>
                <w:sz w:val="20"/>
                <w:szCs w:val="20"/>
                <w:lang w:eastAsia="en-AU"/>
              </w:rPr>
            </w:pPr>
            <w:r w:rsidRPr="00A11674">
              <w:rPr>
                <w:rFonts w:eastAsia="Times New Roman" w:cs="Times New Roman"/>
                <w:b/>
                <w:bCs/>
                <w:color w:val="000000"/>
                <w:sz w:val="20"/>
                <w:szCs w:val="20"/>
                <w:lang w:eastAsia="en-AU"/>
              </w:rPr>
              <w:t>Still Enrolled at the end of the 6 year cohort period</w:t>
            </w:r>
          </w:p>
        </w:tc>
        <w:tc>
          <w:tcPr>
            <w:tcW w:w="1559" w:type="dxa"/>
            <w:tcBorders>
              <w:top w:val="nil"/>
              <w:left w:val="single" w:sz="4" w:space="0" w:color="000000"/>
              <w:bottom w:val="nil"/>
              <w:right w:val="nil"/>
            </w:tcBorders>
            <w:shd w:val="clear" w:color="000000" w:fill="FFFFFF"/>
            <w:vAlign w:val="center"/>
            <w:hideMark/>
          </w:tcPr>
          <w:p w:rsidR="0025112D" w:rsidRPr="00A11674" w:rsidRDefault="0025112D" w:rsidP="0025112D">
            <w:pPr>
              <w:spacing w:after="0" w:line="240" w:lineRule="auto"/>
              <w:jc w:val="center"/>
              <w:rPr>
                <w:rFonts w:eastAsia="Times New Roman" w:cs="Times New Roman"/>
                <w:b/>
                <w:bCs/>
                <w:color w:val="000000"/>
                <w:sz w:val="20"/>
                <w:szCs w:val="20"/>
                <w:lang w:eastAsia="en-AU"/>
              </w:rPr>
            </w:pPr>
            <w:r w:rsidRPr="00A11674">
              <w:rPr>
                <w:rFonts w:eastAsia="Times New Roman" w:cs="Times New Roman"/>
                <w:b/>
                <w:bCs/>
                <w:color w:val="000000"/>
                <w:sz w:val="20"/>
                <w:szCs w:val="20"/>
                <w:lang w:eastAsia="en-AU"/>
              </w:rPr>
              <w:t>Re-enrolled but dropped out</w:t>
            </w:r>
          </w:p>
        </w:tc>
        <w:tc>
          <w:tcPr>
            <w:tcW w:w="1625" w:type="dxa"/>
            <w:tcBorders>
              <w:top w:val="nil"/>
              <w:left w:val="single" w:sz="4" w:space="0" w:color="000000"/>
              <w:bottom w:val="nil"/>
              <w:right w:val="single" w:sz="8" w:space="0" w:color="auto"/>
            </w:tcBorders>
            <w:shd w:val="clear" w:color="000000" w:fill="FFFFFF"/>
            <w:vAlign w:val="center"/>
            <w:hideMark/>
          </w:tcPr>
          <w:p w:rsidR="0025112D" w:rsidRPr="00A11674" w:rsidRDefault="0025112D" w:rsidP="0025112D">
            <w:pPr>
              <w:spacing w:after="0" w:line="240" w:lineRule="auto"/>
              <w:jc w:val="center"/>
              <w:rPr>
                <w:rFonts w:eastAsia="Times New Roman" w:cs="Times New Roman"/>
                <w:b/>
                <w:bCs/>
                <w:color w:val="000000"/>
                <w:sz w:val="20"/>
                <w:szCs w:val="20"/>
                <w:lang w:eastAsia="en-AU"/>
              </w:rPr>
            </w:pPr>
            <w:r w:rsidRPr="00A11674">
              <w:rPr>
                <w:rFonts w:eastAsia="Times New Roman" w:cs="Times New Roman"/>
                <w:b/>
                <w:bCs/>
                <w:color w:val="000000"/>
                <w:sz w:val="20"/>
                <w:szCs w:val="20"/>
                <w:lang w:eastAsia="en-AU"/>
              </w:rPr>
              <w:t>Never came back after the first year</w:t>
            </w:r>
          </w:p>
        </w:tc>
      </w:tr>
      <w:tr w:rsidR="0025112D" w:rsidRPr="0025112D" w:rsidTr="00CB0793">
        <w:trPr>
          <w:trHeight w:val="240"/>
          <w:jc w:val="center"/>
        </w:trPr>
        <w:tc>
          <w:tcPr>
            <w:tcW w:w="17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National Total (Domestic students)</w:t>
            </w:r>
          </w:p>
        </w:tc>
        <w:tc>
          <w:tcPr>
            <w:tcW w:w="892" w:type="dxa"/>
            <w:tcBorders>
              <w:top w:val="single" w:sz="8" w:space="0" w:color="auto"/>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2005</w:t>
            </w:r>
          </w:p>
        </w:tc>
        <w:tc>
          <w:tcPr>
            <w:tcW w:w="1517" w:type="dxa"/>
            <w:tcBorders>
              <w:top w:val="single" w:sz="8" w:space="0" w:color="auto"/>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67.0</w:t>
            </w:r>
          </w:p>
        </w:tc>
        <w:tc>
          <w:tcPr>
            <w:tcW w:w="1560" w:type="dxa"/>
            <w:tcBorders>
              <w:top w:val="single" w:sz="8" w:space="0" w:color="auto"/>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11.0</w:t>
            </w:r>
          </w:p>
        </w:tc>
        <w:tc>
          <w:tcPr>
            <w:tcW w:w="1559" w:type="dxa"/>
            <w:tcBorders>
              <w:top w:val="single" w:sz="8" w:space="0" w:color="auto"/>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12.9</w:t>
            </w:r>
          </w:p>
        </w:tc>
        <w:tc>
          <w:tcPr>
            <w:tcW w:w="1625" w:type="dxa"/>
            <w:tcBorders>
              <w:top w:val="single" w:sz="8" w:space="0" w:color="auto"/>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9.2</w:t>
            </w:r>
          </w:p>
        </w:tc>
      </w:tr>
      <w:tr w:rsidR="0025112D" w:rsidRPr="0025112D" w:rsidTr="00CB0793">
        <w:trPr>
          <w:trHeight w:val="240"/>
          <w:jc w:val="center"/>
        </w:trPr>
        <w:tc>
          <w:tcPr>
            <w:tcW w:w="1775" w:type="dxa"/>
            <w:vMerge/>
            <w:tcBorders>
              <w:top w:val="single" w:sz="8" w:space="0" w:color="auto"/>
              <w:left w:val="single" w:sz="8" w:space="0" w:color="auto"/>
              <w:bottom w:val="single" w:sz="8" w:space="0" w:color="000000"/>
              <w:right w:val="single" w:sz="8" w:space="0" w:color="auto"/>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2006</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66.8</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11.0</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13.4</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8.8</w:t>
            </w:r>
          </w:p>
        </w:tc>
      </w:tr>
      <w:tr w:rsidR="0025112D" w:rsidRPr="0025112D" w:rsidTr="00CB0793">
        <w:trPr>
          <w:trHeight w:val="240"/>
          <w:jc w:val="center"/>
        </w:trPr>
        <w:tc>
          <w:tcPr>
            <w:tcW w:w="1775" w:type="dxa"/>
            <w:vMerge/>
            <w:tcBorders>
              <w:top w:val="single" w:sz="8" w:space="0" w:color="auto"/>
              <w:left w:val="single" w:sz="8" w:space="0" w:color="auto"/>
              <w:bottom w:val="single" w:sz="8" w:space="0" w:color="000000"/>
              <w:right w:val="single" w:sz="8" w:space="0" w:color="auto"/>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2007</w:t>
            </w:r>
          </w:p>
        </w:tc>
        <w:tc>
          <w:tcPr>
            <w:tcW w:w="1517"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66.6</w:t>
            </w:r>
          </w:p>
        </w:tc>
        <w:tc>
          <w:tcPr>
            <w:tcW w:w="1560"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11.4</w:t>
            </w:r>
          </w:p>
        </w:tc>
        <w:tc>
          <w:tcPr>
            <w:tcW w:w="1559"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13.4</w:t>
            </w:r>
          </w:p>
        </w:tc>
        <w:tc>
          <w:tcPr>
            <w:tcW w:w="1625" w:type="dxa"/>
            <w:tcBorders>
              <w:top w:val="nil"/>
              <w:left w:val="nil"/>
              <w:bottom w:val="single" w:sz="8"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8.6</w:t>
            </w:r>
          </w:p>
        </w:tc>
      </w:tr>
      <w:tr w:rsidR="0025112D" w:rsidRPr="0025112D" w:rsidTr="00CB0793">
        <w:trPr>
          <w:trHeight w:val="240"/>
          <w:jc w:val="center"/>
        </w:trPr>
        <w:tc>
          <w:tcPr>
            <w:tcW w:w="1775" w:type="dxa"/>
            <w:vMerge w:val="restart"/>
            <w:tcBorders>
              <w:top w:val="nil"/>
              <w:left w:val="single" w:sz="8" w:space="0" w:color="auto"/>
              <w:bottom w:val="single" w:sz="8"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Comparison figure for Overseas students</w:t>
            </w: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2005</w:t>
            </w:r>
          </w:p>
        </w:tc>
        <w:tc>
          <w:tcPr>
            <w:tcW w:w="1517" w:type="dxa"/>
            <w:tcBorders>
              <w:top w:val="nil"/>
              <w:left w:val="nil"/>
              <w:bottom w:val="nil"/>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73.3</w:t>
            </w:r>
          </w:p>
        </w:tc>
        <w:tc>
          <w:tcPr>
            <w:tcW w:w="1560" w:type="dxa"/>
            <w:tcBorders>
              <w:top w:val="nil"/>
              <w:left w:val="nil"/>
              <w:bottom w:val="nil"/>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1.3</w:t>
            </w:r>
          </w:p>
        </w:tc>
        <w:tc>
          <w:tcPr>
            <w:tcW w:w="1559" w:type="dxa"/>
            <w:tcBorders>
              <w:top w:val="nil"/>
              <w:left w:val="nil"/>
              <w:bottom w:val="nil"/>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14.8</w:t>
            </w:r>
          </w:p>
        </w:tc>
        <w:tc>
          <w:tcPr>
            <w:tcW w:w="1625" w:type="dxa"/>
            <w:tcBorders>
              <w:top w:val="nil"/>
              <w:left w:val="nil"/>
              <w:bottom w:val="nil"/>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10.6</w:t>
            </w:r>
          </w:p>
        </w:tc>
      </w:tr>
      <w:tr w:rsidR="0025112D" w:rsidRPr="0025112D" w:rsidTr="00CB0793">
        <w:trPr>
          <w:trHeight w:val="240"/>
          <w:jc w:val="center"/>
        </w:trPr>
        <w:tc>
          <w:tcPr>
            <w:tcW w:w="1775" w:type="dxa"/>
            <w:vMerge/>
            <w:tcBorders>
              <w:top w:val="nil"/>
              <w:left w:val="single" w:sz="8" w:space="0" w:color="auto"/>
              <w:bottom w:val="single" w:sz="8"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2006</w:t>
            </w:r>
          </w:p>
        </w:tc>
        <w:tc>
          <w:tcPr>
            <w:tcW w:w="1517" w:type="dxa"/>
            <w:tcBorders>
              <w:top w:val="single" w:sz="4" w:space="0" w:color="auto"/>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76.0</w:t>
            </w:r>
          </w:p>
        </w:tc>
        <w:tc>
          <w:tcPr>
            <w:tcW w:w="1560" w:type="dxa"/>
            <w:tcBorders>
              <w:top w:val="single" w:sz="4" w:space="0" w:color="auto"/>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1.4</w:t>
            </w:r>
          </w:p>
        </w:tc>
        <w:tc>
          <w:tcPr>
            <w:tcW w:w="1559" w:type="dxa"/>
            <w:tcBorders>
              <w:top w:val="single" w:sz="4" w:space="0" w:color="auto"/>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12.6</w:t>
            </w:r>
          </w:p>
        </w:tc>
        <w:tc>
          <w:tcPr>
            <w:tcW w:w="1625" w:type="dxa"/>
            <w:tcBorders>
              <w:top w:val="single" w:sz="4" w:space="0" w:color="auto"/>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10.1</w:t>
            </w:r>
          </w:p>
        </w:tc>
      </w:tr>
      <w:tr w:rsidR="0025112D" w:rsidRPr="0025112D" w:rsidTr="00CB0793">
        <w:trPr>
          <w:trHeight w:val="240"/>
          <w:jc w:val="center"/>
        </w:trPr>
        <w:tc>
          <w:tcPr>
            <w:tcW w:w="1775" w:type="dxa"/>
            <w:vMerge/>
            <w:tcBorders>
              <w:top w:val="nil"/>
              <w:left w:val="single" w:sz="8" w:space="0" w:color="auto"/>
              <w:bottom w:val="single" w:sz="8"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8"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2007</w:t>
            </w:r>
          </w:p>
        </w:tc>
        <w:tc>
          <w:tcPr>
            <w:tcW w:w="1517"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77.5</w:t>
            </w:r>
          </w:p>
        </w:tc>
        <w:tc>
          <w:tcPr>
            <w:tcW w:w="1560"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1.4</w:t>
            </w:r>
          </w:p>
        </w:tc>
        <w:tc>
          <w:tcPr>
            <w:tcW w:w="1559"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12.2</w:t>
            </w:r>
          </w:p>
        </w:tc>
        <w:tc>
          <w:tcPr>
            <w:tcW w:w="1625" w:type="dxa"/>
            <w:tcBorders>
              <w:top w:val="nil"/>
              <w:left w:val="nil"/>
              <w:bottom w:val="single" w:sz="8"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9.0</w:t>
            </w:r>
          </w:p>
        </w:tc>
      </w:tr>
      <w:tr w:rsidR="0025112D" w:rsidRPr="0025112D" w:rsidTr="00CB0793">
        <w:trPr>
          <w:trHeight w:val="240"/>
          <w:jc w:val="center"/>
        </w:trPr>
        <w:tc>
          <w:tcPr>
            <w:tcW w:w="8928"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Course Level </w:t>
            </w:r>
          </w:p>
        </w:tc>
      </w:tr>
      <w:tr w:rsidR="0025112D" w:rsidRPr="0025112D" w:rsidTr="00CB0793">
        <w:trPr>
          <w:trHeight w:val="240"/>
          <w:jc w:val="center"/>
        </w:trPr>
        <w:tc>
          <w:tcPr>
            <w:tcW w:w="1775"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Bachelor's Graduate Entry</w:t>
            </w: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2005</w:t>
            </w:r>
          </w:p>
        </w:tc>
        <w:tc>
          <w:tcPr>
            <w:tcW w:w="1517" w:type="dxa"/>
            <w:tcBorders>
              <w:top w:val="nil"/>
              <w:left w:val="nil"/>
              <w:bottom w:val="nil"/>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79.3</w:t>
            </w:r>
          </w:p>
        </w:tc>
        <w:tc>
          <w:tcPr>
            <w:tcW w:w="1560" w:type="dxa"/>
            <w:tcBorders>
              <w:top w:val="nil"/>
              <w:left w:val="nil"/>
              <w:bottom w:val="nil"/>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4.6</w:t>
            </w:r>
          </w:p>
        </w:tc>
        <w:tc>
          <w:tcPr>
            <w:tcW w:w="1559" w:type="dxa"/>
            <w:tcBorders>
              <w:top w:val="nil"/>
              <w:left w:val="nil"/>
              <w:bottom w:val="nil"/>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7.3</w:t>
            </w:r>
          </w:p>
        </w:tc>
        <w:tc>
          <w:tcPr>
            <w:tcW w:w="1625" w:type="dxa"/>
            <w:tcBorders>
              <w:top w:val="nil"/>
              <w:left w:val="nil"/>
              <w:bottom w:val="nil"/>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8.8</w:t>
            </w:r>
          </w:p>
        </w:tc>
      </w:tr>
      <w:tr w:rsidR="0025112D" w:rsidRPr="0025112D" w:rsidTr="00CB0793">
        <w:trPr>
          <w:trHeight w:val="240"/>
          <w:jc w:val="center"/>
        </w:trPr>
        <w:tc>
          <w:tcPr>
            <w:tcW w:w="1775"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2006</w:t>
            </w:r>
          </w:p>
        </w:tc>
        <w:tc>
          <w:tcPr>
            <w:tcW w:w="1517" w:type="dxa"/>
            <w:tcBorders>
              <w:top w:val="single" w:sz="4" w:space="0" w:color="auto"/>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79.9</w:t>
            </w:r>
          </w:p>
        </w:tc>
        <w:tc>
          <w:tcPr>
            <w:tcW w:w="1560" w:type="dxa"/>
            <w:tcBorders>
              <w:top w:val="single" w:sz="4" w:space="0" w:color="auto"/>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4.8</w:t>
            </w:r>
          </w:p>
        </w:tc>
        <w:tc>
          <w:tcPr>
            <w:tcW w:w="1559" w:type="dxa"/>
            <w:tcBorders>
              <w:top w:val="single" w:sz="4" w:space="0" w:color="auto"/>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7.2</w:t>
            </w:r>
          </w:p>
        </w:tc>
        <w:tc>
          <w:tcPr>
            <w:tcW w:w="1625" w:type="dxa"/>
            <w:tcBorders>
              <w:top w:val="single" w:sz="4" w:space="0" w:color="auto"/>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8.2</w:t>
            </w:r>
          </w:p>
        </w:tc>
      </w:tr>
      <w:tr w:rsidR="0025112D" w:rsidRPr="0025112D" w:rsidTr="00CB0793">
        <w:trPr>
          <w:trHeight w:val="240"/>
          <w:jc w:val="center"/>
        </w:trPr>
        <w:tc>
          <w:tcPr>
            <w:tcW w:w="1775"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2007</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78.1</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5.1</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7.6</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9.2</w:t>
            </w:r>
          </w:p>
        </w:tc>
      </w:tr>
      <w:tr w:rsidR="0025112D" w:rsidRPr="0025112D" w:rsidTr="00CB0793">
        <w:trPr>
          <w:trHeight w:val="240"/>
          <w:jc w:val="center"/>
        </w:trPr>
        <w:tc>
          <w:tcPr>
            <w:tcW w:w="1775"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Bachelor's Honours </w:t>
            </w: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2005</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84.2</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3.2</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4.5</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8.1</w:t>
            </w:r>
          </w:p>
        </w:tc>
      </w:tr>
      <w:tr w:rsidR="0025112D" w:rsidRPr="0025112D" w:rsidTr="00CB0793">
        <w:trPr>
          <w:trHeight w:val="240"/>
          <w:jc w:val="center"/>
        </w:trPr>
        <w:tc>
          <w:tcPr>
            <w:tcW w:w="1775"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2006</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86.2</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2.8</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4.1</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6.9</w:t>
            </w:r>
          </w:p>
        </w:tc>
      </w:tr>
      <w:tr w:rsidR="0025112D" w:rsidRPr="0025112D" w:rsidTr="00CB0793">
        <w:trPr>
          <w:trHeight w:val="240"/>
          <w:jc w:val="center"/>
        </w:trPr>
        <w:tc>
          <w:tcPr>
            <w:tcW w:w="1775"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2007</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82.8</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4.1</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6.0</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7.1</w:t>
            </w:r>
          </w:p>
        </w:tc>
      </w:tr>
      <w:tr w:rsidR="0025112D" w:rsidRPr="0025112D" w:rsidTr="00CB0793">
        <w:trPr>
          <w:trHeight w:val="240"/>
          <w:jc w:val="center"/>
        </w:trPr>
        <w:tc>
          <w:tcPr>
            <w:tcW w:w="1775" w:type="dxa"/>
            <w:vMerge w:val="restart"/>
            <w:tcBorders>
              <w:top w:val="nil"/>
              <w:left w:val="single" w:sz="8" w:space="0" w:color="auto"/>
              <w:bottom w:val="single" w:sz="8" w:space="0" w:color="000000"/>
              <w:right w:val="nil"/>
            </w:tcBorders>
            <w:shd w:val="clear" w:color="auto" w:fill="auto"/>
            <w:hideMark/>
          </w:tcPr>
          <w:p w:rsidR="0025112D" w:rsidRPr="00A11674" w:rsidRDefault="0025112D" w:rsidP="00A11674">
            <w:pPr>
              <w:spacing w:after="0" w:line="240" w:lineRule="auto"/>
              <w:jc w:val="both"/>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Bachelor's Pass </w:t>
            </w: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2005</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66.3</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11.3</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13.2</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9.2</w:t>
            </w:r>
          </w:p>
        </w:tc>
      </w:tr>
      <w:tr w:rsidR="0025112D" w:rsidRPr="0025112D" w:rsidTr="00CB0793">
        <w:trPr>
          <w:trHeight w:val="240"/>
          <w:jc w:val="center"/>
        </w:trPr>
        <w:tc>
          <w:tcPr>
            <w:tcW w:w="1775" w:type="dxa"/>
            <w:vMerge/>
            <w:tcBorders>
              <w:top w:val="nil"/>
              <w:left w:val="single" w:sz="8" w:space="0" w:color="auto"/>
              <w:bottom w:val="single" w:sz="8" w:space="0" w:color="000000"/>
              <w:right w:val="nil"/>
            </w:tcBorders>
            <w:vAlign w:val="center"/>
            <w:hideMark/>
          </w:tcPr>
          <w:p w:rsidR="0025112D" w:rsidRPr="00A11674" w:rsidRDefault="0025112D" w:rsidP="00A11674">
            <w:pPr>
              <w:spacing w:after="0" w:line="240" w:lineRule="auto"/>
              <w:jc w:val="both"/>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2006</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66.1</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11.3</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13.8</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8.8</w:t>
            </w:r>
          </w:p>
        </w:tc>
      </w:tr>
      <w:tr w:rsidR="0025112D" w:rsidRPr="0025112D" w:rsidTr="00CB0793">
        <w:trPr>
          <w:trHeight w:val="240"/>
          <w:jc w:val="center"/>
        </w:trPr>
        <w:tc>
          <w:tcPr>
            <w:tcW w:w="1775" w:type="dxa"/>
            <w:vMerge/>
            <w:tcBorders>
              <w:top w:val="nil"/>
              <w:left w:val="single" w:sz="8" w:space="0" w:color="auto"/>
              <w:bottom w:val="single" w:sz="8" w:space="0" w:color="000000"/>
              <w:right w:val="nil"/>
            </w:tcBorders>
            <w:vAlign w:val="center"/>
            <w:hideMark/>
          </w:tcPr>
          <w:p w:rsidR="0025112D" w:rsidRPr="00A11674" w:rsidRDefault="0025112D" w:rsidP="00A11674">
            <w:pPr>
              <w:spacing w:after="0" w:line="240" w:lineRule="auto"/>
              <w:jc w:val="both"/>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8"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2007</w:t>
            </w:r>
          </w:p>
        </w:tc>
        <w:tc>
          <w:tcPr>
            <w:tcW w:w="1517"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66.0</w:t>
            </w:r>
          </w:p>
        </w:tc>
        <w:tc>
          <w:tcPr>
            <w:tcW w:w="1560"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11.7</w:t>
            </w:r>
          </w:p>
        </w:tc>
        <w:tc>
          <w:tcPr>
            <w:tcW w:w="1559"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13.7</w:t>
            </w:r>
          </w:p>
        </w:tc>
        <w:tc>
          <w:tcPr>
            <w:tcW w:w="1625" w:type="dxa"/>
            <w:tcBorders>
              <w:top w:val="nil"/>
              <w:left w:val="nil"/>
              <w:bottom w:val="single" w:sz="8"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8.7</w:t>
            </w:r>
          </w:p>
        </w:tc>
      </w:tr>
      <w:tr w:rsidR="0025112D" w:rsidRPr="0025112D" w:rsidTr="00CB0793">
        <w:trPr>
          <w:trHeight w:val="240"/>
          <w:jc w:val="center"/>
        </w:trPr>
        <w:tc>
          <w:tcPr>
            <w:tcW w:w="8928"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25112D" w:rsidRPr="00A11674" w:rsidRDefault="0025112D" w:rsidP="00A11674">
            <w:pPr>
              <w:spacing w:after="0" w:line="240" w:lineRule="auto"/>
              <w:jc w:val="both"/>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Mode of Attendance </w:t>
            </w:r>
          </w:p>
        </w:tc>
      </w:tr>
      <w:tr w:rsidR="0025112D" w:rsidRPr="0025112D" w:rsidTr="00CB0793">
        <w:trPr>
          <w:trHeight w:val="240"/>
          <w:jc w:val="center"/>
        </w:trPr>
        <w:tc>
          <w:tcPr>
            <w:tcW w:w="1775"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Internal </w:t>
            </w: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2005</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70.2</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10.4</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11.7</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7.7</w:t>
            </w:r>
          </w:p>
        </w:tc>
      </w:tr>
      <w:tr w:rsidR="0025112D" w:rsidRPr="0025112D" w:rsidTr="00CB0793">
        <w:trPr>
          <w:trHeight w:val="240"/>
          <w:jc w:val="center"/>
        </w:trPr>
        <w:tc>
          <w:tcPr>
            <w:tcW w:w="1775"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2006</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69.8</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10.5</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12.3</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7.5</w:t>
            </w:r>
          </w:p>
        </w:tc>
      </w:tr>
      <w:tr w:rsidR="0025112D" w:rsidRPr="0025112D" w:rsidTr="00CB0793">
        <w:trPr>
          <w:trHeight w:val="240"/>
          <w:jc w:val="center"/>
        </w:trPr>
        <w:tc>
          <w:tcPr>
            <w:tcW w:w="1775"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2007</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69.6</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10.8</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12.1</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7.4</w:t>
            </w:r>
          </w:p>
        </w:tc>
      </w:tr>
      <w:tr w:rsidR="0025112D" w:rsidRPr="0025112D" w:rsidTr="00CB0793">
        <w:trPr>
          <w:trHeight w:val="240"/>
          <w:jc w:val="center"/>
        </w:trPr>
        <w:tc>
          <w:tcPr>
            <w:tcW w:w="1775"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External </w:t>
            </w: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2005</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37.4</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17.2</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22.9</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22.5</w:t>
            </w:r>
          </w:p>
        </w:tc>
      </w:tr>
      <w:tr w:rsidR="0025112D" w:rsidRPr="0025112D" w:rsidTr="00CB0793">
        <w:trPr>
          <w:trHeight w:val="240"/>
          <w:jc w:val="center"/>
        </w:trPr>
        <w:tc>
          <w:tcPr>
            <w:tcW w:w="1775"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2006</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37.3</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16.5</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23.8</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22.3</w:t>
            </w:r>
          </w:p>
        </w:tc>
      </w:tr>
      <w:tr w:rsidR="0025112D" w:rsidRPr="0025112D" w:rsidTr="00CB0793">
        <w:trPr>
          <w:trHeight w:val="240"/>
          <w:jc w:val="center"/>
        </w:trPr>
        <w:tc>
          <w:tcPr>
            <w:tcW w:w="1775"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2007</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37.4</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17.2</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24.4</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21.0</w:t>
            </w:r>
          </w:p>
        </w:tc>
      </w:tr>
      <w:tr w:rsidR="0025112D" w:rsidRPr="0025112D" w:rsidTr="00CB0793">
        <w:trPr>
          <w:trHeight w:val="240"/>
          <w:jc w:val="center"/>
        </w:trPr>
        <w:tc>
          <w:tcPr>
            <w:tcW w:w="1775" w:type="dxa"/>
            <w:vMerge w:val="restart"/>
            <w:tcBorders>
              <w:top w:val="nil"/>
              <w:left w:val="single" w:sz="8" w:space="0" w:color="auto"/>
              <w:bottom w:val="single" w:sz="8"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Multi-modal </w:t>
            </w: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2005</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65.2</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10.2</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15.2</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9.3</w:t>
            </w:r>
          </w:p>
        </w:tc>
      </w:tr>
      <w:tr w:rsidR="0025112D" w:rsidRPr="0025112D" w:rsidTr="00CB0793">
        <w:trPr>
          <w:trHeight w:val="240"/>
          <w:jc w:val="center"/>
        </w:trPr>
        <w:tc>
          <w:tcPr>
            <w:tcW w:w="1775" w:type="dxa"/>
            <w:vMerge/>
            <w:tcBorders>
              <w:top w:val="nil"/>
              <w:left w:val="single" w:sz="8" w:space="0" w:color="auto"/>
              <w:bottom w:val="single" w:sz="8"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2006</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64.2</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10.8</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16.1</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8.9</w:t>
            </w:r>
          </w:p>
        </w:tc>
      </w:tr>
      <w:tr w:rsidR="0025112D" w:rsidRPr="0025112D" w:rsidTr="00CB0793">
        <w:trPr>
          <w:trHeight w:val="240"/>
          <w:jc w:val="center"/>
        </w:trPr>
        <w:tc>
          <w:tcPr>
            <w:tcW w:w="1775" w:type="dxa"/>
            <w:vMerge/>
            <w:tcBorders>
              <w:top w:val="nil"/>
              <w:left w:val="single" w:sz="8" w:space="0" w:color="auto"/>
              <w:bottom w:val="single" w:sz="8"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8"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2007</w:t>
            </w:r>
          </w:p>
        </w:tc>
        <w:tc>
          <w:tcPr>
            <w:tcW w:w="1517"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65.1</w:t>
            </w:r>
          </w:p>
        </w:tc>
        <w:tc>
          <w:tcPr>
            <w:tcW w:w="1560"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11.4</w:t>
            </w:r>
          </w:p>
        </w:tc>
        <w:tc>
          <w:tcPr>
            <w:tcW w:w="1559"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15.4</w:t>
            </w:r>
          </w:p>
        </w:tc>
        <w:tc>
          <w:tcPr>
            <w:tcW w:w="1625" w:type="dxa"/>
            <w:tcBorders>
              <w:top w:val="nil"/>
              <w:left w:val="nil"/>
              <w:bottom w:val="single" w:sz="8"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8.1</w:t>
            </w:r>
          </w:p>
        </w:tc>
      </w:tr>
      <w:tr w:rsidR="0025112D" w:rsidRPr="0025112D" w:rsidTr="00CB0793">
        <w:trPr>
          <w:trHeight w:val="240"/>
          <w:jc w:val="center"/>
        </w:trPr>
        <w:tc>
          <w:tcPr>
            <w:tcW w:w="8928"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Type of Attendance </w:t>
            </w:r>
          </w:p>
        </w:tc>
      </w:tr>
      <w:tr w:rsidR="0025112D" w:rsidRPr="0025112D" w:rsidTr="00CB0793">
        <w:trPr>
          <w:trHeight w:val="240"/>
          <w:jc w:val="center"/>
        </w:trPr>
        <w:tc>
          <w:tcPr>
            <w:tcW w:w="1775"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Full-time</w:t>
            </w: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2005</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72.8</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9.7</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11.0</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6.6</w:t>
            </w:r>
          </w:p>
        </w:tc>
      </w:tr>
      <w:tr w:rsidR="0025112D" w:rsidRPr="0025112D" w:rsidTr="00CB0793">
        <w:trPr>
          <w:trHeight w:val="240"/>
          <w:jc w:val="center"/>
        </w:trPr>
        <w:tc>
          <w:tcPr>
            <w:tcW w:w="1775"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2006</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72.2</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9.8</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11.6</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6.4</w:t>
            </w:r>
          </w:p>
        </w:tc>
      </w:tr>
      <w:tr w:rsidR="0025112D" w:rsidRPr="0025112D" w:rsidTr="00CB0793">
        <w:trPr>
          <w:trHeight w:val="240"/>
          <w:jc w:val="center"/>
        </w:trPr>
        <w:tc>
          <w:tcPr>
            <w:tcW w:w="1775"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2007</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72.0</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10.2</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11.5</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6.4</w:t>
            </w:r>
          </w:p>
        </w:tc>
      </w:tr>
      <w:tr w:rsidR="0025112D" w:rsidRPr="0025112D" w:rsidTr="00CB0793">
        <w:trPr>
          <w:trHeight w:val="240"/>
          <w:jc w:val="center"/>
        </w:trPr>
        <w:tc>
          <w:tcPr>
            <w:tcW w:w="1775" w:type="dxa"/>
            <w:vMerge w:val="restart"/>
            <w:tcBorders>
              <w:top w:val="nil"/>
              <w:left w:val="single" w:sz="8" w:space="0" w:color="auto"/>
              <w:bottom w:val="single" w:sz="8"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Part-time </w:t>
            </w: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2005</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39.6</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17.3</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21.7</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21.5</w:t>
            </w:r>
          </w:p>
        </w:tc>
      </w:tr>
      <w:tr w:rsidR="0025112D" w:rsidRPr="0025112D" w:rsidTr="00CB0793">
        <w:trPr>
          <w:trHeight w:val="240"/>
          <w:jc w:val="center"/>
        </w:trPr>
        <w:tc>
          <w:tcPr>
            <w:tcW w:w="1775" w:type="dxa"/>
            <w:vMerge/>
            <w:tcBorders>
              <w:top w:val="nil"/>
              <w:left w:val="single" w:sz="8" w:space="0" w:color="auto"/>
              <w:bottom w:val="single" w:sz="8"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2006</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39.6</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16.8</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22.8</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20.8</w:t>
            </w:r>
          </w:p>
        </w:tc>
      </w:tr>
      <w:tr w:rsidR="0025112D" w:rsidRPr="0025112D" w:rsidTr="00CB0793">
        <w:trPr>
          <w:trHeight w:val="240"/>
          <w:jc w:val="center"/>
        </w:trPr>
        <w:tc>
          <w:tcPr>
            <w:tcW w:w="1775" w:type="dxa"/>
            <w:vMerge/>
            <w:tcBorders>
              <w:top w:val="nil"/>
              <w:left w:val="single" w:sz="8" w:space="0" w:color="auto"/>
              <w:bottom w:val="single" w:sz="8"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8"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2007</w:t>
            </w:r>
          </w:p>
        </w:tc>
        <w:tc>
          <w:tcPr>
            <w:tcW w:w="1517"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39.2</w:t>
            </w:r>
          </w:p>
        </w:tc>
        <w:tc>
          <w:tcPr>
            <w:tcW w:w="1560"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17.8</w:t>
            </w:r>
          </w:p>
        </w:tc>
        <w:tc>
          <w:tcPr>
            <w:tcW w:w="1559"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22.9</w:t>
            </w:r>
          </w:p>
        </w:tc>
        <w:tc>
          <w:tcPr>
            <w:tcW w:w="1625" w:type="dxa"/>
            <w:tcBorders>
              <w:top w:val="nil"/>
              <w:left w:val="nil"/>
              <w:bottom w:val="single" w:sz="8"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20.2</w:t>
            </w:r>
          </w:p>
        </w:tc>
      </w:tr>
      <w:tr w:rsidR="0025112D" w:rsidRPr="0025112D" w:rsidTr="00CB0793">
        <w:trPr>
          <w:trHeight w:val="240"/>
          <w:jc w:val="center"/>
        </w:trPr>
        <w:tc>
          <w:tcPr>
            <w:tcW w:w="8928"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Gender </w:t>
            </w:r>
          </w:p>
        </w:tc>
      </w:tr>
      <w:tr w:rsidR="0025112D" w:rsidRPr="0025112D" w:rsidTr="00CB0793">
        <w:trPr>
          <w:trHeight w:val="240"/>
          <w:jc w:val="center"/>
        </w:trPr>
        <w:tc>
          <w:tcPr>
            <w:tcW w:w="1775"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Males </w:t>
            </w: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2005</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63.6</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12.0</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14.7</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9.8</w:t>
            </w:r>
          </w:p>
        </w:tc>
      </w:tr>
      <w:tr w:rsidR="0025112D" w:rsidRPr="0025112D" w:rsidTr="00CB0793">
        <w:trPr>
          <w:trHeight w:val="240"/>
          <w:jc w:val="center"/>
        </w:trPr>
        <w:tc>
          <w:tcPr>
            <w:tcW w:w="1775"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2006</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63.6</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12.3</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15.0</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9.2</w:t>
            </w:r>
          </w:p>
        </w:tc>
      </w:tr>
      <w:tr w:rsidR="0025112D" w:rsidRPr="0025112D" w:rsidTr="00CB0793">
        <w:trPr>
          <w:trHeight w:val="240"/>
          <w:jc w:val="center"/>
        </w:trPr>
        <w:tc>
          <w:tcPr>
            <w:tcW w:w="1775"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2007</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63.5</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12.5</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14.9</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9.1</w:t>
            </w:r>
          </w:p>
        </w:tc>
      </w:tr>
      <w:tr w:rsidR="0025112D" w:rsidRPr="0025112D" w:rsidTr="00CB0793">
        <w:trPr>
          <w:trHeight w:val="240"/>
          <w:jc w:val="center"/>
        </w:trPr>
        <w:tc>
          <w:tcPr>
            <w:tcW w:w="1775" w:type="dxa"/>
            <w:vMerge w:val="restart"/>
            <w:tcBorders>
              <w:top w:val="nil"/>
              <w:left w:val="single" w:sz="8" w:space="0" w:color="auto"/>
              <w:bottom w:val="single" w:sz="8"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Females </w:t>
            </w: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2005</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69.4</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10.3</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11.6</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8.7</w:t>
            </w:r>
          </w:p>
        </w:tc>
      </w:tr>
      <w:tr w:rsidR="0025112D" w:rsidRPr="0025112D" w:rsidTr="00CB0793">
        <w:trPr>
          <w:trHeight w:val="240"/>
          <w:jc w:val="center"/>
        </w:trPr>
        <w:tc>
          <w:tcPr>
            <w:tcW w:w="1775" w:type="dxa"/>
            <w:vMerge/>
            <w:tcBorders>
              <w:top w:val="nil"/>
              <w:left w:val="single" w:sz="8" w:space="0" w:color="auto"/>
              <w:bottom w:val="single" w:sz="8" w:space="0" w:color="000000"/>
              <w:right w:val="nil"/>
            </w:tcBorders>
            <w:vAlign w:val="center"/>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p>
        </w:tc>
        <w:tc>
          <w:tcPr>
            <w:tcW w:w="892" w:type="dxa"/>
            <w:tcBorders>
              <w:top w:val="nil"/>
              <w:left w:val="single" w:sz="8" w:space="0" w:color="auto"/>
              <w:bottom w:val="single" w:sz="4"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2006</w:t>
            </w:r>
          </w:p>
        </w:tc>
        <w:tc>
          <w:tcPr>
            <w:tcW w:w="1517"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69.1</w:t>
            </w:r>
          </w:p>
        </w:tc>
        <w:tc>
          <w:tcPr>
            <w:tcW w:w="1560"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10.1</w:t>
            </w:r>
          </w:p>
        </w:tc>
        <w:tc>
          <w:tcPr>
            <w:tcW w:w="1559" w:type="dxa"/>
            <w:tcBorders>
              <w:top w:val="nil"/>
              <w:left w:val="nil"/>
              <w:bottom w:val="single" w:sz="4"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12.4</w:t>
            </w:r>
          </w:p>
        </w:tc>
        <w:tc>
          <w:tcPr>
            <w:tcW w:w="1625" w:type="dxa"/>
            <w:tcBorders>
              <w:top w:val="nil"/>
              <w:left w:val="nil"/>
              <w:bottom w:val="single" w:sz="4"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8.5</w:t>
            </w:r>
          </w:p>
        </w:tc>
      </w:tr>
      <w:tr w:rsidR="0025112D" w:rsidRPr="0025112D" w:rsidTr="00CB0793">
        <w:trPr>
          <w:trHeight w:val="240"/>
          <w:jc w:val="center"/>
        </w:trPr>
        <w:tc>
          <w:tcPr>
            <w:tcW w:w="1775" w:type="dxa"/>
            <w:vMerge/>
            <w:tcBorders>
              <w:top w:val="nil"/>
              <w:left w:val="single" w:sz="8" w:space="0" w:color="auto"/>
              <w:bottom w:val="single" w:sz="8" w:space="0" w:color="000000"/>
              <w:right w:val="nil"/>
            </w:tcBorders>
            <w:vAlign w:val="center"/>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p>
        </w:tc>
        <w:tc>
          <w:tcPr>
            <w:tcW w:w="892" w:type="dxa"/>
            <w:tcBorders>
              <w:top w:val="nil"/>
              <w:left w:val="single" w:sz="8" w:space="0" w:color="auto"/>
              <w:bottom w:val="single" w:sz="8" w:space="0" w:color="auto"/>
              <w:right w:val="single" w:sz="4" w:space="0" w:color="auto"/>
            </w:tcBorders>
            <w:shd w:val="clear" w:color="auto" w:fill="auto"/>
            <w:noWrap/>
            <w:hideMark/>
          </w:tcPr>
          <w:p w:rsidR="0025112D" w:rsidRPr="00B47299" w:rsidRDefault="0025112D" w:rsidP="0025112D">
            <w:pPr>
              <w:spacing w:after="0" w:line="240" w:lineRule="auto"/>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2007</w:t>
            </w:r>
          </w:p>
        </w:tc>
        <w:tc>
          <w:tcPr>
            <w:tcW w:w="1517"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68.7</w:t>
            </w:r>
          </w:p>
        </w:tc>
        <w:tc>
          <w:tcPr>
            <w:tcW w:w="1560"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10.7</w:t>
            </w:r>
          </w:p>
        </w:tc>
        <w:tc>
          <w:tcPr>
            <w:tcW w:w="1559" w:type="dxa"/>
            <w:tcBorders>
              <w:top w:val="nil"/>
              <w:left w:val="nil"/>
              <w:bottom w:val="single" w:sz="8" w:space="0" w:color="auto"/>
              <w:right w:val="single" w:sz="4"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12.4</w:t>
            </w:r>
          </w:p>
        </w:tc>
        <w:tc>
          <w:tcPr>
            <w:tcW w:w="1625" w:type="dxa"/>
            <w:tcBorders>
              <w:top w:val="nil"/>
              <w:left w:val="nil"/>
              <w:bottom w:val="single" w:sz="8" w:space="0" w:color="auto"/>
              <w:right w:val="single" w:sz="8" w:space="0" w:color="auto"/>
            </w:tcBorders>
            <w:shd w:val="clear" w:color="auto" w:fill="auto"/>
            <w:noWrap/>
            <w:hideMark/>
          </w:tcPr>
          <w:p w:rsidR="0025112D" w:rsidRPr="00B47299" w:rsidRDefault="0025112D" w:rsidP="0025112D">
            <w:pPr>
              <w:spacing w:after="0" w:line="240" w:lineRule="auto"/>
              <w:jc w:val="center"/>
              <w:rPr>
                <w:rFonts w:ascii="Calibri" w:eastAsia="Times New Roman" w:hAnsi="Calibri" w:cs="Times New Roman"/>
                <w:color w:val="000000"/>
                <w:sz w:val="20"/>
                <w:szCs w:val="20"/>
                <w:lang w:eastAsia="en-AU"/>
              </w:rPr>
            </w:pPr>
            <w:r w:rsidRPr="00B47299">
              <w:rPr>
                <w:rFonts w:ascii="Calibri" w:eastAsia="Times New Roman" w:hAnsi="Calibri" w:cs="Times New Roman"/>
                <w:color w:val="000000"/>
                <w:sz w:val="20"/>
                <w:szCs w:val="20"/>
                <w:lang w:eastAsia="en-AU"/>
              </w:rPr>
              <w:t>8.4</w:t>
            </w:r>
          </w:p>
        </w:tc>
      </w:tr>
    </w:tbl>
    <w:p w:rsidR="0025112D" w:rsidRDefault="0025112D"/>
    <w:p w:rsidR="00F40522" w:rsidRDefault="00F40522"/>
    <w:p w:rsidR="00F40522" w:rsidRDefault="00F40522"/>
    <w:p w:rsidR="00F40522" w:rsidRDefault="00F40522"/>
    <w:p w:rsidR="00F40522" w:rsidRDefault="00F40522"/>
    <w:tbl>
      <w:tblPr>
        <w:tblW w:w="8825" w:type="dxa"/>
        <w:jc w:val="center"/>
        <w:tblInd w:w="93" w:type="dxa"/>
        <w:tblLook w:val="04A0" w:firstRow="1" w:lastRow="0" w:firstColumn="1" w:lastColumn="0" w:noHBand="0" w:noVBand="1"/>
      </w:tblPr>
      <w:tblGrid>
        <w:gridCol w:w="1723"/>
        <w:gridCol w:w="850"/>
        <w:gridCol w:w="1559"/>
        <w:gridCol w:w="1560"/>
        <w:gridCol w:w="1559"/>
        <w:gridCol w:w="1574"/>
      </w:tblGrid>
      <w:tr w:rsidR="0025112D" w:rsidRPr="0025112D" w:rsidTr="00A11674">
        <w:trPr>
          <w:trHeight w:val="840"/>
          <w:jc w:val="center"/>
        </w:trPr>
        <w:tc>
          <w:tcPr>
            <w:tcW w:w="2573" w:type="dxa"/>
            <w:gridSpan w:val="2"/>
            <w:tcBorders>
              <w:top w:val="single" w:sz="8" w:space="0" w:color="auto"/>
              <w:left w:val="single" w:sz="8" w:space="0" w:color="auto"/>
              <w:bottom w:val="nil"/>
              <w:right w:val="single" w:sz="4" w:space="0" w:color="000000"/>
            </w:tcBorders>
            <w:shd w:val="clear" w:color="000000" w:fill="FFFFFF"/>
            <w:hideMark/>
          </w:tcPr>
          <w:p w:rsidR="0025112D" w:rsidRPr="00A11674" w:rsidRDefault="0025112D" w:rsidP="0025112D">
            <w:pPr>
              <w:spacing w:after="0" w:line="240" w:lineRule="auto"/>
              <w:rPr>
                <w:rFonts w:ascii="Times New Roman" w:eastAsia="Times New Roman" w:hAnsi="Times New Roman" w:cs="Times New Roman"/>
                <w:b/>
                <w:bCs/>
                <w:color w:val="000000"/>
                <w:sz w:val="20"/>
                <w:szCs w:val="20"/>
                <w:lang w:eastAsia="en-AU"/>
              </w:rPr>
            </w:pPr>
            <w:r w:rsidRPr="00A11674">
              <w:rPr>
                <w:rFonts w:ascii="Times New Roman" w:eastAsia="Times New Roman" w:hAnsi="Times New Roman" w:cs="Times New Roman"/>
                <w:b/>
                <w:bCs/>
                <w:color w:val="000000"/>
                <w:sz w:val="20"/>
                <w:szCs w:val="20"/>
                <w:lang w:eastAsia="en-AU"/>
              </w:rPr>
              <w:t> </w:t>
            </w:r>
          </w:p>
        </w:tc>
        <w:tc>
          <w:tcPr>
            <w:tcW w:w="1559" w:type="dxa"/>
            <w:tcBorders>
              <w:top w:val="single" w:sz="8" w:space="0" w:color="auto"/>
              <w:left w:val="nil"/>
              <w:bottom w:val="nil"/>
              <w:right w:val="nil"/>
            </w:tcBorders>
            <w:shd w:val="clear" w:color="000000" w:fill="FFFFFF"/>
            <w:vAlign w:val="center"/>
            <w:hideMark/>
          </w:tcPr>
          <w:p w:rsidR="0025112D" w:rsidRPr="00A11674" w:rsidRDefault="0025112D" w:rsidP="0025112D">
            <w:pPr>
              <w:spacing w:after="0" w:line="240" w:lineRule="auto"/>
              <w:jc w:val="center"/>
              <w:rPr>
                <w:rFonts w:eastAsia="Times New Roman" w:cs="Times New Roman"/>
                <w:b/>
                <w:bCs/>
                <w:color w:val="000000"/>
                <w:sz w:val="20"/>
                <w:szCs w:val="20"/>
                <w:lang w:eastAsia="en-AU"/>
              </w:rPr>
            </w:pPr>
            <w:r w:rsidRPr="00A11674">
              <w:rPr>
                <w:rFonts w:eastAsia="Times New Roman" w:cs="Times New Roman"/>
                <w:b/>
                <w:bCs/>
                <w:color w:val="000000"/>
                <w:sz w:val="20"/>
                <w:szCs w:val="20"/>
                <w:lang w:eastAsia="en-AU"/>
              </w:rPr>
              <w:t>Completed (in any year)</w:t>
            </w:r>
          </w:p>
        </w:tc>
        <w:tc>
          <w:tcPr>
            <w:tcW w:w="1560" w:type="dxa"/>
            <w:tcBorders>
              <w:top w:val="single" w:sz="8" w:space="0" w:color="auto"/>
              <w:left w:val="single" w:sz="4" w:space="0" w:color="000000"/>
              <w:bottom w:val="nil"/>
              <w:right w:val="nil"/>
            </w:tcBorders>
            <w:shd w:val="clear" w:color="000000" w:fill="FFFFFF"/>
            <w:vAlign w:val="center"/>
            <w:hideMark/>
          </w:tcPr>
          <w:p w:rsidR="0025112D" w:rsidRPr="00A11674" w:rsidRDefault="0025112D" w:rsidP="0025112D">
            <w:pPr>
              <w:spacing w:after="0" w:line="240" w:lineRule="auto"/>
              <w:jc w:val="center"/>
              <w:rPr>
                <w:rFonts w:eastAsia="Times New Roman" w:cs="Times New Roman"/>
                <w:b/>
                <w:bCs/>
                <w:color w:val="000000"/>
                <w:sz w:val="20"/>
                <w:szCs w:val="20"/>
                <w:lang w:eastAsia="en-AU"/>
              </w:rPr>
            </w:pPr>
            <w:r w:rsidRPr="00A11674">
              <w:rPr>
                <w:rFonts w:eastAsia="Times New Roman" w:cs="Times New Roman"/>
                <w:b/>
                <w:bCs/>
                <w:color w:val="000000"/>
                <w:sz w:val="20"/>
                <w:szCs w:val="20"/>
                <w:lang w:eastAsia="en-AU"/>
              </w:rPr>
              <w:t>Still Enrolled at the end of the 6 year cohort period</w:t>
            </w:r>
          </w:p>
        </w:tc>
        <w:tc>
          <w:tcPr>
            <w:tcW w:w="1559" w:type="dxa"/>
            <w:tcBorders>
              <w:top w:val="single" w:sz="8" w:space="0" w:color="auto"/>
              <w:left w:val="single" w:sz="4" w:space="0" w:color="000000"/>
              <w:bottom w:val="nil"/>
              <w:right w:val="nil"/>
            </w:tcBorders>
            <w:shd w:val="clear" w:color="000000" w:fill="FFFFFF"/>
            <w:vAlign w:val="center"/>
            <w:hideMark/>
          </w:tcPr>
          <w:p w:rsidR="0025112D" w:rsidRPr="00A11674" w:rsidRDefault="0025112D" w:rsidP="0025112D">
            <w:pPr>
              <w:spacing w:after="0" w:line="240" w:lineRule="auto"/>
              <w:jc w:val="center"/>
              <w:rPr>
                <w:rFonts w:eastAsia="Times New Roman" w:cs="Times New Roman"/>
                <w:b/>
                <w:bCs/>
                <w:color w:val="000000"/>
                <w:sz w:val="20"/>
                <w:szCs w:val="20"/>
                <w:lang w:eastAsia="en-AU"/>
              </w:rPr>
            </w:pPr>
            <w:r w:rsidRPr="00A11674">
              <w:rPr>
                <w:rFonts w:eastAsia="Times New Roman" w:cs="Times New Roman"/>
                <w:b/>
                <w:bCs/>
                <w:color w:val="000000"/>
                <w:sz w:val="20"/>
                <w:szCs w:val="20"/>
                <w:lang w:eastAsia="en-AU"/>
              </w:rPr>
              <w:t>Re-enrolled but dropped out</w:t>
            </w:r>
          </w:p>
        </w:tc>
        <w:tc>
          <w:tcPr>
            <w:tcW w:w="1574" w:type="dxa"/>
            <w:tcBorders>
              <w:top w:val="single" w:sz="8" w:space="0" w:color="auto"/>
              <w:left w:val="single" w:sz="4" w:space="0" w:color="000000"/>
              <w:bottom w:val="nil"/>
              <w:right w:val="single" w:sz="8" w:space="0" w:color="auto"/>
            </w:tcBorders>
            <w:shd w:val="clear" w:color="000000" w:fill="FFFFFF"/>
            <w:vAlign w:val="center"/>
            <w:hideMark/>
          </w:tcPr>
          <w:p w:rsidR="0025112D" w:rsidRPr="00A11674" w:rsidRDefault="0025112D" w:rsidP="0025112D">
            <w:pPr>
              <w:spacing w:after="0" w:line="240" w:lineRule="auto"/>
              <w:jc w:val="center"/>
              <w:rPr>
                <w:rFonts w:eastAsia="Times New Roman" w:cs="Times New Roman"/>
                <w:b/>
                <w:bCs/>
                <w:color w:val="000000"/>
                <w:sz w:val="20"/>
                <w:szCs w:val="20"/>
                <w:lang w:eastAsia="en-AU"/>
              </w:rPr>
            </w:pPr>
            <w:r w:rsidRPr="00A11674">
              <w:rPr>
                <w:rFonts w:eastAsia="Times New Roman" w:cs="Times New Roman"/>
                <w:b/>
                <w:bCs/>
                <w:color w:val="000000"/>
                <w:sz w:val="20"/>
                <w:szCs w:val="20"/>
                <w:lang w:eastAsia="en-AU"/>
              </w:rPr>
              <w:t>Never came back after the first year</w:t>
            </w:r>
          </w:p>
        </w:tc>
      </w:tr>
      <w:tr w:rsidR="0025112D" w:rsidRPr="0025112D" w:rsidTr="00A11674">
        <w:trPr>
          <w:trHeight w:val="240"/>
          <w:jc w:val="center"/>
        </w:trPr>
        <w:tc>
          <w:tcPr>
            <w:tcW w:w="8825"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Age </w:t>
            </w:r>
          </w:p>
        </w:tc>
      </w:tr>
      <w:tr w:rsidR="0025112D" w:rsidRPr="0025112D" w:rsidTr="00A11674">
        <w:trPr>
          <w:trHeight w:val="240"/>
          <w:jc w:val="center"/>
        </w:trPr>
        <w:tc>
          <w:tcPr>
            <w:tcW w:w="1723"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19 and under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73.3</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10.9</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10.2</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5.6</w:t>
            </w:r>
          </w:p>
        </w:tc>
      </w:tr>
      <w:tr w:rsidR="0025112D" w:rsidRPr="0025112D" w:rsidTr="00A11674">
        <w:trPr>
          <w:trHeight w:val="240"/>
          <w:jc w:val="center"/>
        </w:trPr>
        <w:tc>
          <w:tcPr>
            <w:tcW w:w="1723"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72.7</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11.2</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10.6</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5.6</w:t>
            </w:r>
          </w:p>
        </w:tc>
      </w:tr>
      <w:tr w:rsidR="0025112D" w:rsidRPr="0025112D" w:rsidTr="00A11674">
        <w:trPr>
          <w:trHeight w:val="240"/>
          <w:jc w:val="center"/>
        </w:trPr>
        <w:tc>
          <w:tcPr>
            <w:tcW w:w="1723"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72.4</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11.5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10.6</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5.6</w:t>
            </w:r>
          </w:p>
        </w:tc>
      </w:tr>
      <w:tr w:rsidR="0025112D" w:rsidRPr="0025112D" w:rsidTr="00A11674">
        <w:trPr>
          <w:trHeight w:val="240"/>
          <w:jc w:val="center"/>
        </w:trPr>
        <w:tc>
          <w:tcPr>
            <w:tcW w:w="1723"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20-24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65.1</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9.8</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14.6</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10.5</w:t>
            </w:r>
          </w:p>
        </w:tc>
      </w:tr>
      <w:tr w:rsidR="0025112D" w:rsidRPr="0025112D" w:rsidTr="00A11674">
        <w:trPr>
          <w:trHeight w:val="240"/>
          <w:jc w:val="center"/>
        </w:trPr>
        <w:tc>
          <w:tcPr>
            <w:tcW w:w="1723"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64.3</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9.6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15.7</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10.5</w:t>
            </w:r>
          </w:p>
        </w:tc>
      </w:tr>
      <w:tr w:rsidR="0025112D" w:rsidRPr="0025112D" w:rsidTr="00A11674">
        <w:trPr>
          <w:trHeight w:val="240"/>
          <w:jc w:val="center"/>
        </w:trPr>
        <w:tc>
          <w:tcPr>
            <w:tcW w:w="1723"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64.5</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9.9</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15.5</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10.1</w:t>
            </w:r>
          </w:p>
        </w:tc>
      </w:tr>
      <w:tr w:rsidR="0025112D" w:rsidRPr="0025112D" w:rsidTr="00A11674">
        <w:trPr>
          <w:trHeight w:val="240"/>
          <w:jc w:val="center"/>
        </w:trPr>
        <w:tc>
          <w:tcPr>
            <w:tcW w:w="1723" w:type="dxa"/>
            <w:vMerge w:val="restart"/>
            <w:tcBorders>
              <w:top w:val="nil"/>
              <w:left w:val="single" w:sz="8" w:space="0" w:color="auto"/>
              <w:bottom w:val="single" w:sz="8"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25 and over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51.7</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12.5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18.4</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17.4</w:t>
            </w:r>
          </w:p>
        </w:tc>
      </w:tr>
      <w:tr w:rsidR="0025112D" w:rsidRPr="0025112D" w:rsidTr="00A11674">
        <w:trPr>
          <w:trHeight w:val="240"/>
          <w:jc w:val="center"/>
        </w:trPr>
        <w:tc>
          <w:tcPr>
            <w:tcW w:w="1723" w:type="dxa"/>
            <w:vMerge/>
            <w:tcBorders>
              <w:top w:val="nil"/>
              <w:left w:val="single" w:sz="8" w:space="0" w:color="auto"/>
              <w:bottom w:val="single" w:sz="8"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51.7</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12.0</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19.6</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16.7</w:t>
            </w:r>
          </w:p>
        </w:tc>
      </w:tr>
      <w:tr w:rsidR="0025112D" w:rsidRPr="0025112D" w:rsidTr="00A11674">
        <w:trPr>
          <w:trHeight w:val="240"/>
          <w:jc w:val="center"/>
        </w:trPr>
        <w:tc>
          <w:tcPr>
            <w:tcW w:w="1723" w:type="dxa"/>
            <w:vMerge/>
            <w:tcBorders>
              <w:top w:val="nil"/>
              <w:left w:val="single" w:sz="8" w:space="0" w:color="auto"/>
              <w:bottom w:val="single" w:sz="8"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8"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2007</w:t>
            </w:r>
          </w:p>
        </w:tc>
        <w:tc>
          <w:tcPr>
            <w:tcW w:w="1559"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50.4</w:t>
            </w:r>
          </w:p>
        </w:tc>
        <w:tc>
          <w:tcPr>
            <w:tcW w:w="1560"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12.9</w:t>
            </w:r>
          </w:p>
        </w:tc>
        <w:tc>
          <w:tcPr>
            <w:tcW w:w="1559"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19.9</w:t>
            </w:r>
          </w:p>
        </w:tc>
        <w:tc>
          <w:tcPr>
            <w:tcW w:w="1574" w:type="dxa"/>
            <w:tcBorders>
              <w:top w:val="nil"/>
              <w:left w:val="nil"/>
              <w:bottom w:val="single" w:sz="8"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16.9</w:t>
            </w:r>
          </w:p>
        </w:tc>
      </w:tr>
      <w:tr w:rsidR="0025112D" w:rsidRPr="0025112D" w:rsidTr="00A11674">
        <w:trPr>
          <w:trHeight w:val="240"/>
          <w:jc w:val="center"/>
        </w:trPr>
        <w:tc>
          <w:tcPr>
            <w:tcW w:w="8825"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Basis for Admission </w:t>
            </w:r>
          </w:p>
        </w:tc>
      </w:tr>
      <w:tr w:rsidR="00937421" w:rsidRPr="0025112D" w:rsidTr="003361E3">
        <w:trPr>
          <w:trHeight w:val="240"/>
          <w:jc w:val="center"/>
        </w:trPr>
        <w:tc>
          <w:tcPr>
            <w:tcW w:w="1723" w:type="dxa"/>
            <w:vMerge w:val="restart"/>
            <w:tcBorders>
              <w:top w:val="nil"/>
              <w:left w:val="single" w:sz="8" w:space="0" w:color="auto"/>
              <w:bottom w:val="single" w:sz="4" w:space="0" w:color="000000"/>
              <w:right w:val="nil"/>
            </w:tcBorders>
            <w:shd w:val="clear" w:color="auto" w:fill="auto"/>
            <w:hideMark/>
          </w:tcPr>
          <w:p w:rsidR="00937421" w:rsidRPr="00A11674" w:rsidRDefault="00937421"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Other Basis for Admission </w:t>
            </w:r>
          </w:p>
        </w:tc>
        <w:tc>
          <w:tcPr>
            <w:tcW w:w="850" w:type="dxa"/>
            <w:tcBorders>
              <w:top w:val="nil"/>
              <w:left w:val="single" w:sz="8" w:space="0" w:color="auto"/>
              <w:bottom w:val="single" w:sz="4" w:space="0" w:color="auto"/>
              <w:right w:val="single" w:sz="4" w:space="0" w:color="auto"/>
            </w:tcBorders>
            <w:shd w:val="clear" w:color="auto" w:fill="auto"/>
            <w:noWrap/>
            <w:hideMark/>
          </w:tcPr>
          <w:p w:rsidR="00937421" w:rsidRPr="00F36CA8" w:rsidRDefault="00937421" w:rsidP="0025112D">
            <w:pPr>
              <w:spacing w:after="0" w:line="240" w:lineRule="auto"/>
              <w:rPr>
                <w:rFonts w:ascii="Calibri" w:eastAsia="Times New Roman" w:hAnsi="Calibri" w:cs="Times New Roman"/>
                <w:sz w:val="20"/>
                <w:szCs w:val="20"/>
                <w:lang w:eastAsia="en-AU"/>
              </w:rPr>
            </w:pPr>
            <w:r w:rsidRPr="00F36CA8">
              <w:rPr>
                <w:rFonts w:ascii="Calibri" w:eastAsia="Times New Roman" w:hAnsi="Calibri" w:cs="Times New Roman"/>
                <w:sz w:val="20"/>
                <w:szCs w:val="20"/>
                <w:lang w:eastAsia="en-AU"/>
              </w:rPr>
              <w:t>2005</w:t>
            </w:r>
          </w:p>
        </w:tc>
        <w:tc>
          <w:tcPr>
            <w:tcW w:w="1559" w:type="dxa"/>
            <w:tcBorders>
              <w:top w:val="nil"/>
              <w:left w:val="nil"/>
              <w:bottom w:val="single" w:sz="4" w:space="0" w:color="auto"/>
              <w:right w:val="single" w:sz="4" w:space="0" w:color="auto"/>
            </w:tcBorders>
            <w:shd w:val="clear" w:color="auto" w:fill="auto"/>
            <w:noWrap/>
            <w:vAlign w:val="bottom"/>
            <w:hideMark/>
          </w:tcPr>
          <w:p w:rsidR="00937421" w:rsidRPr="00F36CA8" w:rsidRDefault="00937421" w:rsidP="00937421">
            <w:pPr>
              <w:spacing w:after="0" w:line="240" w:lineRule="auto"/>
              <w:jc w:val="center"/>
              <w:rPr>
                <w:rFonts w:ascii="Calibri" w:eastAsia="Times New Roman" w:hAnsi="Calibri" w:cs="Times New Roman"/>
                <w:sz w:val="20"/>
                <w:szCs w:val="20"/>
                <w:lang w:eastAsia="en-AU"/>
              </w:rPr>
            </w:pPr>
            <w:r w:rsidRPr="00F36CA8">
              <w:rPr>
                <w:rFonts w:ascii="Calibri" w:eastAsia="Times New Roman" w:hAnsi="Calibri" w:cs="Times New Roman"/>
                <w:sz w:val="20"/>
                <w:szCs w:val="20"/>
                <w:lang w:eastAsia="en-AU"/>
              </w:rPr>
              <w:t>63.5</w:t>
            </w:r>
          </w:p>
        </w:tc>
        <w:tc>
          <w:tcPr>
            <w:tcW w:w="1560" w:type="dxa"/>
            <w:tcBorders>
              <w:top w:val="nil"/>
              <w:left w:val="nil"/>
              <w:bottom w:val="single" w:sz="4" w:space="0" w:color="auto"/>
              <w:right w:val="single" w:sz="4" w:space="0" w:color="auto"/>
            </w:tcBorders>
            <w:shd w:val="clear" w:color="auto" w:fill="auto"/>
            <w:noWrap/>
            <w:vAlign w:val="bottom"/>
            <w:hideMark/>
          </w:tcPr>
          <w:p w:rsidR="00937421" w:rsidRPr="00F36CA8" w:rsidRDefault="00937421" w:rsidP="00027660">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10.</w:t>
            </w:r>
            <w:r w:rsidR="00027660" w:rsidRPr="00F36CA8">
              <w:rPr>
                <w:rFonts w:ascii="Calibri" w:eastAsia="Times New Roman" w:hAnsi="Calibri" w:cs="Times New Roman"/>
                <w:color w:val="000000"/>
                <w:sz w:val="20"/>
                <w:szCs w:val="20"/>
                <w:lang w:eastAsia="en-AU"/>
              </w:rPr>
              <w:t>5</w:t>
            </w:r>
          </w:p>
        </w:tc>
        <w:tc>
          <w:tcPr>
            <w:tcW w:w="1559" w:type="dxa"/>
            <w:tcBorders>
              <w:top w:val="nil"/>
              <w:left w:val="nil"/>
              <w:bottom w:val="single" w:sz="4" w:space="0" w:color="auto"/>
              <w:right w:val="single" w:sz="4" w:space="0" w:color="auto"/>
            </w:tcBorders>
            <w:shd w:val="clear" w:color="auto" w:fill="auto"/>
            <w:noWrap/>
            <w:vAlign w:val="bottom"/>
            <w:hideMark/>
          </w:tcPr>
          <w:p w:rsidR="00937421" w:rsidRPr="00F36CA8" w:rsidRDefault="00937421" w:rsidP="00027660">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14.</w:t>
            </w:r>
            <w:r w:rsidR="00027660" w:rsidRPr="00F36CA8">
              <w:rPr>
                <w:rFonts w:ascii="Calibri" w:eastAsia="Times New Roman" w:hAnsi="Calibri" w:cs="Times New Roman"/>
                <w:color w:val="000000"/>
                <w:sz w:val="20"/>
                <w:szCs w:val="20"/>
                <w:lang w:eastAsia="en-AU"/>
              </w:rPr>
              <w:t>7</w:t>
            </w:r>
          </w:p>
        </w:tc>
        <w:tc>
          <w:tcPr>
            <w:tcW w:w="1574" w:type="dxa"/>
            <w:tcBorders>
              <w:top w:val="nil"/>
              <w:left w:val="nil"/>
              <w:bottom w:val="single" w:sz="4" w:space="0" w:color="auto"/>
              <w:right w:val="single" w:sz="8" w:space="0" w:color="auto"/>
            </w:tcBorders>
            <w:shd w:val="clear" w:color="auto" w:fill="auto"/>
            <w:noWrap/>
            <w:vAlign w:val="bottom"/>
            <w:hideMark/>
          </w:tcPr>
          <w:p w:rsidR="00937421" w:rsidRPr="00F36CA8" w:rsidRDefault="00937421" w:rsidP="00027660">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11.</w:t>
            </w:r>
            <w:r w:rsidR="00027660" w:rsidRPr="00F36CA8">
              <w:rPr>
                <w:rFonts w:ascii="Calibri" w:eastAsia="Times New Roman" w:hAnsi="Calibri" w:cs="Times New Roman"/>
                <w:color w:val="000000"/>
                <w:sz w:val="20"/>
                <w:szCs w:val="20"/>
                <w:lang w:eastAsia="en-AU"/>
              </w:rPr>
              <w:t>3</w:t>
            </w:r>
          </w:p>
        </w:tc>
      </w:tr>
      <w:tr w:rsidR="00937421" w:rsidRPr="0025112D" w:rsidTr="003361E3">
        <w:trPr>
          <w:trHeight w:val="240"/>
          <w:jc w:val="center"/>
        </w:trPr>
        <w:tc>
          <w:tcPr>
            <w:tcW w:w="1723" w:type="dxa"/>
            <w:vMerge/>
            <w:tcBorders>
              <w:top w:val="nil"/>
              <w:left w:val="single" w:sz="8" w:space="0" w:color="auto"/>
              <w:bottom w:val="single" w:sz="4" w:space="0" w:color="000000"/>
              <w:right w:val="nil"/>
            </w:tcBorders>
            <w:vAlign w:val="center"/>
            <w:hideMark/>
          </w:tcPr>
          <w:p w:rsidR="00937421" w:rsidRPr="00A11674" w:rsidRDefault="00937421"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937421" w:rsidRPr="00F36CA8" w:rsidRDefault="00937421" w:rsidP="0025112D">
            <w:pPr>
              <w:spacing w:after="0" w:line="240" w:lineRule="auto"/>
              <w:rPr>
                <w:rFonts w:ascii="Calibri" w:eastAsia="Times New Roman" w:hAnsi="Calibri" w:cs="Times New Roman"/>
                <w:sz w:val="20"/>
                <w:szCs w:val="20"/>
                <w:lang w:eastAsia="en-AU"/>
              </w:rPr>
            </w:pPr>
            <w:r w:rsidRPr="00F36CA8">
              <w:rPr>
                <w:rFonts w:ascii="Calibri" w:eastAsia="Times New Roman" w:hAnsi="Calibri" w:cs="Times New Roman"/>
                <w:sz w:val="20"/>
                <w:szCs w:val="20"/>
                <w:lang w:eastAsia="en-AU"/>
              </w:rPr>
              <w:t>2006</w:t>
            </w:r>
          </w:p>
        </w:tc>
        <w:tc>
          <w:tcPr>
            <w:tcW w:w="1559" w:type="dxa"/>
            <w:tcBorders>
              <w:top w:val="nil"/>
              <w:left w:val="nil"/>
              <w:bottom w:val="single" w:sz="4" w:space="0" w:color="auto"/>
              <w:right w:val="single" w:sz="4" w:space="0" w:color="auto"/>
            </w:tcBorders>
            <w:shd w:val="clear" w:color="auto" w:fill="auto"/>
            <w:noWrap/>
            <w:vAlign w:val="bottom"/>
            <w:hideMark/>
          </w:tcPr>
          <w:p w:rsidR="00937421" w:rsidRPr="00F36CA8" w:rsidRDefault="00027660" w:rsidP="00937421">
            <w:pPr>
              <w:spacing w:after="0" w:line="240" w:lineRule="auto"/>
              <w:jc w:val="center"/>
              <w:rPr>
                <w:rFonts w:ascii="Calibri" w:eastAsia="Times New Roman" w:hAnsi="Calibri" w:cs="Times New Roman"/>
                <w:sz w:val="20"/>
                <w:szCs w:val="20"/>
                <w:lang w:eastAsia="en-AU"/>
              </w:rPr>
            </w:pPr>
            <w:r w:rsidRPr="00F36CA8">
              <w:rPr>
                <w:rFonts w:ascii="Calibri" w:eastAsia="Times New Roman" w:hAnsi="Calibri" w:cs="Times New Roman"/>
                <w:sz w:val="20"/>
                <w:szCs w:val="20"/>
                <w:lang w:eastAsia="en-AU"/>
              </w:rPr>
              <w:t>62.9</w:t>
            </w:r>
          </w:p>
        </w:tc>
        <w:tc>
          <w:tcPr>
            <w:tcW w:w="1560" w:type="dxa"/>
            <w:tcBorders>
              <w:top w:val="nil"/>
              <w:left w:val="nil"/>
              <w:bottom w:val="single" w:sz="4" w:space="0" w:color="auto"/>
              <w:right w:val="single" w:sz="4" w:space="0" w:color="auto"/>
            </w:tcBorders>
            <w:shd w:val="clear" w:color="auto" w:fill="auto"/>
            <w:noWrap/>
            <w:vAlign w:val="bottom"/>
            <w:hideMark/>
          </w:tcPr>
          <w:p w:rsidR="00937421" w:rsidRPr="00F36CA8" w:rsidRDefault="00027660" w:rsidP="00937421">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10.4</w:t>
            </w:r>
          </w:p>
        </w:tc>
        <w:tc>
          <w:tcPr>
            <w:tcW w:w="1559" w:type="dxa"/>
            <w:tcBorders>
              <w:top w:val="nil"/>
              <w:left w:val="nil"/>
              <w:bottom w:val="single" w:sz="4" w:space="0" w:color="auto"/>
              <w:right w:val="single" w:sz="4" w:space="0" w:color="auto"/>
            </w:tcBorders>
            <w:shd w:val="clear" w:color="auto" w:fill="auto"/>
            <w:noWrap/>
            <w:vAlign w:val="bottom"/>
            <w:hideMark/>
          </w:tcPr>
          <w:p w:rsidR="00937421" w:rsidRPr="00F36CA8" w:rsidRDefault="00027660" w:rsidP="00937421">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15.5</w:t>
            </w:r>
          </w:p>
        </w:tc>
        <w:tc>
          <w:tcPr>
            <w:tcW w:w="1574" w:type="dxa"/>
            <w:tcBorders>
              <w:top w:val="nil"/>
              <w:left w:val="nil"/>
              <w:bottom w:val="single" w:sz="4" w:space="0" w:color="auto"/>
              <w:right w:val="single" w:sz="8" w:space="0" w:color="auto"/>
            </w:tcBorders>
            <w:shd w:val="clear" w:color="auto" w:fill="auto"/>
            <w:noWrap/>
            <w:vAlign w:val="bottom"/>
            <w:hideMark/>
          </w:tcPr>
          <w:p w:rsidR="00937421" w:rsidRPr="00F36CA8" w:rsidRDefault="00027660" w:rsidP="00937421">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11.1</w:t>
            </w:r>
          </w:p>
        </w:tc>
      </w:tr>
      <w:tr w:rsidR="00937421" w:rsidRPr="0025112D" w:rsidTr="003361E3">
        <w:trPr>
          <w:trHeight w:val="240"/>
          <w:jc w:val="center"/>
        </w:trPr>
        <w:tc>
          <w:tcPr>
            <w:tcW w:w="1723" w:type="dxa"/>
            <w:vMerge/>
            <w:tcBorders>
              <w:top w:val="nil"/>
              <w:left w:val="single" w:sz="8" w:space="0" w:color="auto"/>
              <w:bottom w:val="single" w:sz="4" w:space="0" w:color="000000"/>
              <w:right w:val="nil"/>
            </w:tcBorders>
            <w:vAlign w:val="center"/>
            <w:hideMark/>
          </w:tcPr>
          <w:p w:rsidR="00937421" w:rsidRPr="00A11674" w:rsidRDefault="00937421"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937421" w:rsidRPr="00F36CA8" w:rsidRDefault="00937421" w:rsidP="0025112D">
            <w:pPr>
              <w:spacing w:after="0" w:line="240" w:lineRule="auto"/>
              <w:rPr>
                <w:rFonts w:ascii="Calibri" w:eastAsia="Times New Roman" w:hAnsi="Calibri" w:cs="Times New Roman"/>
                <w:sz w:val="20"/>
                <w:szCs w:val="20"/>
                <w:lang w:eastAsia="en-AU"/>
              </w:rPr>
            </w:pPr>
            <w:r w:rsidRPr="00F36CA8">
              <w:rPr>
                <w:rFonts w:ascii="Calibri" w:eastAsia="Times New Roman" w:hAnsi="Calibri" w:cs="Times New Roman"/>
                <w:sz w:val="20"/>
                <w:szCs w:val="20"/>
                <w:lang w:eastAsia="en-AU"/>
              </w:rPr>
              <w:t>2007</w:t>
            </w:r>
          </w:p>
        </w:tc>
        <w:tc>
          <w:tcPr>
            <w:tcW w:w="1559" w:type="dxa"/>
            <w:tcBorders>
              <w:top w:val="nil"/>
              <w:left w:val="nil"/>
              <w:bottom w:val="single" w:sz="4" w:space="0" w:color="auto"/>
              <w:right w:val="single" w:sz="4" w:space="0" w:color="auto"/>
            </w:tcBorders>
            <w:shd w:val="clear" w:color="auto" w:fill="auto"/>
            <w:noWrap/>
            <w:vAlign w:val="bottom"/>
            <w:hideMark/>
          </w:tcPr>
          <w:p w:rsidR="00937421" w:rsidRPr="00F36CA8" w:rsidRDefault="00027660" w:rsidP="00937421">
            <w:pPr>
              <w:spacing w:after="0" w:line="240" w:lineRule="auto"/>
              <w:jc w:val="center"/>
              <w:rPr>
                <w:rFonts w:ascii="Calibri" w:eastAsia="Times New Roman" w:hAnsi="Calibri" w:cs="Times New Roman"/>
                <w:sz w:val="20"/>
                <w:szCs w:val="20"/>
                <w:lang w:eastAsia="en-AU"/>
              </w:rPr>
            </w:pPr>
            <w:r w:rsidRPr="00F36CA8">
              <w:rPr>
                <w:rFonts w:ascii="Calibri" w:eastAsia="Times New Roman" w:hAnsi="Calibri" w:cs="Times New Roman"/>
                <w:sz w:val="20"/>
                <w:szCs w:val="20"/>
                <w:lang w:eastAsia="en-AU"/>
              </w:rPr>
              <w:t>62.1</w:t>
            </w:r>
          </w:p>
        </w:tc>
        <w:tc>
          <w:tcPr>
            <w:tcW w:w="1560" w:type="dxa"/>
            <w:tcBorders>
              <w:top w:val="nil"/>
              <w:left w:val="nil"/>
              <w:bottom w:val="single" w:sz="4" w:space="0" w:color="auto"/>
              <w:right w:val="single" w:sz="4" w:space="0" w:color="auto"/>
            </w:tcBorders>
            <w:shd w:val="clear" w:color="auto" w:fill="auto"/>
            <w:noWrap/>
            <w:vAlign w:val="bottom"/>
            <w:hideMark/>
          </w:tcPr>
          <w:p w:rsidR="00937421" w:rsidRPr="00F36CA8" w:rsidRDefault="00027660" w:rsidP="00937421">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11.0</w:t>
            </w:r>
          </w:p>
        </w:tc>
        <w:tc>
          <w:tcPr>
            <w:tcW w:w="1559" w:type="dxa"/>
            <w:tcBorders>
              <w:top w:val="nil"/>
              <w:left w:val="nil"/>
              <w:bottom w:val="single" w:sz="4" w:space="0" w:color="auto"/>
              <w:right w:val="single" w:sz="4" w:space="0" w:color="auto"/>
            </w:tcBorders>
            <w:shd w:val="clear" w:color="auto" w:fill="auto"/>
            <w:noWrap/>
            <w:vAlign w:val="bottom"/>
            <w:hideMark/>
          </w:tcPr>
          <w:p w:rsidR="00937421" w:rsidRPr="00F36CA8" w:rsidRDefault="00937421" w:rsidP="00027660">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15.</w:t>
            </w:r>
            <w:r w:rsidR="00027660" w:rsidRPr="00F36CA8">
              <w:rPr>
                <w:rFonts w:ascii="Calibri" w:eastAsia="Times New Roman" w:hAnsi="Calibri" w:cs="Times New Roman"/>
                <w:color w:val="000000"/>
                <w:sz w:val="20"/>
                <w:szCs w:val="20"/>
                <w:lang w:eastAsia="en-AU"/>
              </w:rPr>
              <w:t>9</w:t>
            </w:r>
          </w:p>
        </w:tc>
        <w:tc>
          <w:tcPr>
            <w:tcW w:w="1574" w:type="dxa"/>
            <w:tcBorders>
              <w:top w:val="nil"/>
              <w:left w:val="nil"/>
              <w:bottom w:val="single" w:sz="4" w:space="0" w:color="auto"/>
              <w:right w:val="single" w:sz="8" w:space="0" w:color="auto"/>
            </w:tcBorders>
            <w:shd w:val="clear" w:color="auto" w:fill="auto"/>
            <w:noWrap/>
            <w:vAlign w:val="bottom"/>
            <w:hideMark/>
          </w:tcPr>
          <w:p w:rsidR="00937421" w:rsidRPr="00F36CA8" w:rsidRDefault="00027660" w:rsidP="00937421">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11.0</w:t>
            </w:r>
          </w:p>
        </w:tc>
      </w:tr>
      <w:tr w:rsidR="00937421" w:rsidRPr="0025112D" w:rsidTr="003361E3">
        <w:trPr>
          <w:trHeight w:val="240"/>
          <w:jc w:val="center"/>
        </w:trPr>
        <w:tc>
          <w:tcPr>
            <w:tcW w:w="1723" w:type="dxa"/>
            <w:vMerge w:val="restart"/>
            <w:tcBorders>
              <w:top w:val="nil"/>
              <w:left w:val="single" w:sz="8" w:space="0" w:color="auto"/>
              <w:bottom w:val="single" w:sz="8" w:space="0" w:color="000000"/>
              <w:right w:val="nil"/>
            </w:tcBorders>
            <w:shd w:val="clear" w:color="auto" w:fill="auto"/>
            <w:hideMark/>
          </w:tcPr>
          <w:p w:rsidR="00937421" w:rsidRPr="00A11674" w:rsidRDefault="00937421"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Basis=Secondary Schooling </w:t>
            </w:r>
          </w:p>
        </w:tc>
        <w:tc>
          <w:tcPr>
            <w:tcW w:w="850" w:type="dxa"/>
            <w:tcBorders>
              <w:top w:val="nil"/>
              <w:left w:val="single" w:sz="8" w:space="0" w:color="auto"/>
              <w:bottom w:val="single" w:sz="4" w:space="0" w:color="auto"/>
              <w:right w:val="single" w:sz="4" w:space="0" w:color="auto"/>
            </w:tcBorders>
            <w:shd w:val="clear" w:color="auto" w:fill="auto"/>
            <w:noWrap/>
            <w:hideMark/>
          </w:tcPr>
          <w:p w:rsidR="00937421" w:rsidRPr="00F36CA8" w:rsidRDefault="00937421" w:rsidP="0025112D">
            <w:pPr>
              <w:spacing w:after="0" w:line="240" w:lineRule="auto"/>
              <w:rPr>
                <w:rFonts w:ascii="Calibri" w:eastAsia="Times New Roman" w:hAnsi="Calibri" w:cs="Times New Roman"/>
                <w:sz w:val="20"/>
                <w:szCs w:val="20"/>
                <w:lang w:eastAsia="en-AU"/>
              </w:rPr>
            </w:pPr>
            <w:r w:rsidRPr="00F36CA8">
              <w:rPr>
                <w:rFonts w:ascii="Calibri" w:eastAsia="Times New Roman" w:hAnsi="Calibri" w:cs="Times New Roman"/>
                <w:sz w:val="20"/>
                <w:szCs w:val="20"/>
                <w:lang w:eastAsia="en-AU"/>
              </w:rPr>
              <w:t>2005</w:t>
            </w:r>
          </w:p>
        </w:tc>
        <w:tc>
          <w:tcPr>
            <w:tcW w:w="1559" w:type="dxa"/>
            <w:tcBorders>
              <w:top w:val="nil"/>
              <w:left w:val="nil"/>
              <w:bottom w:val="single" w:sz="4" w:space="0" w:color="auto"/>
              <w:right w:val="single" w:sz="4" w:space="0" w:color="auto"/>
            </w:tcBorders>
            <w:shd w:val="clear" w:color="auto" w:fill="auto"/>
            <w:noWrap/>
            <w:vAlign w:val="bottom"/>
            <w:hideMark/>
          </w:tcPr>
          <w:p w:rsidR="00937421" w:rsidRPr="00F36CA8" w:rsidRDefault="00937421" w:rsidP="00027660">
            <w:pPr>
              <w:spacing w:after="0" w:line="240" w:lineRule="auto"/>
              <w:jc w:val="center"/>
              <w:rPr>
                <w:rFonts w:ascii="Calibri" w:eastAsia="Times New Roman" w:hAnsi="Calibri" w:cs="Times New Roman"/>
                <w:sz w:val="20"/>
                <w:szCs w:val="20"/>
                <w:lang w:eastAsia="en-AU"/>
              </w:rPr>
            </w:pPr>
            <w:r w:rsidRPr="00F36CA8">
              <w:rPr>
                <w:rFonts w:ascii="Calibri" w:eastAsia="Times New Roman" w:hAnsi="Calibri" w:cs="Times New Roman"/>
                <w:sz w:val="20"/>
                <w:szCs w:val="20"/>
                <w:lang w:eastAsia="en-AU"/>
              </w:rPr>
              <w:t>71.</w:t>
            </w:r>
            <w:r w:rsidR="00027660" w:rsidRPr="00F36CA8">
              <w:rPr>
                <w:rFonts w:ascii="Calibri" w:eastAsia="Times New Roman" w:hAnsi="Calibri" w:cs="Times New Roman"/>
                <w:sz w:val="20"/>
                <w:szCs w:val="20"/>
                <w:lang w:eastAsia="en-AU"/>
              </w:rPr>
              <w:t>2</w:t>
            </w:r>
          </w:p>
        </w:tc>
        <w:tc>
          <w:tcPr>
            <w:tcW w:w="1560" w:type="dxa"/>
            <w:tcBorders>
              <w:top w:val="nil"/>
              <w:left w:val="nil"/>
              <w:bottom w:val="single" w:sz="4" w:space="0" w:color="auto"/>
              <w:right w:val="single" w:sz="4" w:space="0" w:color="auto"/>
            </w:tcBorders>
            <w:shd w:val="clear" w:color="auto" w:fill="auto"/>
            <w:noWrap/>
            <w:vAlign w:val="bottom"/>
            <w:hideMark/>
          </w:tcPr>
          <w:p w:rsidR="00937421" w:rsidRPr="00F36CA8" w:rsidRDefault="00937421" w:rsidP="00027660">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11.</w:t>
            </w:r>
            <w:r w:rsidR="00027660" w:rsidRPr="00F36CA8">
              <w:rPr>
                <w:rFonts w:ascii="Calibri" w:eastAsia="Times New Roman" w:hAnsi="Calibri" w:cs="Times New Roman"/>
                <w:color w:val="000000"/>
                <w:sz w:val="20"/>
                <w:szCs w:val="20"/>
                <w:lang w:eastAsia="en-AU"/>
              </w:rPr>
              <w:t>6</w:t>
            </w:r>
          </w:p>
        </w:tc>
        <w:tc>
          <w:tcPr>
            <w:tcW w:w="1559" w:type="dxa"/>
            <w:tcBorders>
              <w:top w:val="nil"/>
              <w:left w:val="nil"/>
              <w:bottom w:val="single" w:sz="4" w:space="0" w:color="auto"/>
              <w:right w:val="single" w:sz="4" w:space="0" w:color="auto"/>
            </w:tcBorders>
            <w:shd w:val="clear" w:color="auto" w:fill="auto"/>
            <w:noWrap/>
            <w:vAlign w:val="bottom"/>
            <w:hideMark/>
          </w:tcPr>
          <w:p w:rsidR="00937421" w:rsidRPr="00F36CA8" w:rsidRDefault="00027660" w:rsidP="00937421">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10.7</w:t>
            </w:r>
          </w:p>
        </w:tc>
        <w:tc>
          <w:tcPr>
            <w:tcW w:w="1574" w:type="dxa"/>
            <w:tcBorders>
              <w:top w:val="nil"/>
              <w:left w:val="nil"/>
              <w:bottom w:val="single" w:sz="4" w:space="0" w:color="auto"/>
              <w:right w:val="single" w:sz="8" w:space="0" w:color="auto"/>
            </w:tcBorders>
            <w:shd w:val="clear" w:color="auto" w:fill="auto"/>
            <w:noWrap/>
            <w:vAlign w:val="bottom"/>
            <w:hideMark/>
          </w:tcPr>
          <w:p w:rsidR="00937421" w:rsidRPr="00F36CA8" w:rsidRDefault="00027660" w:rsidP="00937421">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6.6</w:t>
            </w:r>
          </w:p>
        </w:tc>
      </w:tr>
      <w:tr w:rsidR="00937421" w:rsidRPr="0025112D" w:rsidTr="003361E3">
        <w:trPr>
          <w:trHeight w:val="240"/>
          <w:jc w:val="center"/>
        </w:trPr>
        <w:tc>
          <w:tcPr>
            <w:tcW w:w="1723" w:type="dxa"/>
            <w:vMerge/>
            <w:tcBorders>
              <w:top w:val="nil"/>
              <w:left w:val="single" w:sz="8" w:space="0" w:color="auto"/>
              <w:bottom w:val="single" w:sz="8" w:space="0" w:color="000000"/>
              <w:right w:val="nil"/>
            </w:tcBorders>
            <w:vAlign w:val="center"/>
            <w:hideMark/>
          </w:tcPr>
          <w:p w:rsidR="00937421" w:rsidRPr="00A11674" w:rsidRDefault="00937421"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937421" w:rsidRPr="00F36CA8" w:rsidRDefault="00937421" w:rsidP="0025112D">
            <w:pPr>
              <w:spacing w:after="0" w:line="240" w:lineRule="auto"/>
              <w:rPr>
                <w:rFonts w:ascii="Calibri" w:eastAsia="Times New Roman" w:hAnsi="Calibri" w:cs="Times New Roman"/>
                <w:sz w:val="20"/>
                <w:szCs w:val="20"/>
                <w:lang w:eastAsia="en-AU"/>
              </w:rPr>
            </w:pPr>
            <w:r w:rsidRPr="00F36CA8">
              <w:rPr>
                <w:rFonts w:ascii="Calibri" w:eastAsia="Times New Roman" w:hAnsi="Calibri" w:cs="Times New Roman"/>
                <w:sz w:val="20"/>
                <w:szCs w:val="20"/>
                <w:lang w:eastAsia="en-AU"/>
              </w:rPr>
              <w:t>2006</w:t>
            </w:r>
          </w:p>
        </w:tc>
        <w:tc>
          <w:tcPr>
            <w:tcW w:w="1559" w:type="dxa"/>
            <w:tcBorders>
              <w:top w:val="nil"/>
              <w:left w:val="nil"/>
              <w:bottom w:val="single" w:sz="4" w:space="0" w:color="auto"/>
              <w:right w:val="single" w:sz="4" w:space="0" w:color="auto"/>
            </w:tcBorders>
            <w:shd w:val="clear" w:color="auto" w:fill="auto"/>
            <w:noWrap/>
            <w:vAlign w:val="bottom"/>
            <w:hideMark/>
          </w:tcPr>
          <w:p w:rsidR="00937421" w:rsidRPr="00F36CA8" w:rsidRDefault="00027660" w:rsidP="00937421">
            <w:pPr>
              <w:spacing w:after="0" w:line="240" w:lineRule="auto"/>
              <w:jc w:val="center"/>
              <w:rPr>
                <w:rFonts w:ascii="Calibri" w:eastAsia="Times New Roman" w:hAnsi="Calibri" w:cs="Times New Roman"/>
                <w:sz w:val="20"/>
                <w:szCs w:val="20"/>
                <w:lang w:eastAsia="en-AU"/>
              </w:rPr>
            </w:pPr>
            <w:r w:rsidRPr="00F36CA8">
              <w:rPr>
                <w:rFonts w:ascii="Calibri" w:eastAsia="Times New Roman" w:hAnsi="Calibri" w:cs="Times New Roman"/>
                <w:sz w:val="20"/>
                <w:szCs w:val="20"/>
                <w:lang w:eastAsia="en-AU"/>
              </w:rPr>
              <w:t>71.0</w:t>
            </w:r>
          </w:p>
        </w:tc>
        <w:tc>
          <w:tcPr>
            <w:tcW w:w="1560" w:type="dxa"/>
            <w:tcBorders>
              <w:top w:val="nil"/>
              <w:left w:val="nil"/>
              <w:bottom w:val="single" w:sz="4" w:space="0" w:color="auto"/>
              <w:right w:val="single" w:sz="4" w:space="0" w:color="auto"/>
            </w:tcBorders>
            <w:shd w:val="clear" w:color="auto" w:fill="auto"/>
            <w:noWrap/>
            <w:vAlign w:val="bottom"/>
            <w:hideMark/>
          </w:tcPr>
          <w:p w:rsidR="00937421" w:rsidRPr="00F36CA8" w:rsidRDefault="00937421" w:rsidP="00027660">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11.</w:t>
            </w:r>
            <w:r w:rsidR="00027660" w:rsidRPr="00F36CA8">
              <w:rPr>
                <w:rFonts w:ascii="Calibri" w:eastAsia="Times New Roman" w:hAnsi="Calibri" w:cs="Times New Roman"/>
                <w:color w:val="000000"/>
                <w:sz w:val="20"/>
                <w:szCs w:val="20"/>
                <w:lang w:eastAsia="en-AU"/>
              </w:rPr>
              <w:t>7</w:t>
            </w:r>
          </w:p>
        </w:tc>
        <w:tc>
          <w:tcPr>
            <w:tcW w:w="1559" w:type="dxa"/>
            <w:tcBorders>
              <w:top w:val="nil"/>
              <w:left w:val="nil"/>
              <w:bottom w:val="single" w:sz="4" w:space="0" w:color="auto"/>
              <w:right w:val="single" w:sz="4" w:space="0" w:color="auto"/>
            </w:tcBorders>
            <w:shd w:val="clear" w:color="auto" w:fill="auto"/>
            <w:noWrap/>
            <w:vAlign w:val="bottom"/>
            <w:hideMark/>
          </w:tcPr>
          <w:p w:rsidR="00937421" w:rsidRPr="00F36CA8" w:rsidRDefault="00937421" w:rsidP="00027660">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11.</w:t>
            </w:r>
            <w:r w:rsidR="00027660" w:rsidRPr="00F36CA8">
              <w:rPr>
                <w:rFonts w:ascii="Calibri" w:eastAsia="Times New Roman" w:hAnsi="Calibri" w:cs="Times New Roman"/>
                <w:color w:val="000000"/>
                <w:sz w:val="20"/>
                <w:szCs w:val="20"/>
                <w:lang w:eastAsia="en-AU"/>
              </w:rPr>
              <w:t>2</w:t>
            </w:r>
          </w:p>
        </w:tc>
        <w:tc>
          <w:tcPr>
            <w:tcW w:w="1574" w:type="dxa"/>
            <w:tcBorders>
              <w:top w:val="nil"/>
              <w:left w:val="nil"/>
              <w:bottom w:val="single" w:sz="4" w:space="0" w:color="auto"/>
              <w:right w:val="single" w:sz="8" w:space="0" w:color="auto"/>
            </w:tcBorders>
            <w:shd w:val="clear" w:color="auto" w:fill="auto"/>
            <w:noWrap/>
            <w:vAlign w:val="bottom"/>
            <w:hideMark/>
          </w:tcPr>
          <w:p w:rsidR="00937421" w:rsidRPr="00F36CA8" w:rsidRDefault="00027660" w:rsidP="00937421">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6.2</w:t>
            </w:r>
          </w:p>
        </w:tc>
      </w:tr>
      <w:tr w:rsidR="00937421" w:rsidRPr="0025112D" w:rsidTr="003361E3">
        <w:trPr>
          <w:trHeight w:val="240"/>
          <w:jc w:val="center"/>
        </w:trPr>
        <w:tc>
          <w:tcPr>
            <w:tcW w:w="1723" w:type="dxa"/>
            <w:vMerge/>
            <w:tcBorders>
              <w:top w:val="nil"/>
              <w:left w:val="single" w:sz="8" w:space="0" w:color="auto"/>
              <w:bottom w:val="single" w:sz="8" w:space="0" w:color="000000"/>
              <w:right w:val="nil"/>
            </w:tcBorders>
            <w:vAlign w:val="center"/>
            <w:hideMark/>
          </w:tcPr>
          <w:p w:rsidR="00937421" w:rsidRPr="00A11674" w:rsidRDefault="00937421"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8" w:space="0" w:color="auto"/>
              <w:right w:val="single" w:sz="4" w:space="0" w:color="auto"/>
            </w:tcBorders>
            <w:shd w:val="clear" w:color="auto" w:fill="auto"/>
            <w:noWrap/>
            <w:hideMark/>
          </w:tcPr>
          <w:p w:rsidR="00937421" w:rsidRPr="00F36CA8" w:rsidRDefault="00937421" w:rsidP="0025112D">
            <w:pPr>
              <w:spacing w:after="0" w:line="240" w:lineRule="auto"/>
              <w:rPr>
                <w:rFonts w:ascii="Calibri" w:eastAsia="Times New Roman" w:hAnsi="Calibri" w:cs="Times New Roman"/>
                <w:sz w:val="20"/>
                <w:szCs w:val="20"/>
                <w:lang w:eastAsia="en-AU"/>
              </w:rPr>
            </w:pPr>
            <w:r w:rsidRPr="00F36CA8">
              <w:rPr>
                <w:rFonts w:ascii="Calibri" w:eastAsia="Times New Roman" w:hAnsi="Calibri" w:cs="Times New Roman"/>
                <w:sz w:val="20"/>
                <w:szCs w:val="20"/>
                <w:lang w:eastAsia="en-AU"/>
              </w:rPr>
              <w:t>2007</w:t>
            </w:r>
          </w:p>
        </w:tc>
        <w:tc>
          <w:tcPr>
            <w:tcW w:w="1559" w:type="dxa"/>
            <w:tcBorders>
              <w:top w:val="nil"/>
              <w:left w:val="nil"/>
              <w:bottom w:val="single" w:sz="8" w:space="0" w:color="auto"/>
              <w:right w:val="single" w:sz="4" w:space="0" w:color="auto"/>
            </w:tcBorders>
            <w:shd w:val="clear" w:color="auto" w:fill="auto"/>
            <w:noWrap/>
            <w:vAlign w:val="bottom"/>
            <w:hideMark/>
          </w:tcPr>
          <w:p w:rsidR="00937421" w:rsidRPr="00F36CA8" w:rsidRDefault="00937421" w:rsidP="00027660">
            <w:pPr>
              <w:spacing w:after="0" w:line="240" w:lineRule="auto"/>
              <w:jc w:val="center"/>
              <w:rPr>
                <w:rFonts w:ascii="Calibri" w:eastAsia="Times New Roman" w:hAnsi="Calibri" w:cs="Times New Roman"/>
                <w:sz w:val="20"/>
                <w:szCs w:val="20"/>
                <w:lang w:eastAsia="en-AU"/>
              </w:rPr>
            </w:pPr>
            <w:r w:rsidRPr="00F36CA8">
              <w:rPr>
                <w:rFonts w:ascii="Calibri" w:eastAsia="Times New Roman" w:hAnsi="Calibri" w:cs="Times New Roman"/>
                <w:sz w:val="20"/>
                <w:szCs w:val="20"/>
                <w:lang w:eastAsia="en-AU"/>
              </w:rPr>
              <w:t>7</w:t>
            </w:r>
            <w:r w:rsidR="00027660" w:rsidRPr="00F36CA8">
              <w:rPr>
                <w:rFonts w:ascii="Calibri" w:eastAsia="Times New Roman" w:hAnsi="Calibri" w:cs="Times New Roman"/>
                <w:sz w:val="20"/>
                <w:szCs w:val="20"/>
                <w:lang w:eastAsia="en-AU"/>
              </w:rPr>
              <w:t>1.0</w:t>
            </w:r>
          </w:p>
        </w:tc>
        <w:tc>
          <w:tcPr>
            <w:tcW w:w="1560" w:type="dxa"/>
            <w:tcBorders>
              <w:top w:val="nil"/>
              <w:left w:val="nil"/>
              <w:bottom w:val="single" w:sz="8" w:space="0" w:color="auto"/>
              <w:right w:val="single" w:sz="4" w:space="0" w:color="auto"/>
            </w:tcBorders>
            <w:shd w:val="clear" w:color="auto" w:fill="auto"/>
            <w:noWrap/>
            <w:vAlign w:val="bottom"/>
            <w:hideMark/>
          </w:tcPr>
          <w:p w:rsidR="00937421" w:rsidRPr="00F36CA8" w:rsidRDefault="00027660" w:rsidP="00937421">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11.8</w:t>
            </w:r>
          </w:p>
        </w:tc>
        <w:tc>
          <w:tcPr>
            <w:tcW w:w="1559" w:type="dxa"/>
            <w:tcBorders>
              <w:top w:val="nil"/>
              <w:left w:val="nil"/>
              <w:bottom w:val="single" w:sz="8" w:space="0" w:color="auto"/>
              <w:right w:val="single" w:sz="4" w:space="0" w:color="auto"/>
            </w:tcBorders>
            <w:shd w:val="clear" w:color="auto" w:fill="auto"/>
            <w:noWrap/>
            <w:vAlign w:val="bottom"/>
            <w:hideMark/>
          </w:tcPr>
          <w:p w:rsidR="00937421" w:rsidRPr="00F36CA8" w:rsidRDefault="00027660" w:rsidP="00937421">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10.9</w:t>
            </w:r>
          </w:p>
        </w:tc>
        <w:tc>
          <w:tcPr>
            <w:tcW w:w="1574" w:type="dxa"/>
            <w:tcBorders>
              <w:top w:val="nil"/>
              <w:left w:val="nil"/>
              <w:bottom w:val="single" w:sz="8" w:space="0" w:color="auto"/>
              <w:right w:val="single" w:sz="8" w:space="0" w:color="auto"/>
            </w:tcBorders>
            <w:shd w:val="clear" w:color="auto" w:fill="auto"/>
            <w:noWrap/>
            <w:vAlign w:val="bottom"/>
            <w:hideMark/>
          </w:tcPr>
          <w:p w:rsidR="00937421" w:rsidRPr="00F36CA8" w:rsidRDefault="00937421" w:rsidP="00291C25">
            <w:pPr>
              <w:spacing w:after="0" w:line="240" w:lineRule="auto"/>
              <w:jc w:val="center"/>
              <w:rPr>
                <w:rFonts w:ascii="Calibri" w:eastAsia="Times New Roman" w:hAnsi="Calibri" w:cs="Times New Roman"/>
                <w:color w:val="000000"/>
                <w:sz w:val="20"/>
                <w:szCs w:val="20"/>
                <w:lang w:eastAsia="en-AU"/>
              </w:rPr>
            </w:pPr>
            <w:r w:rsidRPr="00F36CA8">
              <w:rPr>
                <w:rFonts w:ascii="Calibri" w:eastAsia="Times New Roman" w:hAnsi="Calibri" w:cs="Times New Roman"/>
                <w:color w:val="000000"/>
                <w:sz w:val="20"/>
                <w:szCs w:val="20"/>
                <w:lang w:eastAsia="en-AU"/>
              </w:rPr>
              <w:t>6.</w:t>
            </w:r>
            <w:r w:rsidR="00291C25" w:rsidRPr="00F36CA8">
              <w:rPr>
                <w:rFonts w:ascii="Calibri" w:eastAsia="Times New Roman" w:hAnsi="Calibri" w:cs="Times New Roman"/>
                <w:color w:val="000000"/>
                <w:sz w:val="20"/>
                <w:szCs w:val="20"/>
                <w:lang w:eastAsia="en-AU"/>
              </w:rPr>
              <w:t>3</w:t>
            </w:r>
          </w:p>
        </w:tc>
      </w:tr>
      <w:tr w:rsidR="0025112D" w:rsidRPr="0025112D" w:rsidTr="00A11674">
        <w:trPr>
          <w:trHeight w:val="240"/>
          <w:jc w:val="center"/>
        </w:trPr>
        <w:tc>
          <w:tcPr>
            <w:tcW w:w="8825"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roofErr w:type="spellStart"/>
            <w:r w:rsidRPr="00A11674">
              <w:rPr>
                <w:rFonts w:ascii="Calibri" w:eastAsia="Times New Roman" w:hAnsi="Calibri" w:cs="Times New Roman"/>
                <w:b/>
                <w:color w:val="000000"/>
                <w:sz w:val="20"/>
                <w:szCs w:val="20"/>
                <w:lang w:eastAsia="en-AU"/>
              </w:rPr>
              <w:t>ATAR</w:t>
            </w:r>
            <w:proofErr w:type="spellEnd"/>
            <w:r w:rsidRPr="00A11674">
              <w:rPr>
                <w:rFonts w:ascii="Calibri" w:eastAsia="Times New Roman" w:hAnsi="Calibri" w:cs="Times New Roman"/>
                <w:b/>
                <w:color w:val="000000"/>
                <w:sz w:val="20"/>
                <w:szCs w:val="20"/>
                <w:lang w:eastAsia="en-AU"/>
              </w:rPr>
              <w:t xml:space="preserve"> </w:t>
            </w:r>
          </w:p>
        </w:tc>
      </w:tr>
      <w:tr w:rsidR="0025112D" w:rsidRPr="0025112D" w:rsidTr="00A11674">
        <w:trPr>
          <w:trHeight w:val="240"/>
          <w:jc w:val="center"/>
        </w:trPr>
        <w:tc>
          <w:tcPr>
            <w:tcW w:w="1723"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30-49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48.6</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8.1</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24.1</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19.2</w:t>
            </w:r>
          </w:p>
        </w:tc>
      </w:tr>
      <w:tr w:rsidR="0025112D" w:rsidRPr="0025112D" w:rsidTr="00A11674">
        <w:trPr>
          <w:trHeight w:val="240"/>
          <w:jc w:val="center"/>
        </w:trPr>
        <w:tc>
          <w:tcPr>
            <w:tcW w:w="1723"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44.5</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11.3</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26.3</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18.0</w:t>
            </w:r>
          </w:p>
        </w:tc>
      </w:tr>
      <w:tr w:rsidR="0025112D" w:rsidRPr="0025112D" w:rsidTr="00A11674">
        <w:trPr>
          <w:trHeight w:val="240"/>
          <w:jc w:val="center"/>
        </w:trPr>
        <w:tc>
          <w:tcPr>
            <w:tcW w:w="1723"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50.6</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12.2</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21.3</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15.9</w:t>
            </w:r>
          </w:p>
        </w:tc>
      </w:tr>
      <w:tr w:rsidR="0025112D" w:rsidRPr="0025112D" w:rsidTr="00A11674">
        <w:trPr>
          <w:trHeight w:val="240"/>
          <w:jc w:val="center"/>
        </w:trPr>
        <w:tc>
          <w:tcPr>
            <w:tcW w:w="1723" w:type="dxa"/>
            <w:vMerge w:val="restart"/>
            <w:tcBorders>
              <w:top w:val="nil"/>
              <w:left w:val="single" w:sz="8" w:space="0" w:color="auto"/>
              <w:bottom w:val="nil"/>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50-59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49.3</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13.9</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19.6</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17.2</w:t>
            </w:r>
          </w:p>
        </w:tc>
      </w:tr>
      <w:tr w:rsidR="0025112D" w:rsidRPr="0025112D" w:rsidTr="00A11674">
        <w:trPr>
          <w:trHeight w:val="240"/>
          <w:jc w:val="center"/>
        </w:trPr>
        <w:tc>
          <w:tcPr>
            <w:tcW w:w="1723" w:type="dxa"/>
            <w:vMerge/>
            <w:tcBorders>
              <w:top w:val="nil"/>
              <w:left w:val="single" w:sz="8" w:space="0" w:color="auto"/>
              <w:bottom w:val="nil"/>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46.2</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14.1</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22.8</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16.9</w:t>
            </w:r>
          </w:p>
        </w:tc>
      </w:tr>
      <w:tr w:rsidR="0025112D" w:rsidRPr="0025112D" w:rsidTr="00A11674">
        <w:trPr>
          <w:trHeight w:val="240"/>
          <w:jc w:val="center"/>
        </w:trPr>
        <w:tc>
          <w:tcPr>
            <w:tcW w:w="1723" w:type="dxa"/>
            <w:vMerge/>
            <w:tcBorders>
              <w:top w:val="nil"/>
              <w:left w:val="single" w:sz="8" w:space="0" w:color="auto"/>
              <w:bottom w:val="nil"/>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48.2</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14.8</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20.2</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16.7</w:t>
            </w:r>
          </w:p>
        </w:tc>
      </w:tr>
      <w:tr w:rsidR="0025112D" w:rsidRPr="0025112D" w:rsidTr="00A11674">
        <w:trPr>
          <w:trHeight w:val="240"/>
          <w:jc w:val="center"/>
        </w:trPr>
        <w:tc>
          <w:tcPr>
            <w:tcW w:w="1723" w:type="dxa"/>
            <w:vMerge w:val="restart"/>
            <w:tcBorders>
              <w:top w:val="single" w:sz="4" w:space="0" w:color="auto"/>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60-69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57.5</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13.3</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17.1</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12.0</w:t>
            </w:r>
          </w:p>
        </w:tc>
      </w:tr>
      <w:tr w:rsidR="0025112D" w:rsidRPr="0025112D" w:rsidTr="00A11674">
        <w:trPr>
          <w:trHeight w:val="240"/>
          <w:jc w:val="center"/>
        </w:trPr>
        <w:tc>
          <w:tcPr>
            <w:tcW w:w="1723" w:type="dxa"/>
            <w:vMerge/>
            <w:tcBorders>
              <w:top w:val="single" w:sz="4" w:space="0" w:color="auto"/>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57.2</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13.6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17.8</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11.3</w:t>
            </w:r>
          </w:p>
        </w:tc>
      </w:tr>
      <w:tr w:rsidR="0025112D" w:rsidRPr="0025112D" w:rsidTr="00A11674">
        <w:trPr>
          <w:trHeight w:val="240"/>
          <w:jc w:val="center"/>
        </w:trPr>
        <w:tc>
          <w:tcPr>
            <w:tcW w:w="1723" w:type="dxa"/>
            <w:vMerge/>
            <w:tcBorders>
              <w:top w:val="single" w:sz="4" w:space="0" w:color="auto"/>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56.7</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14.6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16.7</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12.1</w:t>
            </w:r>
          </w:p>
        </w:tc>
      </w:tr>
      <w:tr w:rsidR="0025112D" w:rsidRPr="0025112D" w:rsidTr="00A11674">
        <w:trPr>
          <w:trHeight w:val="240"/>
          <w:jc w:val="center"/>
        </w:trPr>
        <w:tc>
          <w:tcPr>
            <w:tcW w:w="1723" w:type="dxa"/>
            <w:vMerge w:val="restart"/>
            <w:tcBorders>
              <w:top w:val="nil"/>
              <w:left w:val="single" w:sz="8" w:space="0" w:color="auto"/>
              <w:bottom w:val="nil"/>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70-79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65.1</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13.4</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13.6</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7.9</w:t>
            </w:r>
          </w:p>
        </w:tc>
      </w:tr>
      <w:tr w:rsidR="0025112D" w:rsidRPr="0025112D" w:rsidTr="00A11674">
        <w:trPr>
          <w:trHeight w:val="240"/>
          <w:jc w:val="center"/>
        </w:trPr>
        <w:tc>
          <w:tcPr>
            <w:tcW w:w="1723" w:type="dxa"/>
            <w:vMerge/>
            <w:tcBorders>
              <w:top w:val="nil"/>
              <w:left w:val="single" w:sz="8" w:space="0" w:color="auto"/>
              <w:bottom w:val="nil"/>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67.4</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12.4</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13.2</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6.9</w:t>
            </w:r>
          </w:p>
        </w:tc>
      </w:tr>
      <w:tr w:rsidR="0025112D" w:rsidRPr="0025112D" w:rsidTr="00A11674">
        <w:trPr>
          <w:trHeight w:val="240"/>
          <w:jc w:val="center"/>
        </w:trPr>
        <w:tc>
          <w:tcPr>
            <w:tcW w:w="1723" w:type="dxa"/>
            <w:vMerge/>
            <w:tcBorders>
              <w:top w:val="nil"/>
              <w:left w:val="single" w:sz="8" w:space="0" w:color="auto"/>
              <w:bottom w:val="nil"/>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66.5</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13.1</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13.5</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7.0</w:t>
            </w:r>
          </w:p>
        </w:tc>
      </w:tr>
      <w:tr w:rsidR="0025112D" w:rsidRPr="0025112D" w:rsidTr="00A11674">
        <w:trPr>
          <w:trHeight w:val="240"/>
          <w:jc w:val="center"/>
        </w:trPr>
        <w:tc>
          <w:tcPr>
            <w:tcW w:w="1723" w:type="dxa"/>
            <w:vMerge w:val="restart"/>
            <w:tcBorders>
              <w:top w:val="single" w:sz="4" w:space="0" w:color="auto"/>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80-89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75.2</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11.4</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9.1</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4.3</w:t>
            </w:r>
          </w:p>
        </w:tc>
      </w:tr>
      <w:tr w:rsidR="0025112D" w:rsidRPr="0025112D" w:rsidTr="00A11674">
        <w:trPr>
          <w:trHeight w:val="240"/>
          <w:jc w:val="center"/>
        </w:trPr>
        <w:tc>
          <w:tcPr>
            <w:tcW w:w="1723" w:type="dxa"/>
            <w:vMerge/>
            <w:tcBorders>
              <w:top w:val="single" w:sz="4" w:space="0" w:color="auto"/>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75.1</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11.7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9.4</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3.8</w:t>
            </w:r>
          </w:p>
        </w:tc>
      </w:tr>
      <w:tr w:rsidR="0025112D" w:rsidRPr="0025112D" w:rsidTr="00A11674">
        <w:trPr>
          <w:trHeight w:val="240"/>
          <w:jc w:val="center"/>
        </w:trPr>
        <w:tc>
          <w:tcPr>
            <w:tcW w:w="1723" w:type="dxa"/>
            <w:vMerge/>
            <w:tcBorders>
              <w:top w:val="single" w:sz="4" w:space="0" w:color="auto"/>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75.7</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11.7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8.8</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3.8</w:t>
            </w:r>
          </w:p>
        </w:tc>
      </w:tr>
      <w:tr w:rsidR="0025112D" w:rsidRPr="0025112D" w:rsidTr="00A11674">
        <w:trPr>
          <w:trHeight w:val="240"/>
          <w:jc w:val="center"/>
        </w:trPr>
        <w:tc>
          <w:tcPr>
            <w:tcW w:w="1723" w:type="dxa"/>
            <w:vMerge w:val="restart"/>
            <w:tcBorders>
              <w:top w:val="nil"/>
              <w:left w:val="single" w:sz="8" w:space="0" w:color="auto"/>
              <w:bottom w:val="nil"/>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90-94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82.4</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9.9</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5.5</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2.2</w:t>
            </w:r>
          </w:p>
        </w:tc>
      </w:tr>
      <w:tr w:rsidR="0025112D" w:rsidRPr="0025112D" w:rsidTr="00A11674">
        <w:trPr>
          <w:trHeight w:val="240"/>
          <w:jc w:val="center"/>
        </w:trPr>
        <w:tc>
          <w:tcPr>
            <w:tcW w:w="1723" w:type="dxa"/>
            <w:vMerge/>
            <w:tcBorders>
              <w:top w:val="nil"/>
              <w:left w:val="single" w:sz="8" w:space="0" w:color="auto"/>
              <w:bottom w:val="nil"/>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83.3</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9.8</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5.2</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1.8</w:t>
            </w:r>
          </w:p>
        </w:tc>
      </w:tr>
      <w:tr w:rsidR="0025112D" w:rsidRPr="0025112D" w:rsidTr="00A11674">
        <w:trPr>
          <w:trHeight w:val="240"/>
          <w:jc w:val="center"/>
        </w:trPr>
        <w:tc>
          <w:tcPr>
            <w:tcW w:w="1723" w:type="dxa"/>
            <w:vMerge/>
            <w:tcBorders>
              <w:top w:val="nil"/>
              <w:left w:val="single" w:sz="8" w:space="0" w:color="auto"/>
              <w:bottom w:val="nil"/>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82.7</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9.9</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5.6</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1.8</w:t>
            </w:r>
          </w:p>
        </w:tc>
      </w:tr>
      <w:tr w:rsidR="0025112D" w:rsidRPr="0025112D" w:rsidTr="00A11674">
        <w:trPr>
          <w:trHeight w:val="240"/>
          <w:jc w:val="center"/>
        </w:trPr>
        <w:tc>
          <w:tcPr>
            <w:tcW w:w="1723" w:type="dxa"/>
            <w:vMerge w:val="restart"/>
            <w:tcBorders>
              <w:top w:val="single" w:sz="4" w:space="0" w:color="auto"/>
              <w:left w:val="single" w:sz="8" w:space="0" w:color="auto"/>
              <w:bottom w:val="single" w:sz="4" w:space="0" w:color="000000"/>
              <w:right w:val="nil"/>
            </w:tcBorders>
            <w:shd w:val="clear" w:color="auto" w:fill="auto"/>
            <w:hideMark/>
          </w:tcPr>
          <w:p w:rsidR="0025112D" w:rsidRPr="00A11674" w:rsidRDefault="0025112D" w:rsidP="00AD0BFB">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95-</w:t>
            </w:r>
            <w:r w:rsidR="00AD0BFB">
              <w:rPr>
                <w:rFonts w:ascii="Calibri" w:eastAsia="Times New Roman" w:hAnsi="Calibri" w:cs="Times New Roman"/>
                <w:b/>
                <w:color w:val="000000"/>
                <w:sz w:val="20"/>
                <w:szCs w:val="20"/>
                <w:lang w:eastAsia="en-AU"/>
              </w:rPr>
              <w:t>100</w:t>
            </w:r>
            <w:r w:rsidRPr="00A11674">
              <w:rPr>
                <w:rFonts w:ascii="Calibri" w:eastAsia="Times New Roman" w:hAnsi="Calibri" w:cs="Times New Roman"/>
                <w:b/>
                <w:color w:val="000000"/>
                <w:sz w:val="20"/>
                <w:szCs w:val="20"/>
                <w:lang w:eastAsia="en-AU"/>
              </w:rPr>
              <w:t xml:space="preserve">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87.3</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8.5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3.2</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7104FC" w:rsidP="007104FC">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1.0</w:t>
            </w:r>
          </w:p>
        </w:tc>
      </w:tr>
      <w:tr w:rsidR="0025112D" w:rsidRPr="0025112D" w:rsidTr="00A11674">
        <w:trPr>
          <w:trHeight w:val="240"/>
          <w:jc w:val="center"/>
        </w:trPr>
        <w:tc>
          <w:tcPr>
            <w:tcW w:w="1723" w:type="dxa"/>
            <w:vMerge/>
            <w:tcBorders>
              <w:top w:val="single" w:sz="4" w:space="0" w:color="auto"/>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7104FC" w:rsidP="007104FC">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87.0</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9.4</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2.8</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0.9</w:t>
            </w:r>
          </w:p>
        </w:tc>
      </w:tr>
      <w:tr w:rsidR="0025112D" w:rsidRPr="0025112D" w:rsidTr="00A11674">
        <w:trPr>
          <w:trHeight w:val="240"/>
          <w:jc w:val="center"/>
        </w:trPr>
        <w:tc>
          <w:tcPr>
            <w:tcW w:w="1723" w:type="dxa"/>
            <w:vMerge/>
            <w:tcBorders>
              <w:top w:val="single" w:sz="4" w:space="0" w:color="auto"/>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86.9</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8.7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3.3</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1.1</w:t>
            </w:r>
          </w:p>
        </w:tc>
      </w:tr>
      <w:tr w:rsidR="0025112D" w:rsidRPr="0025112D" w:rsidTr="00A11674">
        <w:trPr>
          <w:trHeight w:val="240"/>
          <w:jc w:val="center"/>
        </w:trPr>
        <w:tc>
          <w:tcPr>
            <w:tcW w:w="1723" w:type="dxa"/>
            <w:vMerge w:val="restart"/>
            <w:tcBorders>
              <w:top w:val="nil"/>
              <w:left w:val="single" w:sz="8" w:space="0" w:color="auto"/>
              <w:bottom w:val="single" w:sz="8"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roofErr w:type="spellStart"/>
            <w:r w:rsidRPr="00A11674">
              <w:rPr>
                <w:rFonts w:ascii="Calibri" w:eastAsia="Times New Roman" w:hAnsi="Calibri" w:cs="Times New Roman"/>
                <w:b/>
                <w:color w:val="000000"/>
                <w:sz w:val="20"/>
                <w:szCs w:val="20"/>
                <w:lang w:eastAsia="en-AU"/>
              </w:rPr>
              <w:t>ATAR</w:t>
            </w:r>
            <w:proofErr w:type="spellEnd"/>
            <w:r w:rsidRPr="00A11674">
              <w:rPr>
                <w:rFonts w:ascii="Calibri" w:eastAsia="Times New Roman" w:hAnsi="Calibri" w:cs="Times New Roman"/>
                <w:b/>
                <w:color w:val="000000"/>
                <w:sz w:val="20"/>
                <w:szCs w:val="20"/>
                <w:lang w:eastAsia="en-AU"/>
              </w:rPr>
              <w:t xml:space="preserve"> not provided or not required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63.3</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10.8</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14.7</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11.3</w:t>
            </w:r>
          </w:p>
        </w:tc>
      </w:tr>
      <w:tr w:rsidR="0025112D" w:rsidRPr="0025112D" w:rsidTr="00A11674">
        <w:trPr>
          <w:trHeight w:val="240"/>
          <w:jc w:val="center"/>
        </w:trPr>
        <w:tc>
          <w:tcPr>
            <w:tcW w:w="1723" w:type="dxa"/>
            <w:vMerge/>
            <w:tcBorders>
              <w:top w:val="nil"/>
              <w:left w:val="single" w:sz="8" w:space="0" w:color="auto"/>
              <w:bottom w:val="single" w:sz="8"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63.1</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17.6</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10.9</w:t>
            </w:r>
          </w:p>
        </w:tc>
      </w:tr>
      <w:tr w:rsidR="0025112D" w:rsidRPr="0025112D" w:rsidTr="00A11674">
        <w:trPr>
          <w:trHeight w:val="240"/>
          <w:jc w:val="center"/>
        </w:trPr>
        <w:tc>
          <w:tcPr>
            <w:tcW w:w="1723" w:type="dxa"/>
            <w:vMerge/>
            <w:tcBorders>
              <w:top w:val="nil"/>
              <w:left w:val="single" w:sz="8" w:space="0" w:color="auto"/>
              <w:bottom w:val="single" w:sz="8"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8"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2007</w:t>
            </w:r>
          </w:p>
        </w:tc>
        <w:tc>
          <w:tcPr>
            <w:tcW w:w="1559" w:type="dxa"/>
            <w:tcBorders>
              <w:top w:val="nil"/>
              <w:left w:val="nil"/>
              <w:bottom w:val="single" w:sz="8"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62.3</w:t>
            </w:r>
          </w:p>
        </w:tc>
        <w:tc>
          <w:tcPr>
            <w:tcW w:w="1560"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11.2</w:t>
            </w:r>
          </w:p>
        </w:tc>
        <w:tc>
          <w:tcPr>
            <w:tcW w:w="1559" w:type="dxa"/>
            <w:tcBorders>
              <w:top w:val="nil"/>
              <w:left w:val="nil"/>
              <w:bottom w:val="single" w:sz="8" w:space="0" w:color="auto"/>
              <w:right w:val="single" w:sz="4" w:space="0" w:color="auto"/>
            </w:tcBorders>
            <w:shd w:val="clear" w:color="auto" w:fill="auto"/>
            <w:noWrap/>
            <w:hideMark/>
          </w:tcPr>
          <w:p w:rsidR="0025112D" w:rsidRPr="00A11674" w:rsidRDefault="007104FC" w:rsidP="0025112D">
            <w:pPr>
              <w:spacing w:after="0" w:line="240" w:lineRule="auto"/>
              <w:jc w:val="center"/>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15.7</w:t>
            </w:r>
          </w:p>
        </w:tc>
        <w:tc>
          <w:tcPr>
            <w:tcW w:w="1574" w:type="dxa"/>
            <w:tcBorders>
              <w:top w:val="nil"/>
              <w:left w:val="nil"/>
              <w:bottom w:val="single" w:sz="8"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10.8</w:t>
            </w:r>
          </w:p>
        </w:tc>
      </w:tr>
      <w:tr w:rsidR="0025112D" w:rsidRPr="0025112D" w:rsidTr="00A11674">
        <w:trPr>
          <w:trHeight w:val="240"/>
          <w:jc w:val="center"/>
        </w:trPr>
        <w:tc>
          <w:tcPr>
            <w:tcW w:w="8825"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Enabling Indicator </w:t>
            </w:r>
          </w:p>
        </w:tc>
      </w:tr>
      <w:tr w:rsidR="0025112D" w:rsidRPr="0025112D" w:rsidTr="00A11674">
        <w:trPr>
          <w:trHeight w:val="240"/>
          <w:jc w:val="center"/>
        </w:trPr>
        <w:tc>
          <w:tcPr>
            <w:tcW w:w="1723"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Prior Enabling course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56.6</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14.6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17.3</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11.5</w:t>
            </w:r>
          </w:p>
        </w:tc>
      </w:tr>
      <w:tr w:rsidR="0025112D" w:rsidRPr="0025112D" w:rsidTr="00A11674">
        <w:trPr>
          <w:trHeight w:val="240"/>
          <w:jc w:val="center"/>
        </w:trPr>
        <w:tc>
          <w:tcPr>
            <w:tcW w:w="1723"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58.0</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14.9</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16.8</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10.3</w:t>
            </w:r>
          </w:p>
        </w:tc>
      </w:tr>
      <w:tr w:rsidR="0025112D" w:rsidRPr="0025112D" w:rsidTr="00A11674">
        <w:trPr>
          <w:trHeight w:val="240"/>
          <w:jc w:val="center"/>
        </w:trPr>
        <w:tc>
          <w:tcPr>
            <w:tcW w:w="1723"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58.2</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13.5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17.4</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10.9</w:t>
            </w:r>
          </w:p>
        </w:tc>
      </w:tr>
      <w:tr w:rsidR="0025112D" w:rsidRPr="0025112D" w:rsidTr="00A11674">
        <w:trPr>
          <w:trHeight w:val="240"/>
          <w:jc w:val="center"/>
        </w:trPr>
        <w:tc>
          <w:tcPr>
            <w:tcW w:w="1723" w:type="dxa"/>
            <w:vMerge w:val="restart"/>
            <w:tcBorders>
              <w:top w:val="nil"/>
              <w:left w:val="single" w:sz="8" w:space="0" w:color="auto"/>
              <w:bottom w:val="single" w:sz="8" w:space="0" w:color="000000"/>
              <w:right w:val="nil"/>
            </w:tcBorders>
            <w:shd w:val="clear" w:color="auto" w:fill="auto"/>
            <w:hideMark/>
          </w:tcPr>
          <w:p w:rsidR="0025112D" w:rsidRPr="00A11674" w:rsidRDefault="0025112D" w:rsidP="00A11674">
            <w:pPr>
              <w:spacing w:after="0" w:line="240" w:lineRule="auto"/>
              <w:rPr>
                <w:rFonts w:ascii="Calibri" w:eastAsia="Times New Roman" w:hAnsi="Calibri" w:cs="Times New Roman"/>
                <w:b/>
                <w:color w:val="000000"/>
                <w:sz w:val="20"/>
                <w:szCs w:val="20"/>
                <w:lang w:eastAsia="en-AU"/>
              </w:rPr>
            </w:pPr>
            <w:r w:rsidRPr="00A11674">
              <w:rPr>
                <w:rFonts w:ascii="Calibri" w:eastAsia="Times New Roman" w:hAnsi="Calibri" w:cs="Times New Roman"/>
                <w:b/>
                <w:color w:val="000000"/>
                <w:sz w:val="20"/>
                <w:szCs w:val="20"/>
                <w:lang w:eastAsia="en-AU"/>
              </w:rPr>
              <w:t xml:space="preserve">No prior enabling course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67.3</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10.9</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12.8</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sz w:val="20"/>
                <w:szCs w:val="20"/>
                <w:lang w:eastAsia="en-AU"/>
              </w:rPr>
            </w:pPr>
            <w:r w:rsidRPr="00A11674">
              <w:rPr>
                <w:rFonts w:ascii="Calibri" w:eastAsia="Times New Roman" w:hAnsi="Calibri" w:cs="Times New Roman"/>
                <w:color w:val="000000"/>
                <w:sz w:val="20"/>
                <w:szCs w:val="20"/>
                <w:lang w:eastAsia="en-AU"/>
              </w:rPr>
              <w:t>9.1</w:t>
            </w:r>
          </w:p>
        </w:tc>
      </w:tr>
      <w:tr w:rsidR="0025112D" w:rsidRPr="0025112D" w:rsidTr="00A11674">
        <w:trPr>
          <w:trHeight w:val="240"/>
          <w:jc w:val="center"/>
        </w:trPr>
        <w:tc>
          <w:tcPr>
            <w:tcW w:w="1723" w:type="dxa"/>
            <w:vMerge/>
            <w:tcBorders>
              <w:top w:val="nil"/>
              <w:left w:val="single" w:sz="8" w:space="0" w:color="auto"/>
              <w:bottom w:val="single" w:sz="8" w:space="0" w:color="000000"/>
              <w:right w:val="nil"/>
            </w:tcBorders>
            <w:vAlign w:val="center"/>
            <w:hideMark/>
          </w:tcPr>
          <w:p w:rsidR="0025112D" w:rsidRPr="00A11674" w:rsidRDefault="0025112D" w:rsidP="0025112D">
            <w:pPr>
              <w:spacing w:after="0" w:line="240" w:lineRule="auto"/>
              <w:rPr>
                <w:rFonts w:ascii="Calibri" w:eastAsia="Times New Roman" w:hAnsi="Calibri" w:cs="Times New Roman"/>
                <w:color w:val="00000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lang w:eastAsia="en-AU"/>
              </w:rPr>
            </w:pPr>
            <w:r w:rsidRPr="00A11674">
              <w:rPr>
                <w:rFonts w:ascii="Calibri" w:eastAsia="Times New Roman" w:hAnsi="Calibri" w:cs="Times New Roman"/>
                <w:color w:val="00000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lang w:eastAsia="en-AU"/>
              </w:rPr>
            </w:pPr>
            <w:r w:rsidRPr="00A11674">
              <w:rPr>
                <w:rFonts w:ascii="Calibri" w:eastAsia="Times New Roman" w:hAnsi="Calibri" w:cs="Times New Roman"/>
                <w:color w:val="000000"/>
                <w:lang w:eastAsia="en-AU"/>
              </w:rPr>
              <w:t>67.1</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lang w:eastAsia="en-AU"/>
              </w:rPr>
            </w:pPr>
            <w:r w:rsidRPr="00A11674">
              <w:rPr>
                <w:rFonts w:ascii="Calibri" w:eastAsia="Times New Roman" w:hAnsi="Calibri" w:cs="Times New Roman"/>
                <w:color w:val="000000"/>
                <w:lang w:eastAsia="en-AU"/>
              </w:rPr>
              <w:t>10.9</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lang w:eastAsia="en-AU"/>
              </w:rPr>
            </w:pPr>
            <w:r w:rsidRPr="00A11674">
              <w:rPr>
                <w:rFonts w:ascii="Calibri" w:eastAsia="Times New Roman" w:hAnsi="Calibri" w:cs="Times New Roman"/>
                <w:color w:val="000000"/>
                <w:lang w:eastAsia="en-AU"/>
              </w:rPr>
              <w:t>13.3</w:t>
            </w:r>
          </w:p>
        </w:tc>
        <w:tc>
          <w:tcPr>
            <w:tcW w:w="1574"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lang w:eastAsia="en-AU"/>
              </w:rPr>
            </w:pPr>
            <w:r w:rsidRPr="00A11674">
              <w:rPr>
                <w:rFonts w:ascii="Calibri" w:eastAsia="Times New Roman" w:hAnsi="Calibri" w:cs="Times New Roman"/>
                <w:color w:val="000000"/>
                <w:lang w:eastAsia="en-AU"/>
              </w:rPr>
              <w:t>8.7</w:t>
            </w:r>
          </w:p>
        </w:tc>
      </w:tr>
      <w:tr w:rsidR="0025112D" w:rsidRPr="0025112D" w:rsidTr="00A11674">
        <w:trPr>
          <w:trHeight w:val="240"/>
          <w:jc w:val="center"/>
        </w:trPr>
        <w:tc>
          <w:tcPr>
            <w:tcW w:w="1723" w:type="dxa"/>
            <w:vMerge/>
            <w:tcBorders>
              <w:top w:val="nil"/>
              <w:left w:val="single" w:sz="8" w:space="0" w:color="auto"/>
              <w:bottom w:val="single" w:sz="8" w:space="0" w:color="000000"/>
              <w:right w:val="nil"/>
            </w:tcBorders>
            <w:vAlign w:val="center"/>
            <w:hideMark/>
          </w:tcPr>
          <w:p w:rsidR="0025112D" w:rsidRPr="00A11674" w:rsidRDefault="0025112D" w:rsidP="0025112D">
            <w:pPr>
              <w:spacing w:after="0" w:line="240" w:lineRule="auto"/>
              <w:rPr>
                <w:rFonts w:ascii="Calibri" w:eastAsia="Times New Roman" w:hAnsi="Calibri" w:cs="Times New Roman"/>
                <w:color w:val="000000"/>
                <w:lang w:eastAsia="en-AU"/>
              </w:rPr>
            </w:pPr>
          </w:p>
        </w:tc>
        <w:tc>
          <w:tcPr>
            <w:tcW w:w="850" w:type="dxa"/>
            <w:tcBorders>
              <w:top w:val="nil"/>
              <w:left w:val="single" w:sz="8" w:space="0" w:color="auto"/>
              <w:bottom w:val="single" w:sz="8" w:space="0" w:color="auto"/>
              <w:right w:val="single" w:sz="4" w:space="0" w:color="auto"/>
            </w:tcBorders>
            <w:shd w:val="clear" w:color="auto" w:fill="auto"/>
            <w:noWrap/>
            <w:hideMark/>
          </w:tcPr>
          <w:p w:rsidR="0025112D" w:rsidRPr="00A11674" w:rsidRDefault="0025112D" w:rsidP="0025112D">
            <w:pPr>
              <w:spacing w:after="0" w:line="240" w:lineRule="auto"/>
              <w:rPr>
                <w:rFonts w:ascii="Calibri" w:eastAsia="Times New Roman" w:hAnsi="Calibri" w:cs="Times New Roman"/>
                <w:color w:val="000000"/>
                <w:lang w:eastAsia="en-AU"/>
              </w:rPr>
            </w:pPr>
            <w:r w:rsidRPr="00A11674">
              <w:rPr>
                <w:rFonts w:ascii="Calibri" w:eastAsia="Times New Roman" w:hAnsi="Calibri" w:cs="Times New Roman"/>
                <w:color w:val="000000"/>
                <w:lang w:eastAsia="en-AU"/>
              </w:rPr>
              <w:t>2007</w:t>
            </w:r>
          </w:p>
        </w:tc>
        <w:tc>
          <w:tcPr>
            <w:tcW w:w="1559"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lang w:eastAsia="en-AU"/>
              </w:rPr>
            </w:pPr>
            <w:r w:rsidRPr="00A11674">
              <w:rPr>
                <w:rFonts w:ascii="Calibri" w:eastAsia="Times New Roman" w:hAnsi="Calibri" w:cs="Times New Roman"/>
                <w:color w:val="000000"/>
                <w:lang w:eastAsia="en-AU"/>
              </w:rPr>
              <w:t>66.9</w:t>
            </w:r>
          </w:p>
        </w:tc>
        <w:tc>
          <w:tcPr>
            <w:tcW w:w="1560"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lang w:eastAsia="en-AU"/>
              </w:rPr>
            </w:pPr>
            <w:r w:rsidRPr="00A11674">
              <w:rPr>
                <w:rFonts w:ascii="Calibri" w:eastAsia="Times New Roman" w:hAnsi="Calibri" w:cs="Times New Roman"/>
                <w:color w:val="000000"/>
                <w:lang w:eastAsia="en-AU"/>
              </w:rPr>
              <w:t>11.3</w:t>
            </w:r>
          </w:p>
        </w:tc>
        <w:tc>
          <w:tcPr>
            <w:tcW w:w="1559"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lang w:eastAsia="en-AU"/>
              </w:rPr>
            </w:pPr>
            <w:r w:rsidRPr="00A11674">
              <w:rPr>
                <w:rFonts w:ascii="Calibri" w:eastAsia="Times New Roman" w:hAnsi="Calibri" w:cs="Times New Roman"/>
                <w:color w:val="000000"/>
                <w:lang w:eastAsia="en-AU"/>
              </w:rPr>
              <w:t>13.2</w:t>
            </w:r>
          </w:p>
        </w:tc>
        <w:tc>
          <w:tcPr>
            <w:tcW w:w="1574" w:type="dxa"/>
            <w:tcBorders>
              <w:top w:val="nil"/>
              <w:left w:val="nil"/>
              <w:bottom w:val="single" w:sz="8" w:space="0" w:color="auto"/>
              <w:right w:val="single" w:sz="8" w:space="0" w:color="auto"/>
            </w:tcBorders>
            <w:shd w:val="clear" w:color="auto" w:fill="auto"/>
            <w:noWrap/>
            <w:hideMark/>
          </w:tcPr>
          <w:p w:rsidR="0025112D" w:rsidRPr="00A11674" w:rsidRDefault="0025112D" w:rsidP="0025112D">
            <w:pPr>
              <w:spacing w:after="0" w:line="240" w:lineRule="auto"/>
              <w:jc w:val="center"/>
              <w:rPr>
                <w:rFonts w:ascii="Calibri" w:eastAsia="Times New Roman" w:hAnsi="Calibri" w:cs="Times New Roman"/>
                <w:color w:val="000000"/>
                <w:lang w:eastAsia="en-AU"/>
              </w:rPr>
            </w:pPr>
            <w:r w:rsidRPr="00A11674">
              <w:rPr>
                <w:rFonts w:ascii="Calibri" w:eastAsia="Times New Roman" w:hAnsi="Calibri" w:cs="Times New Roman"/>
                <w:color w:val="000000"/>
                <w:lang w:eastAsia="en-AU"/>
              </w:rPr>
              <w:t>8.6</w:t>
            </w:r>
          </w:p>
        </w:tc>
      </w:tr>
    </w:tbl>
    <w:p w:rsidR="00F40522" w:rsidRDefault="00F40522"/>
    <w:tbl>
      <w:tblPr>
        <w:tblW w:w="8741" w:type="dxa"/>
        <w:jc w:val="center"/>
        <w:tblInd w:w="93" w:type="dxa"/>
        <w:tblLook w:val="04A0" w:firstRow="1" w:lastRow="0" w:firstColumn="1" w:lastColumn="0" w:noHBand="0" w:noVBand="1"/>
      </w:tblPr>
      <w:tblGrid>
        <w:gridCol w:w="1681"/>
        <w:gridCol w:w="850"/>
        <w:gridCol w:w="1559"/>
        <w:gridCol w:w="1560"/>
        <w:gridCol w:w="1559"/>
        <w:gridCol w:w="1532"/>
      </w:tblGrid>
      <w:tr w:rsidR="0025112D" w:rsidRPr="00A11674" w:rsidTr="00A11674">
        <w:trPr>
          <w:trHeight w:val="840"/>
          <w:jc w:val="center"/>
        </w:trPr>
        <w:tc>
          <w:tcPr>
            <w:tcW w:w="2531" w:type="dxa"/>
            <w:gridSpan w:val="2"/>
            <w:tcBorders>
              <w:top w:val="single" w:sz="8" w:space="0" w:color="auto"/>
              <w:left w:val="single" w:sz="8" w:space="0" w:color="auto"/>
              <w:bottom w:val="nil"/>
              <w:right w:val="single" w:sz="4" w:space="0" w:color="000000"/>
            </w:tcBorders>
            <w:shd w:val="clear" w:color="000000" w:fill="FFFFFF"/>
            <w:hideMark/>
          </w:tcPr>
          <w:p w:rsidR="0025112D" w:rsidRPr="00A11674" w:rsidRDefault="0025112D" w:rsidP="0025112D">
            <w:pPr>
              <w:spacing w:after="0" w:line="240" w:lineRule="auto"/>
              <w:rPr>
                <w:rFonts w:eastAsia="Times New Roman" w:cs="Times New Roman"/>
                <w:bCs/>
                <w:color w:val="000000"/>
                <w:sz w:val="20"/>
                <w:szCs w:val="20"/>
                <w:lang w:eastAsia="en-AU"/>
              </w:rPr>
            </w:pPr>
            <w:r w:rsidRPr="00A11674">
              <w:rPr>
                <w:rFonts w:eastAsia="Times New Roman" w:cs="Times New Roman"/>
                <w:bCs/>
                <w:color w:val="000000"/>
                <w:sz w:val="20"/>
                <w:szCs w:val="20"/>
                <w:lang w:eastAsia="en-AU"/>
              </w:rPr>
              <w:t> </w:t>
            </w:r>
          </w:p>
        </w:tc>
        <w:tc>
          <w:tcPr>
            <w:tcW w:w="1559" w:type="dxa"/>
            <w:tcBorders>
              <w:top w:val="single" w:sz="8" w:space="0" w:color="auto"/>
              <w:left w:val="nil"/>
              <w:bottom w:val="nil"/>
              <w:right w:val="nil"/>
            </w:tcBorders>
            <w:shd w:val="clear" w:color="000000" w:fill="FFFFFF"/>
            <w:vAlign w:val="center"/>
            <w:hideMark/>
          </w:tcPr>
          <w:p w:rsidR="0025112D" w:rsidRPr="00A11674" w:rsidRDefault="0025112D" w:rsidP="0025112D">
            <w:pPr>
              <w:spacing w:after="0" w:line="240" w:lineRule="auto"/>
              <w:jc w:val="center"/>
              <w:rPr>
                <w:rFonts w:eastAsia="Times New Roman" w:cs="Times New Roman"/>
                <w:b/>
                <w:bCs/>
                <w:color w:val="000000"/>
                <w:sz w:val="20"/>
                <w:szCs w:val="20"/>
                <w:lang w:eastAsia="en-AU"/>
              </w:rPr>
            </w:pPr>
            <w:r w:rsidRPr="00A11674">
              <w:rPr>
                <w:rFonts w:eastAsia="Times New Roman" w:cs="Times New Roman"/>
                <w:b/>
                <w:bCs/>
                <w:color w:val="000000"/>
                <w:sz w:val="20"/>
                <w:szCs w:val="20"/>
                <w:lang w:eastAsia="en-AU"/>
              </w:rPr>
              <w:t>Completed (in any year)</w:t>
            </w:r>
          </w:p>
        </w:tc>
        <w:tc>
          <w:tcPr>
            <w:tcW w:w="1560" w:type="dxa"/>
            <w:tcBorders>
              <w:top w:val="single" w:sz="8" w:space="0" w:color="auto"/>
              <w:left w:val="single" w:sz="4" w:space="0" w:color="000000"/>
              <w:bottom w:val="nil"/>
              <w:right w:val="nil"/>
            </w:tcBorders>
            <w:shd w:val="clear" w:color="000000" w:fill="FFFFFF"/>
            <w:vAlign w:val="center"/>
            <w:hideMark/>
          </w:tcPr>
          <w:p w:rsidR="0025112D" w:rsidRPr="00A11674" w:rsidRDefault="0025112D" w:rsidP="0025112D">
            <w:pPr>
              <w:spacing w:after="0" w:line="240" w:lineRule="auto"/>
              <w:jc w:val="center"/>
              <w:rPr>
                <w:rFonts w:eastAsia="Times New Roman" w:cs="Times New Roman"/>
                <w:b/>
                <w:bCs/>
                <w:color w:val="000000"/>
                <w:sz w:val="20"/>
                <w:szCs w:val="20"/>
                <w:lang w:eastAsia="en-AU"/>
              </w:rPr>
            </w:pPr>
            <w:r w:rsidRPr="00A11674">
              <w:rPr>
                <w:rFonts w:eastAsia="Times New Roman" w:cs="Times New Roman"/>
                <w:b/>
                <w:bCs/>
                <w:color w:val="000000"/>
                <w:sz w:val="20"/>
                <w:szCs w:val="20"/>
                <w:lang w:eastAsia="en-AU"/>
              </w:rPr>
              <w:t>Still Enrolled at the end of the 6 year cohort period</w:t>
            </w:r>
          </w:p>
        </w:tc>
        <w:tc>
          <w:tcPr>
            <w:tcW w:w="1559" w:type="dxa"/>
            <w:tcBorders>
              <w:top w:val="single" w:sz="8" w:space="0" w:color="auto"/>
              <w:left w:val="single" w:sz="4" w:space="0" w:color="000000"/>
              <w:bottom w:val="nil"/>
              <w:right w:val="nil"/>
            </w:tcBorders>
            <w:shd w:val="clear" w:color="000000" w:fill="FFFFFF"/>
            <w:vAlign w:val="center"/>
            <w:hideMark/>
          </w:tcPr>
          <w:p w:rsidR="0025112D" w:rsidRPr="00A11674" w:rsidRDefault="0025112D" w:rsidP="0025112D">
            <w:pPr>
              <w:spacing w:after="0" w:line="240" w:lineRule="auto"/>
              <w:jc w:val="center"/>
              <w:rPr>
                <w:rFonts w:eastAsia="Times New Roman" w:cs="Times New Roman"/>
                <w:b/>
                <w:bCs/>
                <w:color w:val="000000"/>
                <w:sz w:val="20"/>
                <w:szCs w:val="20"/>
                <w:lang w:eastAsia="en-AU"/>
              </w:rPr>
            </w:pPr>
            <w:r w:rsidRPr="00A11674">
              <w:rPr>
                <w:rFonts w:eastAsia="Times New Roman" w:cs="Times New Roman"/>
                <w:b/>
                <w:bCs/>
                <w:color w:val="000000"/>
                <w:sz w:val="20"/>
                <w:szCs w:val="20"/>
                <w:lang w:eastAsia="en-AU"/>
              </w:rPr>
              <w:t>Re-enrolled but dropped out</w:t>
            </w:r>
          </w:p>
        </w:tc>
        <w:tc>
          <w:tcPr>
            <w:tcW w:w="1532" w:type="dxa"/>
            <w:tcBorders>
              <w:top w:val="single" w:sz="8" w:space="0" w:color="auto"/>
              <w:left w:val="single" w:sz="4" w:space="0" w:color="000000"/>
              <w:bottom w:val="nil"/>
              <w:right w:val="single" w:sz="8" w:space="0" w:color="auto"/>
            </w:tcBorders>
            <w:shd w:val="clear" w:color="000000" w:fill="FFFFFF"/>
            <w:vAlign w:val="center"/>
            <w:hideMark/>
          </w:tcPr>
          <w:p w:rsidR="0025112D" w:rsidRPr="00A11674" w:rsidRDefault="0025112D" w:rsidP="0025112D">
            <w:pPr>
              <w:spacing w:after="0" w:line="240" w:lineRule="auto"/>
              <w:jc w:val="center"/>
              <w:rPr>
                <w:rFonts w:eastAsia="Times New Roman" w:cs="Times New Roman"/>
                <w:b/>
                <w:bCs/>
                <w:color w:val="000000"/>
                <w:sz w:val="20"/>
                <w:szCs w:val="20"/>
                <w:lang w:eastAsia="en-AU"/>
              </w:rPr>
            </w:pPr>
            <w:r w:rsidRPr="00A11674">
              <w:rPr>
                <w:rFonts w:eastAsia="Times New Roman" w:cs="Times New Roman"/>
                <w:b/>
                <w:bCs/>
                <w:color w:val="000000"/>
                <w:sz w:val="20"/>
                <w:szCs w:val="20"/>
                <w:lang w:eastAsia="en-AU"/>
              </w:rPr>
              <w:t>Never came back after the first year</w:t>
            </w:r>
          </w:p>
        </w:tc>
      </w:tr>
      <w:tr w:rsidR="0025112D" w:rsidRPr="00A11674" w:rsidTr="00A11674">
        <w:trPr>
          <w:trHeight w:val="240"/>
          <w:jc w:val="center"/>
        </w:trPr>
        <w:tc>
          <w:tcPr>
            <w:tcW w:w="8741"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25112D" w:rsidRPr="00A11674" w:rsidRDefault="0025112D" w:rsidP="0025112D">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Indigenous Indicator </w:t>
            </w:r>
          </w:p>
        </w:tc>
      </w:tr>
      <w:tr w:rsidR="0025112D" w:rsidRPr="00A11674" w:rsidTr="00A11674">
        <w:trPr>
          <w:trHeight w:val="240"/>
          <w:jc w:val="center"/>
        </w:trPr>
        <w:tc>
          <w:tcPr>
            <w:tcW w:w="1681"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Indigenous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40.9</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13.8</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22.8</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22.5</w:t>
            </w:r>
          </w:p>
        </w:tc>
      </w:tr>
      <w:tr w:rsidR="0025112D" w:rsidRPr="00A11674" w:rsidTr="00A11674">
        <w:trPr>
          <w:trHeight w:val="240"/>
          <w:jc w:val="center"/>
        </w:trPr>
        <w:tc>
          <w:tcPr>
            <w:tcW w:w="1681"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41.1</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13.4</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25.9</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19.6</w:t>
            </w:r>
          </w:p>
        </w:tc>
      </w:tr>
      <w:tr w:rsidR="0025112D" w:rsidRPr="00A11674" w:rsidTr="00A11674">
        <w:trPr>
          <w:trHeight w:val="240"/>
          <w:jc w:val="center"/>
        </w:trPr>
        <w:tc>
          <w:tcPr>
            <w:tcW w:w="1681"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40.0</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15.1</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24.7</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20.1</w:t>
            </w:r>
          </w:p>
        </w:tc>
      </w:tr>
      <w:tr w:rsidR="0025112D" w:rsidRPr="00A11674" w:rsidTr="00A11674">
        <w:trPr>
          <w:trHeight w:val="240"/>
          <w:jc w:val="center"/>
        </w:trPr>
        <w:tc>
          <w:tcPr>
            <w:tcW w:w="1681"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Not Indigenous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67.2</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11.0</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12.8</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9.0</w:t>
            </w:r>
          </w:p>
        </w:tc>
      </w:tr>
      <w:tr w:rsidR="0025112D" w:rsidRPr="00A11674" w:rsidTr="00A11674">
        <w:trPr>
          <w:trHeight w:val="240"/>
          <w:jc w:val="center"/>
        </w:trPr>
        <w:tc>
          <w:tcPr>
            <w:tcW w:w="1681"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67.2</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11.0</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13.3</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8.6</w:t>
            </w:r>
          </w:p>
        </w:tc>
      </w:tr>
      <w:tr w:rsidR="0025112D" w:rsidRPr="00A11674" w:rsidTr="00A11674">
        <w:trPr>
          <w:trHeight w:val="240"/>
          <w:jc w:val="center"/>
        </w:trPr>
        <w:tc>
          <w:tcPr>
            <w:tcW w:w="1681"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67.0</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11.4</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13.2</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8.5</w:t>
            </w:r>
          </w:p>
        </w:tc>
      </w:tr>
      <w:tr w:rsidR="0025112D" w:rsidRPr="00A11674" w:rsidTr="00A11674">
        <w:trPr>
          <w:trHeight w:val="240"/>
          <w:jc w:val="center"/>
        </w:trPr>
        <w:tc>
          <w:tcPr>
            <w:tcW w:w="1681" w:type="dxa"/>
            <w:vMerge w:val="restart"/>
            <w:tcBorders>
              <w:top w:val="nil"/>
              <w:left w:val="single" w:sz="8" w:space="0" w:color="auto"/>
              <w:bottom w:val="single" w:sz="8" w:space="0" w:color="000000"/>
              <w:right w:val="nil"/>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Not Provided</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69.4</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9.9</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11.8</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8.9</w:t>
            </w:r>
          </w:p>
        </w:tc>
      </w:tr>
      <w:tr w:rsidR="0025112D" w:rsidRPr="00A11674" w:rsidTr="00A11674">
        <w:trPr>
          <w:trHeight w:val="240"/>
          <w:jc w:val="center"/>
        </w:trPr>
        <w:tc>
          <w:tcPr>
            <w:tcW w:w="1681" w:type="dxa"/>
            <w:vMerge/>
            <w:tcBorders>
              <w:top w:val="nil"/>
              <w:left w:val="single" w:sz="8" w:space="0" w:color="auto"/>
              <w:bottom w:val="single" w:sz="8" w:space="0" w:color="000000"/>
              <w:right w:val="nil"/>
            </w:tcBorders>
            <w:vAlign w:val="center"/>
            <w:hideMark/>
          </w:tcPr>
          <w:p w:rsidR="0025112D" w:rsidRPr="00A11674" w:rsidRDefault="0025112D" w:rsidP="0025112D">
            <w:pPr>
              <w:spacing w:after="0" w:line="240" w:lineRule="auto"/>
              <w:rPr>
                <w:rFonts w:eastAsia="Times New Roman" w:cs="Times New Roman"/>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62.2</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13.9</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12.4</w:t>
            </w:r>
          </w:p>
        </w:tc>
      </w:tr>
      <w:tr w:rsidR="0025112D" w:rsidRPr="00A11674" w:rsidTr="00A11674">
        <w:trPr>
          <w:trHeight w:val="240"/>
          <w:jc w:val="center"/>
        </w:trPr>
        <w:tc>
          <w:tcPr>
            <w:tcW w:w="1681" w:type="dxa"/>
            <w:vMerge/>
            <w:tcBorders>
              <w:top w:val="nil"/>
              <w:left w:val="single" w:sz="8" w:space="0" w:color="auto"/>
              <w:bottom w:val="single" w:sz="8" w:space="0" w:color="000000"/>
              <w:right w:val="nil"/>
            </w:tcBorders>
            <w:vAlign w:val="center"/>
            <w:hideMark/>
          </w:tcPr>
          <w:p w:rsidR="0025112D" w:rsidRPr="00A11674" w:rsidRDefault="0025112D" w:rsidP="0025112D">
            <w:pPr>
              <w:spacing w:after="0" w:line="240" w:lineRule="auto"/>
              <w:rPr>
                <w:rFonts w:eastAsia="Times New Roman" w:cs="Times New Roman"/>
                <w:color w:val="000000"/>
                <w:sz w:val="20"/>
                <w:szCs w:val="20"/>
                <w:lang w:eastAsia="en-AU"/>
              </w:rPr>
            </w:pPr>
          </w:p>
        </w:tc>
        <w:tc>
          <w:tcPr>
            <w:tcW w:w="850" w:type="dxa"/>
            <w:tcBorders>
              <w:top w:val="nil"/>
              <w:left w:val="single" w:sz="8" w:space="0" w:color="auto"/>
              <w:bottom w:val="single" w:sz="8"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59.2</w:t>
            </w:r>
          </w:p>
        </w:tc>
        <w:tc>
          <w:tcPr>
            <w:tcW w:w="1560"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9.9</w:t>
            </w:r>
          </w:p>
        </w:tc>
        <w:tc>
          <w:tcPr>
            <w:tcW w:w="1559"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16.8</w:t>
            </w:r>
          </w:p>
        </w:tc>
        <w:tc>
          <w:tcPr>
            <w:tcW w:w="1532" w:type="dxa"/>
            <w:tcBorders>
              <w:top w:val="nil"/>
              <w:left w:val="nil"/>
              <w:bottom w:val="single" w:sz="8"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14.1</w:t>
            </w:r>
          </w:p>
        </w:tc>
      </w:tr>
      <w:tr w:rsidR="0025112D" w:rsidRPr="00A11674" w:rsidTr="00A11674">
        <w:trPr>
          <w:trHeight w:val="240"/>
          <w:jc w:val="center"/>
        </w:trPr>
        <w:tc>
          <w:tcPr>
            <w:tcW w:w="8741"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25112D" w:rsidRPr="00A11674" w:rsidRDefault="0025112D" w:rsidP="0025112D">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NESB Indicator </w:t>
            </w:r>
          </w:p>
        </w:tc>
      </w:tr>
      <w:tr w:rsidR="0025112D" w:rsidRPr="00A11674" w:rsidTr="00A11674">
        <w:trPr>
          <w:trHeight w:val="240"/>
          <w:jc w:val="center"/>
        </w:trPr>
        <w:tc>
          <w:tcPr>
            <w:tcW w:w="1681"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Person from Non-English speaking background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72.5</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10.0</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11.0</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6.6</w:t>
            </w:r>
          </w:p>
        </w:tc>
      </w:tr>
      <w:tr w:rsidR="0025112D" w:rsidRPr="00A11674" w:rsidTr="00A11674">
        <w:trPr>
          <w:trHeight w:val="240"/>
          <w:jc w:val="center"/>
        </w:trPr>
        <w:tc>
          <w:tcPr>
            <w:tcW w:w="1681"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72.2</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11.7</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5.7</w:t>
            </w:r>
          </w:p>
        </w:tc>
      </w:tr>
      <w:tr w:rsidR="0025112D" w:rsidRPr="00A11674" w:rsidTr="00A11674">
        <w:trPr>
          <w:trHeight w:val="240"/>
          <w:jc w:val="center"/>
        </w:trPr>
        <w:tc>
          <w:tcPr>
            <w:tcW w:w="1681"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71.3</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11.1</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11.9</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5.8</w:t>
            </w:r>
          </w:p>
        </w:tc>
      </w:tr>
      <w:tr w:rsidR="0025112D" w:rsidRPr="00A11674" w:rsidTr="00A11674">
        <w:trPr>
          <w:trHeight w:val="240"/>
          <w:jc w:val="center"/>
        </w:trPr>
        <w:tc>
          <w:tcPr>
            <w:tcW w:w="1681" w:type="dxa"/>
            <w:vMerge w:val="restart"/>
            <w:tcBorders>
              <w:top w:val="nil"/>
              <w:left w:val="single" w:sz="8" w:space="0" w:color="auto"/>
              <w:bottom w:val="single" w:sz="8" w:space="0" w:color="000000"/>
              <w:right w:val="nil"/>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Not from Non-English speaking background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66.8</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11.0</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13.0</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9.2</w:t>
            </w:r>
          </w:p>
        </w:tc>
      </w:tr>
      <w:tr w:rsidR="0025112D" w:rsidRPr="00A11674" w:rsidTr="00A11674">
        <w:trPr>
          <w:trHeight w:val="240"/>
          <w:jc w:val="center"/>
        </w:trPr>
        <w:tc>
          <w:tcPr>
            <w:tcW w:w="1681" w:type="dxa"/>
            <w:vMerge/>
            <w:tcBorders>
              <w:top w:val="nil"/>
              <w:left w:val="single" w:sz="8" w:space="0" w:color="auto"/>
              <w:bottom w:val="single" w:sz="8" w:space="0" w:color="000000"/>
              <w:right w:val="nil"/>
            </w:tcBorders>
            <w:vAlign w:val="center"/>
            <w:hideMark/>
          </w:tcPr>
          <w:p w:rsidR="0025112D" w:rsidRPr="00A11674" w:rsidRDefault="0025112D" w:rsidP="0025112D">
            <w:pPr>
              <w:spacing w:after="0" w:line="240" w:lineRule="auto"/>
              <w:rPr>
                <w:rFonts w:eastAsia="Times New Roman" w:cs="Times New Roman"/>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66.6</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11.0</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13.5</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8.9</w:t>
            </w:r>
          </w:p>
        </w:tc>
      </w:tr>
      <w:tr w:rsidR="0025112D" w:rsidRPr="00A11674" w:rsidTr="00A11674">
        <w:trPr>
          <w:trHeight w:val="240"/>
          <w:jc w:val="center"/>
        </w:trPr>
        <w:tc>
          <w:tcPr>
            <w:tcW w:w="1681" w:type="dxa"/>
            <w:vMerge/>
            <w:tcBorders>
              <w:top w:val="nil"/>
              <w:left w:val="single" w:sz="8" w:space="0" w:color="auto"/>
              <w:bottom w:val="single" w:sz="8" w:space="0" w:color="000000"/>
              <w:right w:val="nil"/>
            </w:tcBorders>
            <w:vAlign w:val="center"/>
            <w:hideMark/>
          </w:tcPr>
          <w:p w:rsidR="0025112D" w:rsidRPr="00A11674" w:rsidRDefault="0025112D" w:rsidP="0025112D">
            <w:pPr>
              <w:spacing w:after="0" w:line="240" w:lineRule="auto"/>
              <w:rPr>
                <w:rFonts w:eastAsia="Times New Roman" w:cs="Times New Roman"/>
                <w:color w:val="000000"/>
                <w:sz w:val="20"/>
                <w:szCs w:val="20"/>
                <w:lang w:eastAsia="en-AU"/>
              </w:rPr>
            </w:pPr>
          </w:p>
        </w:tc>
        <w:tc>
          <w:tcPr>
            <w:tcW w:w="850" w:type="dxa"/>
            <w:tcBorders>
              <w:top w:val="nil"/>
              <w:left w:val="single" w:sz="8" w:space="0" w:color="auto"/>
              <w:bottom w:val="single" w:sz="8"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66.4</w:t>
            </w:r>
          </w:p>
        </w:tc>
        <w:tc>
          <w:tcPr>
            <w:tcW w:w="1560"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11.4</w:t>
            </w:r>
          </w:p>
        </w:tc>
        <w:tc>
          <w:tcPr>
            <w:tcW w:w="1559"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13.4</w:t>
            </w:r>
          </w:p>
        </w:tc>
        <w:tc>
          <w:tcPr>
            <w:tcW w:w="1532" w:type="dxa"/>
            <w:tcBorders>
              <w:top w:val="nil"/>
              <w:left w:val="nil"/>
              <w:bottom w:val="single" w:sz="8"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8.8</w:t>
            </w:r>
          </w:p>
        </w:tc>
      </w:tr>
      <w:tr w:rsidR="0025112D" w:rsidRPr="00A11674" w:rsidTr="00A11674">
        <w:trPr>
          <w:trHeight w:val="240"/>
          <w:jc w:val="center"/>
        </w:trPr>
        <w:tc>
          <w:tcPr>
            <w:tcW w:w="8741"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25112D" w:rsidRPr="00A11674" w:rsidRDefault="0025112D" w:rsidP="0025112D">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Socio-Economic Status </w:t>
            </w:r>
          </w:p>
        </w:tc>
      </w:tr>
      <w:tr w:rsidR="0025112D" w:rsidRPr="00A11674" w:rsidTr="00A11674">
        <w:trPr>
          <w:trHeight w:val="240"/>
          <w:jc w:val="center"/>
        </w:trPr>
        <w:tc>
          <w:tcPr>
            <w:tcW w:w="1681"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Low SES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62.9</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11.1</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15.0</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11.0</w:t>
            </w:r>
          </w:p>
        </w:tc>
      </w:tr>
      <w:tr w:rsidR="0025112D" w:rsidRPr="00A11674" w:rsidTr="00A11674">
        <w:trPr>
          <w:trHeight w:val="240"/>
          <w:jc w:val="center"/>
        </w:trPr>
        <w:tc>
          <w:tcPr>
            <w:tcW w:w="1681"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61.8</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11.1</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16.1</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11.0</w:t>
            </w:r>
          </w:p>
        </w:tc>
      </w:tr>
      <w:tr w:rsidR="0025112D" w:rsidRPr="00A11674" w:rsidTr="00A11674">
        <w:trPr>
          <w:trHeight w:val="240"/>
          <w:jc w:val="center"/>
        </w:trPr>
        <w:tc>
          <w:tcPr>
            <w:tcW w:w="1681"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61.7</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12.2</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15.5</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10.6</w:t>
            </w:r>
          </w:p>
        </w:tc>
      </w:tr>
      <w:tr w:rsidR="0025112D" w:rsidRPr="00A11674" w:rsidTr="00A11674">
        <w:trPr>
          <w:trHeight w:val="240"/>
          <w:jc w:val="center"/>
        </w:trPr>
        <w:tc>
          <w:tcPr>
            <w:tcW w:w="1681" w:type="dxa"/>
            <w:vMerge w:val="restart"/>
            <w:tcBorders>
              <w:top w:val="nil"/>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Medium SES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65.9</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11.2</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13.2</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9.6</w:t>
            </w:r>
          </w:p>
        </w:tc>
      </w:tr>
      <w:tr w:rsidR="0025112D" w:rsidRPr="00A11674" w:rsidTr="00A11674">
        <w:trPr>
          <w:trHeight w:val="240"/>
          <w:jc w:val="center"/>
        </w:trPr>
        <w:tc>
          <w:tcPr>
            <w:tcW w:w="1681"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65.8</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11.0</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13.9</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9.4</w:t>
            </w:r>
          </w:p>
        </w:tc>
      </w:tr>
      <w:tr w:rsidR="0025112D" w:rsidRPr="00A11674" w:rsidTr="00A11674">
        <w:trPr>
          <w:trHeight w:val="240"/>
          <w:jc w:val="center"/>
        </w:trPr>
        <w:tc>
          <w:tcPr>
            <w:tcW w:w="1681" w:type="dxa"/>
            <w:vMerge/>
            <w:tcBorders>
              <w:top w:val="nil"/>
              <w:left w:val="single" w:sz="8" w:space="0" w:color="auto"/>
              <w:bottom w:val="single" w:sz="4" w:space="0" w:color="000000"/>
              <w:right w:val="nil"/>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65.3</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13.9</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9.2</w:t>
            </w:r>
          </w:p>
        </w:tc>
      </w:tr>
      <w:tr w:rsidR="0025112D" w:rsidRPr="00A11674" w:rsidTr="00A11674">
        <w:trPr>
          <w:trHeight w:val="240"/>
          <w:jc w:val="center"/>
        </w:trPr>
        <w:tc>
          <w:tcPr>
            <w:tcW w:w="1681" w:type="dxa"/>
            <w:vMerge w:val="restart"/>
            <w:tcBorders>
              <w:top w:val="nil"/>
              <w:left w:val="single" w:sz="8" w:space="0" w:color="auto"/>
              <w:bottom w:val="nil"/>
              <w:right w:val="nil"/>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High SES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70.9</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11.3</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7.3</w:t>
            </w:r>
          </w:p>
        </w:tc>
      </w:tr>
      <w:tr w:rsidR="0025112D" w:rsidRPr="00A11674" w:rsidTr="00A11674">
        <w:trPr>
          <w:trHeight w:val="240"/>
          <w:jc w:val="center"/>
        </w:trPr>
        <w:tc>
          <w:tcPr>
            <w:tcW w:w="1681" w:type="dxa"/>
            <w:vMerge/>
            <w:tcBorders>
              <w:top w:val="nil"/>
              <w:left w:val="single" w:sz="8" w:space="0" w:color="auto"/>
              <w:bottom w:val="nil"/>
              <w:right w:val="nil"/>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70.7</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11.0</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11.5</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6.9</w:t>
            </w:r>
          </w:p>
        </w:tc>
      </w:tr>
      <w:tr w:rsidR="0025112D" w:rsidRPr="00A11674" w:rsidTr="00A11674">
        <w:trPr>
          <w:trHeight w:val="240"/>
          <w:jc w:val="center"/>
        </w:trPr>
        <w:tc>
          <w:tcPr>
            <w:tcW w:w="1681" w:type="dxa"/>
            <w:vMerge/>
            <w:tcBorders>
              <w:top w:val="nil"/>
              <w:left w:val="single" w:sz="8" w:space="0" w:color="auto"/>
              <w:bottom w:val="nil"/>
              <w:right w:val="nil"/>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70.8</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10.9</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11.5</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6.8</w:t>
            </w:r>
          </w:p>
        </w:tc>
      </w:tr>
      <w:tr w:rsidR="0025112D" w:rsidRPr="00A11674" w:rsidTr="00A11674">
        <w:trPr>
          <w:trHeight w:val="240"/>
          <w:jc w:val="center"/>
        </w:trPr>
        <w:tc>
          <w:tcPr>
            <w:tcW w:w="1681" w:type="dxa"/>
            <w:vMerge w:val="restart"/>
            <w:tcBorders>
              <w:top w:val="single" w:sz="4" w:space="0" w:color="auto"/>
              <w:left w:val="single" w:sz="8" w:space="0" w:color="auto"/>
              <w:bottom w:val="single" w:sz="4" w:space="0" w:color="000000"/>
              <w:right w:val="nil"/>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Offshore student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55.9</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11.0</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14.8</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18.3</w:t>
            </w:r>
          </w:p>
        </w:tc>
      </w:tr>
      <w:tr w:rsidR="0025112D" w:rsidRPr="00A11674" w:rsidTr="00A11674">
        <w:trPr>
          <w:trHeight w:val="240"/>
          <w:jc w:val="center"/>
        </w:trPr>
        <w:tc>
          <w:tcPr>
            <w:tcW w:w="1681" w:type="dxa"/>
            <w:vMerge/>
            <w:tcBorders>
              <w:top w:val="single" w:sz="4" w:space="0" w:color="auto"/>
              <w:left w:val="single" w:sz="8" w:space="0" w:color="auto"/>
              <w:bottom w:val="single" w:sz="4" w:space="0" w:color="000000"/>
              <w:right w:val="nil"/>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66.1</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9.3</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14.4</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10.2</w:t>
            </w:r>
          </w:p>
        </w:tc>
      </w:tr>
      <w:tr w:rsidR="0025112D" w:rsidRPr="00A11674" w:rsidTr="00A11674">
        <w:trPr>
          <w:trHeight w:val="240"/>
          <w:jc w:val="center"/>
        </w:trPr>
        <w:tc>
          <w:tcPr>
            <w:tcW w:w="1681" w:type="dxa"/>
            <w:vMerge/>
            <w:tcBorders>
              <w:top w:val="single" w:sz="4" w:space="0" w:color="auto"/>
              <w:left w:val="single" w:sz="8" w:space="0" w:color="auto"/>
              <w:bottom w:val="single" w:sz="4" w:space="0" w:color="000000"/>
              <w:right w:val="nil"/>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66.8</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8.5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12.8</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11.9</w:t>
            </w:r>
          </w:p>
        </w:tc>
      </w:tr>
      <w:tr w:rsidR="0025112D" w:rsidRPr="00A11674" w:rsidTr="00A11674">
        <w:trPr>
          <w:trHeight w:val="240"/>
          <w:jc w:val="center"/>
        </w:trPr>
        <w:tc>
          <w:tcPr>
            <w:tcW w:w="1681" w:type="dxa"/>
            <w:vMerge w:val="restart"/>
            <w:tcBorders>
              <w:top w:val="nil"/>
              <w:left w:val="single" w:sz="8" w:space="0" w:color="auto"/>
              <w:bottom w:val="single" w:sz="8" w:space="0" w:color="000000"/>
              <w:right w:val="nil"/>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SES not available </w:t>
            </w: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60.2</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16.8</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11.4</w:t>
            </w:r>
          </w:p>
        </w:tc>
      </w:tr>
      <w:tr w:rsidR="0025112D" w:rsidRPr="00A11674" w:rsidTr="00A11674">
        <w:trPr>
          <w:trHeight w:val="240"/>
          <w:jc w:val="center"/>
        </w:trPr>
        <w:tc>
          <w:tcPr>
            <w:tcW w:w="1681" w:type="dxa"/>
            <w:vMerge/>
            <w:tcBorders>
              <w:top w:val="nil"/>
              <w:left w:val="single" w:sz="8" w:space="0" w:color="auto"/>
              <w:bottom w:val="single" w:sz="8" w:space="0" w:color="000000"/>
              <w:right w:val="nil"/>
            </w:tcBorders>
            <w:vAlign w:val="center"/>
            <w:hideMark/>
          </w:tcPr>
          <w:p w:rsidR="0025112D" w:rsidRPr="00A11674" w:rsidRDefault="0025112D" w:rsidP="0025112D">
            <w:pPr>
              <w:spacing w:after="0" w:line="240" w:lineRule="auto"/>
              <w:rPr>
                <w:rFonts w:eastAsia="Times New Roman" w:cs="Times New Roman"/>
                <w:color w:val="000000"/>
                <w:sz w:val="20"/>
                <w:szCs w:val="20"/>
                <w:lang w:eastAsia="en-AU"/>
              </w:rPr>
            </w:pPr>
          </w:p>
        </w:tc>
        <w:tc>
          <w:tcPr>
            <w:tcW w:w="850" w:type="dxa"/>
            <w:tcBorders>
              <w:top w:val="nil"/>
              <w:left w:val="single" w:sz="8" w:space="0" w:color="auto"/>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58.6</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10.2</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20.4</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10.8</w:t>
            </w:r>
          </w:p>
        </w:tc>
      </w:tr>
      <w:tr w:rsidR="0025112D" w:rsidRPr="00A11674" w:rsidTr="00A11674">
        <w:trPr>
          <w:trHeight w:val="240"/>
          <w:jc w:val="center"/>
        </w:trPr>
        <w:tc>
          <w:tcPr>
            <w:tcW w:w="1681" w:type="dxa"/>
            <w:vMerge/>
            <w:tcBorders>
              <w:top w:val="nil"/>
              <w:left w:val="single" w:sz="8" w:space="0" w:color="auto"/>
              <w:bottom w:val="single" w:sz="8" w:space="0" w:color="000000"/>
              <w:right w:val="nil"/>
            </w:tcBorders>
            <w:vAlign w:val="center"/>
            <w:hideMark/>
          </w:tcPr>
          <w:p w:rsidR="0025112D" w:rsidRPr="00A11674" w:rsidRDefault="0025112D" w:rsidP="0025112D">
            <w:pPr>
              <w:spacing w:after="0" w:line="240" w:lineRule="auto"/>
              <w:rPr>
                <w:rFonts w:eastAsia="Times New Roman" w:cs="Times New Roman"/>
                <w:color w:val="000000"/>
                <w:sz w:val="20"/>
                <w:szCs w:val="20"/>
                <w:lang w:eastAsia="en-AU"/>
              </w:rPr>
            </w:pPr>
          </w:p>
        </w:tc>
        <w:tc>
          <w:tcPr>
            <w:tcW w:w="850" w:type="dxa"/>
            <w:tcBorders>
              <w:top w:val="nil"/>
              <w:left w:val="single" w:sz="8" w:space="0" w:color="auto"/>
              <w:bottom w:val="single" w:sz="8"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65.3</w:t>
            </w:r>
          </w:p>
        </w:tc>
        <w:tc>
          <w:tcPr>
            <w:tcW w:w="1560"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10.3</w:t>
            </w:r>
          </w:p>
        </w:tc>
        <w:tc>
          <w:tcPr>
            <w:tcW w:w="1559"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16.8</w:t>
            </w:r>
          </w:p>
        </w:tc>
        <w:tc>
          <w:tcPr>
            <w:tcW w:w="1532" w:type="dxa"/>
            <w:tcBorders>
              <w:top w:val="nil"/>
              <w:left w:val="nil"/>
              <w:bottom w:val="single" w:sz="8"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7.6</w:t>
            </w:r>
          </w:p>
        </w:tc>
      </w:tr>
      <w:tr w:rsidR="0025112D" w:rsidRPr="00A11674" w:rsidTr="00A11674">
        <w:trPr>
          <w:trHeight w:val="240"/>
          <w:jc w:val="center"/>
        </w:trPr>
        <w:tc>
          <w:tcPr>
            <w:tcW w:w="8741"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Regional Classification (</w:t>
            </w:r>
            <w:proofErr w:type="spellStart"/>
            <w:r w:rsidRPr="00A11674">
              <w:rPr>
                <w:rFonts w:eastAsia="Times New Roman" w:cs="Times New Roman"/>
                <w:b/>
                <w:color w:val="000000"/>
                <w:sz w:val="20"/>
                <w:szCs w:val="20"/>
                <w:lang w:eastAsia="en-AU"/>
              </w:rPr>
              <w:t>McEETYA</w:t>
            </w:r>
            <w:proofErr w:type="spellEnd"/>
            <w:r w:rsidRPr="00A11674">
              <w:rPr>
                <w:rFonts w:eastAsia="Times New Roman" w:cs="Times New Roman"/>
                <w:b/>
                <w:color w:val="000000"/>
                <w:sz w:val="20"/>
                <w:szCs w:val="20"/>
                <w:lang w:eastAsia="en-AU"/>
              </w:rPr>
              <w:t xml:space="preserve">) </w:t>
            </w:r>
          </w:p>
        </w:tc>
      </w:tr>
      <w:tr w:rsidR="0025112D" w:rsidRPr="00A11674" w:rsidTr="00A11674">
        <w:trPr>
          <w:trHeight w:val="240"/>
          <w:jc w:val="center"/>
        </w:trPr>
        <w:tc>
          <w:tcPr>
            <w:tcW w:w="1681" w:type="dxa"/>
            <w:vMerge w:val="restart"/>
            <w:tcBorders>
              <w:top w:val="nil"/>
              <w:left w:val="single" w:sz="8" w:space="0" w:color="auto"/>
              <w:bottom w:val="single" w:sz="4" w:space="0" w:color="000000"/>
              <w:right w:val="single" w:sz="8" w:space="0" w:color="auto"/>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Metro </w:t>
            </w:r>
          </w:p>
        </w:tc>
        <w:tc>
          <w:tcPr>
            <w:tcW w:w="85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68.2</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11.0</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12.4</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8.4</w:t>
            </w:r>
          </w:p>
        </w:tc>
      </w:tr>
      <w:tr w:rsidR="0025112D" w:rsidRPr="00A11674" w:rsidTr="00A11674">
        <w:trPr>
          <w:trHeight w:val="240"/>
          <w:jc w:val="center"/>
        </w:trPr>
        <w:tc>
          <w:tcPr>
            <w:tcW w:w="1681" w:type="dxa"/>
            <w:vMerge/>
            <w:tcBorders>
              <w:top w:val="nil"/>
              <w:left w:val="single" w:sz="8" w:space="0" w:color="auto"/>
              <w:bottom w:val="single" w:sz="4" w:space="0" w:color="000000"/>
              <w:right w:val="single" w:sz="8" w:space="0" w:color="auto"/>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67.9</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11.1</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12.9</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8.0</w:t>
            </w:r>
          </w:p>
        </w:tc>
      </w:tr>
      <w:tr w:rsidR="0025112D" w:rsidRPr="00A11674" w:rsidTr="00A11674">
        <w:trPr>
          <w:trHeight w:val="240"/>
          <w:jc w:val="center"/>
        </w:trPr>
        <w:tc>
          <w:tcPr>
            <w:tcW w:w="1681" w:type="dxa"/>
            <w:vMerge/>
            <w:tcBorders>
              <w:top w:val="nil"/>
              <w:left w:val="single" w:sz="8" w:space="0" w:color="auto"/>
              <w:bottom w:val="single" w:sz="4" w:space="0" w:color="000000"/>
              <w:right w:val="single" w:sz="8" w:space="0" w:color="auto"/>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67.8</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11.4</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12.8</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8.0</w:t>
            </w:r>
          </w:p>
        </w:tc>
      </w:tr>
      <w:tr w:rsidR="0025112D" w:rsidRPr="00A11674" w:rsidTr="00A11674">
        <w:trPr>
          <w:trHeight w:val="240"/>
          <w:jc w:val="center"/>
        </w:trPr>
        <w:tc>
          <w:tcPr>
            <w:tcW w:w="1681" w:type="dxa"/>
            <w:vMerge w:val="restart"/>
            <w:tcBorders>
              <w:top w:val="nil"/>
              <w:left w:val="single" w:sz="8" w:space="0" w:color="auto"/>
              <w:bottom w:val="single" w:sz="4" w:space="0" w:color="000000"/>
              <w:right w:val="single" w:sz="8" w:space="0" w:color="auto"/>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Regional </w:t>
            </w:r>
          </w:p>
        </w:tc>
        <w:tc>
          <w:tcPr>
            <w:tcW w:w="85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63.5</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14.5</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11.2</w:t>
            </w:r>
          </w:p>
        </w:tc>
      </w:tr>
      <w:tr w:rsidR="0025112D" w:rsidRPr="00A11674" w:rsidTr="00A11674">
        <w:trPr>
          <w:trHeight w:val="240"/>
          <w:jc w:val="center"/>
        </w:trPr>
        <w:tc>
          <w:tcPr>
            <w:tcW w:w="1681" w:type="dxa"/>
            <w:vMerge/>
            <w:tcBorders>
              <w:top w:val="nil"/>
              <w:left w:val="single" w:sz="8" w:space="0" w:color="auto"/>
              <w:bottom w:val="single" w:sz="4" w:space="0" w:color="000000"/>
              <w:right w:val="single" w:sz="8" w:space="0" w:color="auto"/>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63.0</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15.1</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11.4</w:t>
            </w:r>
          </w:p>
        </w:tc>
      </w:tr>
      <w:tr w:rsidR="0025112D" w:rsidRPr="00A11674" w:rsidTr="00A11674">
        <w:trPr>
          <w:trHeight w:val="240"/>
          <w:jc w:val="center"/>
        </w:trPr>
        <w:tc>
          <w:tcPr>
            <w:tcW w:w="1681" w:type="dxa"/>
            <w:vMerge/>
            <w:tcBorders>
              <w:top w:val="nil"/>
              <w:left w:val="single" w:sz="8" w:space="0" w:color="auto"/>
              <w:bottom w:val="single" w:sz="4" w:space="0" w:color="000000"/>
              <w:right w:val="single" w:sz="8" w:space="0" w:color="auto"/>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62.4</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11.4</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15.4</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10.8</w:t>
            </w:r>
          </w:p>
        </w:tc>
      </w:tr>
      <w:tr w:rsidR="0025112D" w:rsidRPr="00A11674" w:rsidTr="00A11674">
        <w:trPr>
          <w:trHeight w:val="240"/>
          <w:jc w:val="center"/>
        </w:trPr>
        <w:tc>
          <w:tcPr>
            <w:tcW w:w="1681" w:type="dxa"/>
            <w:vMerge w:val="restart"/>
            <w:tcBorders>
              <w:top w:val="nil"/>
              <w:left w:val="single" w:sz="8" w:space="0" w:color="auto"/>
              <w:bottom w:val="single" w:sz="4" w:space="0" w:color="000000"/>
              <w:right w:val="single" w:sz="8" w:space="0" w:color="auto"/>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Remote </w:t>
            </w:r>
          </w:p>
        </w:tc>
        <w:tc>
          <w:tcPr>
            <w:tcW w:w="85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53.0</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11.8</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18.6</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16.6</w:t>
            </w:r>
          </w:p>
        </w:tc>
      </w:tr>
      <w:tr w:rsidR="0025112D" w:rsidRPr="00A11674" w:rsidTr="00A11674">
        <w:trPr>
          <w:trHeight w:val="240"/>
          <w:jc w:val="center"/>
        </w:trPr>
        <w:tc>
          <w:tcPr>
            <w:tcW w:w="1681" w:type="dxa"/>
            <w:vMerge/>
            <w:tcBorders>
              <w:top w:val="nil"/>
              <w:left w:val="single" w:sz="8" w:space="0" w:color="auto"/>
              <w:bottom w:val="single" w:sz="4" w:space="0" w:color="000000"/>
              <w:right w:val="single" w:sz="8" w:space="0" w:color="auto"/>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54.1</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11.2</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18.7</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16.0</w:t>
            </w:r>
          </w:p>
        </w:tc>
      </w:tr>
      <w:tr w:rsidR="0025112D" w:rsidRPr="00A11674" w:rsidTr="00A11674">
        <w:trPr>
          <w:trHeight w:val="240"/>
          <w:jc w:val="center"/>
        </w:trPr>
        <w:tc>
          <w:tcPr>
            <w:tcW w:w="1681" w:type="dxa"/>
            <w:vMerge/>
            <w:tcBorders>
              <w:top w:val="nil"/>
              <w:left w:val="single" w:sz="8" w:space="0" w:color="auto"/>
              <w:bottom w:val="single" w:sz="4" w:space="0" w:color="000000"/>
              <w:right w:val="single" w:sz="8" w:space="0" w:color="auto"/>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53.4</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12.7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19.2</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14.7</w:t>
            </w:r>
          </w:p>
        </w:tc>
      </w:tr>
      <w:tr w:rsidR="0025112D" w:rsidRPr="00A11674" w:rsidTr="00A11674">
        <w:trPr>
          <w:trHeight w:val="240"/>
          <w:jc w:val="center"/>
        </w:trPr>
        <w:tc>
          <w:tcPr>
            <w:tcW w:w="1681" w:type="dxa"/>
            <w:vMerge w:val="restart"/>
            <w:tcBorders>
              <w:top w:val="nil"/>
              <w:left w:val="single" w:sz="8" w:space="0" w:color="auto"/>
              <w:bottom w:val="single" w:sz="4" w:space="0" w:color="000000"/>
              <w:right w:val="single" w:sz="8" w:space="0" w:color="auto"/>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Unknown </w:t>
            </w:r>
          </w:p>
        </w:tc>
        <w:tc>
          <w:tcPr>
            <w:tcW w:w="85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0.0</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0.0</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0.0</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w:t>
            </w:r>
          </w:p>
        </w:tc>
      </w:tr>
      <w:tr w:rsidR="0025112D" w:rsidRPr="00A11674" w:rsidTr="00A11674">
        <w:trPr>
          <w:trHeight w:val="240"/>
          <w:jc w:val="center"/>
        </w:trPr>
        <w:tc>
          <w:tcPr>
            <w:tcW w:w="1681" w:type="dxa"/>
            <w:vMerge/>
            <w:tcBorders>
              <w:top w:val="nil"/>
              <w:left w:val="single" w:sz="8" w:space="0" w:color="auto"/>
              <w:bottom w:val="single" w:sz="4" w:space="0" w:color="000000"/>
              <w:right w:val="single" w:sz="8" w:space="0" w:color="auto"/>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0.0</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0.0</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0.0</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w:t>
            </w:r>
          </w:p>
        </w:tc>
      </w:tr>
      <w:tr w:rsidR="0025112D" w:rsidRPr="00A11674" w:rsidTr="00BA6B2C">
        <w:trPr>
          <w:trHeight w:val="240"/>
          <w:jc w:val="center"/>
        </w:trPr>
        <w:tc>
          <w:tcPr>
            <w:tcW w:w="1681" w:type="dxa"/>
            <w:vMerge/>
            <w:tcBorders>
              <w:top w:val="nil"/>
              <w:left w:val="single" w:sz="8" w:space="0" w:color="auto"/>
              <w:bottom w:val="single" w:sz="4" w:space="0" w:color="000000"/>
              <w:right w:val="single" w:sz="8" w:space="0" w:color="auto"/>
            </w:tcBorders>
            <w:vAlign w:val="center"/>
            <w:hideMark/>
          </w:tcPr>
          <w:p w:rsidR="0025112D" w:rsidRPr="00A11674" w:rsidRDefault="0025112D" w:rsidP="00A11674">
            <w:pPr>
              <w:spacing w:after="0" w:line="240" w:lineRule="auto"/>
              <w:rPr>
                <w:rFonts w:eastAsia="Times New Roman" w:cs="Times New Roman"/>
                <w:b/>
                <w:color w:val="000000"/>
                <w:sz w:val="20"/>
                <w:szCs w:val="20"/>
                <w:lang w:eastAsia="en-AU"/>
              </w:rPr>
            </w:pPr>
          </w:p>
        </w:tc>
        <w:tc>
          <w:tcPr>
            <w:tcW w:w="85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60.0</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0.0</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40.0</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w:t>
            </w:r>
          </w:p>
        </w:tc>
      </w:tr>
      <w:tr w:rsidR="0025112D" w:rsidRPr="00A11674" w:rsidTr="00BA6B2C">
        <w:trPr>
          <w:trHeight w:val="240"/>
          <w:jc w:val="center"/>
        </w:trPr>
        <w:tc>
          <w:tcPr>
            <w:tcW w:w="1681" w:type="dxa"/>
            <w:vMerge w:val="restart"/>
            <w:tcBorders>
              <w:top w:val="single" w:sz="4" w:space="0" w:color="000000"/>
              <w:left w:val="single" w:sz="8" w:space="0" w:color="auto"/>
              <w:bottom w:val="single" w:sz="8" w:space="0" w:color="000000"/>
              <w:right w:val="single" w:sz="8" w:space="0" w:color="auto"/>
            </w:tcBorders>
            <w:shd w:val="clear" w:color="auto" w:fill="auto"/>
            <w:hideMark/>
          </w:tcPr>
          <w:p w:rsidR="0025112D" w:rsidRPr="00A11674" w:rsidRDefault="0025112D" w:rsidP="00A11674">
            <w:pPr>
              <w:spacing w:after="0" w:line="240" w:lineRule="auto"/>
              <w:rPr>
                <w:rFonts w:eastAsia="Times New Roman" w:cs="Times New Roman"/>
                <w:b/>
                <w:color w:val="000000"/>
                <w:sz w:val="20"/>
                <w:szCs w:val="20"/>
                <w:lang w:eastAsia="en-AU"/>
              </w:rPr>
            </w:pPr>
            <w:r w:rsidRPr="00A11674">
              <w:rPr>
                <w:rFonts w:eastAsia="Times New Roman" w:cs="Times New Roman"/>
                <w:b/>
                <w:color w:val="000000"/>
                <w:sz w:val="20"/>
                <w:szCs w:val="20"/>
                <w:lang w:eastAsia="en-AU"/>
              </w:rPr>
              <w:t xml:space="preserve">Offshore </w:t>
            </w:r>
          </w:p>
        </w:tc>
        <w:tc>
          <w:tcPr>
            <w:tcW w:w="85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2005</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55.9</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11.0</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14.8</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18.3</w:t>
            </w:r>
          </w:p>
        </w:tc>
      </w:tr>
      <w:tr w:rsidR="0025112D" w:rsidRPr="00A11674" w:rsidTr="00BA6B2C">
        <w:trPr>
          <w:trHeight w:val="240"/>
          <w:jc w:val="center"/>
        </w:trPr>
        <w:tc>
          <w:tcPr>
            <w:tcW w:w="1681" w:type="dxa"/>
            <w:vMerge/>
            <w:tcBorders>
              <w:top w:val="single" w:sz="8" w:space="0" w:color="000000"/>
              <w:left w:val="single" w:sz="8" w:space="0" w:color="auto"/>
              <w:bottom w:val="single" w:sz="8" w:space="0" w:color="000000"/>
              <w:right w:val="single" w:sz="8" w:space="0" w:color="auto"/>
            </w:tcBorders>
            <w:vAlign w:val="center"/>
            <w:hideMark/>
          </w:tcPr>
          <w:p w:rsidR="0025112D" w:rsidRPr="00A11674" w:rsidRDefault="0025112D" w:rsidP="0025112D">
            <w:pPr>
              <w:spacing w:after="0" w:line="240" w:lineRule="auto"/>
              <w:rPr>
                <w:rFonts w:eastAsia="Times New Roman" w:cs="Times New Roman"/>
                <w:color w:val="000000"/>
                <w:sz w:val="20"/>
                <w:szCs w:val="20"/>
                <w:lang w:eastAsia="en-AU"/>
              </w:rPr>
            </w:pPr>
          </w:p>
        </w:tc>
        <w:tc>
          <w:tcPr>
            <w:tcW w:w="85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2006</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66.1</w:t>
            </w:r>
          </w:p>
        </w:tc>
        <w:tc>
          <w:tcPr>
            <w:tcW w:w="1560"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9.3</w:t>
            </w:r>
          </w:p>
        </w:tc>
        <w:tc>
          <w:tcPr>
            <w:tcW w:w="1559" w:type="dxa"/>
            <w:tcBorders>
              <w:top w:val="nil"/>
              <w:left w:val="nil"/>
              <w:bottom w:val="single" w:sz="4"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14.4</w:t>
            </w:r>
          </w:p>
        </w:tc>
        <w:tc>
          <w:tcPr>
            <w:tcW w:w="1532" w:type="dxa"/>
            <w:tcBorders>
              <w:top w:val="nil"/>
              <w:left w:val="nil"/>
              <w:bottom w:val="single" w:sz="4"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10.2</w:t>
            </w:r>
          </w:p>
        </w:tc>
      </w:tr>
      <w:tr w:rsidR="0025112D" w:rsidRPr="00A11674" w:rsidTr="00BA6B2C">
        <w:trPr>
          <w:trHeight w:val="240"/>
          <w:jc w:val="center"/>
        </w:trPr>
        <w:tc>
          <w:tcPr>
            <w:tcW w:w="1681" w:type="dxa"/>
            <w:vMerge/>
            <w:tcBorders>
              <w:top w:val="single" w:sz="8" w:space="0" w:color="000000"/>
              <w:left w:val="single" w:sz="8" w:space="0" w:color="auto"/>
              <w:bottom w:val="single" w:sz="8" w:space="0" w:color="000000"/>
              <w:right w:val="single" w:sz="8" w:space="0" w:color="auto"/>
            </w:tcBorders>
            <w:vAlign w:val="center"/>
            <w:hideMark/>
          </w:tcPr>
          <w:p w:rsidR="0025112D" w:rsidRPr="00A11674" w:rsidRDefault="0025112D" w:rsidP="0025112D">
            <w:pPr>
              <w:spacing w:after="0" w:line="240" w:lineRule="auto"/>
              <w:rPr>
                <w:rFonts w:eastAsia="Times New Roman" w:cs="Times New Roman"/>
                <w:color w:val="000000"/>
                <w:sz w:val="20"/>
                <w:szCs w:val="20"/>
                <w:lang w:eastAsia="en-AU"/>
              </w:rPr>
            </w:pPr>
          </w:p>
        </w:tc>
        <w:tc>
          <w:tcPr>
            <w:tcW w:w="850"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rPr>
                <w:rFonts w:eastAsia="Times New Roman" w:cs="Times New Roman"/>
                <w:color w:val="000000"/>
                <w:sz w:val="20"/>
                <w:szCs w:val="20"/>
                <w:lang w:eastAsia="en-AU"/>
              </w:rPr>
            </w:pPr>
            <w:r w:rsidRPr="00A11674">
              <w:rPr>
                <w:rFonts w:eastAsia="Times New Roman" w:cs="Times New Roman"/>
                <w:color w:val="000000"/>
                <w:sz w:val="20"/>
                <w:szCs w:val="20"/>
                <w:lang w:eastAsia="en-AU"/>
              </w:rPr>
              <w:t>2007</w:t>
            </w:r>
          </w:p>
        </w:tc>
        <w:tc>
          <w:tcPr>
            <w:tcW w:w="1559"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66.8</w:t>
            </w:r>
          </w:p>
        </w:tc>
        <w:tc>
          <w:tcPr>
            <w:tcW w:w="1560"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8.5</w:t>
            </w:r>
          </w:p>
        </w:tc>
        <w:tc>
          <w:tcPr>
            <w:tcW w:w="1559" w:type="dxa"/>
            <w:tcBorders>
              <w:top w:val="nil"/>
              <w:left w:val="nil"/>
              <w:bottom w:val="single" w:sz="8" w:space="0" w:color="auto"/>
              <w:right w:val="single" w:sz="4"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12.8</w:t>
            </w:r>
          </w:p>
        </w:tc>
        <w:tc>
          <w:tcPr>
            <w:tcW w:w="1532" w:type="dxa"/>
            <w:tcBorders>
              <w:top w:val="nil"/>
              <w:left w:val="nil"/>
              <w:bottom w:val="single" w:sz="8" w:space="0" w:color="auto"/>
              <w:right w:val="single" w:sz="8" w:space="0" w:color="auto"/>
            </w:tcBorders>
            <w:shd w:val="clear" w:color="auto" w:fill="auto"/>
            <w:noWrap/>
            <w:hideMark/>
          </w:tcPr>
          <w:p w:rsidR="0025112D" w:rsidRPr="00A11674" w:rsidRDefault="0025112D" w:rsidP="0025112D">
            <w:pPr>
              <w:spacing w:after="0" w:line="240" w:lineRule="auto"/>
              <w:jc w:val="center"/>
              <w:rPr>
                <w:rFonts w:eastAsia="Times New Roman" w:cs="Times New Roman"/>
                <w:color w:val="000000"/>
                <w:sz w:val="20"/>
                <w:szCs w:val="20"/>
                <w:lang w:eastAsia="en-AU"/>
              </w:rPr>
            </w:pPr>
            <w:r w:rsidRPr="00A11674">
              <w:rPr>
                <w:rFonts w:eastAsia="Times New Roman" w:cs="Times New Roman"/>
                <w:color w:val="000000"/>
                <w:sz w:val="20"/>
                <w:szCs w:val="20"/>
                <w:lang w:eastAsia="en-AU"/>
              </w:rPr>
              <w:t>11.9</w:t>
            </w:r>
          </w:p>
        </w:tc>
      </w:tr>
    </w:tbl>
    <w:p w:rsidR="0025112D" w:rsidRPr="00A11674" w:rsidRDefault="0025112D">
      <w:pPr>
        <w:rPr>
          <w:sz w:val="20"/>
          <w:szCs w:val="20"/>
        </w:rPr>
      </w:pPr>
    </w:p>
    <w:tbl>
      <w:tblPr>
        <w:tblW w:w="8686" w:type="dxa"/>
        <w:jc w:val="center"/>
        <w:tblInd w:w="9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654"/>
        <w:gridCol w:w="850"/>
        <w:gridCol w:w="1559"/>
        <w:gridCol w:w="1560"/>
        <w:gridCol w:w="1559"/>
        <w:gridCol w:w="1504"/>
      </w:tblGrid>
      <w:tr w:rsidR="0025112D" w:rsidRPr="0025112D" w:rsidTr="000B2A0D">
        <w:trPr>
          <w:trHeight w:val="840"/>
          <w:jc w:val="center"/>
        </w:trPr>
        <w:tc>
          <w:tcPr>
            <w:tcW w:w="2504" w:type="dxa"/>
            <w:gridSpan w:val="2"/>
            <w:shd w:val="clear" w:color="000000" w:fill="FFFFFF"/>
            <w:hideMark/>
          </w:tcPr>
          <w:p w:rsidR="0025112D" w:rsidRPr="0025112D" w:rsidRDefault="0025112D" w:rsidP="0025112D">
            <w:pPr>
              <w:spacing w:after="0" w:line="240" w:lineRule="auto"/>
              <w:rPr>
                <w:rFonts w:ascii="Times New Roman" w:eastAsia="Times New Roman" w:hAnsi="Times New Roman" w:cs="Times New Roman"/>
                <w:b/>
                <w:bCs/>
                <w:color w:val="000000"/>
                <w:sz w:val="16"/>
                <w:szCs w:val="16"/>
                <w:lang w:eastAsia="en-AU"/>
              </w:rPr>
            </w:pPr>
            <w:r w:rsidRPr="0025112D">
              <w:rPr>
                <w:rFonts w:ascii="Times New Roman" w:eastAsia="Times New Roman" w:hAnsi="Times New Roman" w:cs="Times New Roman"/>
                <w:b/>
                <w:bCs/>
                <w:color w:val="000000"/>
                <w:sz w:val="16"/>
                <w:szCs w:val="16"/>
                <w:lang w:eastAsia="en-AU"/>
              </w:rPr>
              <w:t> </w:t>
            </w:r>
          </w:p>
        </w:tc>
        <w:tc>
          <w:tcPr>
            <w:tcW w:w="1559" w:type="dxa"/>
            <w:shd w:val="clear" w:color="000000" w:fill="FFFFFF"/>
            <w:vAlign w:val="center"/>
            <w:hideMark/>
          </w:tcPr>
          <w:p w:rsidR="0025112D" w:rsidRPr="00155E7D" w:rsidRDefault="0025112D" w:rsidP="0025112D">
            <w:pPr>
              <w:spacing w:after="0" w:line="240" w:lineRule="auto"/>
              <w:jc w:val="center"/>
              <w:rPr>
                <w:rFonts w:eastAsia="Times New Roman" w:cs="Times New Roman"/>
                <w:bCs/>
                <w:color w:val="000000"/>
                <w:sz w:val="20"/>
                <w:szCs w:val="20"/>
                <w:lang w:eastAsia="en-AU"/>
              </w:rPr>
            </w:pPr>
            <w:r w:rsidRPr="00155E7D">
              <w:rPr>
                <w:rFonts w:eastAsia="Times New Roman" w:cs="Times New Roman"/>
                <w:bCs/>
                <w:color w:val="000000"/>
                <w:sz w:val="20"/>
                <w:szCs w:val="20"/>
                <w:lang w:eastAsia="en-AU"/>
              </w:rPr>
              <w:t>Completed (in any year)</w:t>
            </w:r>
          </w:p>
        </w:tc>
        <w:tc>
          <w:tcPr>
            <w:tcW w:w="1560" w:type="dxa"/>
            <w:shd w:val="clear" w:color="000000" w:fill="FFFFFF"/>
            <w:vAlign w:val="center"/>
            <w:hideMark/>
          </w:tcPr>
          <w:p w:rsidR="0025112D" w:rsidRPr="00155E7D" w:rsidRDefault="0025112D" w:rsidP="0025112D">
            <w:pPr>
              <w:spacing w:after="0" w:line="240" w:lineRule="auto"/>
              <w:jc w:val="center"/>
              <w:rPr>
                <w:rFonts w:eastAsia="Times New Roman" w:cs="Times New Roman"/>
                <w:bCs/>
                <w:color w:val="000000"/>
                <w:sz w:val="20"/>
                <w:szCs w:val="20"/>
                <w:lang w:eastAsia="en-AU"/>
              </w:rPr>
            </w:pPr>
            <w:r w:rsidRPr="00155E7D">
              <w:rPr>
                <w:rFonts w:eastAsia="Times New Roman" w:cs="Times New Roman"/>
                <w:bCs/>
                <w:color w:val="000000"/>
                <w:sz w:val="20"/>
                <w:szCs w:val="20"/>
                <w:lang w:eastAsia="en-AU"/>
              </w:rPr>
              <w:t>Still Enrolled at the end of the 6 year cohort period</w:t>
            </w:r>
          </w:p>
        </w:tc>
        <w:tc>
          <w:tcPr>
            <w:tcW w:w="1559" w:type="dxa"/>
            <w:shd w:val="clear" w:color="000000" w:fill="FFFFFF"/>
            <w:vAlign w:val="center"/>
            <w:hideMark/>
          </w:tcPr>
          <w:p w:rsidR="0025112D" w:rsidRPr="00155E7D" w:rsidRDefault="0025112D" w:rsidP="0025112D">
            <w:pPr>
              <w:spacing w:after="0" w:line="240" w:lineRule="auto"/>
              <w:jc w:val="center"/>
              <w:rPr>
                <w:rFonts w:eastAsia="Times New Roman" w:cs="Times New Roman"/>
                <w:bCs/>
                <w:color w:val="000000"/>
                <w:sz w:val="20"/>
                <w:szCs w:val="20"/>
                <w:lang w:eastAsia="en-AU"/>
              </w:rPr>
            </w:pPr>
            <w:r w:rsidRPr="00155E7D">
              <w:rPr>
                <w:rFonts w:eastAsia="Times New Roman" w:cs="Times New Roman"/>
                <w:bCs/>
                <w:color w:val="000000"/>
                <w:sz w:val="20"/>
                <w:szCs w:val="20"/>
                <w:lang w:eastAsia="en-AU"/>
              </w:rPr>
              <w:t>Re-enrolled but dropped out</w:t>
            </w:r>
          </w:p>
        </w:tc>
        <w:tc>
          <w:tcPr>
            <w:tcW w:w="1504" w:type="dxa"/>
            <w:shd w:val="clear" w:color="000000" w:fill="FFFFFF"/>
            <w:vAlign w:val="center"/>
            <w:hideMark/>
          </w:tcPr>
          <w:p w:rsidR="0025112D" w:rsidRPr="00155E7D" w:rsidRDefault="0025112D" w:rsidP="0025112D">
            <w:pPr>
              <w:spacing w:after="0" w:line="240" w:lineRule="auto"/>
              <w:jc w:val="center"/>
              <w:rPr>
                <w:rFonts w:eastAsia="Times New Roman" w:cs="Times New Roman"/>
                <w:bCs/>
                <w:color w:val="000000"/>
                <w:sz w:val="20"/>
                <w:szCs w:val="20"/>
                <w:lang w:eastAsia="en-AU"/>
              </w:rPr>
            </w:pPr>
            <w:r w:rsidRPr="00155E7D">
              <w:rPr>
                <w:rFonts w:eastAsia="Times New Roman" w:cs="Times New Roman"/>
                <w:bCs/>
                <w:color w:val="000000"/>
                <w:sz w:val="20"/>
                <w:szCs w:val="20"/>
                <w:lang w:eastAsia="en-AU"/>
              </w:rPr>
              <w:t>Never came back after the first year</w:t>
            </w:r>
          </w:p>
        </w:tc>
      </w:tr>
      <w:tr w:rsidR="0025112D" w:rsidRPr="0025112D" w:rsidTr="000B2A0D">
        <w:trPr>
          <w:trHeight w:val="240"/>
          <w:jc w:val="center"/>
        </w:trPr>
        <w:tc>
          <w:tcPr>
            <w:tcW w:w="8686" w:type="dxa"/>
            <w:gridSpan w:val="6"/>
            <w:shd w:val="clear" w:color="auto" w:fill="auto"/>
            <w:noWrap/>
            <w:hideMark/>
          </w:tcPr>
          <w:p w:rsidR="0025112D" w:rsidRPr="00155E7D" w:rsidRDefault="0025112D" w:rsidP="00155E7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 xml:space="preserve">Liability Category </w:t>
            </w:r>
          </w:p>
        </w:tc>
      </w:tr>
      <w:tr w:rsidR="0025112D" w:rsidRPr="0025112D" w:rsidTr="000B2A0D">
        <w:trPr>
          <w:trHeight w:val="240"/>
          <w:jc w:val="center"/>
        </w:trPr>
        <w:tc>
          <w:tcPr>
            <w:tcW w:w="1654" w:type="dxa"/>
            <w:vMerge w:val="restart"/>
            <w:shd w:val="clear" w:color="auto" w:fill="auto"/>
            <w:hideMark/>
          </w:tcPr>
          <w:p w:rsidR="0025112D" w:rsidRPr="00155E7D" w:rsidRDefault="0025112D" w:rsidP="00155E7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 xml:space="preserve">Commonwealth Supported students </w:t>
            </w: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67.0</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11.2</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12.8</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9.0</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66.7</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11.1</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13.4</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8.7</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66.6</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13.4</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8.6</w:t>
            </w:r>
          </w:p>
        </w:tc>
      </w:tr>
      <w:tr w:rsidR="0025112D" w:rsidRPr="0025112D" w:rsidTr="000B2A0D">
        <w:trPr>
          <w:trHeight w:val="240"/>
          <w:jc w:val="center"/>
        </w:trPr>
        <w:tc>
          <w:tcPr>
            <w:tcW w:w="1654" w:type="dxa"/>
            <w:vMerge w:val="restart"/>
            <w:shd w:val="clear" w:color="auto" w:fill="auto"/>
            <w:hideMark/>
          </w:tcPr>
          <w:p w:rsidR="0025112D" w:rsidRPr="00155E7D" w:rsidRDefault="0025112D" w:rsidP="00155E7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 xml:space="preserve">Fee-Paying students </w:t>
            </w: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66.6</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14.2</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11.5</w:t>
            </w:r>
          </w:p>
        </w:tc>
      </w:tr>
      <w:tr w:rsidR="0025112D" w:rsidRPr="0025112D" w:rsidTr="000B2A0D">
        <w:trPr>
          <w:trHeight w:val="240"/>
          <w:jc w:val="center"/>
        </w:trPr>
        <w:tc>
          <w:tcPr>
            <w:tcW w:w="1654" w:type="dxa"/>
            <w:vMerge/>
            <w:vAlign w:val="center"/>
            <w:hideMark/>
          </w:tcPr>
          <w:p w:rsidR="0025112D" w:rsidRPr="00155E7D" w:rsidRDefault="0025112D" w:rsidP="0025112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68.1</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8.6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13.7</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9.6</w:t>
            </w:r>
          </w:p>
        </w:tc>
      </w:tr>
      <w:tr w:rsidR="0025112D" w:rsidRPr="0025112D" w:rsidTr="000B2A0D">
        <w:trPr>
          <w:trHeight w:val="240"/>
          <w:jc w:val="center"/>
        </w:trPr>
        <w:tc>
          <w:tcPr>
            <w:tcW w:w="1654" w:type="dxa"/>
            <w:vMerge/>
            <w:vAlign w:val="center"/>
            <w:hideMark/>
          </w:tcPr>
          <w:p w:rsidR="0025112D" w:rsidRPr="00155E7D" w:rsidRDefault="0025112D" w:rsidP="0025112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66.4</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9.7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13.9</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10.0</w:t>
            </w:r>
          </w:p>
        </w:tc>
      </w:tr>
      <w:tr w:rsidR="0025112D" w:rsidRPr="0025112D" w:rsidTr="000B2A0D">
        <w:trPr>
          <w:trHeight w:val="240"/>
          <w:jc w:val="center"/>
        </w:trPr>
        <w:tc>
          <w:tcPr>
            <w:tcW w:w="8686" w:type="dxa"/>
            <w:gridSpan w:val="6"/>
            <w:shd w:val="clear" w:color="auto" w:fill="auto"/>
            <w:noWrap/>
            <w:hideMark/>
          </w:tcPr>
          <w:p w:rsidR="0025112D" w:rsidRPr="00155E7D" w:rsidRDefault="0025112D" w:rsidP="00155E7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 xml:space="preserve">Broad Field of Education </w:t>
            </w:r>
          </w:p>
        </w:tc>
      </w:tr>
      <w:tr w:rsidR="0025112D" w:rsidRPr="0025112D" w:rsidTr="000B2A0D">
        <w:trPr>
          <w:trHeight w:val="240"/>
          <w:jc w:val="center"/>
        </w:trPr>
        <w:tc>
          <w:tcPr>
            <w:tcW w:w="1654" w:type="dxa"/>
            <w:vMerge w:val="restart"/>
            <w:shd w:val="clear" w:color="auto" w:fill="auto"/>
            <w:hideMark/>
          </w:tcPr>
          <w:p w:rsidR="0025112D" w:rsidRPr="00155E7D" w:rsidRDefault="0025112D" w:rsidP="00155E7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 xml:space="preserve">Natural and Physical Sciences </w:t>
            </w: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70.4</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12.1</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11.2</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6.3</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70.5</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12.6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11.0</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5.9</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69.6</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12.7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11.8</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5.9</w:t>
            </w:r>
          </w:p>
        </w:tc>
      </w:tr>
      <w:tr w:rsidR="0025112D" w:rsidRPr="0025112D" w:rsidTr="000B2A0D">
        <w:trPr>
          <w:trHeight w:val="240"/>
          <w:jc w:val="center"/>
        </w:trPr>
        <w:tc>
          <w:tcPr>
            <w:tcW w:w="1654" w:type="dxa"/>
            <w:vMerge w:val="restart"/>
            <w:shd w:val="clear" w:color="auto" w:fill="auto"/>
            <w:hideMark/>
          </w:tcPr>
          <w:p w:rsidR="0025112D" w:rsidRPr="00155E7D" w:rsidRDefault="0025112D" w:rsidP="00155E7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 xml:space="preserve">Information Technology </w:t>
            </w: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56.1</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13.1</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18.6</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12.2</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55.4</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12.3</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20.0</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12.4</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56.0</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18.7</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11.7</w:t>
            </w:r>
          </w:p>
        </w:tc>
      </w:tr>
      <w:tr w:rsidR="0025112D" w:rsidRPr="0025112D" w:rsidTr="000B2A0D">
        <w:trPr>
          <w:trHeight w:val="240"/>
          <w:jc w:val="center"/>
        </w:trPr>
        <w:tc>
          <w:tcPr>
            <w:tcW w:w="1654" w:type="dxa"/>
            <w:vMerge w:val="restart"/>
            <w:shd w:val="clear" w:color="auto" w:fill="auto"/>
            <w:hideMark/>
          </w:tcPr>
          <w:p w:rsidR="0025112D" w:rsidRPr="00155E7D" w:rsidRDefault="0025112D" w:rsidP="00155E7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 xml:space="preserve">Engineering and Related Technologies </w:t>
            </w: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63.1</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18.2</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12.4</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6.3</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62.9</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18.4</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13.1</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5.6</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62.9</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18.8</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13.1</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5.3</w:t>
            </w:r>
          </w:p>
        </w:tc>
      </w:tr>
      <w:tr w:rsidR="0025112D" w:rsidRPr="0025112D" w:rsidTr="000B2A0D">
        <w:trPr>
          <w:trHeight w:val="240"/>
          <w:jc w:val="center"/>
        </w:trPr>
        <w:tc>
          <w:tcPr>
            <w:tcW w:w="1654" w:type="dxa"/>
            <w:vMerge w:val="restart"/>
            <w:shd w:val="clear" w:color="auto" w:fill="auto"/>
            <w:hideMark/>
          </w:tcPr>
          <w:p w:rsidR="0025112D" w:rsidRPr="00155E7D" w:rsidRDefault="0025112D" w:rsidP="00155E7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 xml:space="preserve">Architecture and Building </w:t>
            </w: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72.0</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10.9</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10.8</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6.3</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72.8</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10.5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10.2</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6.5</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69.9</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10.8</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12.0</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7.3</w:t>
            </w:r>
          </w:p>
        </w:tc>
      </w:tr>
      <w:tr w:rsidR="0025112D" w:rsidRPr="0025112D" w:rsidTr="000B2A0D">
        <w:trPr>
          <w:trHeight w:val="240"/>
          <w:jc w:val="center"/>
        </w:trPr>
        <w:tc>
          <w:tcPr>
            <w:tcW w:w="1654" w:type="dxa"/>
            <w:vMerge w:val="restart"/>
            <w:shd w:val="clear" w:color="auto" w:fill="auto"/>
            <w:hideMark/>
          </w:tcPr>
          <w:p w:rsidR="0025112D" w:rsidRPr="00155E7D" w:rsidRDefault="0025112D" w:rsidP="000B2A0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 xml:space="preserve">Agriculture, Environmental </w:t>
            </w:r>
            <w:r w:rsidR="000B2A0D">
              <w:rPr>
                <w:rFonts w:eastAsia="Times New Roman" w:cs="Times New Roman"/>
                <w:b/>
                <w:color w:val="000000"/>
                <w:sz w:val="20"/>
                <w:szCs w:val="20"/>
                <w:lang w:eastAsia="en-AU"/>
              </w:rPr>
              <w:t>&amp;</w:t>
            </w:r>
            <w:r w:rsidRPr="00155E7D">
              <w:rPr>
                <w:rFonts w:eastAsia="Times New Roman" w:cs="Times New Roman"/>
                <w:b/>
                <w:color w:val="000000"/>
                <w:sz w:val="20"/>
                <w:szCs w:val="20"/>
                <w:lang w:eastAsia="en-AU"/>
              </w:rPr>
              <w:t xml:space="preserve"> Related Studies </w:t>
            </w: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59.9</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16.1</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12.4</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59.8</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12.0</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17.4</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10.8</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60.7</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11.1</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16.5</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11.7</w:t>
            </w:r>
          </w:p>
        </w:tc>
      </w:tr>
      <w:tr w:rsidR="0025112D" w:rsidRPr="0025112D" w:rsidTr="000B2A0D">
        <w:trPr>
          <w:trHeight w:val="240"/>
          <w:jc w:val="center"/>
        </w:trPr>
        <w:tc>
          <w:tcPr>
            <w:tcW w:w="1654" w:type="dxa"/>
            <w:vMerge w:val="restart"/>
            <w:shd w:val="clear" w:color="auto" w:fill="auto"/>
            <w:hideMark/>
          </w:tcPr>
          <w:p w:rsidR="0025112D" w:rsidRPr="00155E7D" w:rsidRDefault="0025112D" w:rsidP="00155E7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 xml:space="preserve">Health </w:t>
            </w: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77.0</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7.0</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9.1</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7.0</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76.6</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7.2</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9.4</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6.8</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75.8</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7.8</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9.7</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6.7</w:t>
            </w:r>
          </w:p>
        </w:tc>
      </w:tr>
      <w:tr w:rsidR="0025112D" w:rsidRPr="0025112D" w:rsidTr="000B2A0D">
        <w:trPr>
          <w:trHeight w:val="240"/>
          <w:jc w:val="center"/>
        </w:trPr>
        <w:tc>
          <w:tcPr>
            <w:tcW w:w="1654" w:type="dxa"/>
            <w:vMerge w:val="restart"/>
            <w:shd w:val="clear" w:color="auto" w:fill="auto"/>
            <w:hideMark/>
          </w:tcPr>
          <w:p w:rsidR="0025112D" w:rsidRPr="00155E7D" w:rsidRDefault="0025112D" w:rsidP="00155E7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Education</w:t>
            </w: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70.2</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7.8</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11.8</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10.1</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68.2</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8.6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12.9</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10.3</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66.7</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9.1</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13.4</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10.8</w:t>
            </w:r>
          </w:p>
        </w:tc>
      </w:tr>
      <w:tr w:rsidR="0025112D" w:rsidRPr="0025112D" w:rsidTr="000B2A0D">
        <w:trPr>
          <w:trHeight w:val="240"/>
          <w:jc w:val="center"/>
        </w:trPr>
        <w:tc>
          <w:tcPr>
            <w:tcW w:w="1654" w:type="dxa"/>
            <w:vMerge w:val="restart"/>
            <w:shd w:val="clear" w:color="auto" w:fill="auto"/>
            <w:hideMark/>
          </w:tcPr>
          <w:p w:rsidR="0025112D" w:rsidRPr="00155E7D" w:rsidRDefault="0025112D" w:rsidP="00155E7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 xml:space="preserve">Management and Commerce </w:t>
            </w: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65.7</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11.2</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13.7</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9.5</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65.5</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11.2</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14.2</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9.1</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66.0</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14.0</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8.6</w:t>
            </w:r>
          </w:p>
        </w:tc>
      </w:tr>
      <w:tr w:rsidR="0025112D" w:rsidRPr="0025112D" w:rsidTr="000B2A0D">
        <w:trPr>
          <w:trHeight w:val="240"/>
          <w:jc w:val="center"/>
        </w:trPr>
        <w:tc>
          <w:tcPr>
            <w:tcW w:w="1654" w:type="dxa"/>
            <w:vMerge w:val="restart"/>
            <w:shd w:val="clear" w:color="auto" w:fill="auto"/>
            <w:hideMark/>
          </w:tcPr>
          <w:p w:rsidR="0025112D" w:rsidRPr="00155E7D" w:rsidRDefault="0025112D" w:rsidP="00155E7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 xml:space="preserve">Society and Culture </w:t>
            </w: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63.5</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13.5</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9.5</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62.6</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13.3</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14.7</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9.4</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62.5</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14.0</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14.4</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9.2</w:t>
            </w:r>
          </w:p>
        </w:tc>
      </w:tr>
      <w:tr w:rsidR="0025112D" w:rsidRPr="0025112D" w:rsidTr="000B2A0D">
        <w:trPr>
          <w:trHeight w:val="240"/>
          <w:jc w:val="center"/>
        </w:trPr>
        <w:tc>
          <w:tcPr>
            <w:tcW w:w="1654" w:type="dxa"/>
            <w:vMerge w:val="restart"/>
            <w:shd w:val="clear" w:color="auto" w:fill="auto"/>
            <w:hideMark/>
          </w:tcPr>
          <w:p w:rsidR="0025112D" w:rsidRPr="00155E7D" w:rsidRDefault="0025112D" w:rsidP="00155E7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 xml:space="preserve">Creative Arts </w:t>
            </w: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70.2</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8.2</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13.3</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8.3</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70.2</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8.8</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13.0</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8.1</w:t>
            </w:r>
          </w:p>
        </w:tc>
      </w:tr>
      <w:tr w:rsidR="0025112D" w:rsidRPr="0025112D" w:rsidTr="000B2A0D">
        <w:trPr>
          <w:trHeight w:val="240"/>
          <w:jc w:val="center"/>
        </w:trPr>
        <w:tc>
          <w:tcPr>
            <w:tcW w:w="1654" w:type="dxa"/>
            <w:vMerge/>
            <w:vAlign w:val="center"/>
            <w:hideMark/>
          </w:tcPr>
          <w:p w:rsidR="0025112D" w:rsidRPr="00155E7D" w:rsidRDefault="0025112D" w:rsidP="00155E7D">
            <w:pPr>
              <w:spacing w:after="0" w:line="240" w:lineRule="auto"/>
              <w:rPr>
                <w:rFonts w:eastAsia="Times New Roman" w:cs="Times New Roman"/>
                <w:b/>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69.9</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9.1</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12.7</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8.2</w:t>
            </w:r>
          </w:p>
        </w:tc>
      </w:tr>
      <w:tr w:rsidR="0025112D" w:rsidRPr="0025112D" w:rsidTr="000B2A0D">
        <w:trPr>
          <w:trHeight w:val="240"/>
          <w:jc w:val="center"/>
        </w:trPr>
        <w:tc>
          <w:tcPr>
            <w:tcW w:w="1654" w:type="dxa"/>
            <w:vMerge w:val="restart"/>
            <w:shd w:val="clear" w:color="auto" w:fill="auto"/>
            <w:hideMark/>
          </w:tcPr>
          <w:p w:rsidR="0025112D" w:rsidRPr="00155E7D" w:rsidRDefault="0025112D" w:rsidP="00155E7D">
            <w:pPr>
              <w:spacing w:after="0" w:line="240" w:lineRule="auto"/>
              <w:rPr>
                <w:rFonts w:eastAsia="Times New Roman" w:cs="Times New Roman"/>
                <w:b/>
                <w:color w:val="000000"/>
                <w:sz w:val="20"/>
                <w:szCs w:val="20"/>
                <w:lang w:eastAsia="en-AU"/>
              </w:rPr>
            </w:pPr>
            <w:r w:rsidRPr="00155E7D">
              <w:rPr>
                <w:rFonts w:eastAsia="Times New Roman" w:cs="Times New Roman"/>
                <w:b/>
                <w:color w:val="000000"/>
                <w:sz w:val="20"/>
                <w:szCs w:val="20"/>
                <w:lang w:eastAsia="en-AU"/>
              </w:rPr>
              <w:t xml:space="preserve">Food, Hospitality and Personal Services </w:t>
            </w: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2005</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84.0</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8.0</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4.0</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4.0</w:t>
            </w:r>
          </w:p>
        </w:tc>
      </w:tr>
      <w:tr w:rsidR="0025112D" w:rsidRPr="0025112D" w:rsidTr="000B2A0D">
        <w:trPr>
          <w:trHeight w:val="240"/>
          <w:jc w:val="center"/>
        </w:trPr>
        <w:tc>
          <w:tcPr>
            <w:tcW w:w="1654" w:type="dxa"/>
            <w:vMerge/>
            <w:vAlign w:val="center"/>
            <w:hideMark/>
          </w:tcPr>
          <w:p w:rsidR="0025112D" w:rsidRPr="00155E7D" w:rsidRDefault="0025112D" w:rsidP="0025112D">
            <w:pPr>
              <w:spacing w:after="0" w:line="240" w:lineRule="auto"/>
              <w:rPr>
                <w:rFonts w:eastAsia="Times New Roman" w:cs="Times New Roman"/>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2006</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50.0</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18.8</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25.0</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6.3</w:t>
            </w:r>
          </w:p>
        </w:tc>
      </w:tr>
      <w:tr w:rsidR="0025112D" w:rsidRPr="0025112D" w:rsidTr="000B2A0D">
        <w:trPr>
          <w:trHeight w:val="240"/>
          <w:jc w:val="center"/>
        </w:trPr>
        <w:tc>
          <w:tcPr>
            <w:tcW w:w="1654" w:type="dxa"/>
            <w:vMerge/>
            <w:vAlign w:val="center"/>
            <w:hideMark/>
          </w:tcPr>
          <w:p w:rsidR="0025112D" w:rsidRPr="00155E7D" w:rsidRDefault="0025112D" w:rsidP="0025112D">
            <w:pPr>
              <w:spacing w:after="0" w:line="240" w:lineRule="auto"/>
              <w:rPr>
                <w:rFonts w:eastAsia="Times New Roman" w:cs="Times New Roman"/>
                <w:color w:val="000000"/>
                <w:sz w:val="20"/>
                <w:szCs w:val="20"/>
                <w:lang w:eastAsia="en-AU"/>
              </w:rPr>
            </w:pPr>
          </w:p>
        </w:tc>
        <w:tc>
          <w:tcPr>
            <w:tcW w:w="850" w:type="dxa"/>
            <w:shd w:val="clear" w:color="auto" w:fill="auto"/>
            <w:noWrap/>
            <w:hideMark/>
          </w:tcPr>
          <w:p w:rsidR="0025112D" w:rsidRPr="00155E7D" w:rsidRDefault="0025112D" w:rsidP="0025112D">
            <w:pPr>
              <w:spacing w:after="0" w:line="240" w:lineRule="auto"/>
              <w:rPr>
                <w:rFonts w:eastAsia="Times New Roman" w:cs="Times New Roman"/>
                <w:color w:val="000000"/>
                <w:sz w:val="20"/>
                <w:szCs w:val="20"/>
                <w:lang w:eastAsia="en-AU"/>
              </w:rPr>
            </w:pPr>
            <w:r w:rsidRPr="00155E7D">
              <w:rPr>
                <w:rFonts w:eastAsia="Times New Roman" w:cs="Times New Roman"/>
                <w:color w:val="000000"/>
                <w:sz w:val="20"/>
                <w:szCs w:val="20"/>
                <w:lang w:eastAsia="en-AU"/>
              </w:rPr>
              <w:t>2007</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82.4</w:t>
            </w:r>
          </w:p>
        </w:tc>
        <w:tc>
          <w:tcPr>
            <w:tcW w:w="1560"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11.8</w:t>
            </w:r>
          </w:p>
        </w:tc>
        <w:tc>
          <w:tcPr>
            <w:tcW w:w="1559"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5.9</w:t>
            </w:r>
          </w:p>
        </w:tc>
        <w:tc>
          <w:tcPr>
            <w:tcW w:w="1504" w:type="dxa"/>
            <w:shd w:val="clear" w:color="auto" w:fill="auto"/>
            <w:noWrap/>
            <w:hideMark/>
          </w:tcPr>
          <w:p w:rsidR="0025112D" w:rsidRPr="00155E7D" w:rsidRDefault="0025112D" w:rsidP="0025112D">
            <w:pPr>
              <w:spacing w:after="0" w:line="240" w:lineRule="auto"/>
              <w:jc w:val="center"/>
              <w:rPr>
                <w:rFonts w:eastAsia="Times New Roman" w:cs="Times New Roman"/>
                <w:color w:val="000000"/>
                <w:sz w:val="20"/>
                <w:szCs w:val="20"/>
                <w:lang w:eastAsia="en-AU"/>
              </w:rPr>
            </w:pPr>
            <w:r w:rsidRPr="00155E7D">
              <w:rPr>
                <w:rFonts w:eastAsia="Times New Roman" w:cs="Times New Roman"/>
                <w:color w:val="000000"/>
                <w:sz w:val="20"/>
                <w:szCs w:val="20"/>
                <w:lang w:eastAsia="en-AU"/>
              </w:rPr>
              <w:t>-</w:t>
            </w:r>
          </w:p>
        </w:tc>
      </w:tr>
    </w:tbl>
    <w:p w:rsidR="00F40522" w:rsidRDefault="00F40522"/>
    <w:p w:rsidR="00F40522" w:rsidRDefault="00F40522"/>
    <w:p w:rsidR="00F40522" w:rsidRDefault="00F40522"/>
    <w:p w:rsidR="00F40522" w:rsidRDefault="00F40522"/>
    <w:p w:rsidR="00F40522" w:rsidRDefault="00F40522"/>
    <w:p w:rsidR="00F40522" w:rsidRDefault="00F40522">
      <w:pPr>
        <w:sectPr w:rsidR="00F40522" w:rsidSect="003C5D71">
          <w:pgSz w:w="11901" w:h="16840" w:code="156"/>
          <w:pgMar w:top="1134" w:right="1134" w:bottom="1134" w:left="1134" w:header="709" w:footer="709" w:gutter="0"/>
          <w:cols w:space="708"/>
          <w:docGrid w:linePitch="360"/>
        </w:sectPr>
      </w:pPr>
    </w:p>
    <w:p w:rsidR="00FA0CEE" w:rsidRDefault="006733C5">
      <w:pPr>
        <w:rPr>
          <w:b/>
        </w:rPr>
      </w:pPr>
      <w:r w:rsidRPr="006733C5">
        <w:rPr>
          <w:noProof/>
          <w:lang w:eastAsia="en-AU"/>
        </w:rPr>
        <w:lastRenderedPageBreak/>
        <w:drawing>
          <wp:inline distT="0" distB="0" distL="0" distR="0" wp14:anchorId="1A481252" wp14:editId="59F382FE">
            <wp:extent cx="8531352" cy="13229908"/>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43274" cy="13248396"/>
                    </a:xfrm>
                    <a:prstGeom prst="rect">
                      <a:avLst/>
                    </a:prstGeom>
                    <a:noFill/>
                    <a:ln>
                      <a:noFill/>
                    </a:ln>
                  </pic:spPr>
                </pic:pic>
              </a:graphicData>
            </a:graphic>
          </wp:inline>
        </w:drawing>
      </w:r>
    </w:p>
    <w:p w:rsidR="00FA0CEE" w:rsidRDefault="00B24076">
      <w:pPr>
        <w:rPr>
          <w:b/>
        </w:rPr>
      </w:pPr>
      <w:r w:rsidRPr="00B24076">
        <w:rPr>
          <w:noProof/>
          <w:lang w:eastAsia="en-AU"/>
        </w:rPr>
        <w:lastRenderedPageBreak/>
        <w:drawing>
          <wp:inline distT="0" distB="0" distL="0" distR="0" wp14:anchorId="03DDBDCC" wp14:editId="6CC6E48B">
            <wp:extent cx="8762085" cy="1313180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72368" cy="13147211"/>
                    </a:xfrm>
                    <a:prstGeom prst="rect">
                      <a:avLst/>
                    </a:prstGeom>
                    <a:noFill/>
                    <a:ln>
                      <a:noFill/>
                    </a:ln>
                  </pic:spPr>
                </pic:pic>
              </a:graphicData>
            </a:graphic>
          </wp:inline>
        </w:drawing>
      </w:r>
    </w:p>
    <w:p w:rsidR="00577E83" w:rsidRDefault="0079087E">
      <w:r w:rsidRPr="0079087E">
        <w:rPr>
          <w:noProof/>
          <w:lang w:eastAsia="en-AU"/>
        </w:rPr>
        <w:lastRenderedPageBreak/>
        <w:drawing>
          <wp:inline distT="0" distB="0" distL="0" distR="0" wp14:anchorId="65957957" wp14:editId="325CE33C">
            <wp:extent cx="8864600" cy="13067860"/>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64600" cy="13067860"/>
                    </a:xfrm>
                    <a:prstGeom prst="rect">
                      <a:avLst/>
                    </a:prstGeom>
                    <a:noFill/>
                    <a:ln>
                      <a:noFill/>
                    </a:ln>
                  </pic:spPr>
                </pic:pic>
              </a:graphicData>
            </a:graphic>
          </wp:inline>
        </w:drawing>
      </w:r>
    </w:p>
    <w:p w:rsidR="00577E83" w:rsidRDefault="00A97C41">
      <w:r w:rsidRPr="00A97C41">
        <w:rPr>
          <w:noProof/>
          <w:lang w:eastAsia="en-AU"/>
        </w:rPr>
        <w:lastRenderedPageBreak/>
        <w:drawing>
          <wp:inline distT="0" distB="0" distL="0" distR="0" wp14:anchorId="47691A1E" wp14:editId="261BBE4D">
            <wp:extent cx="8650224" cy="1319818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54192" cy="13204236"/>
                    </a:xfrm>
                    <a:prstGeom prst="rect">
                      <a:avLst/>
                    </a:prstGeom>
                    <a:noFill/>
                    <a:ln>
                      <a:noFill/>
                    </a:ln>
                  </pic:spPr>
                </pic:pic>
              </a:graphicData>
            </a:graphic>
          </wp:inline>
        </w:drawing>
      </w:r>
    </w:p>
    <w:p w:rsidR="007318F0" w:rsidRDefault="0079087E">
      <w:r w:rsidRPr="0079087E">
        <w:rPr>
          <w:noProof/>
          <w:lang w:eastAsia="en-AU"/>
        </w:rPr>
        <w:lastRenderedPageBreak/>
        <w:drawing>
          <wp:inline distT="0" distB="0" distL="0" distR="0" wp14:anchorId="6F1C6A0D" wp14:editId="301D5754">
            <wp:extent cx="8864600" cy="1328185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64600" cy="13281858"/>
                    </a:xfrm>
                    <a:prstGeom prst="rect">
                      <a:avLst/>
                    </a:prstGeom>
                    <a:noFill/>
                    <a:ln>
                      <a:noFill/>
                    </a:ln>
                  </pic:spPr>
                </pic:pic>
              </a:graphicData>
            </a:graphic>
          </wp:inline>
        </w:drawing>
      </w:r>
    </w:p>
    <w:sectPr w:rsidR="007318F0" w:rsidSect="00F40522">
      <w:pgSz w:w="16840" w:h="23814"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6E2" w:rsidRDefault="007436E2" w:rsidP="001163B9">
      <w:pPr>
        <w:spacing w:after="0" w:line="240" w:lineRule="auto"/>
      </w:pPr>
      <w:r>
        <w:separator/>
      </w:r>
    </w:p>
  </w:endnote>
  <w:endnote w:type="continuationSeparator" w:id="0">
    <w:p w:rsidR="007436E2" w:rsidRDefault="007436E2" w:rsidP="0011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E2" w:rsidRDefault="00743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E2" w:rsidRDefault="007436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E2" w:rsidRDefault="007436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678459"/>
      <w:docPartObj>
        <w:docPartGallery w:val="Page Numbers (Bottom of Page)"/>
        <w:docPartUnique/>
      </w:docPartObj>
    </w:sdtPr>
    <w:sdtEndPr>
      <w:rPr>
        <w:color w:val="808080" w:themeColor="background1" w:themeShade="80"/>
        <w:spacing w:val="60"/>
      </w:rPr>
    </w:sdtEndPr>
    <w:sdtContent>
      <w:p w:rsidR="007436E2" w:rsidRDefault="007436E2">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221D">
          <w:rPr>
            <w:noProof/>
          </w:rPr>
          <w:t>14</w:t>
        </w:r>
        <w:r>
          <w:rPr>
            <w:noProof/>
          </w:rPr>
          <w:fldChar w:fldCharType="end"/>
        </w:r>
        <w:r>
          <w:t xml:space="preserve"> | </w:t>
        </w:r>
        <w:r>
          <w:rPr>
            <w:color w:val="808080" w:themeColor="background1" w:themeShade="80"/>
            <w:spacing w:val="60"/>
          </w:rPr>
          <w:t>Page</w:t>
        </w:r>
      </w:p>
    </w:sdtContent>
  </w:sdt>
  <w:p w:rsidR="007436E2" w:rsidRDefault="00743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6E2" w:rsidRDefault="007436E2" w:rsidP="001163B9">
      <w:pPr>
        <w:spacing w:after="0" w:line="240" w:lineRule="auto"/>
      </w:pPr>
      <w:r>
        <w:separator/>
      </w:r>
    </w:p>
  </w:footnote>
  <w:footnote w:type="continuationSeparator" w:id="0">
    <w:p w:rsidR="007436E2" w:rsidRDefault="007436E2" w:rsidP="001163B9">
      <w:pPr>
        <w:spacing w:after="0" w:line="240" w:lineRule="auto"/>
      </w:pPr>
      <w:r>
        <w:continuationSeparator/>
      </w:r>
    </w:p>
  </w:footnote>
  <w:footnote w:id="1">
    <w:p w:rsidR="007436E2" w:rsidRDefault="007436E2" w:rsidP="00284ABA">
      <w:pPr>
        <w:pStyle w:val="FootnoteText"/>
      </w:pPr>
      <w:r>
        <w:rPr>
          <w:rStyle w:val="FootnoteReference"/>
        </w:rPr>
        <w:footnoteRef/>
      </w:r>
      <w:r>
        <w:t xml:space="preserve"> Undergraduate Completion Rates: An update, Martin </w:t>
      </w:r>
      <w:r w:rsidRPr="00F44DC0">
        <w:rPr>
          <w:i/>
        </w:rPr>
        <w:t>et al</w:t>
      </w:r>
      <w:r>
        <w:t xml:space="preserve"> (2001)</w:t>
      </w:r>
    </w:p>
  </w:footnote>
  <w:footnote w:id="2">
    <w:p w:rsidR="007436E2" w:rsidRDefault="007436E2" w:rsidP="00284ABA">
      <w:pPr>
        <w:pStyle w:val="FootnoteText"/>
      </w:pPr>
      <w:r>
        <w:rPr>
          <w:rStyle w:val="FootnoteReference"/>
        </w:rPr>
        <w:footnoteRef/>
      </w:r>
      <w:r>
        <w:t xml:space="preserve"> Ibid.</w:t>
      </w:r>
    </w:p>
  </w:footnote>
  <w:footnote w:id="3">
    <w:p w:rsidR="007436E2" w:rsidRDefault="007436E2" w:rsidP="00952D57">
      <w:pPr>
        <w:pStyle w:val="FootnoteText"/>
      </w:pPr>
      <w:r>
        <w:rPr>
          <w:rStyle w:val="FootnoteReference"/>
        </w:rPr>
        <w:footnoteRef/>
      </w:r>
      <w:r>
        <w:t xml:space="preserve"> Completion here is for students who have completed an award course. The award course is not necessarily the same course that the student initially enrolled in. For example, a student commenced a Bachelor Pass degree course in 2005 and by </w:t>
      </w:r>
      <w:proofErr w:type="gramStart"/>
      <w:r>
        <w:t>2012,</w:t>
      </w:r>
      <w:proofErr w:type="gramEnd"/>
      <w:r>
        <w:t xml:space="preserve"> his/her award course completion could be for a Bachelor Honours degree. Similarly for field of education, a student may have commenced a Science degree but completed an Art degree. Likewise, a student may have commenced study at one institution, but completed his/her study at a different institution.</w:t>
      </w:r>
    </w:p>
  </w:footnote>
  <w:footnote w:id="4">
    <w:p w:rsidR="007436E2" w:rsidRDefault="007436E2">
      <w:pPr>
        <w:pStyle w:val="FootnoteText"/>
      </w:pPr>
      <w:r>
        <w:rPr>
          <w:rStyle w:val="FootnoteReference"/>
        </w:rPr>
        <w:footnoteRef/>
      </w:r>
      <w:r>
        <w:t xml:space="preserve"> What follows is an analysis of the relationship between completion rates and a number of student characteristics. No allowance is made for inter-relationships between student characteristics. For example, older students may have lower completion rates on account of they are being more likely to be part-time students who also have lower completion rates.  </w:t>
      </w:r>
    </w:p>
  </w:footnote>
  <w:footnote w:id="5">
    <w:p w:rsidR="007436E2" w:rsidRDefault="007436E2" w:rsidP="00F557E5">
      <w:pPr>
        <w:pStyle w:val="FootnoteText"/>
      </w:pPr>
      <w:r>
        <w:rPr>
          <w:rStyle w:val="FootnoteReference"/>
        </w:rPr>
        <w:footnoteRef/>
      </w:r>
      <w:r>
        <w:t xml:space="preserve"> </w:t>
      </w:r>
      <w:r w:rsidRPr="00475CBC">
        <w:t>The student’s postcode of permanent home residence is mapped to regional/remote categories using the M</w:t>
      </w:r>
      <w:r>
        <w:t xml:space="preserve">inisterial </w:t>
      </w:r>
      <w:r w:rsidRPr="00475CBC">
        <w:t>C</w:t>
      </w:r>
      <w:r>
        <w:t xml:space="preserve">ouncil on </w:t>
      </w:r>
      <w:r w:rsidRPr="00475CBC">
        <w:t>E</w:t>
      </w:r>
      <w:r>
        <w:t xml:space="preserve">ducation, </w:t>
      </w:r>
      <w:r w:rsidRPr="00475CBC">
        <w:t>E</w:t>
      </w:r>
      <w:r>
        <w:t xml:space="preserve">mployment, </w:t>
      </w:r>
      <w:r w:rsidRPr="00475CBC">
        <w:t>T</w:t>
      </w:r>
      <w:r>
        <w:t xml:space="preserve">raining and </w:t>
      </w:r>
      <w:r w:rsidRPr="00475CBC">
        <w:t>Y</w:t>
      </w:r>
      <w:r>
        <w:t xml:space="preserve">outh </w:t>
      </w:r>
      <w:r w:rsidRPr="00475CBC">
        <w:t>A</w:t>
      </w:r>
      <w:r>
        <w:t xml:space="preserve">ffairs (MCEETYA) </w:t>
      </w:r>
      <w:r w:rsidRPr="00475CBC">
        <w:t xml:space="preserve">classification. The MCEETYA codes are derived from the Australian Standard Geographical Classification with some adjustments to cater for </w:t>
      </w:r>
      <w:r>
        <w:t>the Department’s</w:t>
      </w:r>
      <w:r w:rsidRPr="00475CBC">
        <w:t xml:space="preserve"> special needs.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E2" w:rsidRDefault="007436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E2" w:rsidRDefault="007436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E2" w:rsidRDefault="00743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FB"/>
    <w:multiLevelType w:val="hybridMultilevel"/>
    <w:tmpl w:val="C3984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4F4527"/>
    <w:multiLevelType w:val="hybridMultilevel"/>
    <w:tmpl w:val="4962B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6128FC"/>
    <w:multiLevelType w:val="hybridMultilevel"/>
    <w:tmpl w:val="F4E6C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377F29"/>
    <w:multiLevelType w:val="hybridMultilevel"/>
    <w:tmpl w:val="3F16A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0F6E4A"/>
    <w:multiLevelType w:val="hybridMultilevel"/>
    <w:tmpl w:val="CA8E3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A73088"/>
    <w:multiLevelType w:val="hybridMultilevel"/>
    <w:tmpl w:val="00E0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F50FF6"/>
    <w:multiLevelType w:val="hybridMultilevel"/>
    <w:tmpl w:val="69A8D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A0324A"/>
    <w:multiLevelType w:val="hybridMultilevel"/>
    <w:tmpl w:val="E1F87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692BDE"/>
    <w:multiLevelType w:val="hybridMultilevel"/>
    <w:tmpl w:val="3790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F70034"/>
    <w:multiLevelType w:val="hybridMultilevel"/>
    <w:tmpl w:val="D6389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BBE7EAC"/>
    <w:multiLevelType w:val="hybridMultilevel"/>
    <w:tmpl w:val="ADC4D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8B601B"/>
    <w:multiLevelType w:val="hybridMultilevel"/>
    <w:tmpl w:val="5E8C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C92374"/>
    <w:multiLevelType w:val="hybridMultilevel"/>
    <w:tmpl w:val="BA8C2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075469"/>
    <w:multiLevelType w:val="hybridMultilevel"/>
    <w:tmpl w:val="2F346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B17ED3"/>
    <w:multiLevelType w:val="hybridMultilevel"/>
    <w:tmpl w:val="628C0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9A4717"/>
    <w:multiLevelType w:val="hybridMultilevel"/>
    <w:tmpl w:val="141A9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DC3889"/>
    <w:multiLevelType w:val="hybridMultilevel"/>
    <w:tmpl w:val="427E6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01775A"/>
    <w:multiLevelType w:val="hybridMultilevel"/>
    <w:tmpl w:val="1CA40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1212A0"/>
    <w:multiLevelType w:val="hybridMultilevel"/>
    <w:tmpl w:val="88EEA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B63120"/>
    <w:multiLevelType w:val="hybridMultilevel"/>
    <w:tmpl w:val="00CE4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424376"/>
    <w:multiLevelType w:val="hybridMultilevel"/>
    <w:tmpl w:val="8384F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64354D"/>
    <w:multiLevelType w:val="hybridMultilevel"/>
    <w:tmpl w:val="0310B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FA24DC"/>
    <w:multiLevelType w:val="hybridMultilevel"/>
    <w:tmpl w:val="2892C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BC35CF"/>
    <w:multiLevelType w:val="hybridMultilevel"/>
    <w:tmpl w:val="E466A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67653AE"/>
    <w:multiLevelType w:val="hybridMultilevel"/>
    <w:tmpl w:val="1CDEE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46AF62BD"/>
    <w:multiLevelType w:val="hybridMultilevel"/>
    <w:tmpl w:val="51605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8DC7149"/>
    <w:multiLevelType w:val="hybridMultilevel"/>
    <w:tmpl w:val="BCB04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8E530D6"/>
    <w:multiLevelType w:val="hybridMultilevel"/>
    <w:tmpl w:val="6828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5F135F"/>
    <w:multiLevelType w:val="hybridMultilevel"/>
    <w:tmpl w:val="964C5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B791330"/>
    <w:multiLevelType w:val="hybridMultilevel"/>
    <w:tmpl w:val="9BA808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4E5556EE"/>
    <w:multiLevelType w:val="hybridMultilevel"/>
    <w:tmpl w:val="12A6A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0936EEE"/>
    <w:multiLevelType w:val="hybridMultilevel"/>
    <w:tmpl w:val="DA36C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4033974"/>
    <w:multiLevelType w:val="hybridMultilevel"/>
    <w:tmpl w:val="CAF81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59A4447"/>
    <w:multiLevelType w:val="hybridMultilevel"/>
    <w:tmpl w:val="3E5C9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6693835"/>
    <w:multiLevelType w:val="hybridMultilevel"/>
    <w:tmpl w:val="F69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7912D41"/>
    <w:multiLevelType w:val="hybridMultilevel"/>
    <w:tmpl w:val="A1C8E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CC36A6C"/>
    <w:multiLevelType w:val="hybridMultilevel"/>
    <w:tmpl w:val="E6BC5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D8D38EF"/>
    <w:multiLevelType w:val="hybridMultilevel"/>
    <w:tmpl w:val="CE3C6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F3F3AC8"/>
    <w:multiLevelType w:val="hybridMultilevel"/>
    <w:tmpl w:val="BAF0F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0E5742D"/>
    <w:multiLevelType w:val="hybridMultilevel"/>
    <w:tmpl w:val="7AB61B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4A02B38"/>
    <w:multiLevelType w:val="hybridMultilevel"/>
    <w:tmpl w:val="6D8C2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87E67BA"/>
    <w:multiLevelType w:val="hybridMultilevel"/>
    <w:tmpl w:val="D37E3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E4F1CDE"/>
    <w:multiLevelType w:val="hybridMultilevel"/>
    <w:tmpl w:val="28DE3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ABF4C76"/>
    <w:multiLevelType w:val="hybridMultilevel"/>
    <w:tmpl w:val="3886C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30"/>
  </w:num>
  <w:num w:numId="4">
    <w:abstractNumId w:val="6"/>
  </w:num>
  <w:num w:numId="5">
    <w:abstractNumId w:val="26"/>
  </w:num>
  <w:num w:numId="6">
    <w:abstractNumId w:val="11"/>
  </w:num>
  <w:num w:numId="7">
    <w:abstractNumId w:val="13"/>
  </w:num>
  <w:num w:numId="8">
    <w:abstractNumId w:val="9"/>
  </w:num>
  <w:num w:numId="9">
    <w:abstractNumId w:val="32"/>
  </w:num>
  <w:num w:numId="10">
    <w:abstractNumId w:val="21"/>
  </w:num>
  <w:num w:numId="11">
    <w:abstractNumId w:val="42"/>
  </w:num>
  <w:num w:numId="12">
    <w:abstractNumId w:val="2"/>
  </w:num>
  <w:num w:numId="13">
    <w:abstractNumId w:val="33"/>
  </w:num>
  <w:num w:numId="14">
    <w:abstractNumId w:val="18"/>
  </w:num>
  <w:num w:numId="15">
    <w:abstractNumId w:val="10"/>
  </w:num>
  <w:num w:numId="16">
    <w:abstractNumId w:val="12"/>
  </w:num>
  <w:num w:numId="17">
    <w:abstractNumId w:val="28"/>
  </w:num>
  <w:num w:numId="18">
    <w:abstractNumId w:val="22"/>
  </w:num>
  <w:num w:numId="19">
    <w:abstractNumId w:val="38"/>
  </w:num>
  <w:num w:numId="20">
    <w:abstractNumId w:val="16"/>
  </w:num>
  <w:num w:numId="21">
    <w:abstractNumId w:val="40"/>
  </w:num>
  <w:num w:numId="22">
    <w:abstractNumId w:val="23"/>
  </w:num>
  <w:num w:numId="23">
    <w:abstractNumId w:val="41"/>
  </w:num>
  <w:num w:numId="24">
    <w:abstractNumId w:val="1"/>
  </w:num>
  <w:num w:numId="25">
    <w:abstractNumId w:val="31"/>
  </w:num>
  <w:num w:numId="26">
    <w:abstractNumId w:val="7"/>
  </w:num>
  <w:num w:numId="27">
    <w:abstractNumId w:val="34"/>
  </w:num>
  <w:num w:numId="28">
    <w:abstractNumId w:val="43"/>
  </w:num>
  <w:num w:numId="29">
    <w:abstractNumId w:val="8"/>
  </w:num>
  <w:num w:numId="30">
    <w:abstractNumId w:val="17"/>
  </w:num>
  <w:num w:numId="31">
    <w:abstractNumId w:val="35"/>
  </w:num>
  <w:num w:numId="32">
    <w:abstractNumId w:val="27"/>
  </w:num>
  <w:num w:numId="33">
    <w:abstractNumId w:val="5"/>
  </w:num>
  <w:num w:numId="34">
    <w:abstractNumId w:val="24"/>
  </w:num>
  <w:num w:numId="35">
    <w:abstractNumId w:val="14"/>
  </w:num>
  <w:num w:numId="36">
    <w:abstractNumId w:val="20"/>
  </w:num>
  <w:num w:numId="37">
    <w:abstractNumId w:val="3"/>
  </w:num>
  <w:num w:numId="38">
    <w:abstractNumId w:val="36"/>
  </w:num>
  <w:num w:numId="39">
    <w:abstractNumId w:val="15"/>
  </w:num>
  <w:num w:numId="40">
    <w:abstractNumId w:val="19"/>
  </w:num>
  <w:num w:numId="41">
    <w:abstractNumId w:val="4"/>
  </w:num>
  <w:num w:numId="42">
    <w:abstractNumId w:val="0"/>
  </w:num>
  <w:num w:numId="43">
    <w:abstractNumId w:val="37"/>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B5563"/>
    <w:rsid w:val="0000132D"/>
    <w:rsid w:val="00025F06"/>
    <w:rsid w:val="00027660"/>
    <w:rsid w:val="00030266"/>
    <w:rsid w:val="00036227"/>
    <w:rsid w:val="000373E3"/>
    <w:rsid w:val="0003776B"/>
    <w:rsid w:val="00041708"/>
    <w:rsid w:val="0005011B"/>
    <w:rsid w:val="0005018D"/>
    <w:rsid w:val="00052898"/>
    <w:rsid w:val="000528CD"/>
    <w:rsid w:val="000549BF"/>
    <w:rsid w:val="00057EE8"/>
    <w:rsid w:val="00070CF4"/>
    <w:rsid w:val="00071EB0"/>
    <w:rsid w:val="00075844"/>
    <w:rsid w:val="000762DE"/>
    <w:rsid w:val="00080BDA"/>
    <w:rsid w:val="000853E4"/>
    <w:rsid w:val="00086BC7"/>
    <w:rsid w:val="0009588D"/>
    <w:rsid w:val="000A5145"/>
    <w:rsid w:val="000B2A0D"/>
    <w:rsid w:val="000B754C"/>
    <w:rsid w:val="000C3FBA"/>
    <w:rsid w:val="000C4DE2"/>
    <w:rsid w:val="000C4E66"/>
    <w:rsid w:val="000D08EF"/>
    <w:rsid w:val="000D2F63"/>
    <w:rsid w:val="000D7640"/>
    <w:rsid w:val="000F108B"/>
    <w:rsid w:val="000F1502"/>
    <w:rsid w:val="000F1840"/>
    <w:rsid w:val="000F70CB"/>
    <w:rsid w:val="001036EA"/>
    <w:rsid w:val="00104F2E"/>
    <w:rsid w:val="00105D78"/>
    <w:rsid w:val="001112DD"/>
    <w:rsid w:val="00111F44"/>
    <w:rsid w:val="001163B9"/>
    <w:rsid w:val="001208CA"/>
    <w:rsid w:val="00124065"/>
    <w:rsid w:val="00124904"/>
    <w:rsid w:val="0014175E"/>
    <w:rsid w:val="00142420"/>
    <w:rsid w:val="00144961"/>
    <w:rsid w:val="0015206A"/>
    <w:rsid w:val="00155E7D"/>
    <w:rsid w:val="001609D6"/>
    <w:rsid w:val="00165FC6"/>
    <w:rsid w:val="00166D02"/>
    <w:rsid w:val="00170E68"/>
    <w:rsid w:val="001742FC"/>
    <w:rsid w:val="00183A30"/>
    <w:rsid w:val="00186162"/>
    <w:rsid w:val="00187D9F"/>
    <w:rsid w:val="001911BE"/>
    <w:rsid w:val="001926BB"/>
    <w:rsid w:val="00192C86"/>
    <w:rsid w:val="00193802"/>
    <w:rsid w:val="001943BE"/>
    <w:rsid w:val="001A4553"/>
    <w:rsid w:val="001A5479"/>
    <w:rsid w:val="001A6AAF"/>
    <w:rsid w:val="001A7FD7"/>
    <w:rsid w:val="001B2CA1"/>
    <w:rsid w:val="001B6B53"/>
    <w:rsid w:val="001C1253"/>
    <w:rsid w:val="001C3080"/>
    <w:rsid w:val="001D2C57"/>
    <w:rsid w:val="001D6337"/>
    <w:rsid w:val="001E0686"/>
    <w:rsid w:val="001E1248"/>
    <w:rsid w:val="001E188A"/>
    <w:rsid w:val="00204DBA"/>
    <w:rsid w:val="002061B7"/>
    <w:rsid w:val="00212102"/>
    <w:rsid w:val="00214562"/>
    <w:rsid w:val="002175FF"/>
    <w:rsid w:val="00221C51"/>
    <w:rsid w:val="00227D96"/>
    <w:rsid w:val="00227FF5"/>
    <w:rsid w:val="00242E4A"/>
    <w:rsid w:val="00243235"/>
    <w:rsid w:val="0025112D"/>
    <w:rsid w:val="002601E5"/>
    <w:rsid w:val="00263BA6"/>
    <w:rsid w:val="00266F84"/>
    <w:rsid w:val="0027292C"/>
    <w:rsid w:val="00274CEA"/>
    <w:rsid w:val="0027561D"/>
    <w:rsid w:val="002758B3"/>
    <w:rsid w:val="00284ABA"/>
    <w:rsid w:val="00285A0A"/>
    <w:rsid w:val="002861C1"/>
    <w:rsid w:val="00286974"/>
    <w:rsid w:val="00291C25"/>
    <w:rsid w:val="002B0354"/>
    <w:rsid w:val="002B397B"/>
    <w:rsid w:val="002C1BD3"/>
    <w:rsid w:val="002C3868"/>
    <w:rsid w:val="002C4A47"/>
    <w:rsid w:val="002C7446"/>
    <w:rsid w:val="002D3675"/>
    <w:rsid w:val="002D46A0"/>
    <w:rsid w:val="002E0E5D"/>
    <w:rsid w:val="002E1182"/>
    <w:rsid w:val="002E7CF9"/>
    <w:rsid w:val="002E7F24"/>
    <w:rsid w:val="002F09C5"/>
    <w:rsid w:val="002F1158"/>
    <w:rsid w:val="002F598C"/>
    <w:rsid w:val="002F6BA5"/>
    <w:rsid w:val="002F7798"/>
    <w:rsid w:val="00304A7B"/>
    <w:rsid w:val="00304F19"/>
    <w:rsid w:val="00306EBF"/>
    <w:rsid w:val="00313E98"/>
    <w:rsid w:val="00317944"/>
    <w:rsid w:val="00322147"/>
    <w:rsid w:val="00324343"/>
    <w:rsid w:val="003267C4"/>
    <w:rsid w:val="00332DCD"/>
    <w:rsid w:val="00343AA0"/>
    <w:rsid w:val="00345CF1"/>
    <w:rsid w:val="003469EB"/>
    <w:rsid w:val="00350158"/>
    <w:rsid w:val="00354662"/>
    <w:rsid w:val="00362A3B"/>
    <w:rsid w:val="00362BB2"/>
    <w:rsid w:val="0036648D"/>
    <w:rsid w:val="00371C33"/>
    <w:rsid w:val="00374262"/>
    <w:rsid w:val="00375C4F"/>
    <w:rsid w:val="00380D2C"/>
    <w:rsid w:val="00386F44"/>
    <w:rsid w:val="00392BA5"/>
    <w:rsid w:val="00395BC3"/>
    <w:rsid w:val="003A2DA3"/>
    <w:rsid w:val="003A5350"/>
    <w:rsid w:val="003A56C0"/>
    <w:rsid w:val="003B1021"/>
    <w:rsid w:val="003B16C4"/>
    <w:rsid w:val="003B4C3F"/>
    <w:rsid w:val="003C5D71"/>
    <w:rsid w:val="003C77B0"/>
    <w:rsid w:val="003D7315"/>
    <w:rsid w:val="003D77B1"/>
    <w:rsid w:val="003E43D3"/>
    <w:rsid w:val="003E6135"/>
    <w:rsid w:val="003E6DF3"/>
    <w:rsid w:val="003E7C60"/>
    <w:rsid w:val="003F3CAA"/>
    <w:rsid w:val="003F4EED"/>
    <w:rsid w:val="003F70F2"/>
    <w:rsid w:val="004004E9"/>
    <w:rsid w:val="00405366"/>
    <w:rsid w:val="004057D9"/>
    <w:rsid w:val="004066A2"/>
    <w:rsid w:val="00415B9D"/>
    <w:rsid w:val="00420471"/>
    <w:rsid w:val="00423684"/>
    <w:rsid w:val="00424390"/>
    <w:rsid w:val="00426CF3"/>
    <w:rsid w:val="00435D69"/>
    <w:rsid w:val="00441B50"/>
    <w:rsid w:val="00445298"/>
    <w:rsid w:val="004530E2"/>
    <w:rsid w:val="00453CFD"/>
    <w:rsid w:val="004543C9"/>
    <w:rsid w:val="0045702E"/>
    <w:rsid w:val="00461189"/>
    <w:rsid w:val="00464D54"/>
    <w:rsid w:val="0047033E"/>
    <w:rsid w:val="0047408D"/>
    <w:rsid w:val="00475A3A"/>
    <w:rsid w:val="00491120"/>
    <w:rsid w:val="00491309"/>
    <w:rsid w:val="00491A46"/>
    <w:rsid w:val="00491A78"/>
    <w:rsid w:val="00496A2F"/>
    <w:rsid w:val="00497196"/>
    <w:rsid w:val="004B480E"/>
    <w:rsid w:val="004B5563"/>
    <w:rsid w:val="004C0D4B"/>
    <w:rsid w:val="004C2FA6"/>
    <w:rsid w:val="004E0CCB"/>
    <w:rsid w:val="004E4EDC"/>
    <w:rsid w:val="004E6576"/>
    <w:rsid w:val="004F7E61"/>
    <w:rsid w:val="0050030F"/>
    <w:rsid w:val="005007AF"/>
    <w:rsid w:val="00504C3A"/>
    <w:rsid w:val="00505F99"/>
    <w:rsid w:val="00511D10"/>
    <w:rsid w:val="005178A7"/>
    <w:rsid w:val="0053085D"/>
    <w:rsid w:val="00530AD8"/>
    <w:rsid w:val="00533263"/>
    <w:rsid w:val="0053454C"/>
    <w:rsid w:val="00543E72"/>
    <w:rsid w:val="00547F08"/>
    <w:rsid w:val="00550E52"/>
    <w:rsid w:val="005611D3"/>
    <w:rsid w:val="00567C15"/>
    <w:rsid w:val="00571D7D"/>
    <w:rsid w:val="0057223D"/>
    <w:rsid w:val="00573B83"/>
    <w:rsid w:val="00577E83"/>
    <w:rsid w:val="00591F05"/>
    <w:rsid w:val="00596E17"/>
    <w:rsid w:val="005A672B"/>
    <w:rsid w:val="005B2D5F"/>
    <w:rsid w:val="005B3D65"/>
    <w:rsid w:val="005C4794"/>
    <w:rsid w:val="005C4C31"/>
    <w:rsid w:val="005C6276"/>
    <w:rsid w:val="005D5A74"/>
    <w:rsid w:val="005D5B58"/>
    <w:rsid w:val="005D7ED1"/>
    <w:rsid w:val="005E290A"/>
    <w:rsid w:val="005E2A36"/>
    <w:rsid w:val="005E6211"/>
    <w:rsid w:val="005F191D"/>
    <w:rsid w:val="005F2AE9"/>
    <w:rsid w:val="005F36CF"/>
    <w:rsid w:val="00600C2B"/>
    <w:rsid w:val="00611603"/>
    <w:rsid w:val="00613051"/>
    <w:rsid w:val="006147F7"/>
    <w:rsid w:val="006218AF"/>
    <w:rsid w:val="006222C1"/>
    <w:rsid w:val="00625636"/>
    <w:rsid w:val="006360B5"/>
    <w:rsid w:val="0063789B"/>
    <w:rsid w:val="006435DA"/>
    <w:rsid w:val="00645433"/>
    <w:rsid w:val="00647F28"/>
    <w:rsid w:val="00651DC6"/>
    <w:rsid w:val="00652A04"/>
    <w:rsid w:val="006714A2"/>
    <w:rsid w:val="006733C5"/>
    <w:rsid w:val="0067692B"/>
    <w:rsid w:val="00680010"/>
    <w:rsid w:val="00682AB7"/>
    <w:rsid w:val="00683F92"/>
    <w:rsid w:val="00684B9F"/>
    <w:rsid w:val="006856B5"/>
    <w:rsid w:val="00686A80"/>
    <w:rsid w:val="00695548"/>
    <w:rsid w:val="006978AF"/>
    <w:rsid w:val="006A0B7A"/>
    <w:rsid w:val="006A1CE9"/>
    <w:rsid w:val="006A4BD1"/>
    <w:rsid w:val="006B3673"/>
    <w:rsid w:val="006B5A69"/>
    <w:rsid w:val="006B7B31"/>
    <w:rsid w:val="006C1733"/>
    <w:rsid w:val="006C3440"/>
    <w:rsid w:val="006C4A7B"/>
    <w:rsid w:val="006D0FE0"/>
    <w:rsid w:val="006D2C30"/>
    <w:rsid w:val="006D5E62"/>
    <w:rsid w:val="006D7507"/>
    <w:rsid w:val="006E473B"/>
    <w:rsid w:val="006E6D57"/>
    <w:rsid w:val="006F36CF"/>
    <w:rsid w:val="006F575A"/>
    <w:rsid w:val="006F59A0"/>
    <w:rsid w:val="006F68B9"/>
    <w:rsid w:val="00702299"/>
    <w:rsid w:val="007047D2"/>
    <w:rsid w:val="00705EBF"/>
    <w:rsid w:val="007104FC"/>
    <w:rsid w:val="00716C00"/>
    <w:rsid w:val="00721CF6"/>
    <w:rsid w:val="00722B08"/>
    <w:rsid w:val="00727397"/>
    <w:rsid w:val="007318F0"/>
    <w:rsid w:val="007417B3"/>
    <w:rsid w:val="007436E2"/>
    <w:rsid w:val="00745DF7"/>
    <w:rsid w:val="00751D7A"/>
    <w:rsid w:val="007600FD"/>
    <w:rsid w:val="007634FF"/>
    <w:rsid w:val="00763994"/>
    <w:rsid w:val="007662DE"/>
    <w:rsid w:val="00781BD9"/>
    <w:rsid w:val="0078490D"/>
    <w:rsid w:val="00787A54"/>
    <w:rsid w:val="0079087E"/>
    <w:rsid w:val="00792F26"/>
    <w:rsid w:val="00793E91"/>
    <w:rsid w:val="007A3D5F"/>
    <w:rsid w:val="007A7D15"/>
    <w:rsid w:val="007B03B5"/>
    <w:rsid w:val="007B17E2"/>
    <w:rsid w:val="007B4676"/>
    <w:rsid w:val="007B5276"/>
    <w:rsid w:val="007B551D"/>
    <w:rsid w:val="007B7DE4"/>
    <w:rsid w:val="007C03B0"/>
    <w:rsid w:val="007C2ADE"/>
    <w:rsid w:val="007C6751"/>
    <w:rsid w:val="007C7CE3"/>
    <w:rsid w:val="007D18D6"/>
    <w:rsid w:val="007D221D"/>
    <w:rsid w:val="007D2B73"/>
    <w:rsid w:val="007D408B"/>
    <w:rsid w:val="007D7226"/>
    <w:rsid w:val="007E361B"/>
    <w:rsid w:val="007F285C"/>
    <w:rsid w:val="007F6E92"/>
    <w:rsid w:val="007F7C0B"/>
    <w:rsid w:val="00805BD1"/>
    <w:rsid w:val="00806976"/>
    <w:rsid w:val="00812D99"/>
    <w:rsid w:val="008200A7"/>
    <w:rsid w:val="00822D88"/>
    <w:rsid w:val="0082413E"/>
    <w:rsid w:val="00825FC8"/>
    <w:rsid w:val="0083199E"/>
    <w:rsid w:val="0083203A"/>
    <w:rsid w:val="008320D3"/>
    <w:rsid w:val="00833160"/>
    <w:rsid w:val="00836346"/>
    <w:rsid w:val="008372E7"/>
    <w:rsid w:val="008562DA"/>
    <w:rsid w:val="0086106B"/>
    <w:rsid w:val="00862811"/>
    <w:rsid w:val="00862B53"/>
    <w:rsid w:val="008638FC"/>
    <w:rsid w:val="00865C77"/>
    <w:rsid w:val="00866B97"/>
    <w:rsid w:val="00872B30"/>
    <w:rsid w:val="008736BE"/>
    <w:rsid w:val="0087485F"/>
    <w:rsid w:val="00881B84"/>
    <w:rsid w:val="00883B6A"/>
    <w:rsid w:val="00885632"/>
    <w:rsid w:val="00885F72"/>
    <w:rsid w:val="00886757"/>
    <w:rsid w:val="008B061B"/>
    <w:rsid w:val="008B2541"/>
    <w:rsid w:val="008B2D59"/>
    <w:rsid w:val="008B35F4"/>
    <w:rsid w:val="008B375F"/>
    <w:rsid w:val="008B5245"/>
    <w:rsid w:val="008B6D77"/>
    <w:rsid w:val="008C28AE"/>
    <w:rsid w:val="008C3363"/>
    <w:rsid w:val="008C4C52"/>
    <w:rsid w:val="008D0069"/>
    <w:rsid w:val="008D7D50"/>
    <w:rsid w:val="008E039D"/>
    <w:rsid w:val="008E46EB"/>
    <w:rsid w:val="008F040A"/>
    <w:rsid w:val="008F5F2D"/>
    <w:rsid w:val="008F6928"/>
    <w:rsid w:val="00900605"/>
    <w:rsid w:val="00902277"/>
    <w:rsid w:val="00905597"/>
    <w:rsid w:val="00906B7C"/>
    <w:rsid w:val="00907B2B"/>
    <w:rsid w:val="00910F2A"/>
    <w:rsid w:val="009113F9"/>
    <w:rsid w:val="00917062"/>
    <w:rsid w:val="00921AB1"/>
    <w:rsid w:val="00922A95"/>
    <w:rsid w:val="00923130"/>
    <w:rsid w:val="00923903"/>
    <w:rsid w:val="00924953"/>
    <w:rsid w:val="00930BC0"/>
    <w:rsid w:val="00933277"/>
    <w:rsid w:val="00933616"/>
    <w:rsid w:val="00934801"/>
    <w:rsid w:val="00937421"/>
    <w:rsid w:val="009400E8"/>
    <w:rsid w:val="00943836"/>
    <w:rsid w:val="009448BA"/>
    <w:rsid w:val="0094620F"/>
    <w:rsid w:val="00947C4D"/>
    <w:rsid w:val="00952473"/>
    <w:rsid w:val="00952D57"/>
    <w:rsid w:val="00963732"/>
    <w:rsid w:val="00965FC3"/>
    <w:rsid w:val="00971551"/>
    <w:rsid w:val="009748C2"/>
    <w:rsid w:val="00987B0E"/>
    <w:rsid w:val="0099275A"/>
    <w:rsid w:val="009A2016"/>
    <w:rsid w:val="009A4506"/>
    <w:rsid w:val="009A5A52"/>
    <w:rsid w:val="009A5EBC"/>
    <w:rsid w:val="009B6A3D"/>
    <w:rsid w:val="009C13CB"/>
    <w:rsid w:val="009C253A"/>
    <w:rsid w:val="009C6FC1"/>
    <w:rsid w:val="009D0158"/>
    <w:rsid w:val="009E0332"/>
    <w:rsid w:val="009E4FF6"/>
    <w:rsid w:val="009F0C13"/>
    <w:rsid w:val="009F5D5B"/>
    <w:rsid w:val="009F72AA"/>
    <w:rsid w:val="009F7CD5"/>
    <w:rsid w:val="00A05BD6"/>
    <w:rsid w:val="00A07374"/>
    <w:rsid w:val="00A11674"/>
    <w:rsid w:val="00A14A93"/>
    <w:rsid w:val="00A2050C"/>
    <w:rsid w:val="00A25C28"/>
    <w:rsid w:val="00A260F7"/>
    <w:rsid w:val="00A30C08"/>
    <w:rsid w:val="00A3366C"/>
    <w:rsid w:val="00A3752F"/>
    <w:rsid w:val="00A42CCD"/>
    <w:rsid w:val="00A43DB1"/>
    <w:rsid w:val="00A464C3"/>
    <w:rsid w:val="00A546A8"/>
    <w:rsid w:val="00A54EDF"/>
    <w:rsid w:val="00A60186"/>
    <w:rsid w:val="00A60737"/>
    <w:rsid w:val="00A63B69"/>
    <w:rsid w:val="00A67A8F"/>
    <w:rsid w:val="00A73824"/>
    <w:rsid w:val="00A75900"/>
    <w:rsid w:val="00A7609B"/>
    <w:rsid w:val="00A82BD9"/>
    <w:rsid w:val="00A8451D"/>
    <w:rsid w:val="00A93E7A"/>
    <w:rsid w:val="00A9526D"/>
    <w:rsid w:val="00A97C41"/>
    <w:rsid w:val="00AA16A8"/>
    <w:rsid w:val="00AA3F91"/>
    <w:rsid w:val="00AB1AC5"/>
    <w:rsid w:val="00AB5623"/>
    <w:rsid w:val="00AB77FC"/>
    <w:rsid w:val="00AC241F"/>
    <w:rsid w:val="00AC33FE"/>
    <w:rsid w:val="00AD0BFB"/>
    <w:rsid w:val="00AD186D"/>
    <w:rsid w:val="00AD1FFA"/>
    <w:rsid w:val="00AD34FC"/>
    <w:rsid w:val="00AD5BCF"/>
    <w:rsid w:val="00AD70E3"/>
    <w:rsid w:val="00AE0359"/>
    <w:rsid w:val="00AF451C"/>
    <w:rsid w:val="00AF4D5C"/>
    <w:rsid w:val="00AF52E4"/>
    <w:rsid w:val="00AF6217"/>
    <w:rsid w:val="00B018CE"/>
    <w:rsid w:val="00B04008"/>
    <w:rsid w:val="00B11862"/>
    <w:rsid w:val="00B12222"/>
    <w:rsid w:val="00B153C0"/>
    <w:rsid w:val="00B17850"/>
    <w:rsid w:val="00B22CD1"/>
    <w:rsid w:val="00B24076"/>
    <w:rsid w:val="00B26CBF"/>
    <w:rsid w:val="00B36A01"/>
    <w:rsid w:val="00B404B1"/>
    <w:rsid w:val="00B4488E"/>
    <w:rsid w:val="00B47299"/>
    <w:rsid w:val="00B55B9B"/>
    <w:rsid w:val="00B633F5"/>
    <w:rsid w:val="00B63B01"/>
    <w:rsid w:val="00B704FD"/>
    <w:rsid w:val="00B70B7D"/>
    <w:rsid w:val="00B7191C"/>
    <w:rsid w:val="00B71F6A"/>
    <w:rsid w:val="00B97A42"/>
    <w:rsid w:val="00BA1703"/>
    <w:rsid w:val="00BA5830"/>
    <w:rsid w:val="00BA6B2C"/>
    <w:rsid w:val="00BB124B"/>
    <w:rsid w:val="00BC1117"/>
    <w:rsid w:val="00BC242D"/>
    <w:rsid w:val="00BC55D7"/>
    <w:rsid w:val="00BD0B67"/>
    <w:rsid w:val="00BD3951"/>
    <w:rsid w:val="00BD3A04"/>
    <w:rsid w:val="00BD71E0"/>
    <w:rsid w:val="00BD7FD1"/>
    <w:rsid w:val="00BE1A38"/>
    <w:rsid w:val="00BE429C"/>
    <w:rsid w:val="00BF2493"/>
    <w:rsid w:val="00BF3643"/>
    <w:rsid w:val="00BF37D7"/>
    <w:rsid w:val="00BF4E5C"/>
    <w:rsid w:val="00BF5748"/>
    <w:rsid w:val="00BF7DE2"/>
    <w:rsid w:val="00C076CA"/>
    <w:rsid w:val="00C12A39"/>
    <w:rsid w:val="00C17331"/>
    <w:rsid w:val="00C216AD"/>
    <w:rsid w:val="00C2399E"/>
    <w:rsid w:val="00C26984"/>
    <w:rsid w:val="00C26F2C"/>
    <w:rsid w:val="00C31BCD"/>
    <w:rsid w:val="00C355DB"/>
    <w:rsid w:val="00C416D3"/>
    <w:rsid w:val="00C41EA0"/>
    <w:rsid w:val="00C41FF4"/>
    <w:rsid w:val="00C42AF6"/>
    <w:rsid w:val="00C519DD"/>
    <w:rsid w:val="00C54B47"/>
    <w:rsid w:val="00C5576C"/>
    <w:rsid w:val="00C557EB"/>
    <w:rsid w:val="00C56A1B"/>
    <w:rsid w:val="00C57E64"/>
    <w:rsid w:val="00C62B0E"/>
    <w:rsid w:val="00C654A9"/>
    <w:rsid w:val="00C74B95"/>
    <w:rsid w:val="00C74CA7"/>
    <w:rsid w:val="00C868BD"/>
    <w:rsid w:val="00C868E5"/>
    <w:rsid w:val="00C92CE7"/>
    <w:rsid w:val="00C92E32"/>
    <w:rsid w:val="00C96FB0"/>
    <w:rsid w:val="00CA4315"/>
    <w:rsid w:val="00CA4669"/>
    <w:rsid w:val="00CB0793"/>
    <w:rsid w:val="00CC27B8"/>
    <w:rsid w:val="00CD0A94"/>
    <w:rsid w:val="00CD0FF1"/>
    <w:rsid w:val="00CD521D"/>
    <w:rsid w:val="00CD6A28"/>
    <w:rsid w:val="00CE06B1"/>
    <w:rsid w:val="00CE0E36"/>
    <w:rsid w:val="00CE2FE7"/>
    <w:rsid w:val="00CE420E"/>
    <w:rsid w:val="00CF3007"/>
    <w:rsid w:val="00CF531B"/>
    <w:rsid w:val="00D00375"/>
    <w:rsid w:val="00D01E0A"/>
    <w:rsid w:val="00D0530B"/>
    <w:rsid w:val="00D05506"/>
    <w:rsid w:val="00D079D5"/>
    <w:rsid w:val="00D11157"/>
    <w:rsid w:val="00D13829"/>
    <w:rsid w:val="00D13F8E"/>
    <w:rsid w:val="00D1428D"/>
    <w:rsid w:val="00D15AEA"/>
    <w:rsid w:val="00D16248"/>
    <w:rsid w:val="00D16F44"/>
    <w:rsid w:val="00D27FF4"/>
    <w:rsid w:val="00D336DE"/>
    <w:rsid w:val="00D34C2C"/>
    <w:rsid w:val="00D362A2"/>
    <w:rsid w:val="00D401A3"/>
    <w:rsid w:val="00D40CE9"/>
    <w:rsid w:val="00D4125D"/>
    <w:rsid w:val="00D55346"/>
    <w:rsid w:val="00D61256"/>
    <w:rsid w:val="00D65AD8"/>
    <w:rsid w:val="00D666DA"/>
    <w:rsid w:val="00D77E72"/>
    <w:rsid w:val="00D8007B"/>
    <w:rsid w:val="00D83945"/>
    <w:rsid w:val="00D83AE3"/>
    <w:rsid w:val="00D97D31"/>
    <w:rsid w:val="00DA2252"/>
    <w:rsid w:val="00DA29B6"/>
    <w:rsid w:val="00DA4913"/>
    <w:rsid w:val="00DB0928"/>
    <w:rsid w:val="00DB61EE"/>
    <w:rsid w:val="00DB7EFE"/>
    <w:rsid w:val="00DC03E6"/>
    <w:rsid w:val="00DC42EC"/>
    <w:rsid w:val="00DD39CC"/>
    <w:rsid w:val="00DE19E9"/>
    <w:rsid w:val="00DE1AFB"/>
    <w:rsid w:val="00DE7AB0"/>
    <w:rsid w:val="00E01AF1"/>
    <w:rsid w:val="00E03875"/>
    <w:rsid w:val="00E05E9E"/>
    <w:rsid w:val="00E16140"/>
    <w:rsid w:val="00E1645D"/>
    <w:rsid w:val="00E235D7"/>
    <w:rsid w:val="00E30505"/>
    <w:rsid w:val="00E31C2C"/>
    <w:rsid w:val="00E4480C"/>
    <w:rsid w:val="00E46C8F"/>
    <w:rsid w:val="00E53916"/>
    <w:rsid w:val="00E560B3"/>
    <w:rsid w:val="00E577D5"/>
    <w:rsid w:val="00E62D14"/>
    <w:rsid w:val="00E64A0B"/>
    <w:rsid w:val="00E65448"/>
    <w:rsid w:val="00E67774"/>
    <w:rsid w:val="00E70F76"/>
    <w:rsid w:val="00E7722D"/>
    <w:rsid w:val="00E87854"/>
    <w:rsid w:val="00E9367F"/>
    <w:rsid w:val="00E9781B"/>
    <w:rsid w:val="00E97F89"/>
    <w:rsid w:val="00EA02CE"/>
    <w:rsid w:val="00EA3A2C"/>
    <w:rsid w:val="00EA3E95"/>
    <w:rsid w:val="00EA5473"/>
    <w:rsid w:val="00EA6006"/>
    <w:rsid w:val="00EB70F4"/>
    <w:rsid w:val="00ED1620"/>
    <w:rsid w:val="00ED361B"/>
    <w:rsid w:val="00ED4517"/>
    <w:rsid w:val="00EE0C5C"/>
    <w:rsid w:val="00EE11E9"/>
    <w:rsid w:val="00EE1FEA"/>
    <w:rsid w:val="00EE50C3"/>
    <w:rsid w:val="00EF1E59"/>
    <w:rsid w:val="00EF63A1"/>
    <w:rsid w:val="00EF7F68"/>
    <w:rsid w:val="00F011E8"/>
    <w:rsid w:val="00F01FD5"/>
    <w:rsid w:val="00F021D6"/>
    <w:rsid w:val="00F022DE"/>
    <w:rsid w:val="00F11C4F"/>
    <w:rsid w:val="00F13674"/>
    <w:rsid w:val="00F32858"/>
    <w:rsid w:val="00F3500C"/>
    <w:rsid w:val="00F36CA8"/>
    <w:rsid w:val="00F40522"/>
    <w:rsid w:val="00F410EE"/>
    <w:rsid w:val="00F41335"/>
    <w:rsid w:val="00F442FA"/>
    <w:rsid w:val="00F44DC0"/>
    <w:rsid w:val="00F455FF"/>
    <w:rsid w:val="00F461EE"/>
    <w:rsid w:val="00F524F8"/>
    <w:rsid w:val="00F557E5"/>
    <w:rsid w:val="00F6085A"/>
    <w:rsid w:val="00F655A9"/>
    <w:rsid w:val="00F656E2"/>
    <w:rsid w:val="00F72968"/>
    <w:rsid w:val="00F82742"/>
    <w:rsid w:val="00F904A8"/>
    <w:rsid w:val="00F904EB"/>
    <w:rsid w:val="00FA0CEE"/>
    <w:rsid w:val="00FA2D8C"/>
    <w:rsid w:val="00FA4A73"/>
    <w:rsid w:val="00FA6AD0"/>
    <w:rsid w:val="00FA7872"/>
    <w:rsid w:val="00FB278C"/>
    <w:rsid w:val="00FC5EFC"/>
    <w:rsid w:val="00FD1697"/>
    <w:rsid w:val="00FD3C22"/>
    <w:rsid w:val="00FE240E"/>
    <w:rsid w:val="00FE4477"/>
    <w:rsid w:val="00FE6569"/>
    <w:rsid w:val="00FF50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7FF4"/>
    <w:pPr>
      <w:keepNext/>
      <w:keepLines/>
      <w:spacing w:before="240" w:after="240"/>
      <w:outlineLvl w:val="0"/>
    </w:pPr>
    <w:rPr>
      <w:rFonts w:eastAsiaTheme="majorEastAsia"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C51"/>
    <w:pPr>
      <w:ind w:left="720"/>
      <w:contextualSpacing/>
    </w:pPr>
  </w:style>
  <w:style w:type="character" w:styleId="CommentReference">
    <w:name w:val="annotation reference"/>
    <w:basedOn w:val="DefaultParagraphFont"/>
    <w:uiPriority w:val="99"/>
    <w:semiHidden/>
    <w:unhideWhenUsed/>
    <w:rsid w:val="007600FD"/>
    <w:rPr>
      <w:sz w:val="16"/>
      <w:szCs w:val="16"/>
    </w:rPr>
  </w:style>
  <w:style w:type="paragraph" w:styleId="CommentText">
    <w:name w:val="annotation text"/>
    <w:basedOn w:val="Normal"/>
    <w:link w:val="CommentTextChar"/>
    <w:uiPriority w:val="99"/>
    <w:semiHidden/>
    <w:unhideWhenUsed/>
    <w:rsid w:val="007600FD"/>
    <w:pPr>
      <w:spacing w:line="240" w:lineRule="auto"/>
    </w:pPr>
    <w:rPr>
      <w:sz w:val="20"/>
      <w:szCs w:val="20"/>
    </w:rPr>
  </w:style>
  <w:style w:type="character" w:customStyle="1" w:styleId="CommentTextChar">
    <w:name w:val="Comment Text Char"/>
    <w:basedOn w:val="DefaultParagraphFont"/>
    <w:link w:val="CommentText"/>
    <w:uiPriority w:val="99"/>
    <w:semiHidden/>
    <w:rsid w:val="007600FD"/>
    <w:rPr>
      <w:sz w:val="20"/>
      <w:szCs w:val="20"/>
    </w:rPr>
  </w:style>
  <w:style w:type="paragraph" w:styleId="CommentSubject">
    <w:name w:val="annotation subject"/>
    <w:basedOn w:val="CommentText"/>
    <w:next w:val="CommentText"/>
    <w:link w:val="CommentSubjectChar"/>
    <w:uiPriority w:val="99"/>
    <w:semiHidden/>
    <w:unhideWhenUsed/>
    <w:rsid w:val="007600FD"/>
    <w:rPr>
      <w:b/>
      <w:bCs/>
    </w:rPr>
  </w:style>
  <w:style w:type="character" w:customStyle="1" w:styleId="CommentSubjectChar">
    <w:name w:val="Comment Subject Char"/>
    <w:basedOn w:val="CommentTextChar"/>
    <w:link w:val="CommentSubject"/>
    <w:uiPriority w:val="99"/>
    <w:semiHidden/>
    <w:rsid w:val="007600FD"/>
    <w:rPr>
      <w:b/>
      <w:bCs/>
      <w:sz w:val="20"/>
      <w:szCs w:val="20"/>
    </w:rPr>
  </w:style>
  <w:style w:type="paragraph" w:styleId="BalloonText">
    <w:name w:val="Balloon Text"/>
    <w:basedOn w:val="Normal"/>
    <w:link w:val="BalloonTextChar"/>
    <w:uiPriority w:val="99"/>
    <w:semiHidden/>
    <w:unhideWhenUsed/>
    <w:rsid w:val="00760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0FD"/>
    <w:rPr>
      <w:rFonts w:ascii="Tahoma" w:hAnsi="Tahoma" w:cs="Tahoma"/>
      <w:sz w:val="16"/>
      <w:szCs w:val="16"/>
    </w:rPr>
  </w:style>
  <w:style w:type="paragraph" w:styleId="Header">
    <w:name w:val="header"/>
    <w:basedOn w:val="Normal"/>
    <w:link w:val="HeaderChar"/>
    <w:uiPriority w:val="99"/>
    <w:unhideWhenUsed/>
    <w:rsid w:val="00116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B9"/>
  </w:style>
  <w:style w:type="paragraph" w:styleId="Footer">
    <w:name w:val="footer"/>
    <w:basedOn w:val="Normal"/>
    <w:link w:val="FooterChar"/>
    <w:uiPriority w:val="99"/>
    <w:unhideWhenUsed/>
    <w:rsid w:val="00116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B9"/>
  </w:style>
  <w:style w:type="paragraph" w:styleId="TOC1">
    <w:name w:val="toc 1"/>
    <w:basedOn w:val="Normal"/>
    <w:next w:val="Normal"/>
    <w:autoRedefine/>
    <w:uiPriority w:val="39"/>
    <w:unhideWhenUsed/>
    <w:rsid w:val="001163B9"/>
    <w:pPr>
      <w:spacing w:after="100"/>
    </w:pPr>
  </w:style>
  <w:style w:type="character" w:styleId="Hyperlink">
    <w:name w:val="Hyperlink"/>
    <w:basedOn w:val="DefaultParagraphFont"/>
    <w:uiPriority w:val="99"/>
    <w:unhideWhenUsed/>
    <w:rsid w:val="001163B9"/>
    <w:rPr>
      <w:color w:val="0000FF" w:themeColor="hyperlink"/>
      <w:u w:val="single"/>
    </w:rPr>
  </w:style>
  <w:style w:type="character" w:customStyle="1" w:styleId="Heading1Char">
    <w:name w:val="Heading 1 Char"/>
    <w:basedOn w:val="DefaultParagraphFont"/>
    <w:link w:val="Heading1"/>
    <w:rsid w:val="00D27FF4"/>
    <w:rPr>
      <w:rFonts w:eastAsiaTheme="majorEastAsia" w:cstheme="majorBidi"/>
      <w:b/>
      <w:bCs/>
      <w:color w:val="365F91" w:themeColor="accent1" w:themeShade="BF"/>
      <w:sz w:val="32"/>
      <w:szCs w:val="28"/>
    </w:rPr>
  </w:style>
  <w:style w:type="character" w:customStyle="1" w:styleId="StyleCalibri16ptBoldCustomColorRGB2287136">
    <w:name w:val="Style Calibri 16 pt Bold Custom Color(RGB(2287136))"/>
    <w:basedOn w:val="DefaultParagraphFont"/>
    <w:rsid w:val="00D27FF4"/>
    <w:rPr>
      <w:rFonts w:ascii="Calibri" w:hAnsi="Calibri"/>
      <w:b/>
      <w:bCs/>
      <w:color w:val="165788"/>
      <w:sz w:val="32"/>
    </w:rPr>
  </w:style>
  <w:style w:type="paragraph" w:styleId="PlainText">
    <w:name w:val="Plain Text"/>
    <w:basedOn w:val="Normal"/>
    <w:link w:val="PlainTextChar"/>
    <w:uiPriority w:val="99"/>
    <w:unhideWhenUsed/>
    <w:rsid w:val="00D362A2"/>
    <w:pPr>
      <w:spacing w:before="120" w:after="120" w:line="240" w:lineRule="auto"/>
    </w:pPr>
    <w:rPr>
      <w:rFonts w:ascii="Calibri" w:hAnsi="Calibri" w:cs="Consolas"/>
      <w:szCs w:val="21"/>
    </w:rPr>
  </w:style>
  <w:style w:type="character" w:customStyle="1" w:styleId="PlainTextChar">
    <w:name w:val="Plain Text Char"/>
    <w:basedOn w:val="DefaultParagraphFont"/>
    <w:link w:val="PlainText"/>
    <w:uiPriority w:val="99"/>
    <w:rsid w:val="00D362A2"/>
    <w:rPr>
      <w:rFonts w:ascii="Calibri" w:hAnsi="Calibri" w:cs="Consolas"/>
      <w:szCs w:val="21"/>
    </w:rPr>
  </w:style>
  <w:style w:type="paragraph" w:styleId="FootnoteText">
    <w:name w:val="footnote text"/>
    <w:basedOn w:val="Normal"/>
    <w:link w:val="FootnoteTextChar"/>
    <w:uiPriority w:val="99"/>
    <w:semiHidden/>
    <w:unhideWhenUsed/>
    <w:rsid w:val="00284ABA"/>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284ABA"/>
    <w:rPr>
      <w:rFonts w:eastAsiaTheme="minorEastAsia"/>
      <w:sz w:val="20"/>
      <w:szCs w:val="20"/>
      <w:lang w:eastAsia="zh-CN"/>
    </w:rPr>
  </w:style>
  <w:style w:type="character" w:styleId="FootnoteReference">
    <w:name w:val="footnote reference"/>
    <w:basedOn w:val="DefaultParagraphFont"/>
    <w:uiPriority w:val="99"/>
    <w:semiHidden/>
    <w:unhideWhenUsed/>
    <w:rsid w:val="00284A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7FF4"/>
    <w:pPr>
      <w:keepNext/>
      <w:keepLines/>
      <w:spacing w:before="240" w:after="240"/>
      <w:outlineLvl w:val="0"/>
    </w:pPr>
    <w:rPr>
      <w:rFonts w:eastAsiaTheme="majorEastAsia"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C51"/>
    <w:pPr>
      <w:ind w:left="720"/>
      <w:contextualSpacing/>
    </w:pPr>
  </w:style>
  <w:style w:type="character" w:styleId="CommentReference">
    <w:name w:val="annotation reference"/>
    <w:basedOn w:val="DefaultParagraphFont"/>
    <w:uiPriority w:val="99"/>
    <w:semiHidden/>
    <w:unhideWhenUsed/>
    <w:rsid w:val="007600FD"/>
    <w:rPr>
      <w:sz w:val="16"/>
      <w:szCs w:val="16"/>
    </w:rPr>
  </w:style>
  <w:style w:type="paragraph" w:styleId="CommentText">
    <w:name w:val="annotation text"/>
    <w:basedOn w:val="Normal"/>
    <w:link w:val="CommentTextChar"/>
    <w:uiPriority w:val="99"/>
    <w:semiHidden/>
    <w:unhideWhenUsed/>
    <w:rsid w:val="007600FD"/>
    <w:pPr>
      <w:spacing w:line="240" w:lineRule="auto"/>
    </w:pPr>
    <w:rPr>
      <w:sz w:val="20"/>
      <w:szCs w:val="20"/>
    </w:rPr>
  </w:style>
  <w:style w:type="character" w:customStyle="1" w:styleId="CommentTextChar">
    <w:name w:val="Comment Text Char"/>
    <w:basedOn w:val="DefaultParagraphFont"/>
    <w:link w:val="CommentText"/>
    <w:uiPriority w:val="99"/>
    <w:semiHidden/>
    <w:rsid w:val="007600FD"/>
    <w:rPr>
      <w:sz w:val="20"/>
      <w:szCs w:val="20"/>
    </w:rPr>
  </w:style>
  <w:style w:type="paragraph" w:styleId="CommentSubject">
    <w:name w:val="annotation subject"/>
    <w:basedOn w:val="CommentText"/>
    <w:next w:val="CommentText"/>
    <w:link w:val="CommentSubjectChar"/>
    <w:uiPriority w:val="99"/>
    <w:semiHidden/>
    <w:unhideWhenUsed/>
    <w:rsid w:val="007600FD"/>
    <w:rPr>
      <w:b/>
      <w:bCs/>
    </w:rPr>
  </w:style>
  <w:style w:type="character" w:customStyle="1" w:styleId="CommentSubjectChar">
    <w:name w:val="Comment Subject Char"/>
    <w:basedOn w:val="CommentTextChar"/>
    <w:link w:val="CommentSubject"/>
    <w:uiPriority w:val="99"/>
    <w:semiHidden/>
    <w:rsid w:val="007600FD"/>
    <w:rPr>
      <w:b/>
      <w:bCs/>
      <w:sz w:val="20"/>
      <w:szCs w:val="20"/>
    </w:rPr>
  </w:style>
  <w:style w:type="paragraph" w:styleId="BalloonText">
    <w:name w:val="Balloon Text"/>
    <w:basedOn w:val="Normal"/>
    <w:link w:val="BalloonTextChar"/>
    <w:uiPriority w:val="99"/>
    <w:semiHidden/>
    <w:unhideWhenUsed/>
    <w:rsid w:val="00760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0FD"/>
    <w:rPr>
      <w:rFonts w:ascii="Tahoma" w:hAnsi="Tahoma" w:cs="Tahoma"/>
      <w:sz w:val="16"/>
      <w:szCs w:val="16"/>
    </w:rPr>
  </w:style>
  <w:style w:type="paragraph" w:styleId="Header">
    <w:name w:val="header"/>
    <w:basedOn w:val="Normal"/>
    <w:link w:val="HeaderChar"/>
    <w:uiPriority w:val="99"/>
    <w:unhideWhenUsed/>
    <w:rsid w:val="00116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B9"/>
  </w:style>
  <w:style w:type="paragraph" w:styleId="Footer">
    <w:name w:val="footer"/>
    <w:basedOn w:val="Normal"/>
    <w:link w:val="FooterChar"/>
    <w:uiPriority w:val="99"/>
    <w:unhideWhenUsed/>
    <w:rsid w:val="00116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B9"/>
  </w:style>
  <w:style w:type="paragraph" w:styleId="TOC1">
    <w:name w:val="toc 1"/>
    <w:basedOn w:val="Normal"/>
    <w:next w:val="Normal"/>
    <w:autoRedefine/>
    <w:uiPriority w:val="39"/>
    <w:unhideWhenUsed/>
    <w:rsid w:val="001163B9"/>
    <w:pPr>
      <w:spacing w:after="100"/>
    </w:pPr>
  </w:style>
  <w:style w:type="character" w:styleId="Hyperlink">
    <w:name w:val="Hyperlink"/>
    <w:basedOn w:val="DefaultParagraphFont"/>
    <w:uiPriority w:val="99"/>
    <w:unhideWhenUsed/>
    <w:rsid w:val="001163B9"/>
    <w:rPr>
      <w:color w:val="0000FF" w:themeColor="hyperlink"/>
      <w:u w:val="single"/>
    </w:rPr>
  </w:style>
  <w:style w:type="character" w:customStyle="1" w:styleId="Heading1Char">
    <w:name w:val="Heading 1 Char"/>
    <w:basedOn w:val="DefaultParagraphFont"/>
    <w:link w:val="Heading1"/>
    <w:rsid w:val="00D27FF4"/>
    <w:rPr>
      <w:rFonts w:eastAsiaTheme="majorEastAsia" w:cstheme="majorBidi"/>
      <w:b/>
      <w:bCs/>
      <w:color w:val="365F91" w:themeColor="accent1" w:themeShade="BF"/>
      <w:sz w:val="32"/>
      <w:szCs w:val="28"/>
    </w:rPr>
  </w:style>
  <w:style w:type="character" w:customStyle="1" w:styleId="StyleCalibri16ptBoldCustomColorRGB2287136">
    <w:name w:val="Style Calibri 16 pt Bold Custom Color(RGB(2287136))"/>
    <w:basedOn w:val="DefaultParagraphFont"/>
    <w:rsid w:val="00D27FF4"/>
    <w:rPr>
      <w:rFonts w:ascii="Calibri" w:hAnsi="Calibri"/>
      <w:b/>
      <w:bCs/>
      <w:color w:val="165788"/>
      <w:sz w:val="32"/>
    </w:rPr>
  </w:style>
  <w:style w:type="paragraph" w:styleId="PlainText">
    <w:name w:val="Plain Text"/>
    <w:basedOn w:val="Normal"/>
    <w:link w:val="PlainTextChar"/>
    <w:uiPriority w:val="99"/>
    <w:unhideWhenUsed/>
    <w:rsid w:val="00D362A2"/>
    <w:pPr>
      <w:spacing w:before="120" w:after="120" w:line="240" w:lineRule="auto"/>
    </w:pPr>
    <w:rPr>
      <w:rFonts w:ascii="Calibri" w:hAnsi="Calibri" w:cs="Consolas"/>
      <w:szCs w:val="21"/>
    </w:rPr>
  </w:style>
  <w:style w:type="character" w:customStyle="1" w:styleId="PlainTextChar">
    <w:name w:val="Plain Text Char"/>
    <w:basedOn w:val="DefaultParagraphFont"/>
    <w:link w:val="PlainText"/>
    <w:uiPriority w:val="99"/>
    <w:rsid w:val="00D362A2"/>
    <w:rPr>
      <w:rFonts w:ascii="Calibri" w:hAnsi="Calibri" w:cs="Consolas"/>
      <w:szCs w:val="21"/>
    </w:rPr>
  </w:style>
  <w:style w:type="paragraph" w:styleId="FootnoteText">
    <w:name w:val="footnote text"/>
    <w:basedOn w:val="Normal"/>
    <w:link w:val="FootnoteTextChar"/>
    <w:uiPriority w:val="99"/>
    <w:semiHidden/>
    <w:unhideWhenUsed/>
    <w:rsid w:val="00284ABA"/>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284ABA"/>
    <w:rPr>
      <w:rFonts w:eastAsiaTheme="minorEastAsia"/>
      <w:sz w:val="20"/>
      <w:szCs w:val="20"/>
      <w:lang w:eastAsia="zh-CN"/>
    </w:rPr>
  </w:style>
  <w:style w:type="character" w:styleId="FootnoteReference">
    <w:name w:val="footnote reference"/>
    <w:basedOn w:val="DefaultParagraphFont"/>
    <w:uiPriority w:val="99"/>
    <w:semiHidden/>
    <w:unhideWhenUsed/>
    <w:rsid w:val="00284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6393">
      <w:bodyDiv w:val="1"/>
      <w:marLeft w:val="0"/>
      <w:marRight w:val="0"/>
      <w:marTop w:val="0"/>
      <w:marBottom w:val="0"/>
      <w:divBdr>
        <w:top w:val="none" w:sz="0" w:space="0" w:color="auto"/>
        <w:left w:val="none" w:sz="0" w:space="0" w:color="auto"/>
        <w:bottom w:val="none" w:sz="0" w:space="0" w:color="auto"/>
        <w:right w:val="none" w:sz="0" w:space="0" w:color="auto"/>
      </w:divBdr>
    </w:div>
    <w:div w:id="284623215">
      <w:bodyDiv w:val="1"/>
      <w:marLeft w:val="0"/>
      <w:marRight w:val="0"/>
      <w:marTop w:val="0"/>
      <w:marBottom w:val="0"/>
      <w:divBdr>
        <w:top w:val="none" w:sz="0" w:space="0" w:color="auto"/>
        <w:left w:val="none" w:sz="0" w:space="0" w:color="auto"/>
        <w:bottom w:val="none" w:sz="0" w:space="0" w:color="auto"/>
        <w:right w:val="none" w:sz="0" w:space="0" w:color="auto"/>
      </w:divBdr>
    </w:div>
    <w:div w:id="298462048">
      <w:bodyDiv w:val="1"/>
      <w:marLeft w:val="0"/>
      <w:marRight w:val="0"/>
      <w:marTop w:val="0"/>
      <w:marBottom w:val="0"/>
      <w:divBdr>
        <w:top w:val="none" w:sz="0" w:space="0" w:color="auto"/>
        <w:left w:val="none" w:sz="0" w:space="0" w:color="auto"/>
        <w:bottom w:val="none" w:sz="0" w:space="0" w:color="auto"/>
        <w:right w:val="none" w:sz="0" w:space="0" w:color="auto"/>
      </w:divBdr>
    </w:div>
    <w:div w:id="430782378">
      <w:bodyDiv w:val="1"/>
      <w:marLeft w:val="0"/>
      <w:marRight w:val="0"/>
      <w:marTop w:val="0"/>
      <w:marBottom w:val="0"/>
      <w:divBdr>
        <w:top w:val="none" w:sz="0" w:space="0" w:color="auto"/>
        <w:left w:val="none" w:sz="0" w:space="0" w:color="auto"/>
        <w:bottom w:val="none" w:sz="0" w:space="0" w:color="auto"/>
        <w:right w:val="none" w:sz="0" w:space="0" w:color="auto"/>
      </w:divBdr>
    </w:div>
    <w:div w:id="561214563">
      <w:bodyDiv w:val="1"/>
      <w:marLeft w:val="0"/>
      <w:marRight w:val="0"/>
      <w:marTop w:val="0"/>
      <w:marBottom w:val="0"/>
      <w:divBdr>
        <w:top w:val="none" w:sz="0" w:space="0" w:color="auto"/>
        <w:left w:val="none" w:sz="0" w:space="0" w:color="auto"/>
        <w:bottom w:val="none" w:sz="0" w:space="0" w:color="auto"/>
        <w:right w:val="none" w:sz="0" w:space="0" w:color="auto"/>
      </w:divBdr>
    </w:div>
    <w:div w:id="1124544671">
      <w:bodyDiv w:val="1"/>
      <w:marLeft w:val="0"/>
      <w:marRight w:val="0"/>
      <w:marTop w:val="0"/>
      <w:marBottom w:val="0"/>
      <w:divBdr>
        <w:top w:val="none" w:sz="0" w:space="0" w:color="auto"/>
        <w:left w:val="none" w:sz="0" w:space="0" w:color="auto"/>
        <w:bottom w:val="none" w:sz="0" w:space="0" w:color="auto"/>
        <w:right w:val="none" w:sz="0" w:space="0" w:color="auto"/>
      </w:divBdr>
    </w:div>
    <w:div w:id="1708794444">
      <w:bodyDiv w:val="1"/>
      <w:marLeft w:val="0"/>
      <w:marRight w:val="0"/>
      <w:marTop w:val="0"/>
      <w:marBottom w:val="0"/>
      <w:divBdr>
        <w:top w:val="none" w:sz="0" w:space="0" w:color="auto"/>
        <w:left w:val="none" w:sz="0" w:space="0" w:color="auto"/>
        <w:bottom w:val="none" w:sz="0" w:space="0" w:color="auto"/>
        <w:right w:val="none" w:sz="0" w:space="0" w:color="auto"/>
      </w:divBdr>
    </w:div>
    <w:div w:id="1732728440">
      <w:bodyDiv w:val="1"/>
      <w:marLeft w:val="0"/>
      <w:marRight w:val="0"/>
      <w:marTop w:val="0"/>
      <w:marBottom w:val="0"/>
      <w:divBdr>
        <w:top w:val="none" w:sz="0" w:space="0" w:color="auto"/>
        <w:left w:val="none" w:sz="0" w:space="0" w:color="auto"/>
        <w:bottom w:val="none" w:sz="0" w:space="0" w:color="auto"/>
        <w:right w:val="none" w:sz="0" w:space="0" w:color="auto"/>
      </w:divBdr>
    </w:div>
    <w:div w:id="1954480950">
      <w:bodyDiv w:val="1"/>
      <w:marLeft w:val="0"/>
      <w:marRight w:val="0"/>
      <w:marTop w:val="0"/>
      <w:marBottom w:val="0"/>
      <w:divBdr>
        <w:top w:val="none" w:sz="0" w:space="0" w:color="auto"/>
        <w:left w:val="none" w:sz="0" w:space="0" w:color="auto"/>
        <w:bottom w:val="none" w:sz="0" w:space="0" w:color="auto"/>
        <w:right w:val="none" w:sz="0" w:space="0" w:color="auto"/>
      </w:divBdr>
    </w:div>
    <w:div w:id="2039237765">
      <w:bodyDiv w:val="1"/>
      <w:marLeft w:val="0"/>
      <w:marRight w:val="0"/>
      <w:marTop w:val="0"/>
      <w:marBottom w:val="0"/>
      <w:divBdr>
        <w:top w:val="none" w:sz="0" w:space="0" w:color="auto"/>
        <w:left w:val="none" w:sz="0" w:space="0" w:color="auto"/>
        <w:bottom w:val="none" w:sz="0" w:space="0" w:color="auto"/>
        <w:right w:val="none" w:sz="0" w:space="0" w:color="auto"/>
      </w:divBdr>
    </w:div>
    <w:div w:id="21307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niversity-statistics@education.gov.au" TargetMode="External"/><Relationship Id="rId20" Type="http://schemas.openxmlformats.org/officeDocument/2006/relationships/image" Target="media/image4.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A9E8E-1538-44CC-99EE-D5B660F5CCE3}"/>
</file>

<file path=customXml/itemProps2.xml><?xml version="1.0" encoding="utf-8"?>
<ds:datastoreItem xmlns:ds="http://schemas.openxmlformats.org/officeDocument/2006/customXml" ds:itemID="{666F9D42-2DB8-48A1-A280-16F3771F2D82}"/>
</file>

<file path=customXml/itemProps3.xml><?xml version="1.0" encoding="utf-8"?>
<ds:datastoreItem xmlns:ds="http://schemas.openxmlformats.org/officeDocument/2006/customXml" ds:itemID="{2758DFA5-F9F5-41A6-8058-07DDE7E7D011}"/>
</file>

<file path=customXml/itemProps4.xml><?xml version="1.0" encoding="utf-8"?>
<ds:datastoreItem xmlns:ds="http://schemas.openxmlformats.org/officeDocument/2006/customXml" ds:itemID="{1F7E1707-DC01-4982-8F99-622C8F626226}"/>
</file>

<file path=docProps/app.xml><?xml version="1.0" encoding="utf-8"?>
<Properties xmlns="http://schemas.openxmlformats.org/officeDocument/2006/extended-properties" xmlns:vt="http://schemas.openxmlformats.org/officeDocument/2006/docPropsVTypes">
  <Template>56C68A90.dotm</Template>
  <TotalTime>251</TotalTime>
  <Pages>25</Pages>
  <Words>4742</Words>
  <Characters>27035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31714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Rikhi, Puneet</dc:creator>
  <cp:lastModifiedBy>Claire Hoffman</cp:lastModifiedBy>
  <cp:revision>26</cp:revision>
  <cp:lastPrinted>2015-03-27T00:00:00Z</cp:lastPrinted>
  <dcterms:created xsi:type="dcterms:W3CDTF">2014-03-04T05:38:00Z</dcterms:created>
  <dcterms:modified xsi:type="dcterms:W3CDTF">2015-03-27T00:08:00Z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