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56"/>
        <w:tblW w:w="5000" w:type="pct"/>
        <w:tblLook w:val="04A0" w:firstRow="1" w:lastRow="0" w:firstColumn="1" w:lastColumn="0" w:noHBand="0" w:noVBand="1"/>
      </w:tblPr>
      <w:tblGrid>
        <w:gridCol w:w="1074"/>
        <w:gridCol w:w="567"/>
        <w:gridCol w:w="897"/>
        <w:gridCol w:w="1086"/>
        <w:gridCol w:w="730"/>
        <w:gridCol w:w="728"/>
        <w:gridCol w:w="728"/>
        <w:gridCol w:w="608"/>
        <w:gridCol w:w="1085"/>
        <w:gridCol w:w="729"/>
        <w:gridCol w:w="728"/>
        <w:gridCol w:w="728"/>
        <w:gridCol w:w="608"/>
        <w:gridCol w:w="1085"/>
        <w:gridCol w:w="729"/>
        <w:gridCol w:w="728"/>
        <w:gridCol w:w="728"/>
        <w:gridCol w:w="608"/>
      </w:tblGrid>
      <w:tr w:rsidR="000E5185" w:rsidRPr="000E5185" w:rsidTr="000E5185">
        <w:trPr>
          <w:trHeight w:val="900"/>
        </w:trPr>
        <w:tc>
          <w:tcPr>
            <w:tcW w:w="5000" w:type="pct"/>
            <w:gridSpan w:val="18"/>
            <w:tcBorders>
              <w:top w:val="nil"/>
              <w:left w:val="nil"/>
              <w:bottom w:val="nil"/>
              <w:right w:val="nil"/>
            </w:tcBorders>
            <w:hideMark/>
          </w:tcPr>
          <w:p w:rsidR="000E5185" w:rsidRPr="000E5185" w:rsidRDefault="000E5185" w:rsidP="000E5185">
            <w:pPr>
              <w:spacing w:after="0" w:line="240" w:lineRule="auto"/>
              <w:rPr>
                <w:rFonts w:ascii="Calibri" w:hAnsi="Calibri" w:cs="Calibri"/>
                <w:color w:val="000000"/>
                <w:lang w:eastAsia="en-AU"/>
              </w:rPr>
            </w:pPr>
            <w:bookmarkStart w:id="0" w:name="RANGE!A1:R52"/>
            <w:bookmarkStart w:id="1" w:name="_GoBack"/>
            <w:bookmarkEnd w:id="0"/>
            <w:bookmarkEnd w:id="1"/>
            <w:r w:rsidRPr="000E5185">
              <w:rPr>
                <w:rFonts w:ascii="Calibri" w:hAnsi="Calibri" w:cs="Calibri"/>
                <w:color w:val="000000"/>
                <w:lang w:eastAsia="en-AU"/>
              </w:rPr>
              <w:t>Clause 20 of the Low SES School Communities National Partnership (NP) Agreement provides for reporting on outcomes for identified cohorts, where possible and appropriate. Identified cohorts could include but is not limited to Indigenous students and students from a non-English speaking background. Clause 20 allows for indicators for these students to include numbers of students achieving high-end results and number of students achieving low-end results across a range of subjects and extra-curricula offerings.</w:t>
            </w: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1536" w:type="pct"/>
            <w:gridSpan w:val="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In providing these data, jurisdictions should note that:</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5000" w:type="pct"/>
            <w:gridSpan w:val="18"/>
            <w:tcBorders>
              <w:top w:val="nil"/>
              <w:left w:val="nil"/>
              <w:bottom w:val="nil"/>
              <w:right w:val="nil"/>
            </w:tcBorders>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The proposed data sets below are available through existing National Assessment Program - Literacy and Numeracy (NAPLAN) data collection mechanisms and meet the broad intent of Clause 20.</w:t>
            </w: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These data do not represent performance targets, only broad indicators of progress as a result of the Low SES NP investment. </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The data will not be sought at the level of individual schools, only an aggregate for the identified sub populations of students participating in the NP.</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4272" w:type="pct"/>
            <w:gridSpan w:val="15"/>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State and territories will also be able to report against other performance indicators as agreed in Bilateral Agreements and Implementation Plans in Section 8 of this report.</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2050" w:type="pct"/>
            <w:gridSpan w:val="7"/>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To remain consistent with national reporting, jurisdictions should note that:</w:t>
            </w: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585"/>
        </w:trPr>
        <w:tc>
          <w:tcPr>
            <w:tcW w:w="5000" w:type="pct"/>
            <w:gridSpan w:val="18"/>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w:t>
            </w:r>
            <w:r w:rsidRPr="000E5185">
              <w:rPr>
                <w:rFonts w:ascii="Calibri" w:hAnsi="Calibri" w:cs="Calibri"/>
                <w:b/>
                <w:bCs/>
                <w:color w:val="000000"/>
                <w:lang w:eastAsia="en-AU"/>
              </w:rPr>
              <w:t>Participation Rate</w:t>
            </w:r>
            <w:r w:rsidRPr="000E5185">
              <w:rPr>
                <w:rFonts w:ascii="Calibri" w:hAnsi="Calibri" w:cs="Calibri"/>
                <w:color w:val="000000"/>
                <w:lang w:eastAsia="en-AU"/>
              </w:rPr>
              <w:t xml:space="preserve"> are calculated as all assessed and exempt students as a percentage of the total number of students in the year level, as reported by schools, which includes those absent and withdrawn.</w:t>
            </w: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w:t>
            </w:r>
            <w:r w:rsidRPr="000E5185">
              <w:rPr>
                <w:rFonts w:ascii="Calibri" w:hAnsi="Calibri" w:cs="Calibri"/>
                <w:b/>
                <w:bCs/>
                <w:color w:val="000000"/>
                <w:lang w:eastAsia="en-AU"/>
              </w:rPr>
              <w:t>Exempt students</w:t>
            </w:r>
            <w:r w:rsidRPr="000E5185">
              <w:rPr>
                <w:rFonts w:ascii="Calibri" w:hAnsi="Calibri" w:cs="Calibri"/>
                <w:color w:val="000000"/>
                <w:lang w:eastAsia="en-AU"/>
              </w:rPr>
              <w:t xml:space="preserve"> are defined as those who were not assessed and are deemed not to have met the national minimum standard.</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w:t>
            </w:r>
            <w:r w:rsidRPr="000E5185">
              <w:rPr>
                <w:rFonts w:ascii="Calibri" w:hAnsi="Calibri" w:cs="Calibri"/>
                <w:b/>
                <w:bCs/>
                <w:color w:val="000000"/>
                <w:lang w:eastAsia="en-AU"/>
              </w:rPr>
              <w:t>Weighted Likelihood Estimates</w:t>
            </w:r>
            <w:r w:rsidRPr="000E5185">
              <w:rPr>
                <w:rFonts w:ascii="Calibri" w:hAnsi="Calibri" w:cs="Calibri"/>
                <w:color w:val="000000"/>
                <w:lang w:eastAsia="en-AU"/>
              </w:rPr>
              <w:t xml:space="preserve"> are to be used to calculate figures for the Bottom Two Bands and Mean Scale Score.</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w:t>
            </w:r>
            <w:r w:rsidRPr="000E5185">
              <w:rPr>
                <w:rFonts w:ascii="Calibri" w:hAnsi="Calibri" w:cs="Calibri"/>
                <w:b/>
                <w:bCs/>
                <w:color w:val="000000"/>
                <w:lang w:eastAsia="en-AU"/>
              </w:rPr>
              <w:t>95% confidence intervals</w:t>
            </w:r>
            <w:r w:rsidRPr="000E5185">
              <w:rPr>
                <w:rFonts w:ascii="Calibri" w:hAnsi="Calibri" w:cs="Calibri"/>
                <w:color w:val="000000"/>
                <w:lang w:eastAsia="en-AU"/>
              </w:rPr>
              <w:t xml:space="preserve"> are to be reported for the Bottom Two Bands and Mean Scale Score figures (where possible).</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4272" w:type="pct"/>
            <w:gridSpan w:val="15"/>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      All data, including percentages should be expressed to </w:t>
            </w:r>
            <w:r w:rsidRPr="000E5185">
              <w:rPr>
                <w:rFonts w:ascii="Calibri" w:hAnsi="Calibri" w:cs="Calibri"/>
                <w:b/>
                <w:bCs/>
                <w:color w:val="000000"/>
                <w:lang w:eastAsia="en-AU"/>
              </w:rPr>
              <w:t>one decimal place</w:t>
            </w:r>
            <w:r w:rsidRPr="000E5185">
              <w:rPr>
                <w:rFonts w:ascii="Calibri" w:hAnsi="Calibri" w:cs="Calibri"/>
                <w:color w:val="000000"/>
                <w:lang w:eastAsia="en-AU"/>
              </w:rPr>
              <w:t>.</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12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12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45"/>
        </w:trPr>
        <w:tc>
          <w:tcPr>
            <w:tcW w:w="4529" w:type="pct"/>
            <w:gridSpan w:val="16"/>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b/>
                <w:bCs/>
                <w:color w:val="000000"/>
                <w:sz w:val="26"/>
                <w:szCs w:val="26"/>
                <w:lang w:eastAsia="en-AU"/>
              </w:rPr>
            </w:pPr>
            <w:r w:rsidRPr="000E5185">
              <w:rPr>
                <w:rFonts w:ascii="Calibri" w:hAnsi="Calibri" w:cs="Calibri"/>
                <w:b/>
                <w:bCs/>
                <w:color w:val="000000"/>
                <w:sz w:val="26"/>
                <w:szCs w:val="26"/>
                <w:lang w:eastAsia="en-AU"/>
              </w:rPr>
              <w:t>Schools participating from 2009 – 2012 will report Reading and Numeracy results for Years 3, 5, 7 and 9 students using NAPLAN:</w:t>
            </w: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b/>
                <w:bCs/>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1369" w:type="pct"/>
            <w:gridSpan w:val="5"/>
            <w:tcBorders>
              <w:top w:val="single" w:sz="4" w:space="0" w:color="auto"/>
              <w:left w:val="single" w:sz="4" w:space="0" w:color="auto"/>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2008 (baseline)</w:t>
            </w:r>
          </w:p>
        </w:tc>
        <w:tc>
          <w:tcPr>
            <w:tcW w:w="1368" w:type="pct"/>
            <w:gridSpan w:val="5"/>
            <w:tcBorders>
              <w:top w:val="single" w:sz="4" w:space="0" w:color="auto"/>
              <w:left w:val="nil"/>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2009</w:t>
            </w:r>
          </w:p>
        </w:tc>
        <w:tc>
          <w:tcPr>
            <w:tcW w:w="1368" w:type="pct"/>
            <w:gridSpan w:val="5"/>
            <w:tcBorders>
              <w:top w:val="single" w:sz="4" w:space="0" w:color="auto"/>
              <w:left w:val="nil"/>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2010</w:t>
            </w:r>
          </w:p>
        </w:tc>
      </w:tr>
      <w:tr w:rsidR="000E5185" w:rsidRPr="000E5185" w:rsidTr="000E5185">
        <w:trPr>
          <w:trHeight w:val="915"/>
        </w:trPr>
        <w:tc>
          <w:tcPr>
            <w:tcW w:w="379" w:type="pct"/>
            <w:tcBorders>
              <w:top w:val="single" w:sz="4" w:space="0" w:color="auto"/>
              <w:left w:val="single" w:sz="4" w:space="0" w:color="auto"/>
              <w:bottom w:val="nil"/>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Description</w:t>
            </w:r>
          </w:p>
        </w:tc>
        <w:tc>
          <w:tcPr>
            <w:tcW w:w="200" w:type="pct"/>
            <w:tcBorders>
              <w:top w:val="single" w:sz="4" w:space="0" w:color="auto"/>
              <w:left w:val="nil"/>
              <w:bottom w:val="nil"/>
              <w:right w:val="single" w:sz="4" w:space="0" w:color="auto"/>
            </w:tcBorders>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Year Level</w:t>
            </w:r>
          </w:p>
        </w:tc>
        <w:tc>
          <w:tcPr>
            <w:tcW w:w="316" w:type="pct"/>
            <w:tcBorders>
              <w:top w:val="single" w:sz="4" w:space="0" w:color="auto"/>
              <w:left w:val="nil"/>
              <w:bottom w:val="nil"/>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Domain</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8"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w:t>
            </w:r>
            <w:r w:rsidRPr="000E5185">
              <w:rPr>
                <w:rFonts w:ascii="Calibri" w:hAnsi="Calibri" w:cs="Calibri"/>
                <w:b/>
                <w:bCs/>
                <w:color w:val="000000"/>
                <w:lang w:eastAsia="en-AU"/>
              </w:rPr>
              <w:lastRenderedPageBreak/>
              <w:t xml:space="preserve">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lastRenderedPageBreak/>
              <w:t xml:space="preserve">Mean Scale </w:t>
            </w:r>
            <w:r w:rsidRPr="000E5185">
              <w:rPr>
                <w:rFonts w:ascii="Calibri" w:hAnsi="Calibri" w:cs="Calibri"/>
                <w:b/>
                <w:bCs/>
                <w:color w:val="000000"/>
                <w:lang w:eastAsia="en-AU"/>
              </w:rPr>
              <w:lastRenderedPageBreak/>
              <w:t xml:space="preserve">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lastRenderedPageBreak/>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w:t>
            </w:r>
            <w:r w:rsidRPr="000E5185">
              <w:rPr>
                <w:rFonts w:ascii="Calibri" w:hAnsi="Calibri" w:cs="Calibri"/>
                <w:b/>
                <w:bCs/>
                <w:color w:val="000000"/>
                <w:lang w:eastAsia="en-AU"/>
              </w:rPr>
              <w:lastRenderedPageBreak/>
              <w:t xml:space="preserve">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lastRenderedPageBreak/>
              <w:t xml:space="preserve">Mean Scale </w:t>
            </w:r>
            <w:r w:rsidRPr="000E5185">
              <w:rPr>
                <w:rFonts w:ascii="Calibri" w:hAnsi="Calibri" w:cs="Calibri"/>
                <w:b/>
                <w:bCs/>
                <w:color w:val="000000"/>
                <w:lang w:eastAsia="en-AU"/>
              </w:rPr>
              <w:lastRenderedPageBreak/>
              <w:t xml:space="preserve">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lastRenderedPageBreak/>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w:t>
            </w:r>
            <w:r w:rsidRPr="000E5185">
              <w:rPr>
                <w:rFonts w:ascii="Calibri" w:hAnsi="Calibri" w:cs="Calibri"/>
                <w:b/>
                <w:bCs/>
                <w:color w:val="000000"/>
                <w:lang w:eastAsia="en-AU"/>
              </w:rPr>
              <w:lastRenderedPageBreak/>
              <w:t xml:space="preserve">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lastRenderedPageBreak/>
              <w:t xml:space="preserve">Mean Scale </w:t>
            </w:r>
            <w:r w:rsidRPr="000E5185">
              <w:rPr>
                <w:rFonts w:ascii="Calibri" w:hAnsi="Calibri" w:cs="Calibri"/>
                <w:b/>
                <w:bCs/>
                <w:color w:val="000000"/>
                <w:lang w:eastAsia="en-AU"/>
              </w:rPr>
              <w:lastRenderedPageBreak/>
              <w:t xml:space="preserve">Score </w:t>
            </w:r>
          </w:p>
        </w:tc>
      </w:tr>
      <w:tr w:rsidR="000E5185" w:rsidRPr="000E5185" w:rsidTr="000E5185">
        <w:trPr>
          <w:trHeight w:val="300"/>
        </w:trPr>
        <w:tc>
          <w:tcPr>
            <w:tcW w:w="379" w:type="pct"/>
            <w:vMerge w:val="restart"/>
            <w:tcBorders>
              <w:top w:val="single" w:sz="4" w:space="0" w:color="auto"/>
              <w:left w:val="single" w:sz="4" w:space="0" w:color="auto"/>
              <w:bottom w:val="single" w:sz="4" w:space="0" w:color="000000"/>
              <w:right w:val="single" w:sz="4" w:space="0" w:color="auto"/>
            </w:tcBorders>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lastRenderedPageBreak/>
              <w:t xml:space="preserve">Percentage achievement of </w:t>
            </w:r>
            <w:r w:rsidRPr="000E5185">
              <w:rPr>
                <w:rFonts w:ascii="Calibri" w:hAnsi="Calibri" w:cs="Calibri"/>
                <w:b/>
                <w:bCs/>
                <w:color w:val="000000"/>
                <w:lang w:eastAsia="en-AU"/>
              </w:rPr>
              <w:t xml:space="preserve">ALL Students </w:t>
            </w:r>
            <w:r w:rsidRPr="000E5185">
              <w:rPr>
                <w:rFonts w:ascii="Calibri" w:hAnsi="Calibri" w:cs="Calibri"/>
                <w:color w:val="000000"/>
                <w:lang w:eastAsia="en-AU"/>
              </w:rPr>
              <w:t>in Low SES Participating Schools</w:t>
            </w:r>
          </w:p>
        </w:tc>
        <w:tc>
          <w:tcPr>
            <w:tcW w:w="200" w:type="pct"/>
            <w:tcBorders>
              <w:top w:val="single" w:sz="4" w:space="0" w:color="auto"/>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3</w:t>
            </w:r>
          </w:p>
        </w:tc>
        <w:tc>
          <w:tcPr>
            <w:tcW w:w="316" w:type="pct"/>
            <w:tcBorders>
              <w:top w:val="single" w:sz="4" w:space="0" w:color="auto"/>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97.1%</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34.0%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313.8</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17.9%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336.6</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95.0%</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18.0%</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28.7%</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344.8</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97.8%</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39.8%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21.2%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407.5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26.8%</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421.3</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23.8%</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421.9</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96.8%</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19.7%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480.5</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20.5%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482.7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20.2%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485.5</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89.0%</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526.5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22.0%</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527.7</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33.1%</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525.0</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3</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97.1%</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26.6%</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315.9</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25.5%</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323.8</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93.7%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16.9%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34.1%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330.9</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96.0%</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32.1%</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406.4</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20.2%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34.2%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428.6</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427.8</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97.3%</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14.5%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493.3</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16.6%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28.9%</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493.8</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16.4%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498.1</w:t>
            </w:r>
          </w:p>
        </w:tc>
      </w:tr>
      <w:tr w:rsidR="000E5185" w:rsidRPr="000E5185" w:rsidTr="000E5185">
        <w:trPr>
          <w:trHeight w:val="300"/>
        </w:trPr>
        <w:tc>
          <w:tcPr>
            <w:tcW w:w="379" w:type="pct"/>
            <w:vMerge/>
            <w:tcBorders>
              <w:top w:val="single" w:sz="4" w:space="0" w:color="auto"/>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89.0%</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21.3%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35.7%</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529.0</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89.8%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16.6%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27.3%</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540.4</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90.4%</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3.4%</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20.2%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30.0%</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536.9</w:t>
            </w:r>
          </w:p>
        </w:tc>
      </w:tr>
      <w:tr w:rsidR="000E5185" w:rsidRPr="000E5185" w:rsidTr="000E5185">
        <w:trPr>
          <w:trHeight w:val="180"/>
        </w:trPr>
        <w:tc>
          <w:tcPr>
            <w:tcW w:w="379"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r>
      <w:tr w:rsidR="000E5185" w:rsidRPr="000E5185" w:rsidTr="000E5185">
        <w:trPr>
          <w:trHeight w:val="180"/>
        </w:trPr>
        <w:tc>
          <w:tcPr>
            <w:tcW w:w="379"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1369" w:type="pct"/>
            <w:gridSpan w:val="5"/>
            <w:tcBorders>
              <w:top w:val="single" w:sz="4" w:space="0" w:color="auto"/>
              <w:left w:val="single" w:sz="4" w:space="0" w:color="auto"/>
              <w:bottom w:val="single" w:sz="4" w:space="0" w:color="auto"/>
              <w:right w:val="nil"/>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2008 (baseline)</w:t>
            </w:r>
          </w:p>
        </w:tc>
        <w:tc>
          <w:tcPr>
            <w:tcW w:w="1368" w:type="pct"/>
            <w:gridSpan w:val="5"/>
            <w:tcBorders>
              <w:top w:val="single" w:sz="4" w:space="0" w:color="auto"/>
              <w:left w:val="single" w:sz="4" w:space="0" w:color="auto"/>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2009</w:t>
            </w:r>
          </w:p>
        </w:tc>
        <w:tc>
          <w:tcPr>
            <w:tcW w:w="1368" w:type="pct"/>
            <w:gridSpan w:val="5"/>
            <w:tcBorders>
              <w:top w:val="single" w:sz="4" w:space="0" w:color="auto"/>
              <w:left w:val="nil"/>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2010</w:t>
            </w:r>
          </w:p>
        </w:tc>
      </w:tr>
      <w:tr w:rsidR="000E5185" w:rsidRPr="000E5185" w:rsidTr="000E5185">
        <w:trPr>
          <w:trHeight w:val="915"/>
        </w:trPr>
        <w:tc>
          <w:tcPr>
            <w:tcW w:w="379" w:type="pct"/>
            <w:tcBorders>
              <w:top w:val="single" w:sz="4" w:space="0" w:color="auto"/>
              <w:left w:val="single" w:sz="4" w:space="0" w:color="auto"/>
              <w:bottom w:val="single" w:sz="4" w:space="0" w:color="auto"/>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Description</w:t>
            </w:r>
          </w:p>
        </w:tc>
        <w:tc>
          <w:tcPr>
            <w:tcW w:w="200" w:type="pct"/>
            <w:tcBorders>
              <w:top w:val="single" w:sz="4" w:space="0" w:color="auto"/>
              <w:left w:val="nil"/>
              <w:bottom w:val="single" w:sz="4" w:space="0" w:color="auto"/>
              <w:right w:val="single" w:sz="4" w:space="0" w:color="auto"/>
            </w:tcBorders>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Year Level</w:t>
            </w:r>
          </w:p>
        </w:tc>
        <w:tc>
          <w:tcPr>
            <w:tcW w:w="316" w:type="pct"/>
            <w:tcBorders>
              <w:top w:val="single" w:sz="4" w:space="0" w:color="auto"/>
              <w:left w:val="nil"/>
              <w:bottom w:val="single" w:sz="4" w:space="0" w:color="auto"/>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Domain</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8"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r>
      <w:tr w:rsidR="000E5185" w:rsidRPr="000E5185" w:rsidTr="000E5185">
        <w:trPr>
          <w:trHeight w:val="300"/>
        </w:trPr>
        <w:tc>
          <w:tcPr>
            <w:tcW w:w="379" w:type="pct"/>
            <w:vMerge w:val="restart"/>
            <w:tcBorders>
              <w:top w:val="nil"/>
              <w:left w:val="single" w:sz="4" w:space="0" w:color="auto"/>
              <w:bottom w:val="single" w:sz="4" w:space="0" w:color="000000"/>
              <w:right w:val="single" w:sz="4" w:space="0" w:color="auto"/>
            </w:tcBorders>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Percentage of achievement of </w:t>
            </w:r>
            <w:r w:rsidRPr="000E5185">
              <w:rPr>
                <w:rFonts w:ascii="Calibri" w:hAnsi="Calibri" w:cs="Calibri"/>
                <w:b/>
                <w:bCs/>
                <w:color w:val="000000"/>
                <w:lang w:eastAsia="en-AU"/>
              </w:rPr>
              <w:t>Indigeno</w:t>
            </w:r>
            <w:r w:rsidRPr="000E5185">
              <w:rPr>
                <w:rFonts w:ascii="Calibri" w:hAnsi="Calibri" w:cs="Calibri"/>
                <w:b/>
                <w:bCs/>
                <w:color w:val="000000"/>
                <w:lang w:eastAsia="en-AU"/>
              </w:rPr>
              <w:lastRenderedPageBreak/>
              <w:t xml:space="preserve">us Students </w:t>
            </w:r>
            <w:r w:rsidRPr="000E5185">
              <w:rPr>
                <w:rFonts w:ascii="Calibri" w:hAnsi="Calibri" w:cs="Calibri"/>
                <w:color w:val="000000"/>
                <w:lang w:eastAsia="en-AU"/>
              </w:rPr>
              <w:t>in Low SES Participating Schools</w:t>
            </w: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lastRenderedPageBreak/>
              <w:t>Year 3</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93.3%</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2.0%</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38.6%</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284.7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91.6%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33.2%</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309.8</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92.5%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37.9%</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317.2</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97.6%</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61.1%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17.6%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366.4</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91.9%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47.4%</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24.6%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387.0</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53.2%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22.0%</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387.9</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w:t>
            </w:r>
            <w:r w:rsidRPr="000E5185">
              <w:rPr>
                <w:rFonts w:ascii="Calibri" w:hAnsi="Calibri" w:cs="Calibri"/>
                <w:color w:val="000000"/>
                <w:lang w:eastAsia="en-AU"/>
              </w:rPr>
              <w:lastRenderedPageBreak/>
              <w:t>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lastRenderedPageBreak/>
              <w:t>Readin</w:t>
            </w:r>
            <w:r w:rsidRPr="000E5185">
              <w:rPr>
                <w:rFonts w:ascii="Calibri" w:hAnsi="Calibri" w:cs="Calibri"/>
                <w:color w:val="000000"/>
                <w:lang w:eastAsia="en-AU"/>
              </w:rPr>
              <w:lastRenderedPageBreak/>
              <w:t>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94.7%</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40.9</w:t>
            </w:r>
            <w:r w:rsidRPr="000E5185">
              <w:rPr>
                <w:rFonts w:ascii="Calibri" w:hAnsi="Calibri" w:cs="Calibri"/>
                <w:color w:val="000000"/>
                <w:lang w:eastAsia="en-AU"/>
              </w:rPr>
              <w:lastRenderedPageBreak/>
              <w:t>%</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lastRenderedPageBreak/>
              <w:t>34.5</w:t>
            </w:r>
            <w:r w:rsidRPr="000E5185">
              <w:rPr>
                <w:rFonts w:ascii="Calibri" w:hAnsi="Calibri" w:cs="Calibri"/>
                <w:color w:val="000000"/>
                <w:lang w:eastAsia="en-AU"/>
              </w:rPr>
              <w:lastRenderedPageBreak/>
              <w:t>%</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436.</w:t>
            </w:r>
            <w:r w:rsidRPr="000E5185">
              <w:rPr>
                <w:rFonts w:ascii="Calibri" w:hAnsi="Calibri" w:cs="Calibri"/>
                <w:color w:val="000000"/>
                <w:lang w:eastAsia="en-AU"/>
              </w:rPr>
              <w:lastRenderedPageBreak/>
              <w:t>5</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87.3%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40.6</w:t>
            </w:r>
            <w:r w:rsidRPr="000E5185">
              <w:rPr>
                <w:rFonts w:ascii="Calibri" w:hAnsi="Calibri" w:cs="Calibri"/>
                <w:color w:val="000000"/>
                <w:lang w:eastAsia="en-AU"/>
              </w:rPr>
              <w:lastRenderedPageBreak/>
              <w:t>%</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lastRenderedPageBreak/>
              <w:t>32.9</w:t>
            </w:r>
            <w:r w:rsidRPr="000E5185">
              <w:rPr>
                <w:rFonts w:ascii="Calibri" w:hAnsi="Calibri" w:cs="Calibri"/>
                <w:color w:val="000000"/>
                <w:lang w:eastAsia="en-AU"/>
              </w:rPr>
              <w:lastRenderedPageBreak/>
              <w:t>%</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446.</w:t>
            </w:r>
            <w:r w:rsidRPr="000E5185">
              <w:rPr>
                <w:rFonts w:ascii="Calibri" w:hAnsi="Calibri" w:cs="Calibri"/>
                <w:color w:val="000000"/>
                <w:lang w:eastAsia="en-AU"/>
              </w:rPr>
              <w:lastRenderedPageBreak/>
              <w:t>3</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90.6%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34.6</w:t>
            </w:r>
            <w:r w:rsidRPr="000E5185">
              <w:rPr>
                <w:rFonts w:ascii="Calibri" w:hAnsi="Calibri" w:cs="Calibri"/>
                <w:color w:val="000000"/>
                <w:lang w:eastAsia="en-AU"/>
              </w:rPr>
              <w:lastRenderedPageBreak/>
              <w:t>%</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lastRenderedPageBreak/>
              <w:t>35.5</w:t>
            </w:r>
            <w:r w:rsidRPr="000E5185">
              <w:rPr>
                <w:rFonts w:ascii="Calibri" w:hAnsi="Calibri" w:cs="Calibri"/>
                <w:color w:val="000000"/>
                <w:lang w:eastAsia="en-AU"/>
              </w:rPr>
              <w:lastRenderedPageBreak/>
              <w:t>%</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lastRenderedPageBreak/>
              <w:t>457.</w:t>
            </w:r>
            <w:r w:rsidRPr="000E5185">
              <w:rPr>
                <w:rFonts w:ascii="Calibri" w:hAnsi="Calibri" w:cs="Calibri"/>
                <w:color w:val="000000"/>
                <w:lang w:eastAsia="en-AU"/>
              </w:rPr>
              <w:lastRenderedPageBreak/>
              <w:t>4</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83.3%</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45.6%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31.6%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474.9</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85.5%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55.9%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23.5%</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464.5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86.5%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6.3%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50.9%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26.8%</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487.0</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3</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92.9%</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41.3%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288.9</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88.1%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43.5%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31.0%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290.0</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25.8%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42.8%</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304.5</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91.4%</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54.5%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28.8%</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370.8</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399.7</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88.4%</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38.3%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399.0</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95.1%</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45.5%</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446.0</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85.7%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42.1%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454.9</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90.2%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30.9%</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466.7</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81.9%</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47.3%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36.7%</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476.7</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83.7%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37.6%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37.2%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486.0</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87.3%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6.2%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42.0%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497.4</w:t>
            </w:r>
          </w:p>
        </w:tc>
      </w:tr>
      <w:tr w:rsidR="000E5185" w:rsidRPr="000E5185" w:rsidTr="000E5185">
        <w:trPr>
          <w:trHeight w:val="180"/>
        </w:trPr>
        <w:tc>
          <w:tcPr>
            <w:tcW w:w="379"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 </w:t>
            </w:r>
          </w:p>
        </w:tc>
      </w:tr>
      <w:tr w:rsidR="000E5185" w:rsidRPr="000E5185" w:rsidTr="000E5185">
        <w:trPr>
          <w:trHeight w:val="180"/>
        </w:trPr>
        <w:tc>
          <w:tcPr>
            <w:tcW w:w="379"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58"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383"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57" w:type="pct"/>
            <w:tcBorders>
              <w:top w:val="nil"/>
              <w:left w:val="nil"/>
              <w:bottom w:val="nil"/>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p>
        </w:tc>
        <w:tc>
          <w:tcPr>
            <w:tcW w:w="214" w:type="pct"/>
            <w:tcBorders>
              <w:top w:val="nil"/>
              <w:left w:val="nil"/>
              <w:bottom w:val="single" w:sz="4" w:space="0" w:color="auto"/>
              <w:right w:val="nil"/>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 </w:t>
            </w:r>
          </w:p>
        </w:tc>
      </w:tr>
      <w:tr w:rsidR="000E5185" w:rsidRPr="000E5185" w:rsidTr="000E5185">
        <w:trPr>
          <w:trHeight w:val="300"/>
        </w:trPr>
        <w:tc>
          <w:tcPr>
            <w:tcW w:w="379"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nil"/>
              <w:right w:val="nil"/>
            </w:tcBorders>
            <w:vAlign w:val="bottom"/>
            <w:hideMark/>
          </w:tcPr>
          <w:p w:rsidR="000E5185" w:rsidRPr="000E5185" w:rsidRDefault="000E5185" w:rsidP="000E5185">
            <w:pPr>
              <w:spacing w:after="0" w:line="240" w:lineRule="auto"/>
              <w:rPr>
                <w:rFonts w:ascii="Calibri" w:hAnsi="Calibri" w:cs="Calibri"/>
                <w:color w:val="000000"/>
                <w:lang w:eastAsia="en-AU"/>
              </w:rPr>
            </w:pPr>
          </w:p>
        </w:tc>
        <w:tc>
          <w:tcPr>
            <w:tcW w:w="316" w:type="pct"/>
            <w:tcBorders>
              <w:top w:val="nil"/>
              <w:left w:val="nil"/>
              <w:bottom w:val="nil"/>
              <w:right w:val="nil"/>
            </w:tcBorders>
            <w:noWrap/>
            <w:vAlign w:val="bottom"/>
            <w:hideMark/>
          </w:tcPr>
          <w:p w:rsidR="000E5185" w:rsidRPr="000E5185" w:rsidRDefault="000E5185" w:rsidP="000E5185">
            <w:pPr>
              <w:spacing w:after="0" w:line="240" w:lineRule="auto"/>
              <w:rPr>
                <w:rFonts w:ascii="Calibri" w:hAnsi="Calibri" w:cs="Calibri"/>
                <w:color w:val="000000"/>
                <w:lang w:eastAsia="en-AU"/>
              </w:rPr>
            </w:pPr>
          </w:p>
        </w:tc>
        <w:tc>
          <w:tcPr>
            <w:tcW w:w="1369" w:type="pct"/>
            <w:gridSpan w:val="5"/>
            <w:tcBorders>
              <w:top w:val="single" w:sz="4" w:space="0" w:color="auto"/>
              <w:left w:val="single" w:sz="4" w:space="0" w:color="auto"/>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2008 (baseline)</w:t>
            </w:r>
          </w:p>
        </w:tc>
        <w:tc>
          <w:tcPr>
            <w:tcW w:w="1368" w:type="pct"/>
            <w:gridSpan w:val="5"/>
            <w:tcBorders>
              <w:top w:val="single" w:sz="4" w:space="0" w:color="auto"/>
              <w:left w:val="nil"/>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2009</w:t>
            </w:r>
          </w:p>
        </w:tc>
        <w:tc>
          <w:tcPr>
            <w:tcW w:w="1368" w:type="pct"/>
            <w:gridSpan w:val="5"/>
            <w:tcBorders>
              <w:top w:val="single" w:sz="4" w:space="0" w:color="auto"/>
              <w:left w:val="nil"/>
              <w:bottom w:val="single" w:sz="4" w:space="0" w:color="auto"/>
              <w:right w:val="single" w:sz="4" w:space="0" w:color="000000"/>
            </w:tcBorders>
            <w:noWrap/>
            <w:vAlign w:val="bottom"/>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2010</w:t>
            </w:r>
          </w:p>
        </w:tc>
      </w:tr>
      <w:tr w:rsidR="000E5185" w:rsidRPr="000E5185" w:rsidTr="000E5185">
        <w:trPr>
          <w:trHeight w:val="915"/>
        </w:trPr>
        <w:tc>
          <w:tcPr>
            <w:tcW w:w="379" w:type="pct"/>
            <w:tcBorders>
              <w:top w:val="single" w:sz="4" w:space="0" w:color="auto"/>
              <w:left w:val="single" w:sz="4" w:space="0" w:color="auto"/>
              <w:bottom w:val="single" w:sz="4" w:space="0" w:color="auto"/>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Description</w:t>
            </w:r>
          </w:p>
        </w:tc>
        <w:tc>
          <w:tcPr>
            <w:tcW w:w="200" w:type="pct"/>
            <w:tcBorders>
              <w:top w:val="single" w:sz="4" w:space="0" w:color="auto"/>
              <w:left w:val="nil"/>
              <w:bottom w:val="single" w:sz="4" w:space="0" w:color="auto"/>
              <w:right w:val="single" w:sz="4" w:space="0" w:color="auto"/>
            </w:tcBorders>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Year Level</w:t>
            </w:r>
          </w:p>
        </w:tc>
        <w:tc>
          <w:tcPr>
            <w:tcW w:w="316" w:type="pct"/>
            <w:tcBorders>
              <w:top w:val="single" w:sz="4" w:space="0" w:color="auto"/>
              <w:left w:val="nil"/>
              <w:bottom w:val="single" w:sz="4" w:space="0" w:color="auto"/>
              <w:right w:val="single" w:sz="4" w:space="0" w:color="auto"/>
            </w:tcBorders>
            <w:noWrap/>
            <w:vAlign w:val="center"/>
            <w:hideMark/>
          </w:tcPr>
          <w:p w:rsidR="000E5185" w:rsidRPr="000E5185" w:rsidRDefault="000E5185" w:rsidP="000E5185">
            <w:pPr>
              <w:spacing w:after="0" w:line="240" w:lineRule="auto"/>
              <w:rPr>
                <w:rFonts w:ascii="Calibri" w:hAnsi="Calibri" w:cs="Calibri"/>
                <w:b/>
                <w:bCs/>
                <w:color w:val="000000"/>
                <w:lang w:eastAsia="en-AU"/>
              </w:rPr>
            </w:pPr>
            <w:r w:rsidRPr="000E5185">
              <w:rPr>
                <w:rFonts w:ascii="Calibri" w:hAnsi="Calibri" w:cs="Calibri"/>
                <w:b/>
                <w:bCs/>
                <w:color w:val="000000"/>
                <w:lang w:eastAsia="en-AU"/>
              </w:rPr>
              <w:t>Domain</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8"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c>
          <w:tcPr>
            <w:tcW w:w="383"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Participation Rate (%)</w:t>
            </w:r>
          </w:p>
        </w:tc>
        <w:tc>
          <w:tcPr>
            <w:tcW w:w="257" w:type="pct"/>
            <w:tcBorders>
              <w:top w:val="nil"/>
              <w:left w:val="nil"/>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Exempt (%)</w:t>
            </w:r>
          </w:p>
        </w:tc>
        <w:tc>
          <w:tcPr>
            <w:tcW w:w="257" w:type="pct"/>
            <w:tcBorders>
              <w:top w:val="nil"/>
              <w:left w:val="nil"/>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Bottom Band </w:t>
            </w:r>
          </w:p>
        </w:tc>
        <w:tc>
          <w:tcPr>
            <w:tcW w:w="257" w:type="pct"/>
            <w:tcBorders>
              <w:top w:val="nil"/>
              <w:left w:val="single" w:sz="4" w:space="0" w:color="auto"/>
              <w:bottom w:val="single" w:sz="4" w:space="0" w:color="auto"/>
              <w:right w:val="nil"/>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Second Bottom Band </w:t>
            </w:r>
          </w:p>
        </w:tc>
        <w:tc>
          <w:tcPr>
            <w:tcW w:w="214" w:type="pct"/>
            <w:tcBorders>
              <w:top w:val="nil"/>
              <w:left w:val="single" w:sz="4" w:space="0" w:color="auto"/>
              <w:bottom w:val="single" w:sz="4" w:space="0" w:color="auto"/>
              <w:right w:val="single" w:sz="4" w:space="0" w:color="auto"/>
            </w:tcBorders>
            <w:vAlign w:val="center"/>
            <w:hideMark/>
          </w:tcPr>
          <w:p w:rsidR="000E5185" w:rsidRPr="000E5185" w:rsidRDefault="000E5185" w:rsidP="000E5185">
            <w:pPr>
              <w:spacing w:after="0" w:line="240" w:lineRule="auto"/>
              <w:jc w:val="center"/>
              <w:rPr>
                <w:rFonts w:ascii="Calibri" w:hAnsi="Calibri" w:cs="Calibri"/>
                <w:b/>
                <w:bCs/>
                <w:color w:val="000000"/>
                <w:lang w:eastAsia="en-AU"/>
              </w:rPr>
            </w:pPr>
            <w:r w:rsidRPr="000E5185">
              <w:rPr>
                <w:rFonts w:ascii="Calibri" w:hAnsi="Calibri" w:cs="Calibri"/>
                <w:b/>
                <w:bCs/>
                <w:color w:val="000000"/>
                <w:lang w:eastAsia="en-AU"/>
              </w:rPr>
              <w:t xml:space="preserve">Mean Scale Score </w:t>
            </w:r>
          </w:p>
        </w:tc>
      </w:tr>
      <w:tr w:rsidR="000E5185" w:rsidRPr="000E5185" w:rsidTr="000E5185">
        <w:trPr>
          <w:trHeight w:val="300"/>
        </w:trPr>
        <w:tc>
          <w:tcPr>
            <w:tcW w:w="379" w:type="pct"/>
            <w:vMerge w:val="restart"/>
            <w:tcBorders>
              <w:top w:val="nil"/>
              <w:left w:val="single" w:sz="4" w:space="0" w:color="auto"/>
              <w:bottom w:val="single" w:sz="4" w:space="0" w:color="000000"/>
              <w:right w:val="single" w:sz="4" w:space="0" w:color="auto"/>
            </w:tcBorders>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 xml:space="preserve">Percentage of achievement of </w:t>
            </w:r>
            <w:r w:rsidRPr="000E5185">
              <w:rPr>
                <w:rFonts w:ascii="Calibri" w:hAnsi="Calibri" w:cs="Calibri"/>
                <w:b/>
                <w:bCs/>
                <w:color w:val="000000"/>
                <w:lang w:eastAsia="en-AU"/>
              </w:rPr>
              <w:t xml:space="preserve">LBOTE Students </w:t>
            </w:r>
            <w:r w:rsidRPr="000E5185">
              <w:rPr>
                <w:rFonts w:ascii="Calibri" w:hAnsi="Calibri" w:cs="Calibri"/>
                <w:color w:val="000000"/>
                <w:lang w:eastAsia="en-AU"/>
              </w:rPr>
              <w:t>in Low SES Participating Schools</w:t>
            </w: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3</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95.1%</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6.1%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33.3%</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307.7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93.3%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20.6%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31.0%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328.4</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16.7%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342.9</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98.4%</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47.7%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23.7%</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389.8</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35.6%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28.0%</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404.5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36.6%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22.4%</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413.0</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97.5%</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460.7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27.2%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33.6%</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470.7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41.0%</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471.9</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Reading</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95.4%</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43.1%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37.3%</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475.5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87.5%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62.6%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18.9%</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458.3</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91.8%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53.6%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29.9%</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481.4</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3</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95.1%</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6.1%</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32.4%</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24.3%</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311.9</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93.0%</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23.5%</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321.7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13.8%</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34.5%</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335.9</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5</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95.3%</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42.2%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30.7%</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394.9</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3.2%</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24.6%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35.6%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422.0</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94.7%</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28.9%</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25.5%</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420.6</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shd w:val="clear" w:color="000000" w:fill="C0C0C0"/>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7</w:t>
            </w:r>
          </w:p>
        </w:tc>
        <w:tc>
          <w:tcPr>
            <w:tcW w:w="316"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98.0%</w:t>
            </w:r>
          </w:p>
        </w:tc>
        <w:tc>
          <w:tcPr>
            <w:tcW w:w="258"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19.7%</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37.9%</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480.7</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96.3%</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4.2%</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22.5%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26.3%</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486.2</w:t>
            </w:r>
          </w:p>
        </w:tc>
        <w:tc>
          <w:tcPr>
            <w:tcW w:w="383"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97.5%</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2.6%</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18.9%</w:t>
            </w:r>
          </w:p>
        </w:tc>
        <w:tc>
          <w:tcPr>
            <w:tcW w:w="257" w:type="pc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32.1%</w:t>
            </w:r>
          </w:p>
        </w:tc>
        <w:tc>
          <w:tcPr>
            <w:tcW w:w="214" w:type="pct"/>
            <w:tcBorders>
              <w:top w:val="nil"/>
              <w:left w:val="nil"/>
              <w:bottom w:val="single" w:sz="4" w:space="0" w:color="auto"/>
              <w:right w:val="single" w:sz="4" w:space="0" w:color="auto"/>
            </w:tcBorders>
            <w:shd w:val="clear" w:color="000000" w:fill="C0C0C0"/>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486.5</w:t>
            </w:r>
          </w:p>
        </w:tc>
      </w:tr>
      <w:tr w:rsidR="000E5185" w:rsidRPr="000E5185" w:rsidTr="000E5185">
        <w:trPr>
          <w:trHeight w:val="300"/>
        </w:trPr>
        <w:tc>
          <w:tcPr>
            <w:tcW w:w="379" w:type="pct"/>
            <w:vMerge/>
            <w:tcBorders>
              <w:top w:val="nil"/>
              <w:left w:val="single" w:sz="4" w:space="0" w:color="auto"/>
              <w:bottom w:val="single" w:sz="4" w:space="0" w:color="000000"/>
              <w:right w:val="single" w:sz="4" w:space="0" w:color="auto"/>
            </w:tcBorders>
            <w:vAlign w:val="center"/>
            <w:hideMark/>
          </w:tcPr>
          <w:p w:rsidR="000E5185" w:rsidRPr="000E5185" w:rsidRDefault="000E5185" w:rsidP="000E5185">
            <w:pPr>
              <w:spacing w:after="0" w:line="240" w:lineRule="auto"/>
              <w:rPr>
                <w:rFonts w:ascii="Calibri" w:hAnsi="Calibri" w:cs="Calibri"/>
                <w:color w:val="000000"/>
                <w:lang w:eastAsia="en-AU"/>
              </w:rPr>
            </w:pPr>
          </w:p>
        </w:tc>
        <w:tc>
          <w:tcPr>
            <w:tcW w:w="200" w:type="pct"/>
            <w:tcBorders>
              <w:top w:val="nil"/>
              <w:left w:val="nil"/>
              <w:bottom w:val="single" w:sz="4" w:space="0" w:color="auto"/>
              <w:right w:val="single" w:sz="4" w:space="0" w:color="auto"/>
            </w:tcBorders>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Year 9</w:t>
            </w:r>
          </w:p>
        </w:tc>
        <w:tc>
          <w:tcPr>
            <w:tcW w:w="316"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rPr>
                <w:rFonts w:ascii="Calibri" w:hAnsi="Calibri" w:cs="Calibri"/>
                <w:color w:val="000000"/>
                <w:lang w:eastAsia="en-AU"/>
              </w:rPr>
            </w:pPr>
            <w:r w:rsidRPr="000E5185">
              <w:rPr>
                <w:rFonts w:ascii="Calibri" w:hAnsi="Calibri" w:cs="Calibri"/>
                <w:color w:val="000000"/>
                <w:lang w:eastAsia="en-AU"/>
              </w:rPr>
              <w:t>Numeracy</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94.8%</w:t>
            </w:r>
          </w:p>
        </w:tc>
        <w:tc>
          <w:tcPr>
            <w:tcW w:w="258"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1.0%</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40.6%</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38.6%</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487.5</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86.5%</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0.8%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40.8%</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39.7%</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480.6</w:t>
            </w:r>
          </w:p>
        </w:tc>
        <w:tc>
          <w:tcPr>
            <w:tcW w:w="383"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91.4%</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3.1%</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36.3%</w:t>
            </w:r>
          </w:p>
        </w:tc>
        <w:tc>
          <w:tcPr>
            <w:tcW w:w="257"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right"/>
              <w:rPr>
                <w:rFonts w:ascii="Calibri" w:hAnsi="Calibri" w:cs="Calibri"/>
                <w:color w:val="000000"/>
                <w:lang w:eastAsia="en-AU"/>
              </w:rPr>
            </w:pPr>
            <w:r w:rsidRPr="000E5185">
              <w:rPr>
                <w:rFonts w:ascii="Calibri" w:hAnsi="Calibri" w:cs="Calibri"/>
                <w:color w:val="000000"/>
                <w:lang w:eastAsia="en-AU"/>
              </w:rPr>
              <w:t>33.2%</w:t>
            </w:r>
          </w:p>
        </w:tc>
        <w:tc>
          <w:tcPr>
            <w:tcW w:w="214" w:type="pct"/>
            <w:tcBorders>
              <w:top w:val="nil"/>
              <w:left w:val="nil"/>
              <w:bottom w:val="single" w:sz="4" w:space="0" w:color="auto"/>
              <w:right w:val="single" w:sz="4" w:space="0" w:color="auto"/>
            </w:tcBorders>
            <w:noWrap/>
            <w:vAlign w:val="bottom"/>
            <w:hideMark/>
          </w:tcPr>
          <w:p w:rsidR="000E5185" w:rsidRPr="000E5185" w:rsidRDefault="000E5185" w:rsidP="000E5185">
            <w:pPr>
              <w:spacing w:after="0" w:line="240" w:lineRule="auto"/>
              <w:jc w:val="center"/>
              <w:rPr>
                <w:rFonts w:ascii="Calibri" w:hAnsi="Calibri" w:cs="Calibri"/>
                <w:color w:val="000000"/>
                <w:lang w:eastAsia="en-AU"/>
              </w:rPr>
            </w:pPr>
            <w:r w:rsidRPr="000E5185">
              <w:rPr>
                <w:rFonts w:ascii="Calibri" w:hAnsi="Calibri" w:cs="Calibri"/>
                <w:color w:val="000000"/>
                <w:lang w:eastAsia="en-AU"/>
              </w:rPr>
              <w:t>502.1</w:t>
            </w:r>
          </w:p>
        </w:tc>
      </w:tr>
    </w:tbl>
    <w:p w:rsidR="00D765D8" w:rsidRDefault="00D765D8"/>
    <w:sectPr w:rsidR="00D765D8" w:rsidSect="000E5185">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85" w:rsidRDefault="000E5185" w:rsidP="000E5185">
      <w:pPr>
        <w:spacing w:after="0" w:line="240" w:lineRule="auto"/>
      </w:pPr>
      <w:r>
        <w:separator/>
      </w:r>
    </w:p>
  </w:endnote>
  <w:endnote w:type="continuationSeparator" w:id="0">
    <w:p w:rsidR="000E5185" w:rsidRDefault="000E5185" w:rsidP="000E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Default="000E5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Default="000E5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Default="000E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85" w:rsidRDefault="000E5185" w:rsidP="000E5185">
      <w:pPr>
        <w:spacing w:after="0" w:line="240" w:lineRule="auto"/>
      </w:pPr>
      <w:r>
        <w:separator/>
      </w:r>
    </w:p>
  </w:footnote>
  <w:footnote w:type="continuationSeparator" w:id="0">
    <w:p w:rsidR="000E5185" w:rsidRDefault="000E5185" w:rsidP="000E5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Default="000E5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Pr="000E5185" w:rsidRDefault="00246151" w:rsidP="000E5185">
    <w:pPr>
      <w:pStyle w:val="Header"/>
      <w:jc w:val="center"/>
      <w:rPr>
        <w:b/>
        <w:sz w:val="40"/>
      </w:rPr>
    </w:pPr>
    <w:r>
      <w:rPr>
        <w:b/>
        <w:sz w:val="40"/>
      </w:rPr>
      <w:t xml:space="preserve">QLD </w:t>
    </w:r>
    <w:r w:rsidR="000E5185" w:rsidRPr="000E5185">
      <w:rPr>
        <w:b/>
        <w:sz w:val="40"/>
      </w:rPr>
      <w:t>Section 7 Attachment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85" w:rsidRDefault="000E5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85"/>
    <w:rsid w:val="000E5185"/>
    <w:rsid w:val="00123AC8"/>
    <w:rsid w:val="001C6DBE"/>
    <w:rsid w:val="00246151"/>
    <w:rsid w:val="002A12B6"/>
    <w:rsid w:val="0034015C"/>
    <w:rsid w:val="00786E1F"/>
    <w:rsid w:val="009A7605"/>
    <w:rsid w:val="009B2614"/>
    <w:rsid w:val="00A92B7F"/>
    <w:rsid w:val="00D765D8"/>
    <w:rsid w:val="00D87654"/>
    <w:rsid w:val="00E02A69"/>
    <w:rsid w:val="00E06339"/>
    <w:rsid w:val="00F22D7F"/>
    <w:rsid w:val="00F45FE3"/>
    <w:rsid w:val="00F87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C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5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5185"/>
    <w:rPr>
      <w:rFonts w:cs="Times New Roman"/>
    </w:rPr>
  </w:style>
  <w:style w:type="paragraph" w:styleId="Footer">
    <w:name w:val="footer"/>
    <w:basedOn w:val="Normal"/>
    <w:link w:val="FooterChar"/>
    <w:uiPriority w:val="99"/>
    <w:semiHidden/>
    <w:unhideWhenUsed/>
    <w:rsid w:val="000E51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51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C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5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5185"/>
    <w:rPr>
      <w:rFonts w:cs="Times New Roman"/>
    </w:rPr>
  </w:style>
  <w:style w:type="paragraph" w:styleId="Footer">
    <w:name w:val="footer"/>
    <w:basedOn w:val="Normal"/>
    <w:link w:val="FooterChar"/>
    <w:uiPriority w:val="99"/>
    <w:semiHidden/>
    <w:unhideWhenUsed/>
    <w:rsid w:val="000E51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51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7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34883EA5.dotm</Template>
  <TotalTime>0</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O'Brien</dc:creator>
  <cp:lastModifiedBy>Marianne Sibley</cp:lastModifiedBy>
  <cp:revision>2</cp:revision>
  <dcterms:created xsi:type="dcterms:W3CDTF">2014-02-21T04:41:00Z</dcterms:created>
  <dcterms:modified xsi:type="dcterms:W3CDTF">2014-02-21T04:41:00Z</dcterms:modified>
</cp:coreProperties>
</file>