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347"/>
        <w:gridCol w:w="1090"/>
        <w:gridCol w:w="932"/>
        <w:gridCol w:w="1056"/>
        <w:gridCol w:w="954"/>
        <w:gridCol w:w="995"/>
        <w:gridCol w:w="1162"/>
        <w:gridCol w:w="1297"/>
        <w:gridCol w:w="1056"/>
        <w:gridCol w:w="1103"/>
        <w:gridCol w:w="650"/>
        <w:gridCol w:w="870"/>
        <w:gridCol w:w="749"/>
        <w:gridCol w:w="913"/>
      </w:tblGrid>
      <w:tr w:rsidR="00142956" w:rsidRPr="00142956" w:rsidTr="009668C1">
        <w:trPr>
          <w:trHeight w:val="750"/>
        </w:trPr>
        <w:tc>
          <w:tcPr>
            <w:tcW w:w="3625" w:type="pct"/>
            <w:gridSpan w:val="10"/>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b/>
                <w:bCs/>
                <w:sz w:val="36"/>
                <w:szCs w:val="36"/>
                <w:lang w:eastAsia="en-AU"/>
              </w:rPr>
            </w:pPr>
            <w:bookmarkStart w:id="0" w:name="_GoBack"/>
            <w:bookmarkEnd w:id="0"/>
            <w:r w:rsidRPr="00142956">
              <w:rPr>
                <w:rFonts w:ascii="Arial" w:hAnsi="Arial" w:cs="Arial"/>
                <w:b/>
                <w:bCs/>
                <w:sz w:val="36"/>
                <w:szCs w:val="36"/>
                <w:lang w:eastAsia="en-AU"/>
              </w:rPr>
              <w:t>Victoria's Performance Reporting for SSNPs Annual Report (Low SES and Literacy &amp; Numeracy NP schools)</w:t>
            </w: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8"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r>
      <w:tr w:rsidR="00142956" w:rsidRPr="00142956" w:rsidTr="009668C1">
        <w:trPr>
          <w:trHeight w:val="750"/>
        </w:trPr>
        <w:tc>
          <w:tcPr>
            <w:tcW w:w="452" w:type="pct"/>
            <w:tcBorders>
              <w:top w:val="nil"/>
              <w:left w:val="nil"/>
              <w:bottom w:val="nil"/>
              <w:right w:val="nil"/>
            </w:tcBorders>
            <w:noWrap/>
            <w:vAlign w:val="bottom"/>
            <w:hideMark/>
          </w:tcPr>
          <w:p w:rsidR="00142956" w:rsidRPr="00142956" w:rsidRDefault="006D64E8" w:rsidP="009668C1">
            <w:pPr>
              <w:spacing w:after="0" w:line="240" w:lineRule="auto"/>
              <w:rPr>
                <w:rFonts w:ascii="Arial" w:hAnsi="Arial" w:cs="Arial"/>
                <w:sz w:val="20"/>
                <w:szCs w:val="20"/>
                <w:lang w:eastAsia="en-AU"/>
              </w:rPr>
            </w:pPr>
            <w:r>
              <w:rPr>
                <w:noProof/>
                <w:lang w:eastAsia="en-AU"/>
              </w:rPr>
              <mc:AlternateContent>
                <mc:Choice Requires="wps">
                  <w:drawing>
                    <wp:anchor distT="0" distB="0" distL="120396" distR="114300" simplePos="0" relativeHeight="251658240" behindDoc="0" locked="0" layoutInCell="1" allowOverlap="1">
                      <wp:simplePos x="0" y="0"/>
                      <wp:positionH relativeFrom="column">
                        <wp:posOffset>85471</wp:posOffset>
                      </wp:positionH>
                      <wp:positionV relativeFrom="paragraph">
                        <wp:posOffset>76454</wp:posOffset>
                      </wp:positionV>
                      <wp:extent cx="9725025" cy="2581275"/>
                      <wp:effectExtent l="0" t="0" r="9525" b="9525"/>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10464800" cy="25590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6D64E8" w:rsidRDefault="006D64E8" w:rsidP="006D64E8">
                                  <w:pPr>
                                    <w:pStyle w:val="NormalWeb"/>
                                    <w:spacing w:before="0" w:beforeAutospacing="0" w:after="0" w:afterAutospacing="0"/>
                                  </w:pPr>
                                  <w:r>
                                    <w:rPr>
                                      <w:rFonts w:ascii="Arial" w:hAnsi="Arial" w:cs="Arial"/>
                                      <w:color w:val="000000" w:themeColor="dark1"/>
                                    </w:rPr>
                                    <w:t>Victoria has agreed with DEEWR that it will provide a single Annual Report on its Smarter School National Partnerships. In line with that agreement and consistent with existing reporting arrangements against rewards targets under the SSNP Literacy and Numeracy NP for 2011 (Victoria has an integrated approach across SSNPs), NAPLAN performance information is provided on both Low SES and Literacy and Numeracy National Partnership Schools.</w:t>
                                  </w:r>
                                </w:p>
                                <w:p w:rsidR="006D64E8" w:rsidRDefault="006D64E8" w:rsidP="006D64E8">
                                  <w:pPr>
                                    <w:pStyle w:val="NormalWeb"/>
                                    <w:spacing w:before="0" w:beforeAutospacing="0" w:after="0" w:afterAutospacing="0"/>
                                  </w:pPr>
                                  <w:r>
                                    <w:rPr>
                                      <w:rFonts w:ascii="Arial" w:hAnsi="Arial" w:cs="Arial"/>
                                      <w:color w:val="000000" w:themeColor="dark1"/>
                                    </w:rPr>
                                    <w:t>The NAPLAN performance information is provided for Years 3, 5, 7 and 9 on:</w:t>
                                  </w:r>
                                </w:p>
                                <w:p w:rsidR="006D64E8" w:rsidRDefault="006D64E8" w:rsidP="006D64E8">
                                  <w:pPr>
                                    <w:pStyle w:val="NormalWeb"/>
                                    <w:spacing w:before="0" w:beforeAutospacing="0" w:after="0" w:afterAutospacing="0"/>
                                  </w:pPr>
                                  <w:r>
                                    <w:rPr>
                                      <w:rFonts w:ascii="Arial" w:hAnsi="Arial" w:cs="Arial"/>
                                      <w:color w:val="000000" w:themeColor="dark1"/>
                                    </w:rPr>
                                    <w:t>1. All students in all sectors:</w:t>
                                  </w:r>
                                </w:p>
                                <w:p w:rsidR="006D64E8" w:rsidRDefault="006D64E8" w:rsidP="006D64E8">
                                  <w:pPr>
                                    <w:pStyle w:val="NormalWeb"/>
                                    <w:spacing w:before="0" w:beforeAutospacing="0" w:after="0" w:afterAutospacing="0"/>
                                    <w:ind w:left="720"/>
                                  </w:pPr>
                                  <w:r>
                                    <w:rPr>
                                      <w:rFonts w:ascii="Arial" w:hAnsi="Arial" w:cs="Arial"/>
                                      <w:color w:val="000000" w:themeColor="dark1"/>
                                    </w:rPr>
                                    <w:t>(i).  Students at or above minimum standard for Reading and Numeracy;</w:t>
                                  </w:r>
                                </w:p>
                                <w:p w:rsidR="006D64E8" w:rsidRDefault="006D64E8" w:rsidP="006D64E8">
                                  <w:pPr>
                                    <w:pStyle w:val="NormalWeb"/>
                                    <w:spacing w:before="0" w:beforeAutospacing="0" w:after="0" w:afterAutospacing="0"/>
                                    <w:ind w:left="720"/>
                                  </w:pPr>
                                  <w:r>
                                    <w:rPr>
                                      <w:rFonts w:ascii="Arial" w:hAnsi="Arial" w:cs="Arial"/>
                                      <w:color w:val="000000" w:themeColor="dark1"/>
                                    </w:rPr>
                                    <w:t>(ii). Students above minimum standard for Reading and Numeracy</w:t>
                                  </w:r>
                                </w:p>
                                <w:p w:rsidR="006D64E8" w:rsidRDefault="006D64E8" w:rsidP="006D64E8">
                                  <w:pPr>
                                    <w:pStyle w:val="NormalWeb"/>
                                    <w:spacing w:before="0" w:beforeAutospacing="0" w:after="0" w:afterAutospacing="0"/>
                                    <w:ind w:left="720"/>
                                  </w:pPr>
                                  <w:r>
                                    <w:rPr>
                                      <w:rFonts w:ascii="Arial" w:hAnsi="Arial" w:cs="Arial"/>
                                      <w:color w:val="000000" w:themeColor="dark1"/>
                                    </w:rPr>
                                    <w:t>(iii).Mean Scale Score for Reading and Numeracy</w:t>
                                  </w:r>
                                </w:p>
                                <w:p w:rsidR="006D64E8" w:rsidRDefault="006D64E8" w:rsidP="006D64E8">
                                  <w:pPr>
                                    <w:pStyle w:val="NormalWeb"/>
                                    <w:spacing w:before="0" w:beforeAutospacing="0" w:after="0" w:afterAutospacing="0"/>
                                  </w:pPr>
                                  <w:r>
                                    <w:rPr>
                                      <w:rFonts w:ascii="Arial" w:hAnsi="Arial" w:cs="Arial"/>
                                      <w:color w:val="000000" w:themeColor="dark1"/>
                                    </w:rPr>
                                    <w:t>2. Indigenous students:</w:t>
                                  </w:r>
                                </w:p>
                                <w:p w:rsidR="006D64E8" w:rsidRDefault="006D64E8" w:rsidP="006D64E8">
                                  <w:pPr>
                                    <w:pStyle w:val="NormalWeb"/>
                                    <w:spacing w:before="0" w:beforeAutospacing="0" w:after="0" w:afterAutospacing="0"/>
                                    <w:ind w:left="720"/>
                                  </w:pPr>
                                  <w:r>
                                    <w:rPr>
                                      <w:rFonts w:ascii="Arial" w:hAnsi="Arial" w:cs="Arial"/>
                                      <w:color w:val="000000" w:themeColor="dark1"/>
                                    </w:rPr>
                                    <w:t>(i).Students at or above minimum standard Reading and Numeracy</w:t>
                                  </w:r>
                                </w:p>
                                <w:p w:rsidR="006D64E8" w:rsidRDefault="006D64E8" w:rsidP="006D64E8">
                                  <w:pPr>
                                    <w:pStyle w:val="NormalWeb"/>
                                    <w:spacing w:before="0" w:beforeAutospacing="0" w:after="0" w:afterAutospacing="0"/>
                                  </w:pPr>
                                  <w:r>
                                    <w:rPr>
                                      <w:rFonts w:ascii="Arial" w:hAnsi="Arial" w:cs="Arial"/>
                                      <w:color w:val="000000" w:themeColor="dark1"/>
                                    </w:rPr>
                                    <w:t xml:space="preserve">Consistent with the current 2011 rewards targets reporting arrangements, the baseline year previously agreed with the DEEWR is 2009. </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75pt;margin-top:6pt;width:765.75pt;height:203.25pt;z-index:251658240;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" fillcolor="white [3201]" stroked="f">
                      <v:textbox>
                        <w:txbxContent>
                          <w:p w:rsidR="006D64E8" w:rsidRDefault="006D64E8" w:rsidP="006D64E8">
                            <w:pPr>
                              <w:pStyle w:val="NormalWeb"/>
                              <w:spacing w:before="0" w:beforeAutospacing="0" w:after="0" w:afterAutospacing="0"/>
                            </w:pPr>
                            <w:r>
                              <w:rPr>
                                <w:rFonts w:ascii="Arial" w:hAnsi="Arial" w:cs="Arial"/>
                                <w:color w:val="000000" w:themeColor="dark1"/>
                              </w:rPr>
                              <w:t>Victoria has agreed with DEEWR that it will provide a single Annual Report on its Smarter School National Partnerships. In line with that agreement and consistent with existing reporting arrangements against rewards targets under the SSNP Literacy and Numeracy NP for 2011 (Victoria has an integrated approach across SSNPs), NAPLAN performance information is provided on both Low SES and Literacy and Numeracy National Partnership Schools.</w:t>
                            </w:r>
                          </w:p>
                          <w:p w:rsidR="006D64E8" w:rsidRDefault="006D64E8" w:rsidP="006D64E8">
                            <w:pPr>
                              <w:pStyle w:val="NormalWeb"/>
                              <w:spacing w:before="0" w:beforeAutospacing="0" w:after="0" w:afterAutospacing="0"/>
                            </w:pPr>
                            <w:r>
                              <w:rPr>
                                <w:rFonts w:ascii="Arial" w:hAnsi="Arial" w:cs="Arial"/>
                                <w:color w:val="000000" w:themeColor="dark1"/>
                              </w:rPr>
                              <w:t>The NAPLAN performance information is provided for Years 3, 5, 7 and 9 on:</w:t>
                            </w:r>
                          </w:p>
                          <w:p w:rsidR="006D64E8" w:rsidRDefault="006D64E8" w:rsidP="006D64E8">
                            <w:pPr>
                              <w:pStyle w:val="NormalWeb"/>
                              <w:spacing w:before="0" w:beforeAutospacing="0" w:after="0" w:afterAutospacing="0"/>
                            </w:pPr>
                            <w:r>
                              <w:rPr>
                                <w:rFonts w:ascii="Arial" w:hAnsi="Arial" w:cs="Arial"/>
                                <w:color w:val="000000" w:themeColor="dark1"/>
                              </w:rPr>
                              <w:t>1. All students in all sectors:</w:t>
                            </w:r>
                          </w:p>
                          <w:p w:rsidR="006D64E8" w:rsidRDefault="006D64E8" w:rsidP="006D64E8">
                            <w:pPr>
                              <w:pStyle w:val="NormalWeb"/>
                              <w:spacing w:before="0" w:beforeAutospacing="0" w:after="0" w:afterAutospacing="0"/>
                              <w:ind w:left="720"/>
                            </w:pPr>
                            <w:r>
                              <w:rPr>
                                <w:rFonts w:ascii="Arial" w:hAnsi="Arial" w:cs="Arial"/>
                                <w:color w:val="000000" w:themeColor="dark1"/>
                              </w:rPr>
                              <w:t>(i).  Students at or above minimum standard for Reading and Numeracy;</w:t>
                            </w:r>
                          </w:p>
                          <w:p w:rsidR="006D64E8" w:rsidRDefault="006D64E8" w:rsidP="006D64E8">
                            <w:pPr>
                              <w:pStyle w:val="NormalWeb"/>
                              <w:spacing w:before="0" w:beforeAutospacing="0" w:after="0" w:afterAutospacing="0"/>
                              <w:ind w:left="720"/>
                            </w:pPr>
                            <w:r>
                              <w:rPr>
                                <w:rFonts w:ascii="Arial" w:hAnsi="Arial" w:cs="Arial"/>
                                <w:color w:val="000000" w:themeColor="dark1"/>
                              </w:rPr>
                              <w:t>(ii). Students above minimum standard for Reading and Numeracy</w:t>
                            </w:r>
                          </w:p>
                          <w:p w:rsidR="006D64E8" w:rsidRDefault="006D64E8" w:rsidP="006D64E8">
                            <w:pPr>
                              <w:pStyle w:val="NormalWeb"/>
                              <w:spacing w:before="0" w:beforeAutospacing="0" w:after="0" w:afterAutospacing="0"/>
                              <w:ind w:left="720"/>
                            </w:pPr>
                            <w:r>
                              <w:rPr>
                                <w:rFonts w:ascii="Arial" w:hAnsi="Arial" w:cs="Arial"/>
                                <w:color w:val="000000" w:themeColor="dark1"/>
                              </w:rPr>
                              <w:t>(iii).Mean Scale Score for Reading and Numeracy</w:t>
                            </w:r>
                          </w:p>
                          <w:p w:rsidR="006D64E8" w:rsidRDefault="006D64E8" w:rsidP="006D64E8">
                            <w:pPr>
                              <w:pStyle w:val="NormalWeb"/>
                              <w:spacing w:before="0" w:beforeAutospacing="0" w:after="0" w:afterAutospacing="0"/>
                            </w:pPr>
                            <w:r>
                              <w:rPr>
                                <w:rFonts w:ascii="Arial" w:hAnsi="Arial" w:cs="Arial"/>
                                <w:color w:val="000000" w:themeColor="dark1"/>
                              </w:rPr>
                              <w:t>2. Indigenous students:</w:t>
                            </w:r>
                          </w:p>
                          <w:p w:rsidR="006D64E8" w:rsidRDefault="006D64E8" w:rsidP="006D64E8">
                            <w:pPr>
                              <w:pStyle w:val="NormalWeb"/>
                              <w:spacing w:before="0" w:beforeAutospacing="0" w:after="0" w:afterAutospacing="0"/>
                              <w:ind w:left="720"/>
                            </w:pPr>
                            <w:r>
                              <w:rPr>
                                <w:rFonts w:ascii="Arial" w:hAnsi="Arial" w:cs="Arial"/>
                                <w:color w:val="000000" w:themeColor="dark1"/>
                              </w:rPr>
                              <w:t>(i).Students at or above minimum standard Reading and Numeracy</w:t>
                            </w:r>
                          </w:p>
                          <w:p w:rsidR="006D64E8" w:rsidRDefault="006D64E8" w:rsidP="006D64E8">
                            <w:pPr>
                              <w:pStyle w:val="NormalWeb"/>
                              <w:spacing w:before="0" w:beforeAutospacing="0" w:after="0" w:afterAutospacing="0"/>
                            </w:pPr>
                            <w:r>
                              <w:rPr>
                                <w:rFonts w:ascii="Arial" w:hAnsi="Arial" w:cs="Arial"/>
                                <w:color w:val="000000" w:themeColor="dark1"/>
                              </w:rPr>
                              <w:t xml:space="preserve">Consistent with the current 2011 rewards targets reporting arrangements, the baseline year previously agreed with the DEEWR is 2009.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31"/>
            </w:tblGrid>
            <w:tr w:rsidR="00142956" w:rsidRPr="00142956" w:rsidTr="009668C1">
              <w:trPr>
                <w:trHeight w:val="750"/>
                <w:tblCellSpacing w:w="0" w:type="dxa"/>
              </w:trPr>
              <w:tc>
                <w:tcPr>
                  <w:tcW w:w="2380" w:type="dxa"/>
                  <w:vAlign w:val="bottom"/>
                  <w:hideMark/>
                </w:tcPr>
                <w:p w:rsidR="00142956" w:rsidRPr="00142956" w:rsidRDefault="00142956" w:rsidP="009668C1">
                  <w:pPr>
                    <w:spacing w:after="0" w:line="240" w:lineRule="auto"/>
                    <w:rPr>
                      <w:rFonts w:ascii="Arial" w:hAnsi="Arial" w:cs="Arial"/>
                      <w:lang w:eastAsia="en-AU"/>
                    </w:rPr>
                  </w:pPr>
                </w:p>
              </w:tc>
            </w:tr>
          </w:tbl>
          <w:p w:rsidR="00142956" w:rsidRPr="00142956" w:rsidRDefault="00142956" w:rsidP="009668C1">
            <w:pPr>
              <w:spacing w:after="0" w:line="240" w:lineRule="auto"/>
              <w:rPr>
                <w:rFonts w:ascii="Arial" w:hAnsi="Arial" w:cs="Arial"/>
                <w:sz w:val="20"/>
                <w:szCs w:val="20"/>
                <w:lang w:eastAsia="en-AU"/>
              </w:rPr>
            </w:pPr>
          </w:p>
        </w:tc>
        <w:tc>
          <w:tcPr>
            <w:tcW w:w="35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0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10"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8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43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3"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8"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r>
      <w:tr w:rsidR="00142956" w:rsidRPr="00142956" w:rsidTr="009668C1">
        <w:trPr>
          <w:trHeight w:val="750"/>
        </w:trPr>
        <w:tc>
          <w:tcPr>
            <w:tcW w:w="45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0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10"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8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43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3"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8"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r>
      <w:tr w:rsidR="00142956" w:rsidRPr="00142956" w:rsidTr="009668C1">
        <w:trPr>
          <w:trHeight w:val="750"/>
        </w:trPr>
        <w:tc>
          <w:tcPr>
            <w:tcW w:w="45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0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10"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8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43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3"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8"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r>
      <w:tr w:rsidR="00142956" w:rsidRPr="00142956" w:rsidTr="009668C1">
        <w:trPr>
          <w:trHeight w:val="750"/>
        </w:trPr>
        <w:tc>
          <w:tcPr>
            <w:tcW w:w="45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0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10"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8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43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3"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8"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r>
      <w:tr w:rsidR="00142956" w:rsidRPr="00142956" w:rsidTr="009668C1">
        <w:trPr>
          <w:trHeight w:val="750"/>
        </w:trPr>
        <w:tc>
          <w:tcPr>
            <w:tcW w:w="45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02"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10"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85"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43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47"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3"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24"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69"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c>
          <w:tcPr>
            <w:tcW w:w="358" w:type="pct"/>
            <w:tcBorders>
              <w:top w:val="nil"/>
              <w:left w:val="nil"/>
              <w:bottom w:val="nil"/>
              <w:right w:val="nil"/>
            </w:tcBorders>
            <w:vAlign w:val="bottom"/>
            <w:hideMark/>
          </w:tcPr>
          <w:p w:rsidR="00142956" w:rsidRPr="00142956" w:rsidRDefault="00142956" w:rsidP="009668C1">
            <w:pPr>
              <w:spacing w:after="0" w:line="240" w:lineRule="auto"/>
              <w:rPr>
                <w:rFonts w:ascii="Arial" w:hAnsi="Arial" w:cs="Arial"/>
                <w:lang w:eastAsia="en-AU"/>
              </w:rPr>
            </w:pPr>
          </w:p>
        </w:tc>
      </w:tr>
      <w:tr w:rsidR="00142956" w:rsidRPr="00142956" w:rsidTr="009668C1">
        <w:trPr>
          <w:trHeight w:val="642"/>
        </w:trPr>
        <w:tc>
          <w:tcPr>
            <w:tcW w:w="452"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59"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02"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47"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10"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25"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85"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434"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47"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63"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24"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24"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69"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c>
          <w:tcPr>
            <w:tcW w:w="358"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0"/>
                <w:szCs w:val="20"/>
                <w:lang w:eastAsia="en-AU"/>
              </w:rPr>
            </w:pPr>
          </w:p>
        </w:tc>
      </w:tr>
      <w:tr w:rsidR="00142956" w:rsidRPr="00142956" w:rsidTr="009668C1">
        <w:trPr>
          <w:trHeight w:val="570"/>
        </w:trPr>
        <w:tc>
          <w:tcPr>
            <w:tcW w:w="452" w:type="pct"/>
            <w:tcBorders>
              <w:top w:val="single" w:sz="4" w:space="0" w:color="auto"/>
              <w:left w:val="single" w:sz="4" w:space="0" w:color="auto"/>
              <w:bottom w:val="single" w:sz="4" w:space="0" w:color="auto"/>
              <w:right w:val="nil"/>
            </w:tcBorders>
            <w:vAlign w:val="center"/>
            <w:hideMark/>
          </w:tcPr>
          <w:p w:rsidR="00142956" w:rsidRPr="00142956" w:rsidRDefault="00142956" w:rsidP="009668C1">
            <w:pPr>
              <w:spacing w:after="0" w:line="240" w:lineRule="auto"/>
              <w:jc w:val="center"/>
              <w:rPr>
                <w:rFonts w:ascii="Arial" w:hAnsi="Arial" w:cs="Arial"/>
                <w:lang w:eastAsia="en-AU"/>
              </w:rPr>
            </w:pPr>
            <w:r w:rsidRPr="00142956">
              <w:rPr>
                <w:rFonts w:ascii="Arial" w:hAnsi="Arial" w:cs="Arial"/>
                <w:lang w:eastAsia="en-AU"/>
              </w:rPr>
              <w:t> </w:t>
            </w:r>
          </w:p>
        </w:tc>
        <w:tc>
          <w:tcPr>
            <w:tcW w:w="359" w:type="pct"/>
            <w:tcBorders>
              <w:top w:val="single" w:sz="4" w:space="0" w:color="auto"/>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lang w:eastAsia="en-AU"/>
              </w:rPr>
            </w:pPr>
            <w:r w:rsidRPr="00142956">
              <w:rPr>
                <w:rFonts w:ascii="Arial" w:hAnsi="Arial" w:cs="Arial"/>
                <w:lang w:eastAsia="en-AU"/>
              </w:rPr>
              <w:t> </w:t>
            </w:r>
          </w:p>
        </w:tc>
        <w:tc>
          <w:tcPr>
            <w:tcW w:w="2103" w:type="pct"/>
            <w:gridSpan w:val="6"/>
            <w:tcBorders>
              <w:top w:val="single" w:sz="4" w:space="0" w:color="auto"/>
              <w:left w:val="nil"/>
              <w:bottom w:val="single" w:sz="4" w:space="0" w:color="auto"/>
              <w:right w:val="single" w:sz="4" w:space="0" w:color="000000"/>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2009 NAPLAN Results for SSNP Schools</w:t>
            </w:r>
          </w:p>
        </w:tc>
        <w:tc>
          <w:tcPr>
            <w:tcW w:w="2085" w:type="pct"/>
            <w:gridSpan w:val="6"/>
            <w:tcBorders>
              <w:top w:val="single" w:sz="4" w:space="0" w:color="auto"/>
              <w:left w:val="nil"/>
              <w:bottom w:val="single" w:sz="4" w:space="0" w:color="auto"/>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2010 NAPLAN Results for SSNP Schools</w:t>
            </w:r>
          </w:p>
        </w:tc>
      </w:tr>
      <w:tr w:rsidR="00142956" w:rsidRPr="00142956" w:rsidTr="009668C1">
        <w:trPr>
          <w:trHeight w:val="1320"/>
        </w:trPr>
        <w:tc>
          <w:tcPr>
            <w:tcW w:w="452" w:type="pct"/>
            <w:tcBorders>
              <w:top w:val="nil"/>
              <w:left w:val="single" w:sz="4" w:space="0" w:color="auto"/>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NAPLAN Measures</w:t>
            </w: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Year Level and Domain</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Assessed</w:t>
            </w:r>
            <w:r w:rsidRPr="00142956">
              <w:rPr>
                <w:rFonts w:ascii="Arial" w:hAnsi="Arial" w:cs="Arial"/>
                <w:b/>
                <w:bCs/>
                <w:sz w:val="24"/>
                <w:szCs w:val="24"/>
                <w:lang w:eastAsia="en-AU"/>
              </w:rPr>
              <w:br/>
              <w:t xml:space="preserve">Students </w:t>
            </w:r>
            <w:r w:rsidRPr="00142956">
              <w:rPr>
                <w:rFonts w:ascii="Arial" w:hAnsi="Arial" w:cs="Arial"/>
                <w:b/>
                <w:bCs/>
                <w:sz w:val="24"/>
                <w:szCs w:val="24"/>
                <w:vertAlign w:val="superscript"/>
                <w:lang w:eastAsia="en-AU"/>
              </w:rPr>
              <w:t>1</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 xml:space="preserve">Exemptions </w:t>
            </w:r>
            <w:r w:rsidRPr="00142956">
              <w:rPr>
                <w:rFonts w:ascii="Arial" w:hAnsi="Arial" w:cs="Arial"/>
                <w:b/>
                <w:bCs/>
                <w:sz w:val="24"/>
                <w:szCs w:val="24"/>
                <w:vertAlign w:val="superscript"/>
                <w:lang w:eastAsia="en-AU"/>
              </w:rPr>
              <w:t>2</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 xml:space="preserve">Absent </w:t>
            </w:r>
            <w:r w:rsidRPr="00142956">
              <w:rPr>
                <w:rFonts w:ascii="Arial" w:hAnsi="Arial" w:cs="Arial"/>
                <w:b/>
                <w:bCs/>
                <w:sz w:val="24"/>
                <w:szCs w:val="24"/>
                <w:vertAlign w:val="superscript"/>
                <w:lang w:eastAsia="en-AU"/>
              </w:rPr>
              <w:t>3</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 xml:space="preserve">Withdrawn </w:t>
            </w:r>
            <w:r w:rsidRPr="00142956">
              <w:rPr>
                <w:rFonts w:ascii="Arial" w:hAnsi="Arial" w:cs="Arial"/>
                <w:b/>
                <w:bCs/>
                <w:sz w:val="24"/>
                <w:szCs w:val="24"/>
                <w:vertAlign w:val="superscript"/>
                <w:lang w:eastAsia="en-AU"/>
              </w:rPr>
              <w:t>3</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NAPLAN Results</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95% Confidence Intervals</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Assessed</w:t>
            </w:r>
            <w:r w:rsidRPr="00142956">
              <w:rPr>
                <w:rFonts w:ascii="Arial" w:hAnsi="Arial" w:cs="Arial"/>
                <w:b/>
                <w:bCs/>
                <w:sz w:val="24"/>
                <w:szCs w:val="24"/>
                <w:lang w:eastAsia="en-AU"/>
              </w:rPr>
              <w:br/>
              <w:t xml:space="preserve">Students </w:t>
            </w:r>
            <w:r w:rsidRPr="00142956">
              <w:rPr>
                <w:rFonts w:ascii="Arial" w:hAnsi="Arial" w:cs="Arial"/>
                <w:b/>
                <w:bCs/>
                <w:sz w:val="24"/>
                <w:szCs w:val="24"/>
                <w:vertAlign w:val="superscript"/>
                <w:lang w:eastAsia="en-AU"/>
              </w:rPr>
              <w:t>1</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 xml:space="preserve">Exemptions </w:t>
            </w:r>
            <w:r w:rsidRPr="00142956">
              <w:rPr>
                <w:rFonts w:ascii="Arial" w:hAnsi="Arial" w:cs="Arial"/>
                <w:b/>
                <w:bCs/>
                <w:sz w:val="24"/>
                <w:szCs w:val="24"/>
                <w:vertAlign w:val="superscript"/>
                <w:lang w:eastAsia="en-AU"/>
              </w:rPr>
              <w:t>2</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 xml:space="preserve">Absent </w:t>
            </w:r>
            <w:r w:rsidRPr="00142956">
              <w:rPr>
                <w:rFonts w:ascii="Arial" w:hAnsi="Arial" w:cs="Arial"/>
                <w:b/>
                <w:bCs/>
                <w:sz w:val="24"/>
                <w:szCs w:val="24"/>
                <w:vertAlign w:val="superscript"/>
                <w:lang w:eastAsia="en-AU"/>
              </w:rPr>
              <w:t>3</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 xml:space="preserve">Withdrawn </w:t>
            </w:r>
            <w:r w:rsidRPr="00142956">
              <w:rPr>
                <w:rFonts w:ascii="Arial" w:hAnsi="Arial" w:cs="Arial"/>
                <w:b/>
                <w:bCs/>
                <w:sz w:val="24"/>
                <w:szCs w:val="24"/>
                <w:vertAlign w:val="superscript"/>
                <w:lang w:eastAsia="en-AU"/>
              </w:rPr>
              <w:t>3</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NAPLAN Results</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r w:rsidRPr="00142956">
              <w:rPr>
                <w:rFonts w:ascii="Arial" w:hAnsi="Arial" w:cs="Arial"/>
                <w:b/>
                <w:bCs/>
                <w:sz w:val="24"/>
                <w:szCs w:val="24"/>
                <w:lang w:eastAsia="en-AU"/>
              </w:rPr>
              <w:t>95% Confidence Intervals</w:t>
            </w:r>
          </w:p>
        </w:tc>
      </w:tr>
      <w:tr w:rsidR="00142956" w:rsidRPr="00142956" w:rsidTr="009668C1">
        <w:trPr>
          <w:trHeight w:val="540"/>
        </w:trPr>
        <w:tc>
          <w:tcPr>
            <w:tcW w:w="452" w:type="pct"/>
            <w:vMerge w:val="restart"/>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 xml:space="preserve">Students at or above minimum standard </w:t>
            </w:r>
            <w:r w:rsidRPr="00142956">
              <w:rPr>
                <w:rFonts w:ascii="Arial" w:hAnsi="Arial" w:cs="Arial"/>
                <w:sz w:val="24"/>
                <w:szCs w:val="24"/>
                <w:lang w:eastAsia="en-AU"/>
              </w:rPr>
              <w:lastRenderedPageBreak/>
              <w:t>(ALL)</w:t>
            </w:r>
            <w:r w:rsidRPr="00142956">
              <w:rPr>
                <w:rFonts w:ascii="Arial" w:hAnsi="Arial" w:cs="Arial"/>
                <w:sz w:val="24"/>
                <w:szCs w:val="24"/>
                <w:lang w:eastAsia="en-AU"/>
              </w:rPr>
              <w:br/>
              <w:t>(Reading and/or Numeracy)</w:t>
            </w: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lastRenderedPageBreak/>
              <w:t>Year 3 Reading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12,454</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563</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576</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272</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92.3%</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0.83%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11,772</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535</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564</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467</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91.5%</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0.82%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Readin</w:t>
            </w:r>
            <w:r w:rsidRPr="00142956">
              <w:rPr>
                <w:rFonts w:ascii="Arial" w:hAnsi="Arial" w:cs="Arial"/>
                <w:sz w:val="24"/>
                <w:szCs w:val="24"/>
                <w:lang w:eastAsia="en-AU"/>
              </w:rPr>
              <w:lastRenderedPageBreak/>
              <w:t>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lastRenderedPageBreak/>
              <w:t>12,669</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506</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625</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220</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89.2%</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0.92%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12,403</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505</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561</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355</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88.3%</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xml:space="preserve">± 1.01% </w:t>
            </w:r>
            <w:r w:rsidRPr="00142956">
              <w:rPr>
                <w:rFonts w:ascii="Arial" w:hAnsi="Arial" w:cs="Arial"/>
                <w:sz w:val="24"/>
                <w:szCs w:val="24"/>
                <w:lang w:eastAsia="en-AU"/>
              </w:rPr>
              <w:lastRenderedPageBreak/>
              <w:t>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Reading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15,742</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321</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987</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108</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91.4%</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Arial" w:hAnsi="Arial" w:cs="Arial"/>
                <w:sz w:val="24"/>
                <w:szCs w:val="24"/>
                <w:lang w:eastAsia="en-AU"/>
              </w:rPr>
              <w:t xml:space="preserve"> 0.96%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15,100</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299</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928</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172</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92.9%</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0.88%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Reading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15,673</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314</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1879</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167</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87.6%</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1.25%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15,176</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372</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1,879</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283</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86.9%</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1.31%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3 Numeracy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12,370</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559</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663</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269</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90.2%</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0.93%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11,719</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522</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637</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447</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92.3%</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0.86%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Numeracy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12,569</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499</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729</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216</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92.8%</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Arial" w:hAnsi="Arial" w:cs="Arial"/>
                <w:sz w:val="24"/>
                <w:szCs w:val="24"/>
                <w:lang w:eastAsia="en-AU"/>
              </w:rPr>
              <w:t xml:space="preserve"> 0.79%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12,382</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498</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593</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345</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92.3%</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0.84%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Numeracy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15,682</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322</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1044</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111</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93.7%</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0.83%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15,033</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300</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998</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172</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94.1%</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0.81%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Numeracy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15,667</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315</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1882</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170</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94.2%</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0.89% point</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15,207</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360</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1,840</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296</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90.9%</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1.09% point</w:t>
            </w:r>
          </w:p>
        </w:tc>
      </w:tr>
      <w:tr w:rsidR="00142956" w:rsidRPr="00142956" w:rsidTr="009668C1">
        <w:trPr>
          <w:trHeight w:val="540"/>
        </w:trPr>
        <w:tc>
          <w:tcPr>
            <w:tcW w:w="452" w:type="pct"/>
            <w:vMerge w:val="restart"/>
            <w:tcBorders>
              <w:top w:val="nil"/>
              <w:left w:val="single" w:sz="4" w:space="0" w:color="auto"/>
              <w:bottom w:val="single" w:sz="4" w:space="0" w:color="000000"/>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 xml:space="preserve">Students above minimum </w:t>
            </w:r>
            <w:r w:rsidRPr="00142956">
              <w:rPr>
                <w:rFonts w:ascii="Arial" w:hAnsi="Arial" w:cs="Arial"/>
                <w:sz w:val="24"/>
                <w:szCs w:val="24"/>
                <w:lang w:eastAsia="en-AU"/>
              </w:rPr>
              <w:br/>
              <w:t xml:space="preserve">standard (ALL) </w:t>
            </w:r>
            <w:r w:rsidRPr="00142956">
              <w:rPr>
                <w:rFonts w:ascii="Arial" w:hAnsi="Arial" w:cs="Arial"/>
                <w:sz w:val="24"/>
                <w:szCs w:val="24"/>
                <w:lang w:eastAsia="en-AU"/>
              </w:rPr>
              <w:br/>
              <w:t>(Reading and/or Numeracy)</w:t>
            </w: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3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12,454</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563</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576</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272</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81.3%</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1.29%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11,772</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535</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564</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467</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80.6%</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1.22%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12,669</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506</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625</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220</w:t>
            </w:r>
          </w:p>
        </w:tc>
        <w:tc>
          <w:tcPr>
            <w:tcW w:w="385" w:type="pct"/>
            <w:tcBorders>
              <w:top w:val="nil"/>
              <w:left w:val="nil"/>
              <w:bottom w:val="single" w:sz="4" w:space="0" w:color="auto"/>
              <w:right w:val="single" w:sz="4" w:space="0" w:color="auto"/>
            </w:tcBorders>
            <w:shd w:val="clear" w:color="000000" w:fill="BFBFB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73.6%</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1.39%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12,403</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505</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561</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355</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72.3%</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1.54%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15,742</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321</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987</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108</w:t>
            </w:r>
          </w:p>
        </w:tc>
        <w:tc>
          <w:tcPr>
            <w:tcW w:w="385" w:type="pct"/>
            <w:tcBorders>
              <w:top w:val="nil"/>
              <w:left w:val="nil"/>
              <w:bottom w:val="single" w:sz="4" w:space="0" w:color="auto"/>
              <w:right w:val="single" w:sz="4" w:space="0" w:color="auto"/>
            </w:tcBorders>
            <w:shd w:val="clear" w:color="000000" w:fill="BFBFB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73.1%</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1.73%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15,100</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299</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928</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172</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74.3%</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1.70%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15,673</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314</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1879</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167</w:t>
            </w:r>
          </w:p>
        </w:tc>
        <w:tc>
          <w:tcPr>
            <w:tcW w:w="385" w:type="pct"/>
            <w:tcBorders>
              <w:top w:val="nil"/>
              <w:left w:val="nil"/>
              <w:bottom w:val="single" w:sz="4" w:space="0" w:color="auto"/>
              <w:right w:val="single" w:sz="4" w:space="0" w:color="auto"/>
            </w:tcBorders>
            <w:shd w:val="clear" w:color="000000" w:fill="BFBFB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67.4%</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1.96%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15,176</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372</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1,879</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283</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61.6%</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2.14%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3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12,370</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559</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663</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269</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76.6%</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1.33%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11,719</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522</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637</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447</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78.3%</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1.43%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12,569</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499</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729</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216</w:t>
            </w:r>
          </w:p>
        </w:tc>
        <w:tc>
          <w:tcPr>
            <w:tcW w:w="385" w:type="pct"/>
            <w:tcBorders>
              <w:top w:val="nil"/>
              <w:left w:val="nil"/>
              <w:bottom w:val="single" w:sz="4" w:space="0" w:color="auto"/>
              <w:right w:val="single" w:sz="4" w:space="0" w:color="auto"/>
            </w:tcBorders>
            <w:shd w:val="clear" w:color="000000" w:fill="BFBFB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73.7%</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Arial" w:hAnsi="Arial" w:cs="Arial"/>
                <w:sz w:val="24"/>
                <w:szCs w:val="24"/>
                <w:lang w:eastAsia="en-AU"/>
              </w:rPr>
              <w:t xml:space="preserve"> 1.44%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12,382</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498</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593</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345</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77.7%</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1.39%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15,682</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322</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1044</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111</w:t>
            </w:r>
          </w:p>
        </w:tc>
        <w:tc>
          <w:tcPr>
            <w:tcW w:w="385" w:type="pct"/>
            <w:tcBorders>
              <w:top w:val="nil"/>
              <w:left w:val="nil"/>
              <w:bottom w:val="single" w:sz="4" w:space="0" w:color="auto"/>
              <w:right w:val="single" w:sz="4" w:space="0" w:color="auto"/>
            </w:tcBorders>
            <w:shd w:val="clear" w:color="000000" w:fill="BFBFB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74.5%</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1.72%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15,033</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300</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998</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172</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75.6%</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1.75%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15,667</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315</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1882</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170</w:t>
            </w:r>
          </w:p>
        </w:tc>
        <w:tc>
          <w:tcPr>
            <w:tcW w:w="385" w:type="pct"/>
            <w:tcBorders>
              <w:top w:val="nil"/>
              <w:left w:val="nil"/>
              <w:bottom w:val="single" w:sz="4" w:space="0" w:color="auto"/>
              <w:right w:val="single" w:sz="4" w:space="0" w:color="auto"/>
            </w:tcBorders>
            <w:shd w:val="clear" w:color="000000" w:fill="BFBFB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74.9%</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1.91%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15,207</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360</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1,840</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296</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69.9%</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2.06% point</w:t>
            </w:r>
          </w:p>
        </w:tc>
      </w:tr>
      <w:tr w:rsidR="00142956" w:rsidRPr="00142956" w:rsidTr="009668C1">
        <w:trPr>
          <w:trHeight w:val="540"/>
        </w:trPr>
        <w:tc>
          <w:tcPr>
            <w:tcW w:w="452" w:type="pct"/>
            <w:vMerge w:val="restart"/>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Mean Scale Score (ALL)</w:t>
            </w:r>
            <w:r w:rsidRPr="00142956">
              <w:rPr>
                <w:rFonts w:ascii="Arial" w:hAnsi="Arial" w:cs="Arial"/>
                <w:sz w:val="24"/>
                <w:szCs w:val="24"/>
                <w:lang w:eastAsia="en-AU"/>
              </w:rPr>
              <w:br/>
              <w:t>(Reading and/or Numeracy)</w:t>
            </w: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3 Reading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12,454</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563</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576</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272</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404.9</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3.29</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11,772</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535</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564</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467</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406.0</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3.14</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Reading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12,669</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506</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625</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220</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482.7</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2.91</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12,403</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505</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561</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355</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479.5</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2.91</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Reading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15,742</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321</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987</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108</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521.9</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2.95</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15,100</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299</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928</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172</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526.4</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2.97</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Reading</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15,673</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314</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1,879</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167</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561.1</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3.17</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15,176</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372</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1,879</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283</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556.7</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3.11</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3 Numeracy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12,370</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559</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663</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269</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389.7</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2.98</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11,719</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522</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637</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447</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390.7</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3.15</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Numeracy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12,569</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499</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729</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216</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477.1</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2.77</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12,382</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498</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593</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345</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484.0</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2.88</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Numera</w:t>
            </w:r>
            <w:r w:rsidRPr="00142956">
              <w:rPr>
                <w:rFonts w:ascii="Arial" w:hAnsi="Arial" w:cs="Arial"/>
                <w:sz w:val="24"/>
                <w:szCs w:val="24"/>
                <w:lang w:eastAsia="en-AU"/>
              </w:rPr>
              <w:lastRenderedPageBreak/>
              <w:t>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lastRenderedPageBreak/>
              <w:t>15,682</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322</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1,044</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111</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526.1</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3.34</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15,033</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300</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998</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172</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527.9</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3.50</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Numeracy</w:t>
            </w:r>
          </w:p>
        </w:tc>
        <w:tc>
          <w:tcPr>
            <w:tcW w:w="302"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15,667</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315</w:t>
            </w:r>
          </w:p>
        </w:tc>
        <w:tc>
          <w:tcPr>
            <w:tcW w:w="310"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1,882</w:t>
            </w:r>
          </w:p>
        </w:tc>
        <w:tc>
          <w:tcPr>
            <w:tcW w:w="325"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170</w:t>
            </w:r>
          </w:p>
        </w:tc>
        <w:tc>
          <w:tcPr>
            <w:tcW w:w="385" w:type="pct"/>
            <w:tcBorders>
              <w:top w:val="nil"/>
              <w:left w:val="nil"/>
              <w:bottom w:val="single" w:sz="4" w:space="0" w:color="auto"/>
              <w:right w:val="single" w:sz="4" w:space="0" w:color="auto"/>
            </w:tcBorders>
            <w:shd w:val="clear" w:color="000000" w:fill="FFFFFF"/>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572.2</w:t>
            </w:r>
          </w:p>
        </w:tc>
        <w:tc>
          <w:tcPr>
            <w:tcW w:w="43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3.50</w:t>
            </w:r>
          </w:p>
        </w:tc>
        <w:tc>
          <w:tcPr>
            <w:tcW w:w="347"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15,207</w:t>
            </w:r>
          </w:p>
        </w:tc>
        <w:tc>
          <w:tcPr>
            <w:tcW w:w="363"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360</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1,840</w:t>
            </w:r>
          </w:p>
        </w:tc>
        <w:tc>
          <w:tcPr>
            <w:tcW w:w="324"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296</w:t>
            </w:r>
          </w:p>
        </w:tc>
        <w:tc>
          <w:tcPr>
            <w:tcW w:w="369"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568.6</w:t>
            </w:r>
          </w:p>
        </w:tc>
        <w:tc>
          <w:tcPr>
            <w:tcW w:w="358" w:type="pct"/>
            <w:tcBorders>
              <w:top w:val="nil"/>
              <w:left w:val="nil"/>
              <w:bottom w:val="single" w:sz="4" w:space="0" w:color="auto"/>
              <w:right w:val="single" w:sz="4" w:space="0" w:color="auto"/>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3.52</w:t>
            </w:r>
          </w:p>
        </w:tc>
      </w:tr>
      <w:tr w:rsidR="00142956" w:rsidRPr="00142956" w:rsidTr="009668C1">
        <w:trPr>
          <w:trHeight w:val="540"/>
        </w:trPr>
        <w:tc>
          <w:tcPr>
            <w:tcW w:w="452" w:type="pct"/>
            <w:vMerge w:val="restart"/>
            <w:tcBorders>
              <w:top w:val="nil"/>
              <w:left w:val="single" w:sz="4" w:space="0" w:color="auto"/>
              <w:bottom w:val="single" w:sz="4" w:space="0" w:color="000000"/>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Students at or above minimum standard (INDIGENOUS)</w:t>
            </w:r>
            <w:r w:rsidRPr="00142956">
              <w:rPr>
                <w:rFonts w:ascii="Arial" w:hAnsi="Arial" w:cs="Arial"/>
                <w:sz w:val="24"/>
                <w:szCs w:val="24"/>
                <w:lang w:eastAsia="en-AU"/>
              </w:rPr>
              <w:br/>
              <w:t>(Reading and/or Numeracy)</w:t>
            </w: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3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280</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39</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83.9%</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4.83%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294</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45</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82.0%</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4.77%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310</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79.0%</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4.97%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298</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15</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74.8%</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5.63%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322</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38</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79.8%</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4.58%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309</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55</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86.1%</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3.98%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Reading</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271</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114</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77.5%</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5.92%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266</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123</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73.3%</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5.32%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3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280</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21</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38</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82.1%</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4.78%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294</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21</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45</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83.0%</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4.69%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5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296</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22</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47</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85.8%</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4.15%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297</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17</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31</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16</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85.2%</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3.94%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7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335</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56</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82.1%</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4.62%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301</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64</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84.4%</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4.71% point</w:t>
            </w:r>
          </w:p>
        </w:tc>
      </w:tr>
      <w:tr w:rsidR="00142956" w:rsidRPr="00142956" w:rsidTr="009668C1">
        <w:trPr>
          <w:trHeight w:val="540"/>
        </w:trPr>
        <w:tc>
          <w:tcPr>
            <w:tcW w:w="452" w:type="pct"/>
            <w:vMerge/>
            <w:tcBorders>
              <w:top w:val="nil"/>
              <w:left w:val="single" w:sz="4" w:space="0" w:color="auto"/>
              <w:bottom w:val="single" w:sz="4" w:space="0" w:color="000000"/>
              <w:right w:val="single" w:sz="4" w:space="0" w:color="auto"/>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Year 9 Numeracy</w:t>
            </w:r>
          </w:p>
        </w:tc>
        <w:tc>
          <w:tcPr>
            <w:tcW w:w="302"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278</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12</w:t>
            </w:r>
          </w:p>
        </w:tc>
        <w:tc>
          <w:tcPr>
            <w:tcW w:w="310"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106</w:t>
            </w:r>
          </w:p>
        </w:tc>
        <w:tc>
          <w:tcPr>
            <w:tcW w:w="325"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3</w:t>
            </w:r>
          </w:p>
        </w:tc>
        <w:tc>
          <w:tcPr>
            <w:tcW w:w="385" w:type="pct"/>
            <w:tcBorders>
              <w:top w:val="nil"/>
              <w:left w:val="nil"/>
              <w:bottom w:val="single" w:sz="4" w:space="0" w:color="auto"/>
              <w:right w:val="single" w:sz="4" w:space="0" w:color="auto"/>
            </w:tcBorders>
            <w:shd w:val="clear" w:color="000000" w:fill="BFBFBF"/>
            <w:noWrap/>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85.6%</w:t>
            </w:r>
          </w:p>
        </w:tc>
        <w:tc>
          <w:tcPr>
            <w:tcW w:w="43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Symbol" w:hAnsi="Symbol" w:cs="Arial"/>
                <w:sz w:val="24"/>
                <w:szCs w:val="24"/>
                <w:lang w:eastAsia="en-AU"/>
              </w:rPr>
            </w:pPr>
            <w:r w:rsidRPr="00142956">
              <w:rPr>
                <w:rFonts w:ascii="Symbol" w:hAnsi="Symbol" w:cs="Arial"/>
                <w:sz w:val="24"/>
                <w:szCs w:val="24"/>
                <w:lang w:eastAsia="en-AU"/>
              </w:rPr>
              <w:t></w:t>
            </w:r>
            <w:r w:rsidRPr="00142956">
              <w:rPr>
                <w:rFonts w:ascii="Symbol" w:hAnsi="Symbol" w:cs="Arial"/>
                <w:sz w:val="24"/>
                <w:szCs w:val="24"/>
                <w:lang w:eastAsia="en-AU"/>
              </w:rPr>
              <w:t></w:t>
            </w:r>
            <w:r w:rsidRPr="00142956">
              <w:rPr>
                <w:rFonts w:ascii="Arial" w:hAnsi="Arial" w:cs="Arial"/>
                <w:sz w:val="24"/>
                <w:szCs w:val="24"/>
                <w:lang w:eastAsia="en-AU"/>
              </w:rPr>
              <w:t>5.91% point</w:t>
            </w:r>
          </w:p>
        </w:tc>
        <w:tc>
          <w:tcPr>
            <w:tcW w:w="347"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278</w:t>
            </w:r>
          </w:p>
        </w:tc>
        <w:tc>
          <w:tcPr>
            <w:tcW w:w="363"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110</w:t>
            </w:r>
          </w:p>
        </w:tc>
        <w:tc>
          <w:tcPr>
            <w:tcW w:w="324"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11</w:t>
            </w:r>
          </w:p>
        </w:tc>
        <w:tc>
          <w:tcPr>
            <w:tcW w:w="369"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80.2%</w:t>
            </w:r>
          </w:p>
        </w:tc>
        <w:tc>
          <w:tcPr>
            <w:tcW w:w="358" w:type="pct"/>
            <w:tcBorders>
              <w:top w:val="nil"/>
              <w:left w:val="nil"/>
              <w:bottom w:val="single" w:sz="4" w:space="0" w:color="auto"/>
              <w:right w:val="single" w:sz="4" w:space="0" w:color="auto"/>
            </w:tcBorders>
            <w:shd w:val="clear" w:color="000000" w:fill="C0C0C0"/>
            <w:vAlign w:val="center"/>
            <w:hideMark/>
          </w:tcPr>
          <w:p w:rsidR="00142956" w:rsidRPr="00142956" w:rsidRDefault="00142956" w:rsidP="009668C1">
            <w:pPr>
              <w:spacing w:after="0" w:line="240" w:lineRule="auto"/>
              <w:jc w:val="center"/>
              <w:rPr>
                <w:rFonts w:ascii="Arial" w:hAnsi="Arial" w:cs="Arial"/>
                <w:sz w:val="24"/>
                <w:szCs w:val="24"/>
                <w:lang w:eastAsia="en-AU"/>
              </w:rPr>
            </w:pPr>
            <w:r w:rsidRPr="00142956">
              <w:rPr>
                <w:rFonts w:ascii="Arial" w:hAnsi="Arial" w:cs="Arial"/>
                <w:sz w:val="24"/>
                <w:szCs w:val="24"/>
                <w:lang w:eastAsia="en-AU"/>
              </w:rPr>
              <w:t>± 4.69% point</w:t>
            </w:r>
          </w:p>
        </w:tc>
      </w:tr>
      <w:tr w:rsidR="00142956" w:rsidRPr="00142956" w:rsidTr="009668C1">
        <w:trPr>
          <w:trHeight w:val="315"/>
        </w:trPr>
        <w:tc>
          <w:tcPr>
            <w:tcW w:w="452"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02"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47"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10"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25"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85" w:type="pct"/>
            <w:tcBorders>
              <w:top w:val="nil"/>
              <w:left w:val="nil"/>
              <w:bottom w:val="nil"/>
              <w:right w:val="nil"/>
            </w:tcBorders>
            <w:noWrap/>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434" w:type="pct"/>
            <w:tcBorders>
              <w:top w:val="nil"/>
              <w:left w:val="nil"/>
              <w:bottom w:val="nil"/>
              <w:right w:val="nil"/>
            </w:tcBorders>
            <w:noWrap/>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47"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63"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24"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24"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69"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c>
          <w:tcPr>
            <w:tcW w:w="358"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r>
      <w:tr w:rsidR="00142956" w:rsidRPr="00142956" w:rsidTr="009668C1">
        <w:trPr>
          <w:trHeight w:val="315"/>
        </w:trPr>
        <w:tc>
          <w:tcPr>
            <w:tcW w:w="452"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59"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02"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47"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10"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25"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85" w:type="pct"/>
            <w:tcBorders>
              <w:top w:val="nil"/>
              <w:left w:val="nil"/>
              <w:bottom w:val="nil"/>
              <w:right w:val="nil"/>
            </w:tcBorders>
            <w:noWrap/>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434" w:type="pct"/>
            <w:tcBorders>
              <w:top w:val="nil"/>
              <w:left w:val="nil"/>
              <w:bottom w:val="nil"/>
              <w:right w:val="nil"/>
            </w:tcBorders>
            <w:noWrap/>
            <w:vAlign w:val="center"/>
            <w:hideMark/>
          </w:tcPr>
          <w:p w:rsidR="00142956" w:rsidRPr="00142956" w:rsidRDefault="00142956" w:rsidP="009668C1">
            <w:pPr>
              <w:spacing w:after="0" w:line="240" w:lineRule="auto"/>
              <w:jc w:val="center"/>
              <w:rPr>
                <w:rFonts w:ascii="Arial" w:hAnsi="Arial" w:cs="Arial"/>
                <w:sz w:val="24"/>
                <w:szCs w:val="24"/>
                <w:lang w:eastAsia="en-AU"/>
              </w:rPr>
            </w:pPr>
          </w:p>
        </w:tc>
        <w:tc>
          <w:tcPr>
            <w:tcW w:w="347"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63"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24"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24" w:type="pct"/>
            <w:tcBorders>
              <w:top w:val="nil"/>
              <w:left w:val="nil"/>
              <w:bottom w:val="nil"/>
              <w:right w:val="nil"/>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69"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c>
          <w:tcPr>
            <w:tcW w:w="358"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r>
      <w:tr w:rsidR="00142956" w:rsidRPr="00142956" w:rsidTr="009668C1">
        <w:trPr>
          <w:trHeight w:val="315"/>
        </w:trPr>
        <w:tc>
          <w:tcPr>
            <w:tcW w:w="452" w:type="pct"/>
            <w:tcBorders>
              <w:top w:val="nil"/>
              <w:left w:val="nil"/>
              <w:bottom w:val="nil"/>
              <w:right w:val="nil"/>
            </w:tcBorders>
            <w:hideMark/>
          </w:tcPr>
          <w:p w:rsidR="00142956" w:rsidRPr="00142956" w:rsidRDefault="00142956" w:rsidP="009668C1">
            <w:pPr>
              <w:spacing w:after="0" w:line="240" w:lineRule="auto"/>
              <w:rPr>
                <w:rFonts w:ascii="Arial" w:hAnsi="Arial" w:cs="Arial"/>
                <w:b/>
                <w:bCs/>
                <w:i/>
                <w:iCs/>
                <w:sz w:val="24"/>
                <w:szCs w:val="24"/>
                <w:lang w:eastAsia="en-AU"/>
              </w:rPr>
            </w:pPr>
          </w:p>
        </w:tc>
        <w:tc>
          <w:tcPr>
            <w:tcW w:w="359" w:type="pct"/>
            <w:tcBorders>
              <w:top w:val="nil"/>
              <w:left w:val="nil"/>
              <w:bottom w:val="nil"/>
              <w:right w:val="nil"/>
            </w:tcBorders>
            <w:hideMark/>
          </w:tcPr>
          <w:p w:rsidR="00142956" w:rsidRPr="00142956" w:rsidRDefault="00142956" w:rsidP="009668C1">
            <w:pPr>
              <w:spacing w:after="0" w:line="240" w:lineRule="auto"/>
              <w:rPr>
                <w:rFonts w:ascii="Arial" w:hAnsi="Arial" w:cs="Arial"/>
                <w:b/>
                <w:bCs/>
                <w:i/>
                <w:iCs/>
                <w:sz w:val="24"/>
                <w:szCs w:val="24"/>
                <w:lang w:eastAsia="en-AU"/>
              </w:rPr>
            </w:pPr>
          </w:p>
        </w:tc>
        <w:tc>
          <w:tcPr>
            <w:tcW w:w="302"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47"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10"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25"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85"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434"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47"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63"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24"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24"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69"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c>
          <w:tcPr>
            <w:tcW w:w="358" w:type="pct"/>
            <w:tcBorders>
              <w:top w:val="nil"/>
              <w:left w:val="nil"/>
              <w:bottom w:val="nil"/>
              <w:right w:val="nil"/>
            </w:tcBorders>
            <w:hideMark/>
          </w:tcPr>
          <w:p w:rsidR="00142956" w:rsidRPr="00142956" w:rsidRDefault="00142956" w:rsidP="009668C1">
            <w:pPr>
              <w:spacing w:after="0" w:line="240" w:lineRule="auto"/>
              <w:rPr>
                <w:rFonts w:ascii="Arial" w:hAnsi="Arial" w:cs="Arial"/>
                <w:sz w:val="24"/>
                <w:szCs w:val="24"/>
                <w:lang w:eastAsia="en-AU"/>
              </w:rPr>
            </w:pPr>
          </w:p>
        </w:tc>
      </w:tr>
      <w:tr w:rsidR="00142956" w:rsidRPr="00142956" w:rsidTr="009668C1">
        <w:trPr>
          <w:trHeight w:val="600"/>
        </w:trPr>
        <w:tc>
          <w:tcPr>
            <w:tcW w:w="4273" w:type="pct"/>
            <w:gridSpan w:val="12"/>
            <w:vMerge w:val="restart"/>
            <w:tcBorders>
              <w:top w:val="single" w:sz="4" w:space="0" w:color="auto"/>
              <w:left w:val="single" w:sz="4" w:space="0" w:color="auto"/>
              <w:bottom w:val="single" w:sz="4" w:space="0" w:color="000000"/>
              <w:right w:val="single" w:sz="4" w:space="0" w:color="000000"/>
            </w:tcBorders>
            <w:hideMark/>
          </w:tcPr>
          <w:p w:rsidR="00142956" w:rsidRPr="00142956" w:rsidRDefault="00142956" w:rsidP="009668C1">
            <w:pPr>
              <w:spacing w:after="0" w:line="240" w:lineRule="auto"/>
              <w:rPr>
                <w:rFonts w:ascii="Arial" w:hAnsi="Arial" w:cs="Arial"/>
                <w:sz w:val="24"/>
                <w:szCs w:val="24"/>
                <w:lang w:eastAsia="en-AU"/>
              </w:rPr>
            </w:pPr>
            <w:r w:rsidRPr="00142956">
              <w:rPr>
                <w:rFonts w:ascii="Arial" w:hAnsi="Arial" w:cs="Arial"/>
                <w:sz w:val="24"/>
                <w:szCs w:val="24"/>
                <w:lang w:eastAsia="en-AU"/>
              </w:rPr>
              <w:t>1.  Assessed students include all students who attempt the test, including exempt students.</w:t>
            </w:r>
            <w:r w:rsidRPr="00142956">
              <w:rPr>
                <w:rFonts w:ascii="Arial" w:hAnsi="Arial" w:cs="Arial"/>
                <w:sz w:val="24"/>
                <w:szCs w:val="24"/>
                <w:lang w:eastAsia="en-AU"/>
              </w:rPr>
              <w:br/>
              <w:t>2.  Students who qualify for exemption and do not submit a test attempted under test conditions are considered as assessed students.</w:t>
            </w:r>
            <w:r w:rsidRPr="00142956">
              <w:rPr>
                <w:rFonts w:ascii="Arial" w:hAnsi="Arial" w:cs="Arial"/>
                <w:sz w:val="24"/>
                <w:szCs w:val="24"/>
                <w:lang w:eastAsia="en-AU"/>
              </w:rPr>
              <w:br/>
              <w:t>3.  Absent or Withdrawn students should not be counted as part of the cohort of assessed students.</w:t>
            </w:r>
            <w:r w:rsidRPr="00142956">
              <w:rPr>
                <w:rFonts w:ascii="Arial" w:hAnsi="Arial" w:cs="Arial"/>
                <w:sz w:val="24"/>
                <w:szCs w:val="24"/>
                <w:lang w:eastAsia="en-AU"/>
              </w:rPr>
              <w:br/>
              <w:t xml:space="preserve">4. These preliminary results were based upon a first cut of NAPLAN data - a final cut of NAPLAN data has been included in Column H. </w:t>
            </w:r>
            <w:r w:rsidRPr="00142956">
              <w:rPr>
                <w:rFonts w:ascii="Arial" w:hAnsi="Arial" w:cs="Arial"/>
                <w:sz w:val="24"/>
                <w:szCs w:val="24"/>
                <w:lang w:eastAsia="en-AU"/>
              </w:rPr>
              <w:br/>
            </w:r>
            <w:r w:rsidRPr="00142956">
              <w:rPr>
                <w:rFonts w:ascii="Arial" w:hAnsi="Arial" w:cs="Arial"/>
                <w:sz w:val="24"/>
                <w:szCs w:val="24"/>
                <w:u w:val="single"/>
                <w:lang w:eastAsia="en-AU"/>
              </w:rPr>
              <w:t>Explanatory statement:</w:t>
            </w:r>
            <w:r w:rsidRPr="00142956">
              <w:rPr>
                <w:rFonts w:ascii="Arial" w:hAnsi="Arial" w:cs="Arial"/>
                <w:sz w:val="24"/>
                <w:szCs w:val="24"/>
                <w:lang w:eastAsia="en-AU"/>
              </w:rPr>
              <w:br/>
              <w:t xml:space="preserve">Students’ scaled scores are used for the calculations of NAPLAN results. </w:t>
            </w:r>
            <w:r w:rsidRPr="00142956">
              <w:rPr>
                <w:rFonts w:ascii="Arial" w:hAnsi="Arial" w:cs="Arial"/>
                <w:sz w:val="24"/>
                <w:szCs w:val="24"/>
                <w:lang w:eastAsia="en-AU"/>
              </w:rPr>
              <w:br/>
              <w:t xml:space="preserve">In accordance with the NAPLAN reporting protocols, exempt students are counted as part of the cohort of assessed students. </w:t>
            </w:r>
            <w:r w:rsidRPr="00142956">
              <w:rPr>
                <w:rFonts w:ascii="Arial" w:hAnsi="Arial" w:cs="Arial"/>
                <w:sz w:val="24"/>
                <w:szCs w:val="24"/>
                <w:lang w:eastAsia="en-AU"/>
              </w:rPr>
              <w:br/>
              <w:t xml:space="preserve">Exempt students are deemed not to have met the national minimum standard.  They are included in the denominator for the calculations of “percentage of students at or above the national minimum standard” and “percentage of students above the national minimum standard”. </w:t>
            </w:r>
            <w:r w:rsidRPr="00142956">
              <w:rPr>
                <w:rFonts w:ascii="Arial" w:hAnsi="Arial" w:cs="Arial"/>
                <w:sz w:val="24"/>
                <w:szCs w:val="24"/>
                <w:lang w:eastAsia="en-AU"/>
              </w:rPr>
              <w:br/>
              <w:t>Exempt students are not included in the calculation of the mean score for the year level and domain.</w:t>
            </w:r>
          </w:p>
        </w:tc>
        <w:tc>
          <w:tcPr>
            <w:tcW w:w="369"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c>
          <w:tcPr>
            <w:tcW w:w="358"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4"/>
                <w:szCs w:val="24"/>
                <w:lang w:eastAsia="en-AU"/>
              </w:rPr>
            </w:pPr>
          </w:p>
        </w:tc>
      </w:tr>
      <w:tr w:rsidR="00142956" w:rsidRPr="00142956" w:rsidTr="009668C1">
        <w:trPr>
          <w:trHeight w:val="1065"/>
        </w:trPr>
        <w:tc>
          <w:tcPr>
            <w:tcW w:w="4273" w:type="pct"/>
            <w:gridSpan w:val="12"/>
            <w:vMerge/>
            <w:tcBorders>
              <w:top w:val="single" w:sz="4" w:space="0" w:color="auto"/>
              <w:left w:val="single" w:sz="4" w:space="0" w:color="auto"/>
              <w:bottom w:val="single" w:sz="4" w:space="0" w:color="000000"/>
              <w:right w:val="single" w:sz="4" w:space="0" w:color="000000"/>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69"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c>
          <w:tcPr>
            <w:tcW w:w="358"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4"/>
                <w:szCs w:val="24"/>
                <w:lang w:eastAsia="en-AU"/>
              </w:rPr>
            </w:pPr>
          </w:p>
        </w:tc>
      </w:tr>
      <w:tr w:rsidR="00142956" w:rsidRPr="00142956" w:rsidTr="009668C1">
        <w:trPr>
          <w:trHeight w:val="1230"/>
        </w:trPr>
        <w:tc>
          <w:tcPr>
            <w:tcW w:w="4273" w:type="pct"/>
            <w:gridSpan w:val="12"/>
            <w:vMerge/>
            <w:tcBorders>
              <w:top w:val="single" w:sz="4" w:space="0" w:color="auto"/>
              <w:left w:val="single" w:sz="4" w:space="0" w:color="auto"/>
              <w:bottom w:val="single" w:sz="4" w:space="0" w:color="000000"/>
              <w:right w:val="single" w:sz="4" w:space="0" w:color="000000"/>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69"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c>
          <w:tcPr>
            <w:tcW w:w="358"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4"/>
                <w:szCs w:val="24"/>
                <w:lang w:eastAsia="en-AU"/>
              </w:rPr>
            </w:pPr>
          </w:p>
        </w:tc>
      </w:tr>
      <w:tr w:rsidR="00142956" w:rsidRPr="00142956" w:rsidTr="009668C1">
        <w:trPr>
          <w:trHeight w:val="570"/>
        </w:trPr>
        <w:tc>
          <w:tcPr>
            <w:tcW w:w="4273" w:type="pct"/>
            <w:gridSpan w:val="12"/>
            <w:vMerge/>
            <w:tcBorders>
              <w:top w:val="single" w:sz="4" w:space="0" w:color="auto"/>
              <w:left w:val="single" w:sz="4" w:space="0" w:color="auto"/>
              <w:bottom w:val="single" w:sz="4" w:space="0" w:color="000000"/>
              <w:right w:val="single" w:sz="4" w:space="0" w:color="000000"/>
            </w:tcBorders>
            <w:vAlign w:val="center"/>
            <w:hideMark/>
          </w:tcPr>
          <w:p w:rsidR="00142956" w:rsidRPr="00142956" w:rsidRDefault="00142956" w:rsidP="009668C1">
            <w:pPr>
              <w:spacing w:after="0" w:line="240" w:lineRule="auto"/>
              <w:rPr>
                <w:rFonts w:ascii="Arial" w:hAnsi="Arial" w:cs="Arial"/>
                <w:sz w:val="24"/>
                <w:szCs w:val="24"/>
                <w:lang w:eastAsia="en-AU"/>
              </w:rPr>
            </w:pPr>
          </w:p>
        </w:tc>
        <w:tc>
          <w:tcPr>
            <w:tcW w:w="369" w:type="pct"/>
            <w:tcBorders>
              <w:top w:val="nil"/>
              <w:left w:val="nil"/>
              <w:bottom w:val="nil"/>
              <w:right w:val="nil"/>
            </w:tcBorders>
            <w:vAlign w:val="center"/>
            <w:hideMark/>
          </w:tcPr>
          <w:p w:rsidR="00142956" w:rsidRPr="00142956" w:rsidRDefault="00142956" w:rsidP="009668C1">
            <w:pPr>
              <w:spacing w:after="0" w:line="240" w:lineRule="auto"/>
              <w:jc w:val="center"/>
              <w:rPr>
                <w:rFonts w:ascii="Arial" w:hAnsi="Arial" w:cs="Arial"/>
                <w:b/>
                <w:bCs/>
                <w:sz w:val="24"/>
                <w:szCs w:val="24"/>
                <w:lang w:eastAsia="en-AU"/>
              </w:rPr>
            </w:pPr>
          </w:p>
        </w:tc>
        <w:tc>
          <w:tcPr>
            <w:tcW w:w="358" w:type="pct"/>
            <w:tcBorders>
              <w:top w:val="nil"/>
              <w:left w:val="nil"/>
              <w:bottom w:val="nil"/>
              <w:right w:val="nil"/>
            </w:tcBorders>
            <w:noWrap/>
            <w:vAlign w:val="bottom"/>
            <w:hideMark/>
          </w:tcPr>
          <w:p w:rsidR="00142956" w:rsidRPr="00142956" w:rsidRDefault="00142956" w:rsidP="009668C1">
            <w:pPr>
              <w:spacing w:after="0" w:line="240" w:lineRule="auto"/>
              <w:rPr>
                <w:rFonts w:ascii="Arial" w:hAnsi="Arial" w:cs="Arial"/>
                <w:sz w:val="24"/>
                <w:szCs w:val="24"/>
                <w:lang w:eastAsia="en-AU"/>
              </w:rPr>
            </w:pPr>
          </w:p>
        </w:tc>
      </w:tr>
    </w:tbl>
    <w:p w:rsidR="00142956" w:rsidRDefault="00142956" w:rsidP="00142956"/>
    <w:p w:rsidR="00D765D8" w:rsidRPr="00142956" w:rsidRDefault="00D765D8" w:rsidP="00142956"/>
    <w:sectPr w:rsidR="00D765D8" w:rsidRPr="00142956" w:rsidSect="001429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56"/>
    <w:rsid w:val="00123AC8"/>
    <w:rsid w:val="00142956"/>
    <w:rsid w:val="001C6DBE"/>
    <w:rsid w:val="002A12B6"/>
    <w:rsid w:val="0034015C"/>
    <w:rsid w:val="006D64E8"/>
    <w:rsid w:val="007B6413"/>
    <w:rsid w:val="009668C1"/>
    <w:rsid w:val="009A7605"/>
    <w:rsid w:val="009B2614"/>
    <w:rsid w:val="00A92B7F"/>
    <w:rsid w:val="00D765D8"/>
    <w:rsid w:val="00D87654"/>
    <w:rsid w:val="00E06339"/>
    <w:rsid w:val="00E434F8"/>
    <w:rsid w:val="00F22D7F"/>
    <w:rsid w:val="00F870F4"/>
    <w:rsid w:val="00FE4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C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4E8"/>
    <w:pPr>
      <w:spacing w:before="100" w:beforeAutospacing="1" w:after="100" w:afterAutospacing="1" w:line="240" w:lineRule="auto"/>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C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4E8"/>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18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32929F5A.dotm</Template>
  <TotalTime>1</TotalTime>
  <Pages>5</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O'Brien</dc:creator>
  <cp:lastModifiedBy>Marianne Sibley</cp:lastModifiedBy>
  <cp:revision>2</cp:revision>
  <dcterms:created xsi:type="dcterms:W3CDTF">2014-02-21T04:53:00Z</dcterms:created>
  <dcterms:modified xsi:type="dcterms:W3CDTF">2014-02-21T04:53:00Z</dcterms:modified>
</cp:coreProperties>
</file>