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oter4.xml" ContentType="application/vnd.openxmlformats-officedocument.wordprocessingml.footer+xml"/>
  <Override PartName="/word/charts/chart24.xml" ContentType="application/vnd.openxmlformats-officedocument.drawingml.chart+xml"/>
  <Override PartName="/word/theme/themeOverride1.xml" ContentType="application/vnd.openxmlformats-officedocument.themeOverride+xml"/>
  <Override PartName="/word/charts/chart25.xml" ContentType="application/vnd.openxmlformats-officedocument.drawingml.chart+xml"/>
  <Override PartName="/word/theme/themeOverride2.xml" ContentType="application/vnd.openxmlformats-officedocument.themeOverrid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256" w:rsidRDefault="006457C6" w:rsidP="00C55871">
      <w:pPr>
        <w:spacing w:after="200"/>
        <w:rPr>
          <w:rFonts w:ascii="Arial" w:hAnsi="Arial" w:cs="Arial"/>
        </w:rPr>
      </w:pPr>
      <w:r>
        <w:rPr>
          <w:rFonts w:ascii="Arial" w:hAnsi="Arial" w:cs="Arial"/>
          <w:noProof/>
          <w:lang w:eastAsia="en-AU"/>
        </w:rPr>
        <mc:AlternateContent>
          <mc:Choice Requires="wps">
            <w:drawing>
              <wp:inline distT="0" distB="0" distL="0" distR="0" wp14:anchorId="56102BBF" wp14:editId="456B11C8">
                <wp:extent cx="5715000" cy="8801100"/>
                <wp:effectExtent l="0" t="0" r="19050" b="19050"/>
                <wp:docPr id="2" name="Rectangle 2" descr="NATIONAL PARTNERSHIP ON YOUTH ATTAINMENT AND TRANSITIONS&#10;&#10;-STATE-&#10;&#10;ANNUAL REPORT&#10;MAY 2012&#10;&#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801100"/>
                        </a:xfrm>
                        <a:prstGeom prst="rect">
                          <a:avLst/>
                        </a:prstGeom>
                        <a:solidFill>
                          <a:schemeClr val="bg2">
                            <a:lumMod val="100000"/>
                            <a:lumOff val="0"/>
                          </a:schemeClr>
                        </a:solidFill>
                        <a:ln w="9525">
                          <a:solidFill>
                            <a:srgbClr val="004270"/>
                          </a:solidFill>
                          <a:miter lim="800000"/>
                          <a:headEnd/>
                          <a:tailEnd/>
                        </a:ln>
                      </wps:spPr>
                      <wps:txbx>
                        <w:txbxContent>
                          <w:p w:rsidR="00C55871" w:rsidRPr="00135133" w:rsidRDefault="00C55871" w:rsidP="009D48D6">
                            <w:pPr>
                              <w:pStyle w:val="Titlepage"/>
                            </w:pPr>
                          </w:p>
                          <w:p w:rsidR="00C55871" w:rsidRPr="00135133" w:rsidRDefault="00C55871" w:rsidP="009D48D6">
                            <w:pPr>
                              <w:pStyle w:val="Titlepage"/>
                            </w:pPr>
                            <w:r w:rsidRPr="00135133">
                              <w:t>NATIONAL PARTNERSHIP ON YOUTH ATTAINMENT AND TRANSITIONS</w:t>
                            </w:r>
                          </w:p>
                          <w:p w:rsidR="00C55871" w:rsidRPr="00135133" w:rsidRDefault="00C55871" w:rsidP="009D48D6">
                            <w:pPr>
                              <w:pStyle w:val="Titlepage"/>
                            </w:pPr>
                          </w:p>
                          <w:p w:rsidR="00C55871" w:rsidRPr="00D43B11" w:rsidRDefault="00C55871" w:rsidP="009D48D6">
                            <w:pPr>
                              <w:pStyle w:val="Titlepage"/>
                              <w:rPr>
                                <w:color w:val="FF0000"/>
                              </w:rPr>
                            </w:pPr>
                            <w:r>
                              <w:rPr>
                                <w:color w:val="FF0000"/>
                              </w:rPr>
                              <w:t>South Australia</w:t>
                            </w:r>
                          </w:p>
                          <w:p w:rsidR="00C55871" w:rsidRPr="00135133" w:rsidRDefault="00C55871" w:rsidP="009D48D6">
                            <w:pPr>
                              <w:pStyle w:val="Titlepage"/>
                            </w:pPr>
                          </w:p>
                          <w:p w:rsidR="00C55871" w:rsidRPr="00135133" w:rsidRDefault="00C55871" w:rsidP="009D48D6">
                            <w:pPr>
                              <w:pStyle w:val="Titlepage"/>
                            </w:pPr>
                            <w:r w:rsidRPr="00135133">
                              <w:t>ANNUAL REPORT</w:t>
                            </w:r>
                          </w:p>
                          <w:p w:rsidR="00C55871" w:rsidRPr="00135133" w:rsidRDefault="00C55871" w:rsidP="009D48D6">
                            <w:pPr>
                              <w:pStyle w:val="Titlepage"/>
                            </w:pPr>
                            <w:r>
                              <w:t>MAY 2013</w:t>
                            </w:r>
                          </w:p>
                        </w:txbxContent>
                      </wps:txbx>
                      <wps:bodyPr rot="0" vert="horz" wrap="square" lIns="91440" tIns="45720" rIns="91440" bIns="45720" anchor="t" anchorCtr="0" upright="1">
                        <a:noAutofit/>
                      </wps:bodyPr>
                    </wps:wsp>
                  </a:graphicData>
                </a:graphic>
              </wp:inline>
            </w:drawing>
          </mc:Choice>
          <mc:Fallback>
            <w:pict>
              <v:rect id="Rectangle 2" o:spid="_x0000_s1026" alt="NATIONAL PARTNERSHIP ON YOUTH ATTAINMENT AND TRANSITIONS&#10;&#10;-STATE-&#10;&#10;ANNUAL REPORT&#10;MAY 2012&#10;&#10;&#10;" style="width:450pt;height: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bUnwIAAAQFAAAOAAAAZHJzL2Uyb0RvYy54bWysVE1v2zAMvQ/YfxA0YLfWH0jW1qtTGG26&#10;BmidIHEPPcq2bAuTJU9SYre/fpScJul2G3YRRFJ6enwkdX0ztBztqNJMihgH5z5GVBSyZKKO8XN2&#10;f3aJkTZElIRLQWP8SjW+mX3+dN13EQ1lI3lJFQIQoaO+i3FjTBd5ni4a2hJ9LjsqIFhJ1RIDpqq9&#10;UpEe0Fvuhb7/zeulKjslC6o1eO/GIJ45/KqihVlWlaYG8RgDN+NW5dbcrt7smkS1Il3Dij0N8g8s&#10;WsIEPHqAuiOGoK1if0G1rFBSy8qcF7L1ZFWxgrocIJvA/yObTUM66nIBcXR3kEn/P9gi3a0UYmWM&#10;Q4wEaaFEaxCNiJpTBK6S6gLkSpNssUyTR7RK1lk6X28eFiu0TNHL8jl7QEmWJYv0aZ5mKEnvULZO&#10;0s3CXth8/TIk391ytsmSbH52dCRp+gyA6/lquc6c+yl5QaBCeDzjdrZGfacjoLrpVsqqrLtHWfzU&#10;SMjbBqjSRCnZN5SUoExgz3sfLlhDw1WU90+yhBTJ1khXrqFSrQWEQqDBdcXroSvoYFABzulFMPV9&#10;aJ4CYpeXfhCAYd8g0fv1Tmnzg8oW2U2MFSjo4MnuUZvx6PsRR19yVt4zzp1hW53ecoV2BJo0r0N3&#10;lW9b4Dr64EFLAIBIBH7o6NH/TsNNi4VwpPQpOheoj/HVNJw61A8xrer88K7vT8KLA+ApRMsMjChn&#10;LWR/QsTKPRelI2UI4+MeROFir7+VfCydGfIBDto65LJ8hUooOY4ifB2waaR6w6iHMYyx/rUlimLE&#10;FwKqeRVMJnZunTGZXoRgqNNIfhohogCoGBuMxu2tGWd92ylWN/BS4GQQMoEOqJirzZHVnjeMmhNy&#10;/y3YWT613anj5zX7DQAA//8DAFBLAwQUAAYACAAAACEAgZIoE9sAAAAGAQAADwAAAGRycy9kb3du&#10;cmV2LnhtbEyPQUsDMRCF74L/IYzgRWyiQlvXzRYRvAniVorH7Ga6uzaZxE3arv/e0Uu9DDze4833&#10;ytXknTjgmIZAGm5mCgRSG+xAnYb39fP1EkTKhqxxgVDDNyZYVednpSlsONIbHurcCS6hVBgNfc6x&#10;kDK1PXqTZiEisbcNozeZ5dhJO5ojl3snb5WaS28G4g+9ifjUY7ur917Dbr2JL1uXF1/1R9os4is2&#10;w+eV1pcX0+MDiIxTPoXhF5/RoWKmJuzJJuE08JD8d9m7V4plw6G75VyBrEr5H7/6AQAA//8DAFBL&#10;AQItABQABgAIAAAAIQC2gziS/gAAAOEBAAATAAAAAAAAAAAAAAAAAAAAAABbQ29udGVudF9UeXBl&#10;c10ueG1sUEsBAi0AFAAGAAgAAAAhADj9If/WAAAAlAEAAAsAAAAAAAAAAAAAAAAALwEAAF9yZWxz&#10;Ly5yZWxzUEsBAi0AFAAGAAgAAAAhAA4gBtSfAgAABAUAAA4AAAAAAAAAAAAAAAAALgIAAGRycy9l&#10;Mm9Eb2MueG1sUEsBAi0AFAAGAAgAAAAhAIGSKBPbAAAABgEAAA8AAAAAAAAAAAAAAAAA+QQAAGRy&#10;cy9kb3ducmV2LnhtbFBLBQYAAAAABAAEAPMAAAABBgAAAAA=&#10;" fillcolor="#eeece1 [3214]" strokecolor="#004270">
                <v:textbox>
                  <w:txbxContent>
                    <w:p w:rsidR="00C55871" w:rsidRPr="00135133" w:rsidRDefault="00C55871" w:rsidP="009D48D6">
                      <w:pPr>
                        <w:pStyle w:val="Titlepage"/>
                      </w:pPr>
                    </w:p>
                    <w:p w:rsidR="00C55871" w:rsidRPr="00135133" w:rsidRDefault="00C55871" w:rsidP="009D48D6">
                      <w:pPr>
                        <w:pStyle w:val="Titlepage"/>
                      </w:pPr>
                      <w:r w:rsidRPr="00135133">
                        <w:t>NATIONAL PARTNERSHIP ON YOUTH ATTAINMENT AND TRANSITIONS</w:t>
                      </w:r>
                    </w:p>
                    <w:p w:rsidR="00C55871" w:rsidRPr="00135133" w:rsidRDefault="00C55871" w:rsidP="009D48D6">
                      <w:pPr>
                        <w:pStyle w:val="Titlepage"/>
                      </w:pPr>
                    </w:p>
                    <w:p w:rsidR="00C55871" w:rsidRPr="00D43B11" w:rsidRDefault="00C55871" w:rsidP="009D48D6">
                      <w:pPr>
                        <w:pStyle w:val="Titlepage"/>
                        <w:rPr>
                          <w:color w:val="FF0000"/>
                        </w:rPr>
                      </w:pPr>
                      <w:r>
                        <w:rPr>
                          <w:color w:val="FF0000"/>
                        </w:rPr>
                        <w:t>South Australia</w:t>
                      </w:r>
                    </w:p>
                    <w:p w:rsidR="00C55871" w:rsidRPr="00135133" w:rsidRDefault="00C55871" w:rsidP="009D48D6">
                      <w:pPr>
                        <w:pStyle w:val="Titlepage"/>
                      </w:pPr>
                    </w:p>
                    <w:p w:rsidR="00C55871" w:rsidRPr="00135133" w:rsidRDefault="00C55871" w:rsidP="009D48D6">
                      <w:pPr>
                        <w:pStyle w:val="Titlepage"/>
                      </w:pPr>
                      <w:r w:rsidRPr="00135133">
                        <w:t>ANNUAL REPORT</w:t>
                      </w:r>
                    </w:p>
                    <w:p w:rsidR="00C55871" w:rsidRPr="00135133" w:rsidRDefault="00C55871" w:rsidP="009D48D6">
                      <w:pPr>
                        <w:pStyle w:val="Titlepage"/>
                      </w:pPr>
                      <w:r>
                        <w:t>MAY 2013</w:t>
                      </w:r>
                    </w:p>
                  </w:txbxContent>
                </v:textbox>
                <w10:anchorlock/>
              </v:rect>
            </w:pict>
          </mc:Fallback>
        </mc:AlternateContent>
      </w:r>
    </w:p>
    <w:p w:rsidR="009C52A1" w:rsidRDefault="00477256" w:rsidP="00C55871">
      <w:pPr>
        <w:spacing w:after="200"/>
        <w:rPr>
          <w:noProof/>
        </w:rPr>
      </w:pPr>
      <w:bookmarkStart w:id="0" w:name="_GoBack"/>
      <w:bookmarkEnd w:id="0"/>
      <w:r w:rsidRPr="00477256">
        <w:rPr>
          <w:rFonts w:cstheme="minorHAnsi"/>
          <w:b/>
          <w:sz w:val="24"/>
          <w:szCs w:val="24"/>
        </w:rPr>
        <w:lastRenderedPageBreak/>
        <w:t>Table of Contents</w:t>
      </w:r>
      <w:r w:rsidR="009D25E2" w:rsidRPr="00477256">
        <w:rPr>
          <w:rFonts w:cstheme="minorHAnsi"/>
          <w:b/>
          <w:sz w:val="24"/>
          <w:szCs w:val="24"/>
        </w:rPr>
        <w:fldChar w:fldCharType="begin"/>
      </w:r>
      <w:r w:rsidR="009D25E2" w:rsidRPr="00477256">
        <w:rPr>
          <w:rFonts w:cstheme="minorHAnsi"/>
          <w:b/>
          <w:sz w:val="24"/>
          <w:szCs w:val="24"/>
        </w:rPr>
        <w:instrText xml:space="preserve"> TOC \o "1-2" \h \z \u </w:instrText>
      </w:r>
      <w:r w:rsidR="009D25E2" w:rsidRPr="00477256">
        <w:rPr>
          <w:rFonts w:cstheme="minorHAnsi"/>
          <w:b/>
          <w:sz w:val="24"/>
          <w:szCs w:val="24"/>
        </w:rPr>
        <w:fldChar w:fldCharType="separate"/>
      </w:r>
    </w:p>
    <w:p w:rsidR="009C52A1" w:rsidRDefault="009C52A1">
      <w:pPr>
        <w:pStyle w:val="TOC1"/>
        <w:tabs>
          <w:tab w:val="right" w:leader="dot" w:pos="9016"/>
        </w:tabs>
        <w:rPr>
          <w:noProof/>
          <w:lang w:val="en-AU" w:eastAsia="en-AU"/>
        </w:rPr>
      </w:pPr>
      <w:hyperlink w:anchor="_Toc384038216" w:history="1">
        <w:r w:rsidRPr="00FE4F3F">
          <w:rPr>
            <w:rStyle w:val="Hyperlink"/>
            <w:noProof/>
          </w:rPr>
          <w:t>PART A: Outcomes and Performance Indicators, South Australia</w:t>
        </w:r>
        <w:r>
          <w:rPr>
            <w:noProof/>
            <w:webHidden/>
          </w:rPr>
          <w:tab/>
        </w:r>
        <w:r>
          <w:rPr>
            <w:noProof/>
            <w:webHidden/>
          </w:rPr>
          <w:fldChar w:fldCharType="begin"/>
        </w:r>
        <w:r>
          <w:rPr>
            <w:noProof/>
            <w:webHidden/>
          </w:rPr>
          <w:instrText xml:space="preserve"> PAGEREF _Toc384038216 \h </w:instrText>
        </w:r>
        <w:r>
          <w:rPr>
            <w:noProof/>
            <w:webHidden/>
          </w:rPr>
        </w:r>
        <w:r>
          <w:rPr>
            <w:noProof/>
            <w:webHidden/>
          </w:rPr>
          <w:fldChar w:fldCharType="separate"/>
        </w:r>
        <w:r w:rsidR="007D3AF1">
          <w:rPr>
            <w:noProof/>
            <w:webHidden/>
          </w:rPr>
          <w:t>2</w:t>
        </w:r>
        <w:r>
          <w:rPr>
            <w:noProof/>
            <w:webHidden/>
          </w:rPr>
          <w:fldChar w:fldCharType="end"/>
        </w:r>
      </w:hyperlink>
    </w:p>
    <w:p w:rsidR="009C52A1" w:rsidRDefault="009C52A1">
      <w:pPr>
        <w:pStyle w:val="TOC1"/>
        <w:tabs>
          <w:tab w:val="right" w:leader="dot" w:pos="9016"/>
        </w:tabs>
        <w:rPr>
          <w:noProof/>
          <w:lang w:val="en-AU" w:eastAsia="en-AU"/>
        </w:rPr>
      </w:pPr>
      <w:hyperlink w:anchor="_Toc384038217" w:history="1">
        <w:r w:rsidRPr="00FE4F3F">
          <w:rPr>
            <w:rStyle w:val="Hyperlink"/>
            <w:rFonts w:cs="Arial"/>
            <w:noProof/>
          </w:rPr>
          <w:t>PART B:</w:t>
        </w:r>
        <w:r>
          <w:rPr>
            <w:noProof/>
            <w:webHidden/>
          </w:rPr>
          <w:tab/>
        </w:r>
        <w:r>
          <w:rPr>
            <w:noProof/>
            <w:webHidden/>
          </w:rPr>
          <w:fldChar w:fldCharType="begin"/>
        </w:r>
        <w:r>
          <w:rPr>
            <w:noProof/>
            <w:webHidden/>
          </w:rPr>
          <w:instrText xml:space="preserve"> PAGEREF _Toc384038217 \h </w:instrText>
        </w:r>
        <w:r>
          <w:rPr>
            <w:noProof/>
            <w:webHidden/>
          </w:rPr>
        </w:r>
        <w:r>
          <w:rPr>
            <w:noProof/>
            <w:webHidden/>
          </w:rPr>
          <w:fldChar w:fldCharType="separate"/>
        </w:r>
        <w:r w:rsidR="007D3AF1">
          <w:rPr>
            <w:noProof/>
            <w:webHidden/>
          </w:rPr>
          <w:t>3</w:t>
        </w:r>
        <w:r>
          <w:rPr>
            <w:noProof/>
            <w:webHidden/>
          </w:rPr>
          <w:fldChar w:fldCharType="end"/>
        </w:r>
      </w:hyperlink>
    </w:p>
    <w:p w:rsidR="009C52A1" w:rsidRDefault="009C52A1">
      <w:pPr>
        <w:pStyle w:val="TOC2"/>
        <w:rPr>
          <w:rFonts w:eastAsiaTheme="minorEastAsia"/>
          <w:noProof/>
          <w:lang w:eastAsia="en-AU"/>
        </w:rPr>
      </w:pPr>
      <w:hyperlink w:anchor="_Toc384038218" w:history="1">
        <w:r w:rsidRPr="00FE4F3F">
          <w:rPr>
            <w:rStyle w:val="Hyperlink"/>
            <w:rFonts w:cs="Arial"/>
            <w:noProof/>
          </w:rPr>
          <w:t>Current Landscape (Jurisdictional Context)</w:t>
        </w:r>
        <w:r>
          <w:rPr>
            <w:noProof/>
            <w:webHidden/>
          </w:rPr>
          <w:tab/>
        </w:r>
        <w:r>
          <w:rPr>
            <w:noProof/>
            <w:webHidden/>
          </w:rPr>
          <w:fldChar w:fldCharType="begin"/>
        </w:r>
        <w:r>
          <w:rPr>
            <w:noProof/>
            <w:webHidden/>
          </w:rPr>
          <w:instrText xml:space="preserve"> PAGEREF _Toc384038218 \h </w:instrText>
        </w:r>
        <w:r>
          <w:rPr>
            <w:noProof/>
            <w:webHidden/>
          </w:rPr>
        </w:r>
        <w:r>
          <w:rPr>
            <w:noProof/>
            <w:webHidden/>
          </w:rPr>
          <w:fldChar w:fldCharType="separate"/>
        </w:r>
        <w:r w:rsidR="007D3AF1">
          <w:rPr>
            <w:noProof/>
            <w:webHidden/>
          </w:rPr>
          <w:t>3</w:t>
        </w:r>
        <w:r>
          <w:rPr>
            <w:noProof/>
            <w:webHidden/>
          </w:rPr>
          <w:fldChar w:fldCharType="end"/>
        </w:r>
      </w:hyperlink>
    </w:p>
    <w:p w:rsidR="009C52A1" w:rsidRDefault="009C52A1">
      <w:pPr>
        <w:pStyle w:val="TOC2"/>
        <w:rPr>
          <w:rFonts w:eastAsiaTheme="minorEastAsia"/>
          <w:noProof/>
          <w:lang w:eastAsia="en-AU"/>
        </w:rPr>
      </w:pPr>
      <w:hyperlink w:anchor="_Toc384038219" w:history="1">
        <w:r w:rsidRPr="00FE4F3F">
          <w:rPr>
            <w:rStyle w:val="Hyperlink"/>
            <w:noProof/>
          </w:rPr>
          <w:t>Broad education reform directions</w:t>
        </w:r>
        <w:r>
          <w:rPr>
            <w:noProof/>
            <w:webHidden/>
          </w:rPr>
          <w:tab/>
        </w:r>
        <w:r>
          <w:rPr>
            <w:noProof/>
            <w:webHidden/>
          </w:rPr>
          <w:fldChar w:fldCharType="begin"/>
        </w:r>
        <w:r>
          <w:rPr>
            <w:noProof/>
            <w:webHidden/>
          </w:rPr>
          <w:instrText xml:space="preserve"> PAGEREF _Toc384038219 \h </w:instrText>
        </w:r>
        <w:r>
          <w:rPr>
            <w:noProof/>
            <w:webHidden/>
          </w:rPr>
        </w:r>
        <w:r>
          <w:rPr>
            <w:noProof/>
            <w:webHidden/>
          </w:rPr>
          <w:fldChar w:fldCharType="separate"/>
        </w:r>
        <w:r w:rsidR="007D3AF1">
          <w:rPr>
            <w:noProof/>
            <w:webHidden/>
          </w:rPr>
          <w:t>4</w:t>
        </w:r>
        <w:r>
          <w:rPr>
            <w:noProof/>
            <w:webHidden/>
          </w:rPr>
          <w:fldChar w:fldCharType="end"/>
        </w:r>
      </w:hyperlink>
    </w:p>
    <w:p w:rsidR="009C52A1" w:rsidRDefault="009C52A1">
      <w:pPr>
        <w:pStyle w:val="TOC2"/>
        <w:rPr>
          <w:rFonts w:eastAsiaTheme="minorEastAsia"/>
          <w:noProof/>
          <w:lang w:eastAsia="en-AU"/>
        </w:rPr>
      </w:pPr>
      <w:hyperlink w:anchor="_Toc384038220" w:history="1">
        <w:r w:rsidRPr="00FE4F3F">
          <w:rPr>
            <w:rStyle w:val="Hyperlink"/>
            <w:noProof/>
          </w:rPr>
          <w:t>Youth attainment and/or transitions reforms and programs not funded under the YAT NP</w:t>
        </w:r>
        <w:r>
          <w:rPr>
            <w:noProof/>
            <w:webHidden/>
          </w:rPr>
          <w:tab/>
        </w:r>
        <w:r>
          <w:rPr>
            <w:noProof/>
            <w:webHidden/>
          </w:rPr>
          <w:fldChar w:fldCharType="begin"/>
        </w:r>
        <w:r>
          <w:rPr>
            <w:noProof/>
            <w:webHidden/>
          </w:rPr>
          <w:instrText xml:space="preserve"> PAGEREF _Toc384038220 \h </w:instrText>
        </w:r>
        <w:r>
          <w:rPr>
            <w:noProof/>
            <w:webHidden/>
          </w:rPr>
        </w:r>
        <w:r>
          <w:rPr>
            <w:noProof/>
            <w:webHidden/>
          </w:rPr>
          <w:fldChar w:fldCharType="separate"/>
        </w:r>
        <w:r w:rsidR="007D3AF1">
          <w:rPr>
            <w:noProof/>
            <w:webHidden/>
          </w:rPr>
          <w:t>5</w:t>
        </w:r>
        <w:r>
          <w:rPr>
            <w:noProof/>
            <w:webHidden/>
          </w:rPr>
          <w:fldChar w:fldCharType="end"/>
        </w:r>
      </w:hyperlink>
    </w:p>
    <w:p w:rsidR="009C52A1" w:rsidRDefault="009C52A1">
      <w:pPr>
        <w:pStyle w:val="TOC2"/>
        <w:rPr>
          <w:rFonts w:eastAsiaTheme="minorEastAsia"/>
          <w:noProof/>
          <w:lang w:eastAsia="en-AU"/>
        </w:rPr>
      </w:pPr>
      <w:hyperlink w:anchor="_Toc384038221" w:history="1">
        <w:r w:rsidRPr="00FE4F3F">
          <w:rPr>
            <w:rStyle w:val="Hyperlink"/>
            <w:noProof/>
          </w:rPr>
          <w:t>Progress/ impact as a result of the YAT NP</w:t>
        </w:r>
        <w:r>
          <w:rPr>
            <w:noProof/>
            <w:webHidden/>
          </w:rPr>
          <w:tab/>
        </w:r>
        <w:r>
          <w:rPr>
            <w:noProof/>
            <w:webHidden/>
          </w:rPr>
          <w:fldChar w:fldCharType="begin"/>
        </w:r>
        <w:r>
          <w:rPr>
            <w:noProof/>
            <w:webHidden/>
          </w:rPr>
          <w:instrText xml:space="preserve"> PAGEREF _Toc384038221 \h </w:instrText>
        </w:r>
        <w:r>
          <w:rPr>
            <w:noProof/>
            <w:webHidden/>
          </w:rPr>
        </w:r>
        <w:r>
          <w:rPr>
            <w:noProof/>
            <w:webHidden/>
          </w:rPr>
          <w:fldChar w:fldCharType="separate"/>
        </w:r>
        <w:r w:rsidR="007D3AF1">
          <w:rPr>
            <w:noProof/>
            <w:webHidden/>
          </w:rPr>
          <w:t>8</w:t>
        </w:r>
        <w:r>
          <w:rPr>
            <w:noProof/>
            <w:webHidden/>
          </w:rPr>
          <w:fldChar w:fldCharType="end"/>
        </w:r>
      </w:hyperlink>
    </w:p>
    <w:p w:rsidR="009C52A1" w:rsidRDefault="009C52A1">
      <w:pPr>
        <w:pStyle w:val="TOC2"/>
        <w:rPr>
          <w:rFonts w:eastAsiaTheme="minorEastAsia"/>
          <w:noProof/>
          <w:lang w:eastAsia="en-AU"/>
        </w:rPr>
      </w:pPr>
      <w:hyperlink w:anchor="_Toc384038222" w:history="1">
        <w:r w:rsidRPr="00FE4F3F">
          <w:rPr>
            <w:rStyle w:val="Hyperlink"/>
            <w:noProof/>
          </w:rPr>
          <w:t>Maximising Engagement, Attainment and Successful Transitions – Funded initiatives</w:t>
        </w:r>
        <w:r>
          <w:rPr>
            <w:noProof/>
            <w:webHidden/>
          </w:rPr>
          <w:tab/>
        </w:r>
        <w:r>
          <w:rPr>
            <w:noProof/>
            <w:webHidden/>
          </w:rPr>
          <w:fldChar w:fldCharType="begin"/>
        </w:r>
        <w:r>
          <w:rPr>
            <w:noProof/>
            <w:webHidden/>
          </w:rPr>
          <w:instrText xml:space="preserve"> PAGEREF _Toc384038222 \h </w:instrText>
        </w:r>
        <w:r>
          <w:rPr>
            <w:noProof/>
            <w:webHidden/>
          </w:rPr>
        </w:r>
        <w:r>
          <w:rPr>
            <w:noProof/>
            <w:webHidden/>
          </w:rPr>
          <w:fldChar w:fldCharType="separate"/>
        </w:r>
        <w:r w:rsidR="007D3AF1">
          <w:rPr>
            <w:noProof/>
            <w:webHidden/>
          </w:rPr>
          <w:t>8</w:t>
        </w:r>
        <w:r>
          <w:rPr>
            <w:noProof/>
            <w:webHidden/>
          </w:rPr>
          <w:fldChar w:fldCharType="end"/>
        </w:r>
      </w:hyperlink>
    </w:p>
    <w:p w:rsidR="009C52A1" w:rsidRDefault="009C52A1">
      <w:pPr>
        <w:pStyle w:val="TOC2"/>
        <w:rPr>
          <w:rFonts w:eastAsiaTheme="minorEastAsia"/>
          <w:noProof/>
          <w:lang w:eastAsia="en-AU"/>
        </w:rPr>
      </w:pPr>
      <w:hyperlink w:anchor="_Toc384038223" w:history="1">
        <w:r w:rsidRPr="00FE4F3F">
          <w:rPr>
            <w:rStyle w:val="Hyperlink"/>
            <w:noProof/>
          </w:rPr>
          <w:t>Indigenous Reporting</w:t>
        </w:r>
        <w:r>
          <w:rPr>
            <w:noProof/>
            <w:webHidden/>
          </w:rPr>
          <w:tab/>
        </w:r>
        <w:r>
          <w:rPr>
            <w:noProof/>
            <w:webHidden/>
          </w:rPr>
          <w:fldChar w:fldCharType="begin"/>
        </w:r>
        <w:r>
          <w:rPr>
            <w:noProof/>
            <w:webHidden/>
          </w:rPr>
          <w:instrText xml:space="preserve"> PAGEREF _Toc384038223 \h </w:instrText>
        </w:r>
        <w:r>
          <w:rPr>
            <w:noProof/>
            <w:webHidden/>
          </w:rPr>
        </w:r>
        <w:r>
          <w:rPr>
            <w:noProof/>
            <w:webHidden/>
          </w:rPr>
          <w:fldChar w:fldCharType="separate"/>
        </w:r>
        <w:r w:rsidR="007D3AF1">
          <w:rPr>
            <w:noProof/>
            <w:webHidden/>
          </w:rPr>
          <w:t>15</w:t>
        </w:r>
        <w:r>
          <w:rPr>
            <w:noProof/>
            <w:webHidden/>
          </w:rPr>
          <w:fldChar w:fldCharType="end"/>
        </w:r>
      </w:hyperlink>
    </w:p>
    <w:p w:rsidR="009C52A1" w:rsidRDefault="009C52A1">
      <w:pPr>
        <w:pStyle w:val="TOC2"/>
        <w:rPr>
          <w:rFonts w:eastAsiaTheme="minorEastAsia"/>
          <w:noProof/>
          <w:lang w:eastAsia="en-AU"/>
        </w:rPr>
      </w:pPr>
      <w:hyperlink w:anchor="_Toc384038224" w:history="1">
        <w:r w:rsidRPr="00FE4F3F">
          <w:rPr>
            <w:rStyle w:val="Hyperlink"/>
            <w:rFonts w:cs="Arial"/>
            <w:noProof/>
          </w:rPr>
          <w:t>The Compact with Young Australians</w:t>
        </w:r>
        <w:r>
          <w:rPr>
            <w:noProof/>
            <w:webHidden/>
          </w:rPr>
          <w:tab/>
        </w:r>
        <w:r>
          <w:rPr>
            <w:noProof/>
            <w:webHidden/>
          </w:rPr>
          <w:fldChar w:fldCharType="begin"/>
        </w:r>
        <w:r>
          <w:rPr>
            <w:noProof/>
            <w:webHidden/>
          </w:rPr>
          <w:instrText xml:space="preserve"> PAGEREF _Toc384038224 \h </w:instrText>
        </w:r>
        <w:r>
          <w:rPr>
            <w:noProof/>
            <w:webHidden/>
          </w:rPr>
        </w:r>
        <w:r>
          <w:rPr>
            <w:noProof/>
            <w:webHidden/>
          </w:rPr>
          <w:fldChar w:fldCharType="separate"/>
        </w:r>
        <w:r w:rsidR="007D3AF1">
          <w:rPr>
            <w:noProof/>
            <w:webHidden/>
          </w:rPr>
          <w:t>18</w:t>
        </w:r>
        <w:r>
          <w:rPr>
            <w:noProof/>
            <w:webHidden/>
          </w:rPr>
          <w:fldChar w:fldCharType="end"/>
        </w:r>
      </w:hyperlink>
    </w:p>
    <w:p w:rsidR="009C52A1" w:rsidRDefault="009C52A1">
      <w:pPr>
        <w:pStyle w:val="TOC2"/>
        <w:rPr>
          <w:rFonts w:eastAsiaTheme="minorEastAsia"/>
          <w:noProof/>
          <w:lang w:eastAsia="en-AU"/>
        </w:rPr>
      </w:pPr>
      <w:hyperlink w:anchor="_Toc384038225" w:history="1">
        <w:r w:rsidRPr="00FE4F3F">
          <w:rPr>
            <w:rStyle w:val="Hyperlink"/>
            <w:rFonts w:cs="Arial"/>
            <w:noProof/>
          </w:rPr>
          <w:t>National Youth Participation requirement</w:t>
        </w:r>
        <w:r>
          <w:rPr>
            <w:noProof/>
            <w:webHidden/>
          </w:rPr>
          <w:tab/>
        </w:r>
        <w:r>
          <w:rPr>
            <w:noProof/>
            <w:webHidden/>
          </w:rPr>
          <w:fldChar w:fldCharType="begin"/>
        </w:r>
        <w:r>
          <w:rPr>
            <w:noProof/>
            <w:webHidden/>
          </w:rPr>
          <w:instrText xml:space="preserve"> PAGEREF _Toc384038225 \h </w:instrText>
        </w:r>
        <w:r>
          <w:rPr>
            <w:noProof/>
            <w:webHidden/>
          </w:rPr>
        </w:r>
        <w:r>
          <w:rPr>
            <w:noProof/>
            <w:webHidden/>
          </w:rPr>
          <w:fldChar w:fldCharType="separate"/>
        </w:r>
        <w:r w:rsidR="007D3AF1">
          <w:rPr>
            <w:noProof/>
            <w:webHidden/>
          </w:rPr>
          <w:t>18</w:t>
        </w:r>
        <w:r>
          <w:rPr>
            <w:noProof/>
            <w:webHidden/>
          </w:rPr>
          <w:fldChar w:fldCharType="end"/>
        </w:r>
      </w:hyperlink>
    </w:p>
    <w:p w:rsidR="009C52A1" w:rsidRDefault="009C52A1">
      <w:pPr>
        <w:pStyle w:val="TOC1"/>
        <w:tabs>
          <w:tab w:val="right" w:leader="dot" w:pos="9016"/>
        </w:tabs>
        <w:rPr>
          <w:noProof/>
          <w:lang w:val="en-AU" w:eastAsia="en-AU"/>
        </w:rPr>
      </w:pPr>
      <w:hyperlink w:anchor="_Toc384038226" w:history="1">
        <w:r w:rsidRPr="00FE4F3F">
          <w:rPr>
            <w:rStyle w:val="Hyperlink"/>
            <w:rFonts w:cs="Arial"/>
            <w:noProof/>
          </w:rPr>
          <w:t>ANNEXURES</w:t>
        </w:r>
        <w:r>
          <w:rPr>
            <w:noProof/>
            <w:webHidden/>
          </w:rPr>
          <w:tab/>
        </w:r>
        <w:r>
          <w:rPr>
            <w:noProof/>
            <w:webHidden/>
          </w:rPr>
          <w:fldChar w:fldCharType="begin"/>
        </w:r>
        <w:r>
          <w:rPr>
            <w:noProof/>
            <w:webHidden/>
          </w:rPr>
          <w:instrText xml:space="preserve"> PAGEREF _Toc384038226 \h </w:instrText>
        </w:r>
        <w:r>
          <w:rPr>
            <w:noProof/>
            <w:webHidden/>
          </w:rPr>
        </w:r>
        <w:r>
          <w:rPr>
            <w:noProof/>
            <w:webHidden/>
          </w:rPr>
          <w:fldChar w:fldCharType="separate"/>
        </w:r>
        <w:r w:rsidR="007D3AF1">
          <w:rPr>
            <w:noProof/>
            <w:webHidden/>
          </w:rPr>
          <w:t>19</w:t>
        </w:r>
        <w:r>
          <w:rPr>
            <w:noProof/>
            <w:webHidden/>
          </w:rPr>
          <w:fldChar w:fldCharType="end"/>
        </w:r>
      </w:hyperlink>
    </w:p>
    <w:p w:rsidR="009C52A1" w:rsidRDefault="009C52A1">
      <w:pPr>
        <w:pStyle w:val="TOC1"/>
        <w:tabs>
          <w:tab w:val="right" w:leader="dot" w:pos="9016"/>
        </w:tabs>
        <w:rPr>
          <w:noProof/>
          <w:lang w:val="en-AU" w:eastAsia="en-AU"/>
        </w:rPr>
      </w:pPr>
      <w:hyperlink w:anchor="_Toc384038227" w:history="1">
        <w:r w:rsidRPr="00FE4F3F">
          <w:rPr>
            <w:rStyle w:val="Hyperlink"/>
            <w:noProof/>
          </w:rPr>
          <w:t>ANNEXURE 1 A - Youth Connections – National Summary</w:t>
        </w:r>
        <w:r>
          <w:rPr>
            <w:noProof/>
            <w:webHidden/>
          </w:rPr>
          <w:tab/>
        </w:r>
        <w:r>
          <w:rPr>
            <w:noProof/>
            <w:webHidden/>
          </w:rPr>
          <w:fldChar w:fldCharType="begin"/>
        </w:r>
        <w:r>
          <w:rPr>
            <w:noProof/>
            <w:webHidden/>
          </w:rPr>
          <w:instrText xml:space="preserve"> PAGEREF _Toc384038227 \h </w:instrText>
        </w:r>
        <w:r>
          <w:rPr>
            <w:noProof/>
            <w:webHidden/>
          </w:rPr>
        </w:r>
        <w:r>
          <w:rPr>
            <w:noProof/>
            <w:webHidden/>
          </w:rPr>
          <w:fldChar w:fldCharType="separate"/>
        </w:r>
        <w:r w:rsidR="007D3AF1">
          <w:rPr>
            <w:noProof/>
            <w:webHidden/>
          </w:rPr>
          <w:t>20</w:t>
        </w:r>
        <w:r>
          <w:rPr>
            <w:noProof/>
            <w:webHidden/>
          </w:rPr>
          <w:fldChar w:fldCharType="end"/>
        </w:r>
      </w:hyperlink>
    </w:p>
    <w:p w:rsidR="009C52A1" w:rsidRDefault="009C52A1">
      <w:pPr>
        <w:pStyle w:val="TOC2"/>
        <w:rPr>
          <w:rFonts w:eastAsiaTheme="minorEastAsia"/>
          <w:noProof/>
          <w:lang w:eastAsia="en-AU"/>
        </w:rPr>
      </w:pPr>
      <w:hyperlink w:anchor="_Toc384038228" w:history="1">
        <w:r w:rsidRPr="00FE4F3F">
          <w:rPr>
            <w:rStyle w:val="Hyperlink"/>
            <w:noProof/>
          </w:rPr>
          <w:t>Individual Support Services</w:t>
        </w:r>
        <w:r>
          <w:rPr>
            <w:noProof/>
            <w:webHidden/>
          </w:rPr>
          <w:tab/>
        </w:r>
        <w:r>
          <w:rPr>
            <w:noProof/>
            <w:webHidden/>
          </w:rPr>
          <w:fldChar w:fldCharType="begin"/>
        </w:r>
        <w:r>
          <w:rPr>
            <w:noProof/>
            <w:webHidden/>
          </w:rPr>
          <w:instrText xml:space="preserve"> PAGEREF _Toc384038228 \h </w:instrText>
        </w:r>
        <w:r>
          <w:rPr>
            <w:noProof/>
            <w:webHidden/>
          </w:rPr>
        </w:r>
        <w:r>
          <w:rPr>
            <w:noProof/>
            <w:webHidden/>
          </w:rPr>
          <w:fldChar w:fldCharType="separate"/>
        </w:r>
        <w:r w:rsidR="007D3AF1">
          <w:rPr>
            <w:noProof/>
            <w:webHidden/>
          </w:rPr>
          <w:t>20</w:t>
        </w:r>
        <w:r>
          <w:rPr>
            <w:noProof/>
            <w:webHidden/>
          </w:rPr>
          <w:fldChar w:fldCharType="end"/>
        </w:r>
      </w:hyperlink>
    </w:p>
    <w:p w:rsidR="009C52A1" w:rsidRDefault="009C52A1">
      <w:pPr>
        <w:pStyle w:val="TOC2"/>
        <w:rPr>
          <w:rFonts w:eastAsiaTheme="minorEastAsia"/>
          <w:noProof/>
          <w:lang w:eastAsia="en-AU"/>
        </w:rPr>
      </w:pPr>
      <w:hyperlink w:anchor="_Toc384038229" w:history="1">
        <w:r w:rsidRPr="00FE4F3F">
          <w:rPr>
            <w:rStyle w:val="Hyperlink"/>
            <w:noProof/>
          </w:rPr>
          <w:t>Outreach and Re-engagement activities</w:t>
        </w:r>
        <w:r>
          <w:rPr>
            <w:noProof/>
            <w:webHidden/>
          </w:rPr>
          <w:tab/>
        </w:r>
        <w:r>
          <w:rPr>
            <w:noProof/>
            <w:webHidden/>
          </w:rPr>
          <w:fldChar w:fldCharType="begin"/>
        </w:r>
        <w:r>
          <w:rPr>
            <w:noProof/>
            <w:webHidden/>
          </w:rPr>
          <w:instrText xml:space="preserve"> PAGEREF _Toc384038229 \h </w:instrText>
        </w:r>
        <w:r>
          <w:rPr>
            <w:noProof/>
            <w:webHidden/>
          </w:rPr>
        </w:r>
        <w:r>
          <w:rPr>
            <w:noProof/>
            <w:webHidden/>
          </w:rPr>
          <w:fldChar w:fldCharType="separate"/>
        </w:r>
        <w:r w:rsidR="007D3AF1">
          <w:rPr>
            <w:noProof/>
            <w:webHidden/>
          </w:rPr>
          <w:t>21</w:t>
        </w:r>
        <w:r>
          <w:rPr>
            <w:noProof/>
            <w:webHidden/>
          </w:rPr>
          <w:fldChar w:fldCharType="end"/>
        </w:r>
      </w:hyperlink>
    </w:p>
    <w:p w:rsidR="009C52A1" w:rsidRDefault="009C52A1">
      <w:pPr>
        <w:pStyle w:val="TOC2"/>
        <w:rPr>
          <w:rFonts w:eastAsiaTheme="minorEastAsia"/>
          <w:noProof/>
          <w:lang w:eastAsia="en-AU"/>
        </w:rPr>
      </w:pPr>
      <w:hyperlink w:anchor="_Toc384038230" w:history="1">
        <w:r w:rsidRPr="00FE4F3F">
          <w:rPr>
            <w:rStyle w:val="Hyperlink"/>
            <w:noProof/>
          </w:rPr>
          <w:t>Strengthening Services in the Region Activities</w:t>
        </w:r>
        <w:r>
          <w:rPr>
            <w:noProof/>
            <w:webHidden/>
          </w:rPr>
          <w:tab/>
        </w:r>
        <w:r>
          <w:rPr>
            <w:noProof/>
            <w:webHidden/>
          </w:rPr>
          <w:fldChar w:fldCharType="begin"/>
        </w:r>
        <w:r>
          <w:rPr>
            <w:noProof/>
            <w:webHidden/>
          </w:rPr>
          <w:instrText xml:space="preserve"> PAGEREF _Toc384038230 \h </w:instrText>
        </w:r>
        <w:r>
          <w:rPr>
            <w:noProof/>
            <w:webHidden/>
          </w:rPr>
        </w:r>
        <w:r>
          <w:rPr>
            <w:noProof/>
            <w:webHidden/>
          </w:rPr>
          <w:fldChar w:fldCharType="separate"/>
        </w:r>
        <w:r w:rsidR="007D3AF1">
          <w:rPr>
            <w:noProof/>
            <w:webHidden/>
          </w:rPr>
          <w:t>21</w:t>
        </w:r>
        <w:r>
          <w:rPr>
            <w:noProof/>
            <w:webHidden/>
          </w:rPr>
          <w:fldChar w:fldCharType="end"/>
        </w:r>
      </w:hyperlink>
    </w:p>
    <w:p w:rsidR="009C52A1" w:rsidRDefault="009C52A1">
      <w:pPr>
        <w:pStyle w:val="TOC2"/>
        <w:rPr>
          <w:rFonts w:eastAsiaTheme="minorEastAsia"/>
          <w:noProof/>
          <w:lang w:eastAsia="en-AU"/>
        </w:rPr>
      </w:pPr>
      <w:hyperlink w:anchor="_Toc384038231" w:history="1">
        <w:r w:rsidRPr="00FE4F3F">
          <w:rPr>
            <w:rStyle w:val="Hyperlink"/>
            <w:noProof/>
          </w:rPr>
          <w:t>Program extension and changes to Outreach and Re-engagement and Strengthening Services in the Region activities</w:t>
        </w:r>
        <w:r>
          <w:rPr>
            <w:noProof/>
            <w:webHidden/>
          </w:rPr>
          <w:tab/>
        </w:r>
        <w:r>
          <w:rPr>
            <w:noProof/>
            <w:webHidden/>
          </w:rPr>
          <w:fldChar w:fldCharType="begin"/>
        </w:r>
        <w:r>
          <w:rPr>
            <w:noProof/>
            <w:webHidden/>
          </w:rPr>
          <w:instrText xml:space="preserve"> PAGEREF _Toc384038231 \h </w:instrText>
        </w:r>
        <w:r>
          <w:rPr>
            <w:noProof/>
            <w:webHidden/>
          </w:rPr>
        </w:r>
        <w:r>
          <w:rPr>
            <w:noProof/>
            <w:webHidden/>
          </w:rPr>
          <w:fldChar w:fldCharType="separate"/>
        </w:r>
        <w:r w:rsidR="007D3AF1">
          <w:rPr>
            <w:noProof/>
            <w:webHidden/>
          </w:rPr>
          <w:t>21</w:t>
        </w:r>
        <w:r>
          <w:rPr>
            <w:noProof/>
            <w:webHidden/>
          </w:rPr>
          <w:fldChar w:fldCharType="end"/>
        </w:r>
      </w:hyperlink>
    </w:p>
    <w:p w:rsidR="009C52A1" w:rsidRDefault="009C52A1">
      <w:pPr>
        <w:pStyle w:val="TOC2"/>
        <w:rPr>
          <w:rFonts w:eastAsiaTheme="minorEastAsia"/>
          <w:noProof/>
          <w:lang w:eastAsia="en-AU"/>
        </w:rPr>
      </w:pPr>
      <w:hyperlink w:anchor="_Toc384038232" w:history="1">
        <w:r w:rsidRPr="00FE4F3F">
          <w:rPr>
            <w:rStyle w:val="Hyperlink"/>
            <w:noProof/>
          </w:rPr>
          <w:t>Indigenous youth and Humanitarian Refugees</w:t>
        </w:r>
        <w:r>
          <w:rPr>
            <w:noProof/>
            <w:webHidden/>
          </w:rPr>
          <w:tab/>
        </w:r>
        <w:r>
          <w:rPr>
            <w:noProof/>
            <w:webHidden/>
          </w:rPr>
          <w:fldChar w:fldCharType="begin"/>
        </w:r>
        <w:r>
          <w:rPr>
            <w:noProof/>
            <w:webHidden/>
          </w:rPr>
          <w:instrText xml:space="preserve"> PAGEREF _Toc384038232 \h </w:instrText>
        </w:r>
        <w:r>
          <w:rPr>
            <w:noProof/>
            <w:webHidden/>
          </w:rPr>
        </w:r>
        <w:r>
          <w:rPr>
            <w:noProof/>
            <w:webHidden/>
          </w:rPr>
          <w:fldChar w:fldCharType="separate"/>
        </w:r>
        <w:r w:rsidR="007D3AF1">
          <w:rPr>
            <w:noProof/>
            <w:webHidden/>
          </w:rPr>
          <w:t>22</w:t>
        </w:r>
        <w:r>
          <w:rPr>
            <w:noProof/>
            <w:webHidden/>
          </w:rPr>
          <w:fldChar w:fldCharType="end"/>
        </w:r>
      </w:hyperlink>
    </w:p>
    <w:p w:rsidR="009C52A1" w:rsidRDefault="009C52A1">
      <w:pPr>
        <w:pStyle w:val="TOC2"/>
        <w:rPr>
          <w:rFonts w:eastAsiaTheme="minorEastAsia"/>
          <w:noProof/>
          <w:lang w:eastAsia="en-AU"/>
        </w:rPr>
      </w:pPr>
      <w:hyperlink w:anchor="_Toc384038233" w:history="1">
        <w:r w:rsidRPr="00FE4F3F">
          <w:rPr>
            <w:rStyle w:val="Hyperlink"/>
            <w:noProof/>
          </w:rPr>
          <w:t>Provider networks</w:t>
        </w:r>
        <w:r>
          <w:rPr>
            <w:noProof/>
            <w:webHidden/>
          </w:rPr>
          <w:tab/>
        </w:r>
        <w:r>
          <w:rPr>
            <w:noProof/>
            <w:webHidden/>
          </w:rPr>
          <w:fldChar w:fldCharType="begin"/>
        </w:r>
        <w:r>
          <w:rPr>
            <w:noProof/>
            <w:webHidden/>
          </w:rPr>
          <w:instrText xml:space="preserve"> PAGEREF _Toc384038233 \h </w:instrText>
        </w:r>
        <w:r>
          <w:rPr>
            <w:noProof/>
            <w:webHidden/>
          </w:rPr>
        </w:r>
        <w:r>
          <w:rPr>
            <w:noProof/>
            <w:webHidden/>
          </w:rPr>
          <w:fldChar w:fldCharType="separate"/>
        </w:r>
        <w:r w:rsidR="007D3AF1">
          <w:rPr>
            <w:noProof/>
            <w:webHidden/>
          </w:rPr>
          <w:t>22</w:t>
        </w:r>
        <w:r>
          <w:rPr>
            <w:noProof/>
            <w:webHidden/>
          </w:rPr>
          <w:fldChar w:fldCharType="end"/>
        </w:r>
      </w:hyperlink>
    </w:p>
    <w:p w:rsidR="009C52A1" w:rsidRDefault="009C52A1">
      <w:pPr>
        <w:pStyle w:val="TOC2"/>
        <w:rPr>
          <w:rFonts w:eastAsiaTheme="minorEastAsia"/>
          <w:noProof/>
          <w:lang w:eastAsia="en-AU"/>
        </w:rPr>
      </w:pPr>
      <w:hyperlink w:anchor="_Toc384038234" w:history="1">
        <w:r w:rsidRPr="00FE4F3F">
          <w:rPr>
            <w:rStyle w:val="Hyperlink"/>
            <w:noProof/>
          </w:rPr>
          <w:t>Shout Out Events</w:t>
        </w:r>
        <w:r>
          <w:rPr>
            <w:noProof/>
            <w:webHidden/>
          </w:rPr>
          <w:tab/>
        </w:r>
        <w:r>
          <w:rPr>
            <w:noProof/>
            <w:webHidden/>
          </w:rPr>
          <w:fldChar w:fldCharType="begin"/>
        </w:r>
        <w:r>
          <w:rPr>
            <w:noProof/>
            <w:webHidden/>
          </w:rPr>
          <w:instrText xml:space="preserve"> PAGEREF _Toc384038234 \h </w:instrText>
        </w:r>
        <w:r>
          <w:rPr>
            <w:noProof/>
            <w:webHidden/>
          </w:rPr>
        </w:r>
        <w:r>
          <w:rPr>
            <w:noProof/>
            <w:webHidden/>
          </w:rPr>
          <w:fldChar w:fldCharType="separate"/>
        </w:r>
        <w:r w:rsidR="007D3AF1">
          <w:rPr>
            <w:noProof/>
            <w:webHidden/>
          </w:rPr>
          <w:t>23</w:t>
        </w:r>
        <w:r>
          <w:rPr>
            <w:noProof/>
            <w:webHidden/>
          </w:rPr>
          <w:fldChar w:fldCharType="end"/>
        </w:r>
      </w:hyperlink>
    </w:p>
    <w:p w:rsidR="009C52A1" w:rsidRDefault="009C52A1">
      <w:pPr>
        <w:pStyle w:val="TOC2"/>
        <w:rPr>
          <w:rFonts w:eastAsiaTheme="minorEastAsia"/>
          <w:noProof/>
          <w:lang w:eastAsia="en-AU"/>
        </w:rPr>
      </w:pPr>
      <w:hyperlink w:anchor="_Toc384038235" w:history="1">
        <w:r w:rsidRPr="00FE4F3F">
          <w:rPr>
            <w:rStyle w:val="Hyperlink"/>
            <w:noProof/>
          </w:rPr>
          <w:t>Website with case studies</w:t>
        </w:r>
        <w:r>
          <w:rPr>
            <w:noProof/>
            <w:webHidden/>
          </w:rPr>
          <w:tab/>
        </w:r>
        <w:r>
          <w:rPr>
            <w:noProof/>
            <w:webHidden/>
          </w:rPr>
          <w:fldChar w:fldCharType="begin"/>
        </w:r>
        <w:r>
          <w:rPr>
            <w:noProof/>
            <w:webHidden/>
          </w:rPr>
          <w:instrText xml:space="preserve"> PAGEREF _Toc384038235 \h </w:instrText>
        </w:r>
        <w:r>
          <w:rPr>
            <w:noProof/>
            <w:webHidden/>
          </w:rPr>
        </w:r>
        <w:r>
          <w:rPr>
            <w:noProof/>
            <w:webHidden/>
          </w:rPr>
          <w:fldChar w:fldCharType="separate"/>
        </w:r>
        <w:r w:rsidR="007D3AF1">
          <w:rPr>
            <w:noProof/>
            <w:webHidden/>
          </w:rPr>
          <w:t>23</w:t>
        </w:r>
        <w:r>
          <w:rPr>
            <w:noProof/>
            <w:webHidden/>
          </w:rPr>
          <w:fldChar w:fldCharType="end"/>
        </w:r>
      </w:hyperlink>
    </w:p>
    <w:p w:rsidR="009C52A1" w:rsidRDefault="009C52A1">
      <w:pPr>
        <w:pStyle w:val="TOC2"/>
        <w:rPr>
          <w:rFonts w:eastAsiaTheme="minorEastAsia"/>
          <w:noProof/>
          <w:lang w:eastAsia="en-AU"/>
        </w:rPr>
      </w:pPr>
      <w:hyperlink w:anchor="_Toc384038236" w:history="1">
        <w:r w:rsidRPr="00FE4F3F">
          <w:rPr>
            <w:rStyle w:val="Hyperlink"/>
            <w:noProof/>
          </w:rPr>
          <w:t>2013 DEEWR focus areas</w:t>
        </w:r>
        <w:r>
          <w:rPr>
            <w:noProof/>
            <w:webHidden/>
          </w:rPr>
          <w:tab/>
        </w:r>
        <w:r>
          <w:rPr>
            <w:noProof/>
            <w:webHidden/>
          </w:rPr>
          <w:fldChar w:fldCharType="begin"/>
        </w:r>
        <w:r>
          <w:rPr>
            <w:noProof/>
            <w:webHidden/>
          </w:rPr>
          <w:instrText xml:space="preserve"> PAGEREF _Toc384038236 \h </w:instrText>
        </w:r>
        <w:r>
          <w:rPr>
            <w:noProof/>
            <w:webHidden/>
          </w:rPr>
        </w:r>
        <w:r>
          <w:rPr>
            <w:noProof/>
            <w:webHidden/>
          </w:rPr>
          <w:fldChar w:fldCharType="separate"/>
        </w:r>
        <w:r w:rsidR="007D3AF1">
          <w:rPr>
            <w:noProof/>
            <w:webHidden/>
          </w:rPr>
          <w:t>23</w:t>
        </w:r>
        <w:r>
          <w:rPr>
            <w:noProof/>
            <w:webHidden/>
          </w:rPr>
          <w:fldChar w:fldCharType="end"/>
        </w:r>
      </w:hyperlink>
    </w:p>
    <w:p w:rsidR="009C52A1" w:rsidRDefault="009C52A1">
      <w:pPr>
        <w:pStyle w:val="TOC1"/>
        <w:tabs>
          <w:tab w:val="right" w:leader="dot" w:pos="9016"/>
        </w:tabs>
        <w:rPr>
          <w:noProof/>
          <w:lang w:val="en-AU" w:eastAsia="en-AU"/>
        </w:rPr>
      </w:pPr>
      <w:hyperlink w:anchor="_Toc384038237" w:history="1">
        <w:r w:rsidRPr="00FE4F3F">
          <w:rPr>
            <w:rStyle w:val="Hyperlink"/>
            <w:noProof/>
          </w:rPr>
          <w:t>South Australia Summary</w:t>
        </w:r>
        <w:r>
          <w:rPr>
            <w:noProof/>
            <w:webHidden/>
          </w:rPr>
          <w:tab/>
        </w:r>
        <w:r>
          <w:rPr>
            <w:noProof/>
            <w:webHidden/>
          </w:rPr>
          <w:fldChar w:fldCharType="begin"/>
        </w:r>
        <w:r>
          <w:rPr>
            <w:noProof/>
            <w:webHidden/>
          </w:rPr>
          <w:instrText xml:space="preserve"> PAGEREF _Toc384038237 \h </w:instrText>
        </w:r>
        <w:r>
          <w:rPr>
            <w:noProof/>
            <w:webHidden/>
          </w:rPr>
        </w:r>
        <w:r>
          <w:rPr>
            <w:noProof/>
            <w:webHidden/>
          </w:rPr>
          <w:fldChar w:fldCharType="separate"/>
        </w:r>
        <w:r w:rsidR="007D3AF1">
          <w:rPr>
            <w:noProof/>
            <w:webHidden/>
          </w:rPr>
          <w:t>23</w:t>
        </w:r>
        <w:r>
          <w:rPr>
            <w:noProof/>
            <w:webHidden/>
          </w:rPr>
          <w:fldChar w:fldCharType="end"/>
        </w:r>
      </w:hyperlink>
    </w:p>
    <w:p w:rsidR="009C52A1" w:rsidRDefault="009C52A1">
      <w:pPr>
        <w:pStyle w:val="TOC2"/>
        <w:rPr>
          <w:rFonts w:eastAsiaTheme="minorEastAsia"/>
          <w:noProof/>
          <w:lang w:eastAsia="en-AU"/>
        </w:rPr>
      </w:pPr>
      <w:hyperlink w:anchor="_Toc384038238" w:history="1">
        <w:r w:rsidRPr="00FE4F3F">
          <w:rPr>
            <w:rStyle w:val="Hyperlink"/>
            <w:noProof/>
          </w:rPr>
          <w:t>Context</w:t>
        </w:r>
        <w:r>
          <w:rPr>
            <w:noProof/>
            <w:webHidden/>
          </w:rPr>
          <w:tab/>
        </w:r>
        <w:r>
          <w:rPr>
            <w:noProof/>
            <w:webHidden/>
          </w:rPr>
          <w:fldChar w:fldCharType="begin"/>
        </w:r>
        <w:r>
          <w:rPr>
            <w:noProof/>
            <w:webHidden/>
          </w:rPr>
          <w:instrText xml:space="preserve"> PAGEREF _Toc384038238 \h </w:instrText>
        </w:r>
        <w:r>
          <w:rPr>
            <w:noProof/>
            <w:webHidden/>
          </w:rPr>
        </w:r>
        <w:r>
          <w:rPr>
            <w:noProof/>
            <w:webHidden/>
          </w:rPr>
          <w:fldChar w:fldCharType="separate"/>
        </w:r>
        <w:r w:rsidR="007D3AF1">
          <w:rPr>
            <w:noProof/>
            <w:webHidden/>
          </w:rPr>
          <w:t>23</w:t>
        </w:r>
        <w:r>
          <w:rPr>
            <w:noProof/>
            <w:webHidden/>
          </w:rPr>
          <w:fldChar w:fldCharType="end"/>
        </w:r>
      </w:hyperlink>
    </w:p>
    <w:p w:rsidR="009C52A1" w:rsidRDefault="009C52A1">
      <w:pPr>
        <w:pStyle w:val="TOC2"/>
        <w:rPr>
          <w:rFonts w:eastAsiaTheme="minorEastAsia"/>
          <w:noProof/>
          <w:lang w:eastAsia="en-AU"/>
        </w:rPr>
      </w:pPr>
      <w:hyperlink w:anchor="_Toc384038239" w:history="1">
        <w:r w:rsidRPr="00FE4F3F">
          <w:rPr>
            <w:rStyle w:val="Hyperlink"/>
            <w:noProof/>
          </w:rPr>
          <w:t>Program Status</w:t>
        </w:r>
        <w:r>
          <w:rPr>
            <w:noProof/>
            <w:webHidden/>
          </w:rPr>
          <w:tab/>
        </w:r>
        <w:r>
          <w:rPr>
            <w:noProof/>
            <w:webHidden/>
          </w:rPr>
          <w:fldChar w:fldCharType="begin"/>
        </w:r>
        <w:r>
          <w:rPr>
            <w:noProof/>
            <w:webHidden/>
          </w:rPr>
          <w:instrText xml:space="preserve"> PAGEREF _Toc384038239 \h </w:instrText>
        </w:r>
        <w:r>
          <w:rPr>
            <w:noProof/>
            <w:webHidden/>
          </w:rPr>
        </w:r>
        <w:r>
          <w:rPr>
            <w:noProof/>
            <w:webHidden/>
          </w:rPr>
          <w:fldChar w:fldCharType="separate"/>
        </w:r>
        <w:r w:rsidR="007D3AF1">
          <w:rPr>
            <w:noProof/>
            <w:webHidden/>
          </w:rPr>
          <w:t>24</w:t>
        </w:r>
        <w:r>
          <w:rPr>
            <w:noProof/>
            <w:webHidden/>
          </w:rPr>
          <w:fldChar w:fldCharType="end"/>
        </w:r>
      </w:hyperlink>
    </w:p>
    <w:p w:rsidR="009C52A1" w:rsidRDefault="009C52A1">
      <w:pPr>
        <w:pStyle w:val="TOC2"/>
        <w:rPr>
          <w:rFonts w:eastAsiaTheme="minorEastAsia"/>
          <w:noProof/>
          <w:lang w:eastAsia="en-AU"/>
        </w:rPr>
      </w:pPr>
      <w:hyperlink w:anchor="_Toc384038240" w:history="1">
        <w:r w:rsidRPr="00FE4F3F">
          <w:rPr>
            <w:rStyle w:val="Hyperlink"/>
            <w:noProof/>
          </w:rPr>
          <w:t>Challenges</w:t>
        </w:r>
        <w:r>
          <w:rPr>
            <w:noProof/>
            <w:webHidden/>
          </w:rPr>
          <w:tab/>
        </w:r>
        <w:r>
          <w:rPr>
            <w:noProof/>
            <w:webHidden/>
          </w:rPr>
          <w:fldChar w:fldCharType="begin"/>
        </w:r>
        <w:r>
          <w:rPr>
            <w:noProof/>
            <w:webHidden/>
          </w:rPr>
          <w:instrText xml:space="preserve"> PAGEREF _Toc384038240 \h </w:instrText>
        </w:r>
        <w:r>
          <w:rPr>
            <w:noProof/>
            <w:webHidden/>
          </w:rPr>
        </w:r>
        <w:r>
          <w:rPr>
            <w:noProof/>
            <w:webHidden/>
          </w:rPr>
          <w:fldChar w:fldCharType="separate"/>
        </w:r>
        <w:r w:rsidR="007D3AF1">
          <w:rPr>
            <w:noProof/>
            <w:webHidden/>
          </w:rPr>
          <w:t>25</w:t>
        </w:r>
        <w:r>
          <w:rPr>
            <w:noProof/>
            <w:webHidden/>
          </w:rPr>
          <w:fldChar w:fldCharType="end"/>
        </w:r>
      </w:hyperlink>
    </w:p>
    <w:p w:rsidR="009C52A1" w:rsidRDefault="009C52A1">
      <w:pPr>
        <w:pStyle w:val="TOC1"/>
        <w:tabs>
          <w:tab w:val="right" w:leader="dot" w:pos="9016"/>
        </w:tabs>
        <w:rPr>
          <w:noProof/>
          <w:lang w:val="en-AU" w:eastAsia="en-AU"/>
        </w:rPr>
      </w:pPr>
      <w:hyperlink w:anchor="_Toc384038241" w:history="1">
        <w:r w:rsidRPr="00FE4F3F">
          <w:rPr>
            <w:rStyle w:val="Hyperlink"/>
            <w:noProof/>
          </w:rPr>
          <w:t>Youth Connections program data</w:t>
        </w:r>
        <w:r>
          <w:rPr>
            <w:noProof/>
            <w:webHidden/>
          </w:rPr>
          <w:tab/>
        </w:r>
        <w:r>
          <w:rPr>
            <w:noProof/>
            <w:webHidden/>
          </w:rPr>
          <w:fldChar w:fldCharType="begin"/>
        </w:r>
        <w:r>
          <w:rPr>
            <w:noProof/>
            <w:webHidden/>
          </w:rPr>
          <w:instrText xml:space="preserve"> PAGEREF _Toc384038241 \h </w:instrText>
        </w:r>
        <w:r>
          <w:rPr>
            <w:noProof/>
            <w:webHidden/>
          </w:rPr>
        </w:r>
        <w:r>
          <w:rPr>
            <w:noProof/>
            <w:webHidden/>
          </w:rPr>
          <w:fldChar w:fldCharType="separate"/>
        </w:r>
        <w:r w:rsidR="007D3AF1">
          <w:rPr>
            <w:noProof/>
            <w:webHidden/>
          </w:rPr>
          <w:t>26</w:t>
        </w:r>
        <w:r>
          <w:rPr>
            <w:noProof/>
            <w:webHidden/>
          </w:rPr>
          <w:fldChar w:fldCharType="end"/>
        </w:r>
      </w:hyperlink>
    </w:p>
    <w:p w:rsidR="009C52A1" w:rsidRDefault="009C52A1">
      <w:pPr>
        <w:pStyle w:val="TOC2"/>
        <w:rPr>
          <w:rFonts w:eastAsiaTheme="minorEastAsia"/>
          <w:noProof/>
          <w:lang w:eastAsia="en-AU"/>
        </w:rPr>
      </w:pPr>
      <w:hyperlink w:anchor="_Toc384038242" w:history="1">
        <w:r w:rsidRPr="00FE4F3F">
          <w:rPr>
            <w:rStyle w:val="Hyperlink"/>
            <w:noProof/>
          </w:rPr>
          <w:t>Outcomes</w:t>
        </w:r>
        <w:r>
          <w:rPr>
            <w:noProof/>
            <w:webHidden/>
          </w:rPr>
          <w:tab/>
        </w:r>
        <w:r>
          <w:rPr>
            <w:noProof/>
            <w:webHidden/>
          </w:rPr>
          <w:fldChar w:fldCharType="begin"/>
        </w:r>
        <w:r>
          <w:rPr>
            <w:noProof/>
            <w:webHidden/>
          </w:rPr>
          <w:instrText xml:space="preserve"> PAGEREF _Toc384038242 \h </w:instrText>
        </w:r>
        <w:r>
          <w:rPr>
            <w:noProof/>
            <w:webHidden/>
          </w:rPr>
        </w:r>
        <w:r>
          <w:rPr>
            <w:noProof/>
            <w:webHidden/>
          </w:rPr>
          <w:fldChar w:fldCharType="separate"/>
        </w:r>
        <w:r w:rsidR="007D3AF1">
          <w:rPr>
            <w:noProof/>
            <w:webHidden/>
          </w:rPr>
          <w:t>36</w:t>
        </w:r>
        <w:r>
          <w:rPr>
            <w:noProof/>
            <w:webHidden/>
          </w:rPr>
          <w:fldChar w:fldCharType="end"/>
        </w:r>
      </w:hyperlink>
    </w:p>
    <w:p w:rsidR="009C52A1" w:rsidRDefault="009C52A1">
      <w:pPr>
        <w:pStyle w:val="TOC2"/>
        <w:rPr>
          <w:rFonts w:eastAsiaTheme="minorEastAsia"/>
          <w:noProof/>
          <w:lang w:eastAsia="en-AU"/>
        </w:rPr>
      </w:pPr>
      <w:hyperlink w:anchor="_Toc384038243" w:history="1">
        <w:r w:rsidRPr="00FE4F3F">
          <w:rPr>
            <w:rStyle w:val="Hyperlink"/>
            <w:noProof/>
          </w:rPr>
          <w:t>Indigenous</w:t>
        </w:r>
        <w:r>
          <w:rPr>
            <w:noProof/>
            <w:webHidden/>
          </w:rPr>
          <w:tab/>
        </w:r>
        <w:r>
          <w:rPr>
            <w:noProof/>
            <w:webHidden/>
          </w:rPr>
          <w:fldChar w:fldCharType="begin"/>
        </w:r>
        <w:r>
          <w:rPr>
            <w:noProof/>
            <w:webHidden/>
          </w:rPr>
          <w:instrText xml:space="preserve"> PAGEREF _Toc384038243 \h </w:instrText>
        </w:r>
        <w:r>
          <w:rPr>
            <w:noProof/>
            <w:webHidden/>
          </w:rPr>
        </w:r>
        <w:r>
          <w:rPr>
            <w:noProof/>
            <w:webHidden/>
          </w:rPr>
          <w:fldChar w:fldCharType="separate"/>
        </w:r>
        <w:r w:rsidR="007D3AF1">
          <w:rPr>
            <w:noProof/>
            <w:webHidden/>
          </w:rPr>
          <w:t>44</w:t>
        </w:r>
        <w:r>
          <w:rPr>
            <w:noProof/>
            <w:webHidden/>
          </w:rPr>
          <w:fldChar w:fldCharType="end"/>
        </w:r>
      </w:hyperlink>
    </w:p>
    <w:p w:rsidR="009C52A1" w:rsidRDefault="009C52A1">
      <w:pPr>
        <w:pStyle w:val="TOC2"/>
        <w:rPr>
          <w:rFonts w:eastAsiaTheme="minorEastAsia"/>
          <w:noProof/>
          <w:lang w:eastAsia="en-AU"/>
        </w:rPr>
      </w:pPr>
      <w:hyperlink w:anchor="_Toc384038244" w:history="1">
        <w:r w:rsidRPr="00FE4F3F">
          <w:rPr>
            <w:rStyle w:val="Hyperlink"/>
            <w:noProof/>
          </w:rPr>
          <w:t>Humanitarian Refugee</w:t>
        </w:r>
        <w:r>
          <w:rPr>
            <w:noProof/>
            <w:webHidden/>
          </w:rPr>
          <w:tab/>
        </w:r>
        <w:r>
          <w:rPr>
            <w:noProof/>
            <w:webHidden/>
          </w:rPr>
          <w:fldChar w:fldCharType="begin"/>
        </w:r>
        <w:r>
          <w:rPr>
            <w:noProof/>
            <w:webHidden/>
          </w:rPr>
          <w:instrText xml:space="preserve"> PAGEREF _Toc384038244 \h </w:instrText>
        </w:r>
        <w:r>
          <w:rPr>
            <w:noProof/>
            <w:webHidden/>
          </w:rPr>
        </w:r>
        <w:r>
          <w:rPr>
            <w:noProof/>
            <w:webHidden/>
          </w:rPr>
          <w:fldChar w:fldCharType="separate"/>
        </w:r>
        <w:r w:rsidR="007D3AF1">
          <w:rPr>
            <w:noProof/>
            <w:webHidden/>
          </w:rPr>
          <w:t>45</w:t>
        </w:r>
        <w:r>
          <w:rPr>
            <w:noProof/>
            <w:webHidden/>
          </w:rPr>
          <w:fldChar w:fldCharType="end"/>
        </w:r>
      </w:hyperlink>
    </w:p>
    <w:p w:rsidR="009C52A1" w:rsidRDefault="009C52A1">
      <w:pPr>
        <w:pStyle w:val="TOC2"/>
        <w:rPr>
          <w:rFonts w:eastAsiaTheme="minorEastAsia"/>
          <w:noProof/>
          <w:lang w:eastAsia="en-AU"/>
        </w:rPr>
      </w:pPr>
      <w:hyperlink w:anchor="_Toc384038245" w:history="1">
        <w:r w:rsidRPr="00FE4F3F">
          <w:rPr>
            <w:rStyle w:val="Hyperlink"/>
            <w:noProof/>
          </w:rPr>
          <w:t>Outreach and Re-engagement Services</w:t>
        </w:r>
        <w:r>
          <w:rPr>
            <w:noProof/>
            <w:webHidden/>
          </w:rPr>
          <w:tab/>
        </w:r>
        <w:r>
          <w:rPr>
            <w:noProof/>
            <w:webHidden/>
          </w:rPr>
          <w:fldChar w:fldCharType="begin"/>
        </w:r>
        <w:r>
          <w:rPr>
            <w:noProof/>
            <w:webHidden/>
          </w:rPr>
          <w:instrText xml:space="preserve"> PAGEREF _Toc384038245 \h </w:instrText>
        </w:r>
        <w:r>
          <w:rPr>
            <w:noProof/>
            <w:webHidden/>
          </w:rPr>
        </w:r>
        <w:r>
          <w:rPr>
            <w:noProof/>
            <w:webHidden/>
          </w:rPr>
          <w:fldChar w:fldCharType="separate"/>
        </w:r>
        <w:r w:rsidR="007D3AF1">
          <w:rPr>
            <w:noProof/>
            <w:webHidden/>
          </w:rPr>
          <w:t>46</w:t>
        </w:r>
        <w:r>
          <w:rPr>
            <w:noProof/>
            <w:webHidden/>
          </w:rPr>
          <w:fldChar w:fldCharType="end"/>
        </w:r>
      </w:hyperlink>
    </w:p>
    <w:p w:rsidR="009C52A1" w:rsidRDefault="009C52A1">
      <w:pPr>
        <w:pStyle w:val="TOC2"/>
        <w:rPr>
          <w:rFonts w:eastAsiaTheme="minorEastAsia"/>
          <w:noProof/>
          <w:lang w:eastAsia="en-AU"/>
        </w:rPr>
      </w:pPr>
      <w:hyperlink w:anchor="_Toc384038246" w:history="1">
        <w:r w:rsidRPr="00FE4F3F">
          <w:rPr>
            <w:rStyle w:val="Hyperlink"/>
            <w:noProof/>
          </w:rPr>
          <w:t>Strengthening Services in the Region</w:t>
        </w:r>
        <w:r>
          <w:rPr>
            <w:noProof/>
            <w:webHidden/>
          </w:rPr>
          <w:tab/>
        </w:r>
        <w:r>
          <w:rPr>
            <w:noProof/>
            <w:webHidden/>
          </w:rPr>
          <w:fldChar w:fldCharType="begin"/>
        </w:r>
        <w:r>
          <w:rPr>
            <w:noProof/>
            <w:webHidden/>
          </w:rPr>
          <w:instrText xml:space="preserve"> PAGEREF _Toc384038246 \h </w:instrText>
        </w:r>
        <w:r>
          <w:rPr>
            <w:noProof/>
            <w:webHidden/>
          </w:rPr>
        </w:r>
        <w:r>
          <w:rPr>
            <w:noProof/>
            <w:webHidden/>
          </w:rPr>
          <w:fldChar w:fldCharType="separate"/>
        </w:r>
        <w:r w:rsidR="007D3AF1">
          <w:rPr>
            <w:noProof/>
            <w:webHidden/>
          </w:rPr>
          <w:t>47</w:t>
        </w:r>
        <w:r>
          <w:rPr>
            <w:noProof/>
            <w:webHidden/>
          </w:rPr>
          <w:fldChar w:fldCharType="end"/>
        </w:r>
      </w:hyperlink>
    </w:p>
    <w:p w:rsidR="009C52A1" w:rsidRDefault="009C52A1">
      <w:pPr>
        <w:pStyle w:val="TOC2"/>
        <w:rPr>
          <w:rFonts w:eastAsiaTheme="minorEastAsia"/>
          <w:noProof/>
          <w:lang w:eastAsia="en-AU"/>
        </w:rPr>
      </w:pPr>
      <w:hyperlink w:anchor="_Toc384038247" w:history="1">
        <w:r w:rsidRPr="00FE4F3F">
          <w:rPr>
            <w:rStyle w:val="Hyperlink"/>
            <w:noProof/>
          </w:rPr>
          <w:t>Specialised Services</w:t>
        </w:r>
        <w:r>
          <w:rPr>
            <w:noProof/>
            <w:webHidden/>
          </w:rPr>
          <w:tab/>
        </w:r>
        <w:r>
          <w:rPr>
            <w:noProof/>
            <w:webHidden/>
          </w:rPr>
          <w:fldChar w:fldCharType="begin"/>
        </w:r>
        <w:r>
          <w:rPr>
            <w:noProof/>
            <w:webHidden/>
          </w:rPr>
          <w:instrText xml:space="preserve"> PAGEREF _Toc384038247 \h </w:instrText>
        </w:r>
        <w:r>
          <w:rPr>
            <w:noProof/>
            <w:webHidden/>
          </w:rPr>
        </w:r>
        <w:r>
          <w:rPr>
            <w:noProof/>
            <w:webHidden/>
          </w:rPr>
          <w:fldChar w:fldCharType="separate"/>
        </w:r>
        <w:r w:rsidR="007D3AF1">
          <w:rPr>
            <w:noProof/>
            <w:webHidden/>
          </w:rPr>
          <w:t>48</w:t>
        </w:r>
        <w:r>
          <w:rPr>
            <w:noProof/>
            <w:webHidden/>
          </w:rPr>
          <w:fldChar w:fldCharType="end"/>
        </w:r>
      </w:hyperlink>
    </w:p>
    <w:p w:rsidR="009C52A1" w:rsidRDefault="009C52A1">
      <w:pPr>
        <w:pStyle w:val="TOC2"/>
        <w:rPr>
          <w:rFonts w:eastAsiaTheme="minorEastAsia"/>
          <w:noProof/>
          <w:lang w:eastAsia="en-AU"/>
        </w:rPr>
      </w:pPr>
      <w:hyperlink w:anchor="_Toc384038248" w:history="1">
        <w:r w:rsidRPr="00FE4F3F">
          <w:rPr>
            <w:rStyle w:val="Hyperlink"/>
            <w:noProof/>
          </w:rPr>
          <w:t>Outcomes</w:t>
        </w:r>
        <w:r>
          <w:rPr>
            <w:noProof/>
            <w:webHidden/>
          </w:rPr>
          <w:tab/>
        </w:r>
        <w:r>
          <w:rPr>
            <w:noProof/>
            <w:webHidden/>
          </w:rPr>
          <w:fldChar w:fldCharType="begin"/>
        </w:r>
        <w:r>
          <w:rPr>
            <w:noProof/>
            <w:webHidden/>
          </w:rPr>
          <w:instrText xml:space="preserve"> PAGEREF _Toc384038248 \h </w:instrText>
        </w:r>
        <w:r>
          <w:rPr>
            <w:noProof/>
            <w:webHidden/>
          </w:rPr>
        </w:r>
        <w:r>
          <w:rPr>
            <w:noProof/>
            <w:webHidden/>
          </w:rPr>
          <w:fldChar w:fldCharType="separate"/>
        </w:r>
        <w:r w:rsidR="007D3AF1">
          <w:rPr>
            <w:noProof/>
            <w:webHidden/>
          </w:rPr>
          <w:t>52</w:t>
        </w:r>
        <w:r>
          <w:rPr>
            <w:noProof/>
            <w:webHidden/>
          </w:rPr>
          <w:fldChar w:fldCharType="end"/>
        </w:r>
      </w:hyperlink>
    </w:p>
    <w:p w:rsidR="009C52A1" w:rsidRDefault="009C52A1">
      <w:pPr>
        <w:pStyle w:val="TOC2"/>
        <w:rPr>
          <w:rFonts w:eastAsiaTheme="minorEastAsia"/>
          <w:noProof/>
          <w:lang w:eastAsia="en-AU"/>
        </w:rPr>
      </w:pPr>
      <w:hyperlink w:anchor="_Toc384038249" w:history="1">
        <w:r w:rsidRPr="00FE4F3F">
          <w:rPr>
            <w:rStyle w:val="Hyperlink"/>
            <w:noProof/>
          </w:rPr>
          <w:t>Outreach and Re-engagement Services</w:t>
        </w:r>
        <w:r>
          <w:rPr>
            <w:noProof/>
            <w:webHidden/>
          </w:rPr>
          <w:tab/>
        </w:r>
        <w:r>
          <w:rPr>
            <w:noProof/>
            <w:webHidden/>
          </w:rPr>
          <w:fldChar w:fldCharType="begin"/>
        </w:r>
        <w:r>
          <w:rPr>
            <w:noProof/>
            <w:webHidden/>
          </w:rPr>
          <w:instrText xml:space="preserve"> PAGEREF _Toc384038249 \h </w:instrText>
        </w:r>
        <w:r>
          <w:rPr>
            <w:noProof/>
            <w:webHidden/>
          </w:rPr>
        </w:r>
        <w:r>
          <w:rPr>
            <w:noProof/>
            <w:webHidden/>
          </w:rPr>
          <w:fldChar w:fldCharType="separate"/>
        </w:r>
        <w:r w:rsidR="007D3AF1">
          <w:rPr>
            <w:noProof/>
            <w:webHidden/>
          </w:rPr>
          <w:t>52</w:t>
        </w:r>
        <w:r>
          <w:rPr>
            <w:noProof/>
            <w:webHidden/>
          </w:rPr>
          <w:fldChar w:fldCharType="end"/>
        </w:r>
      </w:hyperlink>
    </w:p>
    <w:p w:rsidR="009C52A1" w:rsidRDefault="009C52A1">
      <w:pPr>
        <w:pStyle w:val="TOC2"/>
        <w:rPr>
          <w:rFonts w:eastAsiaTheme="minorEastAsia"/>
          <w:noProof/>
          <w:lang w:eastAsia="en-AU"/>
        </w:rPr>
      </w:pPr>
      <w:hyperlink w:anchor="_Toc384038250" w:history="1">
        <w:r w:rsidRPr="00FE4F3F">
          <w:rPr>
            <w:rStyle w:val="Hyperlink"/>
            <w:noProof/>
          </w:rPr>
          <w:t>Strengthening Services in the Region</w:t>
        </w:r>
        <w:r>
          <w:rPr>
            <w:noProof/>
            <w:webHidden/>
          </w:rPr>
          <w:tab/>
        </w:r>
        <w:r>
          <w:rPr>
            <w:noProof/>
            <w:webHidden/>
          </w:rPr>
          <w:fldChar w:fldCharType="begin"/>
        </w:r>
        <w:r>
          <w:rPr>
            <w:noProof/>
            <w:webHidden/>
          </w:rPr>
          <w:instrText xml:space="preserve"> PAGEREF _Toc384038250 \h </w:instrText>
        </w:r>
        <w:r>
          <w:rPr>
            <w:noProof/>
            <w:webHidden/>
          </w:rPr>
        </w:r>
        <w:r>
          <w:rPr>
            <w:noProof/>
            <w:webHidden/>
          </w:rPr>
          <w:fldChar w:fldCharType="separate"/>
        </w:r>
        <w:r w:rsidR="007D3AF1">
          <w:rPr>
            <w:noProof/>
            <w:webHidden/>
          </w:rPr>
          <w:t>53</w:t>
        </w:r>
        <w:r>
          <w:rPr>
            <w:noProof/>
            <w:webHidden/>
          </w:rPr>
          <w:fldChar w:fldCharType="end"/>
        </w:r>
      </w:hyperlink>
    </w:p>
    <w:p w:rsidR="009C52A1" w:rsidRDefault="009C52A1">
      <w:pPr>
        <w:pStyle w:val="TOC1"/>
        <w:tabs>
          <w:tab w:val="right" w:leader="dot" w:pos="9016"/>
        </w:tabs>
        <w:rPr>
          <w:noProof/>
          <w:lang w:val="en-AU" w:eastAsia="en-AU"/>
        </w:rPr>
      </w:pPr>
      <w:hyperlink w:anchor="_Toc384038251" w:history="1">
        <w:r w:rsidRPr="00FE4F3F">
          <w:rPr>
            <w:rStyle w:val="Hyperlink"/>
            <w:noProof/>
          </w:rPr>
          <w:t>ANNEXURE 1 B – School Business Community Partnership Brokers - SA</w:t>
        </w:r>
        <w:r>
          <w:rPr>
            <w:noProof/>
            <w:webHidden/>
          </w:rPr>
          <w:tab/>
        </w:r>
        <w:r>
          <w:rPr>
            <w:noProof/>
            <w:webHidden/>
          </w:rPr>
          <w:fldChar w:fldCharType="begin"/>
        </w:r>
        <w:r>
          <w:rPr>
            <w:noProof/>
            <w:webHidden/>
          </w:rPr>
          <w:instrText xml:space="preserve"> PAGEREF _Toc384038251 \h </w:instrText>
        </w:r>
        <w:r>
          <w:rPr>
            <w:noProof/>
            <w:webHidden/>
          </w:rPr>
        </w:r>
        <w:r>
          <w:rPr>
            <w:noProof/>
            <w:webHidden/>
          </w:rPr>
          <w:fldChar w:fldCharType="separate"/>
        </w:r>
        <w:r w:rsidR="007D3AF1">
          <w:rPr>
            <w:noProof/>
            <w:webHidden/>
          </w:rPr>
          <w:t>54</w:t>
        </w:r>
        <w:r>
          <w:rPr>
            <w:noProof/>
            <w:webHidden/>
          </w:rPr>
          <w:fldChar w:fldCharType="end"/>
        </w:r>
      </w:hyperlink>
    </w:p>
    <w:p w:rsidR="009C52A1" w:rsidRDefault="009C52A1">
      <w:pPr>
        <w:pStyle w:val="TOC2"/>
        <w:rPr>
          <w:rFonts w:eastAsiaTheme="minorEastAsia"/>
          <w:noProof/>
          <w:lang w:eastAsia="en-AU"/>
        </w:rPr>
      </w:pPr>
      <w:hyperlink w:anchor="_Toc384038252" w:history="1">
        <w:r w:rsidRPr="00FE4F3F">
          <w:rPr>
            <w:rStyle w:val="Hyperlink"/>
            <w:noProof/>
            <w:lang w:eastAsia="en-AU"/>
          </w:rPr>
          <w:t>National Summary</w:t>
        </w:r>
        <w:r>
          <w:rPr>
            <w:noProof/>
            <w:webHidden/>
          </w:rPr>
          <w:tab/>
        </w:r>
        <w:r>
          <w:rPr>
            <w:noProof/>
            <w:webHidden/>
          </w:rPr>
          <w:fldChar w:fldCharType="begin"/>
        </w:r>
        <w:r>
          <w:rPr>
            <w:noProof/>
            <w:webHidden/>
          </w:rPr>
          <w:instrText xml:space="preserve"> PAGEREF _Toc384038252 \h </w:instrText>
        </w:r>
        <w:r>
          <w:rPr>
            <w:noProof/>
            <w:webHidden/>
          </w:rPr>
        </w:r>
        <w:r>
          <w:rPr>
            <w:noProof/>
            <w:webHidden/>
          </w:rPr>
          <w:fldChar w:fldCharType="separate"/>
        </w:r>
        <w:r w:rsidR="007D3AF1">
          <w:rPr>
            <w:noProof/>
            <w:webHidden/>
          </w:rPr>
          <w:t>54</w:t>
        </w:r>
        <w:r>
          <w:rPr>
            <w:noProof/>
            <w:webHidden/>
          </w:rPr>
          <w:fldChar w:fldCharType="end"/>
        </w:r>
      </w:hyperlink>
    </w:p>
    <w:p w:rsidR="009C52A1" w:rsidRDefault="009C52A1">
      <w:pPr>
        <w:pStyle w:val="TOC2"/>
        <w:rPr>
          <w:rFonts w:eastAsiaTheme="minorEastAsia"/>
          <w:noProof/>
          <w:lang w:eastAsia="en-AU"/>
        </w:rPr>
      </w:pPr>
      <w:hyperlink w:anchor="_Toc384038253" w:history="1">
        <w:r w:rsidRPr="00FE4F3F">
          <w:rPr>
            <w:rStyle w:val="Hyperlink"/>
            <w:noProof/>
            <w:lang w:eastAsia="en-AU"/>
          </w:rPr>
          <w:t>South Australia Summary</w:t>
        </w:r>
        <w:r>
          <w:rPr>
            <w:noProof/>
            <w:webHidden/>
          </w:rPr>
          <w:tab/>
        </w:r>
        <w:r>
          <w:rPr>
            <w:noProof/>
            <w:webHidden/>
          </w:rPr>
          <w:fldChar w:fldCharType="begin"/>
        </w:r>
        <w:r>
          <w:rPr>
            <w:noProof/>
            <w:webHidden/>
          </w:rPr>
          <w:instrText xml:space="preserve"> PAGEREF _Toc384038253 \h </w:instrText>
        </w:r>
        <w:r>
          <w:rPr>
            <w:noProof/>
            <w:webHidden/>
          </w:rPr>
        </w:r>
        <w:r>
          <w:rPr>
            <w:noProof/>
            <w:webHidden/>
          </w:rPr>
          <w:fldChar w:fldCharType="separate"/>
        </w:r>
        <w:r w:rsidR="007D3AF1">
          <w:rPr>
            <w:noProof/>
            <w:webHidden/>
          </w:rPr>
          <w:t>59</w:t>
        </w:r>
        <w:r>
          <w:rPr>
            <w:noProof/>
            <w:webHidden/>
          </w:rPr>
          <w:fldChar w:fldCharType="end"/>
        </w:r>
      </w:hyperlink>
    </w:p>
    <w:p w:rsidR="009C52A1" w:rsidRDefault="009C52A1">
      <w:pPr>
        <w:pStyle w:val="TOC2"/>
        <w:rPr>
          <w:rFonts w:eastAsiaTheme="minorEastAsia"/>
          <w:noProof/>
          <w:lang w:eastAsia="en-AU"/>
        </w:rPr>
      </w:pPr>
      <w:hyperlink w:anchor="_Toc384038254" w:history="1">
        <w:r w:rsidRPr="00FE4F3F">
          <w:rPr>
            <w:rStyle w:val="Hyperlink"/>
            <w:noProof/>
            <w:lang w:eastAsia="en-AU"/>
          </w:rPr>
          <w:t>Organisations</w:t>
        </w:r>
        <w:r>
          <w:rPr>
            <w:noProof/>
            <w:webHidden/>
          </w:rPr>
          <w:tab/>
        </w:r>
        <w:r>
          <w:rPr>
            <w:noProof/>
            <w:webHidden/>
          </w:rPr>
          <w:fldChar w:fldCharType="begin"/>
        </w:r>
        <w:r>
          <w:rPr>
            <w:noProof/>
            <w:webHidden/>
          </w:rPr>
          <w:instrText xml:space="preserve"> PAGEREF _Toc384038254 \h </w:instrText>
        </w:r>
        <w:r>
          <w:rPr>
            <w:noProof/>
            <w:webHidden/>
          </w:rPr>
        </w:r>
        <w:r>
          <w:rPr>
            <w:noProof/>
            <w:webHidden/>
          </w:rPr>
          <w:fldChar w:fldCharType="separate"/>
        </w:r>
        <w:r w:rsidR="007D3AF1">
          <w:rPr>
            <w:noProof/>
            <w:webHidden/>
          </w:rPr>
          <w:t>60</w:t>
        </w:r>
        <w:r>
          <w:rPr>
            <w:noProof/>
            <w:webHidden/>
          </w:rPr>
          <w:fldChar w:fldCharType="end"/>
        </w:r>
      </w:hyperlink>
    </w:p>
    <w:p w:rsidR="009C52A1" w:rsidRDefault="009C52A1">
      <w:pPr>
        <w:pStyle w:val="TOC2"/>
        <w:rPr>
          <w:rFonts w:eastAsiaTheme="minorEastAsia"/>
          <w:noProof/>
          <w:lang w:eastAsia="en-AU"/>
        </w:rPr>
      </w:pPr>
      <w:hyperlink w:anchor="_Toc384038255" w:history="1">
        <w:r w:rsidRPr="00FE4F3F">
          <w:rPr>
            <w:rStyle w:val="Hyperlink"/>
            <w:noProof/>
            <w:lang w:eastAsia="en-AU"/>
          </w:rPr>
          <w:t>Partnerships</w:t>
        </w:r>
        <w:r>
          <w:rPr>
            <w:noProof/>
            <w:webHidden/>
          </w:rPr>
          <w:tab/>
        </w:r>
        <w:r>
          <w:rPr>
            <w:noProof/>
            <w:webHidden/>
          </w:rPr>
          <w:fldChar w:fldCharType="begin"/>
        </w:r>
        <w:r>
          <w:rPr>
            <w:noProof/>
            <w:webHidden/>
          </w:rPr>
          <w:instrText xml:space="preserve"> PAGEREF _Toc384038255 \h </w:instrText>
        </w:r>
        <w:r>
          <w:rPr>
            <w:noProof/>
            <w:webHidden/>
          </w:rPr>
        </w:r>
        <w:r>
          <w:rPr>
            <w:noProof/>
            <w:webHidden/>
          </w:rPr>
          <w:fldChar w:fldCharType="separate"/>
        </w:r>
        <w:r w:rsidR="007D3AF1">
          <w:rPr>
            <w:noProof/>
            <w:webHidden/>
          </w:rPr>
          <w:t>64</w:t>
        </w:r>
        <w:r>
          <w:rPr>
            <w:noProof/>
            <w:webHidden/>
          </w:rPr>
          <w:fldChar w:fldCharType="end"/>
        </w:r>
      </w:hyperlink>
    </w:p>
    <w:p w:rsidR="009C52A1" w:rsidRDefault="009C52A1">
      <w:pPr>
        <w:pStyle w:val="TOC1"/>
        <w:tabs>
          <w:tab w:val="right" w:leader="dot" w:pos="9016"/>
        </w:tabs>
        <w:rPr>
          <w:noProof/>
          <w:lang w:val="en-AU" w:eastAsia="en-AU"/>
        </w:rPr>
      </w:pPr>
      <w:hyperlink w:anchor="_Toc384038256" w:history="1">
        <w:r w:rsidRPr="00FE4F3F">
          <w:rPr>
            <w:rStyle w:val="Hyperlink"/>
            <w:rFonts w:eastAsia="Times New Roman"/>
            <w:noProof/>
          </w:rPr>
          <w:t>ANNEXURE 1 C – National Career Development</w:t>
        </w:r>
        <w:r>
          <w:rPr>
            <w:noProof/>
            <w:webHidden/>
          </w:rPr>
          <w:tab/>
        </w:r>
        <w:r>
          <w:rPr>
            <w:noProof/>
            <w:webHidden/>
          </w:rPr>
          <w:fldChar w:fldCharType="begin"/>
        </w:r>
        <w:r>
          <w:rPr>
            <w:noProof/>
            <w:webHidden/>
          </w:rPr>
          <w:instrText xml:space="preserve"> PAGEREF _Toc384038256 \h </w:instrText>
        </w:r>
        <w:r>
          <w:rPr>
            <w:noProof/>
            <w:webHidden/>
          </w:rPr>
        </w:r>
        <w:r>
          <w:rPr>
            <w:noProof/>
            <w:webHidden/>
          </w:rPr>
          <w:fldChar w:fldCharType="separate"/>
        </w:r>
        <w:r w:rsidR="007D3AF1">
          <w:rPr>
            <w:noProof/>
            <w:webHidden/>
          </w:rPr>
          <w:t>75</w:t>
        </w:r>
        <w:r>
          <w:rPr>
            <w:noProof/>
            <w:webHidden/>
          </w:rPr>
          <w:fldChar w:fldCharType="end"/>
        </w:r>
      </w:hyperlink>
    </w:p>
    <w:p w:rsidR="009C52A1" w:rsidRDefault="009C52A1">
      <w:pPr>
        <w:pStyle w:val="TOC2"/>
        <w:rPr>
          <w:rFonts w:eastAsiaTheme="minorEastAsia"/>
          <w:noProof/>
          <w:lang w:eastAsia="en-AU"/>
        </w:rPr>
      </w:pPr>
      <w:hyperlink w:anchor="_Toc384038257" w:history="1">
        <w:r w:rsidRPr="00FE4F3F">
          <w:rPr>
            <w:rStyle w:val="Hyperlink"/>
            <w:rFonts w:eastAsia="Times New Roman"/>
            <w:noProof/>
          </w:rPr>
          <w:t>National Summary: Activity during the 2012 calendar year</w:t>
        </w:r>
        <w:r>
          <w:rPr>
            <w:noProof/>
            <w:webHidden/>
          </w:rPr>
          <w:tab/>
        </w:r>
        <w:r>
          <w:rPr>
            <w:noProof/>
            <w:webHidden/>
          </w:rPr>
          <w:fldChar w:fldCharType="begin"/>
        </w:r>
        <w:r>
          <w:rPr>
            <w:noProof/>
            <w:webHidden/>
          </w:rPr>
          <w:instrText xml:space="preserve"> PAGEREF _Toc384038257 \h </w:instrText>
        </w:r>
        <w:r>
          <w:rPr>
            <w:noProof/>
            <w:webHidden/>
          </w:rPr>
        </w:r>
        <w:r>
          <w:rPr>
            <w:noProof/>
            <w:webHidden/>
          </w:rPr>
          <w:fldChar w:fldCharType="separate"/>
        </w:r>
        <w:r w:rsidR="007D3AF1">
          <w:rPr>
            <w:noProof/>
            <w:webHidden/>
          </w:rPr>
          <w:t>75</w:t>
        </w:r>
        <w:r>
          <w:rPr>
            <w:noProof/>
            <w:webHidden/>
          </w:rPr>
          <w:fldChar w:fldCharType="end"/>
        </w:r>
      </w:hyperlink>
    </w:p>
    <w:p w:rsidR="00BC0DA7" w:rsidRPr="00AA5F3C" w:rsidRDefault="009D25E2" w:rsidP="00E619A9">
      <w:pPr>
        <w:spacing w:after="200"/>
        <w:rPr>
          <w:rFonts w:ascii="Arial" w:hAnsi="Arial" w:cs="Arial"/>
        </w:rPr>
        <w:sectPr w:rsidR="00BC0DA7" w:rsidRPr="00AA5F3C" w:rsidSect="00C55871">
          <w:headerReference w:type="default" r:id="rId9"/>
          <w:footerReference w:type="even" r:id="rId10"/>
          <w:footerReference w:type="default" r:id="rId11"/>
          <w:pgSz w:w="11906" w:h="16838"/>
          <w:pgMar w:top="1440" w:right="1440" w:bottom="1440" w:left="1440" w:header="708" w:footer="708" w:gutter="0"/>
          <w:cols w:space="708"/>
          <w:docGrid w:linePitch="360"/>
        </w:sectPr>
      </w:pPr>
      <w:r w:rsidRPr="00477256">
        <w:rPr>
          <w:rFonts w:cstheme="minorHAnsi"/>
        </w:rPr>
        <w:fldChar w:fldCharType="end"/>
      </w:r>
      <w:r w:rsidR="00135133" w:rsidRPr="00AA5F3C">
        <w:rPr>
          <w:rFonts w:ascii="Arial" w:hAnsi="Arial" w:cs="Arial"/>
        </w:rPr>
        <w:br w:type="page"/>
      </w:r>
    </w:p>
    <w:p w:rsidR="00392191" w:rsidRDefault="00392191" w:rsidP="00E619A9">
      <w:pPr>
        <w:rPr>
          <w:rFonts w:ascii="Arial" w:hAnsi="Arial" w:cs="Arial"/>
        </w:rPr>
      </w:pPr>
      <w:r w:rsidRPr="00AA5F3C">
        <w:rPr>
          <w:rFonts w:ascii="Arial" w:hAnsi="Arial" w:cs="Arial"/>
        </w:rPr>
        <w:lastRenderedPageBreak/>
        <w:t xml:space="preserve">Annual reporting requirements under the National Partnership on Youth Attainment and Transitions </w:t>
      </w:r>
      <w:r w:rsidR="00F300BD" w:rsidRPr="00AA5F3C">
        <w:rPr>
          <w:rFonts w:ascii="Arial" w:hAnsi="Arial" w:cs="Arial"/>
        </w:rPr>
        <w:t xml:space="preserve">Agreement </w:t>
      </w:r>
      <w:r w:rsidRPr="00AA5F3C">
        <w:rPr>
          <w:rFonts w:ascii="Arial" w:hAnsi="Arial" w:cs="Arial"/>
        </w:rPr>
        <w:t>are contained in paragraphs 69 to 72 (reproduced below). In addition, Schedule B of the National Partnership on Youth Attainment and Transitions contains Indigenous reporting requirements.</w:t>
      </w:r>
    </w:p>
    <w:p w:rsidR="00477256" w:rsidRPr="00AA5F3C" w:rsidRDefault="00477256" w:rsidP="00E619A9">
      <w:pPr>
        <w:rPr>
          <w:rFonts w:ascii="Arial" w:hAnsi="Arial" w:cs="Arial"/>
        </w:rPr>
      </w:pPr>
    </w:p>
    <w:p w:rsidR="00392191" w:rsidRPr="00AA5F3C" w:rsidRDefault="006457C6" w:rsidP="00E619A9">
      <w:pPr>
        <w:rPr>
          <w:rFonts w:ascii="Arial" w:hAnsi="Arial" w:cs="Arial"/>
        </w:rPr>
      </w:pPr>
      <w:r>
        <w:rPr>
          <w:rFonts w:ascii="Arial" w:hAnsi="Arial" w:cs="Arial"/>
          <w:noProof/>
          <w:lang w:eastAsia="en-AU"/>
        </w:rPr>
        <mc:AlternateContent>
          <mc:Choice Requires="wps">
            <w:drawing>
              <wp:inline distT="0" distB="0" distL="0" distR="0" wp14:anchorId="65C0E6FF" wp14:editId="346AADB0">
                <wp:extent cx="5270500" cy="3314700"/>
                <wp:effectExtent l="0" t="0" r="25400" b="19050"/>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3314700"/>
                        </a:xfrm>
                        <a:prstGeom prst="rect">
                          <a:avLst/>
                        </a:prstGeom>
                        <a:solidFill>
                          <a:schemeClr val="bg2">
                            <a:lumMod val="100000"/>
                            <a:lumOff val="0"/>
                          </a:schemeClr>
                        </a:solidFill>
                        <a:ln w="9525">
                          <a:solidFill>
                            <a:srgbClr val="000000"/>
                          </a:solidFill>
                          <a:miter lim="800000"/>
                          <a:headEnd/>
                          <a:tailEnd/>
                        </a:ln>
                      </wps:spPr>
                      <wps:txbx>
                        <w:txbxContent>
                          <w:p w:rsidR="00C55871" w:rsidRPr="00F36A95" w:rsidRDefault="00C55871" w:rsidP="00392191">
                            <w:pPr>
                              <w:pStyle w:val="Default"/>
                              <w:rPr>
                                <w:sz w:val="22"/>
                                <w:szCs w:val="22"/>
                              </w:rPr>
                            </w:pPr>
                          </w:p>
                          <w:p w:rsidR="00C55871" w:rsidRPr="00F36A95" w:rsidRDefault="00C55871" w:rsidP="00392191">
                            <w:pPr>
                              <w:pStyle w:val="Default"/>
                              <w:spacing w:after="195"/>
                              <w:rPr>
                                <w:sz w:val="22"/>
                                <w:szCs w:val="22"/>
                              </w:rPr>
                            </w:pPr>
                            <w:r w:rsidRPr="00F36A95">
                              <w:rPr>
                                <w:sz w:val="22"/>
                                <w:szCs w:val="22"/>
                              </w:rPr>
                              <w:t xml:space="preserve">69. Thereafter, States and Territories will provide annual reports to the Commonwealth against the outcomes, performance benchmarks and performance indicators specified in this Agreement as outlined in table 1 at paragraph 16 and in table 3 at paragraph 59. </w:t>
                            </w:r>
                          </w:p>
                          <w:p w:rsidR="00C55871" w:rsidRPr="00F36A95" w:rsidRDefault="00C55871" w:rsidP="00392191">
                            <w:pPr>
                              <w:pStyle w:val="FromNP"/>
                              <w:rPr>
                                <w:sz w:val="22"/>
                                <w:szCs w:val="22"/>
                              </w:rPr>
                            </w:pPr>
                            <w:r w:rsidRPr="00F36A95">
                              <w:rPr>
                                <w:sz w:val="22"/>
                                <w:szCs w:val="22"/>
                              </w:rPr>
                              <w:t xml:space="preserve">70. To meet a shared commitment to reporting on efforts to close the gap for Indigenous people, States and Territories also commit to including in their annual reports progress towards halving the gap in Indigenous Year 12 or equivalent attainment by 2020. Progress measures towards halving the gap in Indigenous Year 12 or equivalent attainment are at Schedule B. </w:t>
                            </w:r>
                          </w:p>
                          <w:p w:rsidR="00C55871" w:rsidRPr="00F36A95" w:rsidRDefault="00C55871" w:rsidP="00392191">
                            <w:pPr>
                              <w:pStyle w:val="Default"/>
                              <w:spacing w:after="195"/>
                              <w:rPr>
                                <w:sz w:val="22"/>
                                <w:szCs w:val="22"/>
                              </w:rPr>
                            </w:pPr>
                            <w:r w:rsidRPr="00F36A95">
                              <w:rPr>
                                <w:sz w:val="22"/>
                                <w:szCs w:val="22"/>
                              </w:rPr>
                              <w:t>71. Reporting will include detail of funding provided to the non-government sector and maintenance of any existing State and Territory funding for careers and transitions support services (see paragraph 52 and 53).</w:t>
                            </w:r>
                          </w:p>
                          <w:p w:rsidR="00C55871" w:rsidRPr="00F36A95" w:rsidRDefault="00C55871" w:rsidP="00392191">
                            <w:pPr>
                              <w:pStyle w:val="Default"/>
                              <w:spacing w:after="195"/>
                              <w:rPr>
                                <w:sz w:val="22"/>
                                <w:szCs w:val="22"/>
                              </w:rPr>
                            </w:pPr>
                            <w:r w:rsidRPr="00F36A95">
                              <w:rPr>
                                <w:sz w:val="22"/>
                                <w:szCs w:val="22"/>
                              </w:rPr>
                              <w:t xml:space="preserve">72. The first annual report, for the period 1 July 2009 to 31 December 2010 is due by 31 May 2011. Subsequent annual reports for each calendar year of the Agreement are due by 31 May of the following year. The final report, for the 2013 calendar year, is due by 31 May 2014. </w:t>
                            </w:r>
                          </w:p>
                        </w:txbxContent>
                      </wps:txbx>
                      <wps:bodyPr rot="0" vert="horz" wrap="square" lIns="91440" tIns="45720" rIns="91440" bIns="45720" anchor="t" anchorCtr="0" upright="1">
                        <a:noAutofit/>
                      </wps:bodyPr>
                    </wps:wsp>
                  </a:graphicData>
                </a:graphic>
              </wp:inline>
            </w:drawing>
          </mc:Choice>
          <mc:Fallback>
            <w:pict>
              <v:rect id="Rectangle 4" o:spid="_x0000_s1027" style="width:41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cOQwIAAIYEAAAOAAAAZHJzL2Uyb0RvYy54bWysVNtu2zAMfR+wfxD0vthOk7U14hRFug4D&#10;uq1Ytw+QZdkWptsoJU729aXkJHW3t2F+EESROjo8JL262WtFdgK8tKaixSynRBhuG2m6iv74fv/u&#10;ihIfmGmYskZU9CA8vVm/fbMaXCnmtreqEUAQxPhycBXtQ3BllnneC838zDph0Nla0CygCV3WABsQ&#10;Xatsnufvs8FC48By4T2e3o1Ouk74bSt4+Nq2XgSiKorcQlohrXVcs/WKlR0w10t+pMH+gYVm0uCj&#10;Z6g7FhjZgvwLSksO1ts2zLjVmW1byUXKAbMp8j+yeeqZEykXFMe7s0z+/8HyL7tHILLB2lFimMYS&#10;fUPRmOmUIIsoz+B8iVFP7hFigt49WP7TE2M3PUaJWwA79II1SKqI8dmrC9HweJXUw2fbIDrbBpuU&#10;2regIyBqQPapIIdzQcQ+EI6Hy/llvsyxbhx9FxfF4hKN+AYrT9cd+PBRWE3ipqKA5BM82z34MIae&#10;QhJ9q2RzL5VKRuwysVFAdgz7o+7m6araauQ6nhV5/MY2wXNspvH8RCM1aoRIpPwUXRkyVPR6OV8m&#10;1Fc+D119fjc9cQacQmgZcDqU1BW9mhCJcn8wDWbHysCkGvcoijJH/aPkY+nCvt4f64vxsRy1bQ5Y&#10;ELDjMODw4qa38JuSAQehov7XloGgRH0yWNTrYrGIk5OMxfJyjgZMPfXUwwxHqIoGSsbtJozTtnUg&#10;ux5fKpIaxt5iI7QyleiF1ZE+NnvS8ziYcZqmdop6+X2snwEAAP//AwBQSwMEFAAGAAgAAAAhAAA3&#10;3n/bAAAABQEAAA8AAABkcnMvZG93bnJldi54bWxMj0FLxDAQhe+C/yGM4M1NWlGW2nRZBNeDF90K&#10;7jHbjG3ZZlKSbFv/vaMXvTx4vOG9b8rN4gYxYYi9Jw3ZSoFAarztqdXwXj/drEHEZMiawRNq+MII&#10;m+ryojSF9TO94bRPreASioXR0KU0FlLGpkNn4sqPSJx9+uBMYhtaaYOZudwNMlfqXjrTEy90ZsTH&#10;DpvT/uw0bEP2cZhfDnmdTbv6uXnNduGUaX19tWwfQCRc0t8x/OAzOlTMdPRnslEMGviR9KucrW8V&#10;26OGuzxXIKtS/qevvgEAAP//AwBQSwECLQAUAAYACAAAACEAtoM4kv4AAADhAQAAEwAAAAAAAAAA&#10;AAAAAAAAAAAAW0NvbnRlbnRfVHlwZXNdLnhtbFBLAQItABQABgAIAAAAIQA4/SH/1gAAAJQBAAAL&#10;AAAAAAAAAAAAAAAAAC8BAABfcmVscy8ucmVsc1BLAQItABQABgAIAAAAIQBkeAcOQwIAAIYEAAAO&#10;AAAAAAAAAAAAAAAAAC4CAABkcnMvZTJvRG9jLnhtbFBLAQItABQABgAIAAAAIQAAN95/2wAAAAUB&#10;AAAPAAAAAAAAAAAAAAAAAJ0EAABkcnMvZG93bnJldi54bWxQSwUGAAAAAAQABADzAAAApQUAAAAA&#10;" fillcolor="#eeece1 [3214]">
                <v:textbox>
                  <w:txbxContent>
                    <w:p w:rsidR="00C55871" w:rsidRPr="00F36A95" w:rsidRDefault="00C55871" w:rsidP="00392191">
                      <w:pPr>
                        <w:pStyle w:val="Default"/>
                        <w:rPr>
                          <w:sz w:val="22"/>
                          <w:szCs w:val="22"/>
                        </w:rPr>
                      </w:pPr>
                    </w:p>
                    <w:p w:rsidR="00C55871" w:rsidRPr="00F36A95" w:rsidRDefault="00C55871" w:rsidP="00392191">
                      <w:pPr>
                        <w:pStyle w:val="Default"/>
                        <w:spacing w:after="195"/>
                        <w:rPr>
                          <w:sz w:val="22"/>
                          <w:szCs w:val="22"/>
                        </w:rPr>
                      </w:pPr>
                      <w:r w:rsidRPr="00F36A95">
                        <w:rPr>
                          <w:sz w:val="22"/>
                          <w:szCs w:val="22"/>
                        </w:rPr>
                        <w:t xml:space="preserve">69. Thereafter, States and Territories will provide annual reports to the Commonwealth against the outcomes, performance benchmarks and performance indicators specified in this Agreement as outlined in table 1 at paragraph 16 and in table 3 at paragraph 59. </w:t>
                      </w:r>
                    </w:p>
                    <w:p w:rsidR="00C55871" w:rsidRPr="00F36A95" w:rsidRDefault="00C55871" w:rsidP="00392191">
                      <w:pPr>
                        <w:pStyle w:val="FromNP"/>
                        <w:rPr>
                          <w:sz w:val="22"/>
                          <w:szCs w:val="22"/>
                        </w:rPr>
                      </w:pPr>
                      <w:r w:rsidRPr="00F36A95">
                        <w:rPr>
                          <w:sz w:val="22"/>
                          <w:szCs w:val="22"/>
                        </w:rPr>
                        <w:t xml:space="preserve">70. To meet a shared commitment to reporting on efforts to close the gap for Indigenous people, States and Territories also commit to including in their annual reports progress towards halving the gap in Indigenous Year 12 or equivalent attainment by 2020. Progress measures towards halving the gap in Indigenous Year 12 or equivalent attainment are at Schedule B. </w:t>
                      </w:r>
                    </w:p>
                    <w:p w:rsidR="00C55871" w:rsidRPr="00F36A95" w:rsidRDefault="00C55871" w:rsidP="00392191">
                      <w:pPr>
                        <w:pStyle w:val="Default"/>
                        <w:spacing w:after="195"/>
                        <w:rPr>
                          <w:sz w:val="22"/>
                          <w:szCs w:val="22"/>
                        </w:rPr>
                      </w:pPr>
                      <w:r w:rsidRPr="00F36A95">
                        <w:rPr>
                          <w:sz w:val="22"/>
                          <w:szCs w:val="22"/>
                        </w:rPr>
                        <w:t>71. Reporting will include detail of funding provided to the non-government sector and maintenance of any existing State and Territory funding for careers and transitions support services (see paragraph 52 and 53).</w:t>
                      </w:r>
                    </w:p>
                    <w:p w:rsidR="00C55871" w:rsidRPr="00F36A95" w:rsidRDefault="00C55871" w:rsidP="00392191">
                      <w:pPr>
                        <w:pStyle w:val="Default"/>
                        <w:spacing w:after="195"/>
                        <w:rPr>
                          <w:sz w:val="22"/>
                          <w:szCs w:val="22"/>
                        </w:rPr>
                      </w:pPr>
                      <w:r w:rsidRPr="00F36A95">
                        <w:rPr>
                          <w:sz w:val="22"/>
                          <w:szCs w:val="22"/>
                        </w:rPr>
                        <w:t xml:space="preserve">72. The first annual report, for the period 1 July 2009 to 31 December 2010 is due by 31 May 2011. Subsequent annual reports for each calendar year of the Agreement are due by 31 May of the following year. The final report, for the 2013 calendar year, is due by 31 May 2014. </w:t>
                      </w:r>
                    </w:p>
                  </w:txbxContent>
                </v:textbox>
                <w10:anchorlock/>
              </v:rect>
            </w:pict>
          </mc:Fallback>
        </mc:AlternateContent>
      </w:r>
    </w:p>
    <w:p w:rsidR="0045514D" w:rsidRPr="00AA5F3C" w:rsidRDefault="0045514D" w:rsidP="00E619A9">
      <w:pPr>
        <w:pStyle w:val="Heading2"/>
        <w:spacing w:before="360"/>
        <w:rPr>
          <w:rFonts w:cs="Arial"/>
        </w:rPr>
      </w:pPr>
    </w:p>
    <w:p w:rsidR="0045514D" w:rsidRPr="00AA5F3C" w:rsidRDefault="0045514D" w:rsidP="00E619A9">
      <w:pPr>
        <w:pStyle w:val="Heading2"/>
        <w:spacing w:before="360"/>
        <w:rPr>
          <w:rFonts w:cs="Arial"/>
        </w:rPr>
        <w:sectPr w:rsidR="0045514D" w:rsidRPr="00AA5F3C" w:rsidSect="00443A84">
          <w:headerReference w:type="even" r:id="rId12"/>
          <w:headerReference w:type="default" r:id="rId13"/>
          <w:footerReference w:type="default" r:id="rId14"/>
          <w:headerReference w:type="first" r:id="rId15"/>
          <w:pgSz w:w="11906" w:h="16838"/>
          <w:pgMar w:top="1440" w:right="1276" w:bottom="1440" w:left="1440" w:header="568" w:footer="708" w:gutter="0"/>
          <w:pgNumType w:start="1"/>
          <w:cols w:space="708"/>
          <w:docGrid w:linePitch="360"/>
        </w:sectPr>
      </w:pPr>
    </w:p>
    <w:p w:rsidR="008D1E80" w:rsidRDefault="008D1E80" w:rsidP="008D1E80">
      <w:pPr>
        <w:keepNext/>
        <w:keepLines/>
        <w:spacing w:before="120"/>
        <w:outlineLvl w:val="1"/>
        <w:rPr>
          <w:rFonts w:ascii="Arial" w:eastAsiaTheme="majorEastAsia" w:hAnsi="Arial" w:cstheme="majorBidi"/>
          <w:b/>
          <w:bCs/>
          <w:color w:val="000000" w:themeColor="text1"/>
          <w:sz w:val="28"/>
          <w:szCs w:val="26"/>
        </w:rPr>
      </w:pPr>
      <w:bookmarkStart w:id="1" w:name="_Toc289170217"/>
      <w:bookmarkStart w:id="2" w:name="_Toc320003792"/>
    </w:p>
    <w:p w:rsidR="008D1E80" w:rsidRDefault="008D1E80" w:rsidP="00C17EF5">
      <w:pPr>
        <w:pStyle w:val="Heading1"/>
      </w:pPr>
      <w:bookmarkStart w:id="3" w:name="_Toc384038216"/>
      <w:r w:rsidRPr="008D1E80">
        <w:t xml:space="preserve">PART A: </w:t>
      </w:r>
      <w:bookmarkEnd w:id="1"/>
      <w:r w:rsidRPr="008D1E80">
        <w:t>Outcomes and Performance Indicators, South Australia</w:t>
      </w:r>
      <w:bookmarkEnd w:id="3"/>
    </w:p>
    <w:p w:rsidR="00062A86" w:rsidRPr="00062A86" w:rsidRDefault="00062A86" w:rsidP="00062A86"/>
    <w:tbl>
      <w:tblPr>
        <w:tblStyle w:val="TableGrid3"/>
        <w:tblW w:w="15134" w:type="dxa"/>
        <w:tblLayout w:type="fixed"/>
        <w:tblLook w:val="01E0" w:firstRow="1" w:lastRow="1" w:firstColumn="1" w:lastColumn="1" w:noHBand="0" w:noVBand="0"/>
        <w:tblCaption w:val="PART A: Outcomes and Performance Indicators, South Australia"/>
        <w:tblDescription w:val="The table provides data covering the period 2010 to 2012 for the outcomes and performance indicators included in the National Partnership on Youth Attainment and Transitions."/>
      </w:tblPr>
      <w:tblGrid>
        <w:gridCol w:w="2660"/>
        <w:gridCol w:w="5528"/>
        <w:gridCol w:w="2126"/>
        <w:gridCol w:w="1701"/>
        <w:gridCol w:w="1560"/>
        <w:gridCol w:w="1559"/>
      </w:tblGrid>
      <w:tr w:rsidR="008D1E80" w:rsidRPr="008D1E80" w:rsidTr="0053283A">
        <w:trPr>
          <w:cantSplit/>
          <w:tblHeader/>
        </w:trPr>
        <w:tc>
          <w:tcPr>
            <w:tcW w:w="2660" w:type="dxa"/>
            <w:tcBorders>
              <w:top w:val="single" w:sz="12" w:space="0" w:color="auto"/>
              <w:left w:val="single" w:sz="12" w:space="0" w:color="auto"/>
              <w:bottom w:val="single" w:sz="12" w:space="0" w:color="auto"/>
              <w:right w:val="single" w:sz="4" w:space="0" w:color="auto"/>
            </w:tcBorders>
            <w:shd w:val="clear" w:color="auto" w:fill="E0E0E0"/>
            <w:vAlign w:val="center"/>
          </w:tcPr>
          <w:p w:rsidR="008D1E80" w:rsidRPr="008D1E80" w:rsidRDefault="008D1E80" w:rsidP="008D1E80">
            <w:pPr>
              <w:rPr>
                <w:rFonts w:ascii="Calibri" w:hAnsi="Calibri"/>
                <w:b/>
                <w:sz w:val="20"/>
                <w:szCs w:val="20"/>
              </w:rPr>
            </w:pPr>
            <w:r w:rsidRPr="008D1E80">
              <w:rPr>
                <w:rFonts w:ascii="Calibri" w:hAnsi="Calibri"/>
                <w:b/>
                <w:sz w:val="20"/>
                <w:szCs w:val="20"/>
              </w:rPr>
              <w:t>Outcome</w:t>
            </w:r>
          </w:p>
        </w:tc>
        <w:tc>
          <w:tcPr>
            <w:tcW w:w="5528" w:type="dxa"/>
            <w:tcBorders>
              <w:top w:val="single" w:sz="12" w:space="0" w:color="auto"/>
              <w:left w:val="single" w:sz="4" w:space="0" w:color="auto"/>
              <w:bottom w:val="single" w:sz="12" w:space="0" w:color="auto"/>
              <w:right w:val="single" w:sz="4" w:space="0" w:color="auto"/>
            </w:tcBorders>
            <w:shd w:val="clear" w:color="auto" w:fill="E0E0E0"/>
            <w:vAlign w:val="center"/>
          </w:tcPr>
          <w:p w:rsidR="008D1E80" w:rsidRPr="008D1E80" w:rsidRDefault="008D1E80" w:rsidP="008D1E80">
            <w:pPr>
              <w:rPr>
                <w:rFonts w:ascii="Calibri" w:hAnsi="Calibri"/>
                <w:b/>
                <w:sz w:val="20"/>
                <w:szCs w:val="20"/>
              </w:rPr>
            </w:pPr>
            <w:r w:rsidRPr="008D1E80">
              <w:rPr>
                <w:rFonts w:ascii="Calibri" w:hAnsi="Calibri"/>
                <w:b/>
                <w:sz w:val="20"/>
                <w:szCs w:val="20"/>
              </w:rPr>
              <w:t>Performance Indicator</w:t>
            </w:r>
          </w:p>
        </w:tc>
        <w:tc>
          <w:tcPr>
            <w:tcW w:w="2126" w:type="dxa"/>
            <w:tcBorders>
              <w:top w:val="single" w:sz="12" w:space="0" w:color="auto"/>
              <w:left w:val="single" w:sz="4" w:space="0" w:color="auto"/>
              <w:bottom w:val="single" w:sz="12" w:space="0" w:color="auto"/>
              <w:right w:val="single" w:sz="12" w:space="0" w:color="auto"/>
            </w:tcBorders>
            <w:shd w:val="clear" w:color="auto" w:fill="E0E0E0"/>
            <w:vAlign w:val="center"/>
          </w:tcPr>
          <w:p w:rsidR="008D1E80" w:rsidRPr="008D1E80" w:rsidRDefault="008D1E80" w:rsidP="008D1E80">
            <w:pPr>
              <w:rPr>
                <w:rFonts w:ascii="Calibri" w:hAnsi="Calibri"/>
                <w:b/>
                <w:sz w:val="20"/>
                <w:szCs w:val="20"/>
              </w:rPr>
            </w:pPr>
            <w:r w:rsidRPr="008D1E80">
              <w:rPr>
                <w:rFonts w:ascii="Calibri" w:hAnsi="Calibri"/>
                <w:b/>
                <w:sz w:val="20"/>
                <w:szCs w:val="20"/>
              </w:rPr>
              <w:t>Source</w:t>
            </w:r>
          </w:p>
        </w:tc>
        <w:tc>
          <w:tcPr>
            <w:tcW w:w="1701" w:type="dxa"/>
            <w:tcBorders>
              <w:top w:val="single" w:sz="12" w:space="0" w:color="auto"/>
              <w:left w:val="single" w:sz="4" w:space="0" w:color="auto"/>
              <w:bottom w:val="single" w:sz="12" w:space="0" w:color="auto"/>
              <w:right w:val="single" w:sz="4" w:space="0" w:color="auto"/>
            </w:tcBorders>
            <w:shd w:val="clear" w:color="auto" w:fill="E0E0E0"/>
          </w:tcPr>
          <w:p w:rsidR="008D1E80" w:rsidRPr="008D1E80" w:rsidRDefault="008D1E80" w:rsidP="008D1E80">
            <w:pPr>
              <w:jc w:val="center"/>
              <w:rPr>
                <w:rFonts w:ascii="Calibri" w:hAnsi="Calibri"/>
                <w:b/>
                <w:sz w:val="20"/>
                <w:szCs w:val="20"/>
              </w:rPr>
            </w:pPr>
            <w:r w:rsidRPr="008D1E80">
              <w:rPr>
                <w:rFonts w:ascii="Calibri" w:hAnsi="Calibri"/>
                <w:b/>
                <w:sz w:val="20"/>
                <w:szCs w:val="20"/>
              </w:rPr>
              <w:t>2010</w:t>
            </w:r>
          </w:p>
        </w:tc>
        <w:tc>
          <w:tcPr>
            <w:tcW w:w="1560" w:type="dxa"/>
            <w:tcBorders>
              <w:top w:val="single" w:sz="12" w:space="0" w:color="auto"/>
              <w:left w:val="single" w:sz="4" w:space="0" w:color="auto"/>
              <w:bottom w:val="single" w:sz="12" w:space="0" w:color="auto"/>
              <w:right w:val="single" w:sz="4" w:space="0" w:color="auto"/>
            </w:tcBorders>
            <w:shd w:val="clear" w:color="auto" w:fill="E0E0E0"/>
          </w:tcPr>
          <w:p w:rsidR="008D1E80" w:rsidRPr="008D1E80" w:rsidRDefault="008D1E80" w:rsidP="008D1E80">
            <w:pPr>
              <w:jc w:val="center"/>
              <w:rPr>
                <w:rFonts w:ascii="Calibri" w:hAnsi="Calibri"/>
                <w:b/>
                <w:sz w:val="20"/>
                <w:szCs w:val="20"/>
              </w:rPr>
            </w:pPr>
            <w:r w:rsidRPr="008D1E80">
              <w:rPr>
                <w:rFonts w:ascii="Calibri" w:hAnsi="Calibri"/>
                <w:b/>
                <w:sz w:val="20"/>
                <w:szCs w:val="20"/>
              </w:rPr>
              <w:t>2011</w:t>
            </w:r>
          </w:p>
        </w:tc>
        <w:tc>
          <w:tcPr>
            <w:tcW w:w="1559" w:type="dxa"/>
            <w:tcBorders>
              <w:top w:val="single" w:sz="12" w:space="0" w:color="auto"/>
              <w:left w:val="single" w:sz="4" w:space="0" w:color="auto"/>
              <w:bottom w:val="single" w:sz="12" w:space="0" w:color="auto"/>
              <w:right w:val="single" w:sz="12" w:space="0" w:color="000000" w:themeColor="text1"/>
            </w:tcBorders>
            <w:shd w:val="clear" w:color="auto" w:fill="E0E0E0"/>
          </w:tcPr>
          <w:p w:rsidR="008D1E80" w:rsidRPr="008D1E80" w:rsidRDefault="008D1E80" w:rsidP="008D1E80">
            <w:pPr>
              <w:jc w:val="center"/>
              <w:rPr>
                <w:rFonts w:ascii="Calibri" w:hAnsi="Calibri"/>
                <w:b/>
                <w:sz w:val="20"/>
                <w:szCs w:val="20"/>
              </w:rPr>
            </w:pPr>
            <w:r w:rsidRPr="008D1E80">
              <w:rPr>
                <w:rFonts w:ascii="Calibri" w:hAnsi="Calibri"/>
                <w:b/>
                <w:sz w:val="20"/>
                <w:szCs w:val="20"/>
              </w:rPr>
              <w:t>2012</w:t>
            </w:r>
          </w:p>
        </w:tc>
      </w:tr>
      <w:tr w:rsidR="008D1E80" w:rsidRPr="008D1E80" w:rsidTr="0053283A">
        <w:trPr>
          <w:cantSplit/>
          <w:trHeight w:val="168"/>
        </w:trPr>
        <w:tc>
          <w:tcPr>
            <w:tcW w:w="2660" w:type="dxa"/>
            <w:vMerge w:val="restart"/>
            <w:tcBorders>
              <w:top w:val="single" w:sz="12" w:space="0" w:color="auto"/>
              <w:left w:val="single" w:sz="12" w:space="0" w:color="auto"/>
            </w:tcBorders>
            <w:shd w:val="clear" w:color="auto" w:fill="E6E6E6"/>
            <w:vAlign w:val="center"/>
          </w:tcPr>
          <w:p w:rsidR="008D1E80" w:rsidRPr="008D1E80" w:rsidRDefault="008D1E80" w:rsidP="008D1E80">
            <w:pPr>
              <w:rPr>
                <w:rFonts w:ascii="Arial Narrow" w:hAnsi="Arial Narrow"/>
                <w:sz w:val="20"/>
                <w:szCs w:val="20"/>
              </w:rPr>
            </w:pPr>
            <w:r w:rsidRPr="008D1E80">
              <w:rPr>
                <w:rFonts w:ascii="Arial Narrow" w:hAnsi="Arial Narrow"/>
                <w:sz w:val="20"/>
                <w:szCs w:val="20"/>
              </w:rPr>
              <w:t>Increased participation of young people in education and training</w:t>
            </w:r>
          </w:p>
        </w:tc>
        <w:tc>
          <w:tcPr>
            <w:tcW w:w="5528" w:type="dxa"/>
            <w:tcBorders>
              <w:top w:val="single" w:sz="12" w:space="0" w:color="auto"/>
            </w:tcBorders>
            <w:shd w:val="clear" w:color="auto" w:fill="auto"/>
            <w:vAlign w:val="center"/>
          </w:tcPr>
          <w:p w:rsidR="008D1E80" w:rsidRPr="008D1E80" w:rsidRDefault="008D1E80" w:rsidP="008D1E80">
            <w:pPr>
              <w:autoSpaceDE w:val="0"/>
              <w:autoSpaceDN w:val="0"/>
              <w:adjustRightInd w:val="0"/>
              <w:rPr>
                <w:rFonts w:ascii="Arial Narrow" w:hAnsi="Arial Narrow" w:cs="Corbel"/>
                <w:sz w:val="20"/>
                <w:szCs w:val="20"/>
              </w:rPr>
            </w:pPr>
            <w:r w:rsidRPr="008D1E80">
              <w:rPr>
                <w:rFonts w:ascii="Arial Narrow" w:hAnsi="Arial Narrow" w:cs="Corbel"/>
                <w:sz w:val="20"/>
                <w:szCs w:val="20"/>
              </w:rPr>
              <w:t>Enrolment of full</w:t>
            </w:r>
            <w:r w:rsidRPr="008D1E80">
              <w:rPr>
                <w:rFonts w:ascii="Calibri" w:hAnsi="Calibri" w:cs="Corbel"/>
                <w:sz w:val="20"/>
                <w:szCs w:val="20"/>
              </w:rPr>
              <w:t>‐</w:t>
            </w:r>
            <w:r w:rsidRPr="008D1E80">
              <w:rPr>
                <w:rFonts w:ascii="Arial Narrow" w:hAnsi="Arial Narrow" w:cs="Corbel"/>
                <w:sz w:val="20"/>
                <w:szCs w:val="20"/>
              </w:rPr>
              <w:t>time equivalent students in years 11 and 12</w:t>
            </w:r>
          </w:p>
        </w:tc>
        <w:tc>
          <w:tcPr>
            <w:tcW w:w="2126" w:type="dxa"/>
            <w:vMerge w:val="restart"/>
            <w:tcBorders>
              <w:top w:val="single" w:sz="12" w:space="0" w:color="auto"/>
              <w:right w:val="single" w:sz="12" w:space="0" w:color="auto"/>
            </w:tcBorders>
            <w:shd w:val="clear" w:color="auto" w:fill="auto"/>
            <w:vAlign w:val="center"/>
          </w:tcPr>
          <w:p w:rsidR="008D1E80" w:rsidRPr="008D1E80" w:rsidRDefault="008D1E80" w:rsidP="008D1E80">
            <w:pPr>
              <w:autoSpaceDE w:val="0"/>
              <w:autoSpaceDN w:val="0"/>
              <w:adjustRightInd w:val="0"/>
              <w:rPr>
                <w:rFonts w:ascii="Arial Narrow" w:hAnsi="Arial Narrow"/>
                <w:sz w:val="20"/>
                <w:szCs w:val="20"/>
              </w:rPr>
            </w:pPr>
            <w:r w:rsidRPr="008D1E80">
              <w:rPr>
                <w:rFonts w:ascii="Arial Narrow" w:hAnsi="Arial Narrow"/>
                <w:sz w:val="20"/>
                <w:szCs w:val="20"/>
              </w:rPr>
              <w:t>National Schools Statistics Collection (ABS)</w:t>
            </w:r>
          </w:p>
        </w:tc>
        <w:tc>
          <w:tcPr>
            <w:tcW w:w="1701" w:type="dxa"/>
            <w:tcBorders>
              <w:top w:val="single" w:sz="12" w:space="0" w:color="auto"/>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38,887</w:t>
            </w:r>
          </w:p>
        </w:tc>
        <w:tc>
          <w:tcPr>
            <w:tcW w:w="1560" w:type="dxa"/>
            <w:tcBorders>
              <w:top w:val="single" w:sz="12" w:space="0" w:color="auto"/>
              <w:left w:val="single" w:sz="4" w:space="0" w:color="auto"/>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39,538</w:t>
            </w:r>
          </w:p>
        </w:tc>
        <w:tc>
          <w:tcPr>
            <w:tcW w:w="1559" w:type="dxa"/>
            <w:tcBorders>
              <w:top w:val="single" w:sz="12" w:space="0" w:color="auto"/>
              <w:left w:val="single" w:sz="4" w:space="0" w:color="auto"/>
              <w:right w:val="single" w:sz="12" w:space="0" w:color="000000" w:themeColor="text1"/>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40,294</w:t>
            </w:r>
          </w:p>
        </w:tc>
      </w:tr>
      <w:tr w:rsidR="008D1E80" w:rsidRPr="008D1E80" w:rsidTr="0053283A">
        <w:trPr>
          <w:cantSplit/>
          <w:trHeight w:val="240"/>
        </w:trPr>
        <w:tc>
          <w:tcPr>
            <w:tcW w:w="2660" w:type="dxa"/>
            <w:vMerge/>
            <w:tcBorders>
              <w:left w:val="single" w:sz="12" w:space="0" w:color="auto"/>
            </w:tcBorders>
            <w:shd w:val="clear" w:color="auto" w:fill="E6E6E6"/>
            <w:vAlign w:val="center"/>
          </w:tcPr>
          <w:p w:rsidR="008D1E80" w:rsidRPr="008D1E80" w:rsidRDefault="008D1E80" w:rsidP="008D1E80">
            <w:pPr>
              <w:rPr>
                <w:rFonts w:ascii="Arial Narrow" w:hAnsi="Arial Narrow"/>
                <w:sz w:val="20"/>
                <w:szCs w:val="20"/>
              </w:rPr>
            </w:pPr>
          </w:p>
        </w:tc>
        <w:tc>
          <w:tcPr>
            <w:tcW w:w="5528" w:type="dxa"/>
            <w:tcBorders>
              <w:top w:val="single" w:sz="4" w:space="0" w:color="auto"/>
            </w:tcBorders>
            <w:shd w:val="clear" w:color="auto" w:fill="auto"/>
            <w:vAlign w:val="center"/>
          </w:tcPr>
          <w:p w:rsidR="008D1E80" w:rsidRPr="008D1E80" w:rsidRDefault="008D1E80" w:rsidP="008D1E80">
            <w:pPr>
              <w:autoSpaceDE w:val="0"/>
              <w:autoSpaceDN w:val="0"/>
              <w:adjustRightInd w:val="0"/>
              <w:rPr>
                <w:rFonts w:ascii="Arial Narrow" w:hAnsi="Arial Narrow" w:cs="Corbel"/>
                <w:sz w:val="20"/>
                <w:szCs w:val="20"/>
              </w:rPr>
            </w:pPr>
            <w:r w:rsidRPr="008D1E80">
              <w:rPr>
                <w:rFonts w:ascii="Arial Narrow" w:hAnsi="Arial Narrow" w:cs="Corbel"/>
                <w:sz w:val="20"/>
                <w:szCs w:val="20"/>
              </w:rPr>
              <w:t>Enrolment of Indigenous full</w:t>
            </w:r>
            <w:r w:rsidRPr="008D1E80">
              <w:rPr>
                <w:rFonts w:ascii="Calibri" w:hAnsi="Calibri" w:cs="Corbel"/>
                <w:sz w:val="20"/>
                <w:szCs w:val="20"/>
              </w:rPr>
              <w:t>‐</w:t>
            </w:r>
            <w:r w:rsidRPr="008D1E80">
              <w:rPr>
                <w:rFonts w:ascii="Arial Narrow" w:hAnsi="Arial Narrow" w:cs="Corbel"/>
                <w:sz w:val="20"/>
                <w:szCs w:val="20"/>
              </w:rPr>
              <w:t>time equivalent students in years 11 and 12</w:t>
            </w:r>
          </w:p>
        </w:tc>
        <w:tc>
          <w:tcPr>
            <w:tcW w:w="2126" w:type="dxa"/>
            <w:vMerge/>
            <w:tcBorders>
              <w:right w:val="single" w:sz="12" w:space="0" w:color="auto"/>
            </w:tcBorders>
            <w:shd w:val="clear" w:color="auto" w:fill="auto"/>
            <w:vAlign w:val="center"/>
          </w:tcPr>
          <w:p w:rsidR="008D1E80" w:rsidRPr="008D1E80" w:rsidRDefault="008D1E80" w:rsidP="008D1E80">
            <w:pPr>
              <w:autoSpaceDE w:val="0"/>
              <w:autoSpaceDN w:val="0"/>
              <w:adjustRightInd w:val="0"/>
              <w:rPr>
                <w:rFonts w:ascii="Arial Narrow" w:hAnsi="Arial Narrow"/>
                <w:sz w:val="20"/>
                <w:szCs w:val="20"/>
              </w:rPr>
            </w:pPr>
          </w:p>
        </w:tc>
        <w:tc>
          <w:tcPr>
            <w:tcW w:w="1701" w:type="dxa"/>
            <w:tcBorders>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1,030</w:t>
            </w:r>
          </w:p>
        </w:tc>
        <w:tc>
          <w:tcPr>
            <w:tcW w:w="1560" w:type="dxa"/>
            <w:tcBorders>
              <w:left w:val="single" w:sz="4" w:space="0" w:color="auto"/>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1,075</w:t>
            </w:r>
          </w:p>
        </w:tc>
        <w:tc>
          <w:tcPr>
            <w:tcW w:w="1559" w:type="dxa"/>
            <w:tcBorders>
              <w:left w:val="single" w:sz="4" w:space="0" w:color="auto"/>
              <w:right w:val="single" w:sz="12" w:space="0" w:color="000000" w:themeColor="text1"/>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1,230</w:t>
            </w:r>
          </w:p>
        </w:tc>
      </w:tr>
      <w:tr w:rsidR="008D1E80" w:rsidRPr="008D1E80" w:rsidTr="0053283A">
        <w:trPr>
          <w:cantSplit/>
        </w:trPr>
        <w:tc>
          <w:tcPr>
            <w:tcW w:w="2660" w:type="dxa"/>
            <w:vMerge/>
            <w:tcBorders>
              <w:left w:val="single" w:sz="12" w:space="0" w:color="auto"/>
            </w:tcBorders>
            <w:shd w:val="clear" w:color="auto" w:fill="E6E6E6"/>
            <w:vAlign w:val="center"/>
          </w:tcPr>
          <w:p w:rsidR="008D1E80" w:rsidRPr="008D1E80" w:rsidRDefault="008D1E80" w:rsidP="008D1E80">
            <w:pPr>
              <w:rPr>
                <w:rFonts w:ascii="Arial Narrow" w:hAnsi="Arial Narrow"/>
                <w:sz w:val="20"/>
                <w:szCs w:val="20"/>
              </w:rPr>
            </w:pPr>
          </w:p>
        </w:tc>
        <w:tc>
          <w:tcPr>
            <w:tcW w:w="5528" w:type="dxa"/>
            <w:shd w:val="clear" w:color="auto" w:fill="auto"/>
            <w:vAlign w:val="center"/>
          </w:tcPr>
          <w:p w:rsidR="008D1E80" w:rsidRPr="008D1E80" w:rsidRDefault="008D1E80" w:rsidP="008D1E80">
            <w:pPr>
              <w:autoSpaceDE w:val="0"/>
              <w:autoSpaceDN w:val="0"/>
              <w:adjustRightInd w:val="0"/>
              <w:rPr>
                <w:rFonts w:ascii="Arial Narrow" w:hAnsi="Arial Narrow" w:cs="Corbel"/>
                <w:sz w:val="20"/>
                <w:szCs w:val="20"/>
              </w:rPr>
            </w:pPr>
            <w:r w:rsidRPr="008D1E80">
              <w:rPr>
                <w:rFonts w:ascii="Arial Narrow" w:hAnsi="Arial Narrow"/>
                <w:sz w:val="20"/>
                <w:szCs w:val="20"/>
              </w:rPr>
              <w:t xml:space="preserve">Enrolment of Indigenous </w:t>
            </w:r>
            <w:r w:rsidRPr="008D1E80">
              <w:rPr>
                <w:rFonts w:ascii="Arial Narrow" w:hAnsi="Arial Narrow" w:cs="Corbel"/>
                <w:sz w:val="20"/>
                <w:szCs w:val="20"/>
              </w:rPr>
              <w:t>full</w:t>
            </w:r>
            <w:r w:rsidRPr="008D1E80">
              <w:rPr>
                <w:rFonts w:ascii="Calibri" w:hAnsi="Calibri" w:cs="Corbel"/>
                <w:sz w:val="20"/>
                <w:szCs w:val="20"/>
              </w:rPr>
              <w:t>‐</w:t>
            </w:r>
            <w:r w:rsidRPr="008D1E80">
              <w:rPr>
                <w:rFonts w:ascii="Arial Narrow" w:hAnsi="Arial Narrow" w:cs="Corbel"/>
                <w:sz w:val="20"/>
                <w:szCs w:val="20"/>
              </w:rPr>
              <w:t xml:space="preserve">time equivalent </w:t>
            </w:r>
            <w:r w:rsidRPr="008D1E80">
              <w:rPr>
                <w:rFonts w:ascii="Arial Narrow" w:hAnsi="Arial Narrow"/>
                <w:sz w:val="20"/>
                <w:szCs w:val="20"/>
              </w:rPr>
              <w:t>students in years 9 and 10</w:t>
            </w:r>
          </w:p>
        </w:tc>
        <w:tc>
          <w:tcPr>
            <w:tcW w:w="2126" w:type="dxa"/>
            <w:vMerge/>
            <w:tcBorders>
              <w:right w:val="single" w:sz="12" w:space="0" w:color="auto"/>
            </w:tcBorders>
            <w:shd w:val="clear" w:color="auto" w:fill="auto"/>
            <w:vAlign w:val="center"/>
          </w:tcPr>
          <w:p w:rsidR="008D1E80" w:rsidRPr="008D1E80" w:rsidRDefault="008D1E80" w:rsidP="008D1E80">
            <w:pPr>
              <w:rPr>
                <w:rFonts w:ascii="Arial Narrow" w:hAnsi="Arial Narrow"/>
                <w:sz w:val="20"/>
                <w:szCs w:val="20"/>
              </w:rPr>
            </w:pPr>
          </w:p>
        </w:tc>
        <w:tc>
          <w:tcPr>
            <w:tcW w:w="1701" w:type="dxa"/>
            <w:tcBorders>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1,429</w:t>
            </w:r>
          </w:p>
        </w:tc>
        <w:tc>
          <w:tcPr>
            <w:tcW w:w="1560" w:type="dxa"/>
            <w:tcBorders>
              <w:left w:val="single" w:sz="4" w:space="0" w:color="auto"/>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1,436</w:t>
            </w:r>
          </w:p>
        </w:tc>
        <w:tc>
          <w:tcPr>
            <w:tcW w:w="1559" w:type="dxa"/>
            <w:tcBorders>
              <w:left w:val="single" w:sz="4" w:space="0" w:color="auto"/>
              <w:right w:val="single" w:sz="12" w:space="0" w:color="000000" w:themeColor="text1"/>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1,487</w:t>
            </w:r>
          </w:p>
        </w:tc>
      </w:tr>
      <w:tr w:rsidR="008D1E80" w:rsidRPr="008D1E80" w:rsidTr="0053283A">
        <w:trPr>
          <w:cantSplit/>
          <w:trHeight w:val="465"/>
        </w:trPr>
        <w:tc>
          <w:tcPr>
            <w:tcW w:w="2660" w:type="dxa"/>
            <w:vMerge/>
            <w:tcBorders>
              <w:left w:val="single" w:sz="12" w:space="0" w:color="auto"/>
            </w:tcBorders>
            <w:shd w:val="clear" w:color="auto" w:fill="E6E6E6"/>
            <w:vAlign w:val="center"/>
          </w:tcPr>
          <w:p w:rsidR="008D1E80" w:rsidRPr="008D1E80" w:rsidRDefault="008D1E80" w:rsidP="008D1E80">
            <w:pPr>
              <w:rPr>
                <w:rFonts w:ascii="Arial Narrow" w:hAnsi="Arial Narrow"/>
                <w:sz w:val="20"/>
                <w:szCs w:val="20"/>
              </w:rPr>
            </w:pPr>
          </w:p>
        </w:tc>
        <w:tc>
          <w:tcPr>
            <w:tcW w:w="5528" w:type="dxa"/>
            <w:shd w:val="clear" w:color="auto" w:fill="auto"/>
            <w:vAlign w:val="center"/>
          </w:tcPr>
          <w:p w:rsidR="008D1E80" w:rsidRPr="008D1E80" w:rsidRDefault="008D1E80" w:rsidP="008D1E80">
            <w:pPr>
              <w:autoSpaceDE w:val="0"/>
              <w:autoSpaceDN w:val="0"/>
              <w:adjustRightInd w:val="0"/>
              <w:rPr>
                <w:rFonts w:ascii="Arial Narrow" w:hAnsi="Arial Narrow"/>
                <w:sz w:val="20"/>
                <w:szCs w:val="20"/>
              </w:rPr>
            </w:pPr>
            <w:r w:rsidRPr="008D1E80">
              <w:rPr>
                <w:rFonts w:ascii="Arial Narrow" w:hAnsi="Arial Narrow" w:cs="Corbel"/>
                <w:sz w:val="20"/>
                <w:szCs w:val="20"/>
              </w:rPr>
              <w:t>15</w:t>
            </w:r>
            <w:r w:rsidRPr="008D1E80">
              <w:rPr>
                <w:rFonts w:ascii="Calibri" w:hAnsi="Calibri" w:cs="Corbel"/>
                <w:sz w:val="20"/>
                <w:szCs w:val="20"/>
              </w:rPr>
              <w:t>‐</w:t>
            </w:r>
            <w:r w:rsidRPr="008D1E80">
              <w:rPr>
                <w:rFonts w:ascii="Arial Narrow" w:hAnsi="Arial Narrow" w:cs="Corbel"/>
                <w:sz w:val="20"/>
                <w:szCs w:val="20"/>
              </w:rPr>
              <w:t>19 year olds without a Year 12 certificate and not enrolled in school who are enrolled in a vocational education and training (VET) course at Certificate II level or higher</w:t>
            </w:r>
          </w:p>
        </w:tc>
        <w:tc>
          <w:tcPr>
            <w:tcW w:w="2126" w:type="dxa"/>
            <w:vMerge w:val="restart"/>
            <w:tcBorders>
              <w:right w:val="single" w:sz="12" w:space="0" w:color="auto"/>
            </w:tcBorders>
            <w:shd w:val="clear" w:color="auto" w:fill="auto"/>
            <w:vAlign w:val="center"/>
          </w:tcPr>
          <w:p w:rsidR="008D1E80" w:rsidRPr="008D1E80" w:rsidRDefault="008D1E80" w:rsidP="008D1E80">
            <w:pPr>
              <w:rPr>
                <w:rFonts w:ascii="Arial Narrow" w:hAnsi="Arial Narrow"/>
                <w:sz w:val="20"/>
                <w:szCs w:val="20"/>
              </w:rPr>
            </w:pPr>
            <w:proofErr w:type="spellStart"/>
            <w:r w:rsidRPr="008D1E80">
              <w:rPr>
                <w:rFonts w:ascii="Arial Narrow" w:hAnsi="Arial Narrow"/>
                <w:sz w:val="20"/>
                <w:szCs w:val="20"/>
              </w:rPr>
              <w:t>VOCSTATS</w:t>
            </w:r>
            <w:proofErr w:type="spellEnd"/>
            <w:r w:rsidRPr="008D1E80">
              <w:rPr>
                <w:rFonts w:ascii="Arial Narrow" w:hAnsi="Arial Narrow"/>
                <w:sz w:val="20"/>
                <w:szCs w:val="20"/>
              </w:rPr>
              <w:t xml:space="preserve"> (</w:t>
            </w:r>
            <w:proofErr w:type="spellStart"/>
            <w:r w:rsidRPr="008D1E80">
              <w:rPr>
                <w:rFonts w:ascii="Arial Narrow" w:hAnsi="Arial Narrow"/>
                <w:sz w:val="20"/>
                <w:szCs w:val="20"/>
              </w:rPr>
              <w:t>NCVER</w:t>
            </w:r>
            <w:proofErr w:type="spellEnd"/>
            <w:r w:rsidRPr="008D1E80">
              <w:rPr>
                <w:rFonts w:ascii="Arial Narrow" w:hAnsi="Arial Narrow"/>
                <w:sz w:val="20"/>
                <w:szCs w:val="20"/>
              </w:rPr>
              <w:t>) (a)</w:t>
            </w:r>
          </w:p>
        </w:tc>
        <w:tc>
          <w:tcPr>
            <w:tcW w:w="1701" w:type="dxa"/>
            <w:tcBorders>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5,171</w:t>
            </w:r>
          </w:p>
        </w:tc>
        <w:tc>
          <w:tcPr>
            <w:tcW w:w="1560" w:type="dxa"/>
            <w:tcBorders>
              <w:left w:val="single" w:sz="4" w:space="0" w:color="auto"/>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6,122</w:t>
            </w:r>
          </w:p>
        </w:tc>
        <w:tc>
          <w:tcPr>
            <w:tcW w:w="1559" w:type="dxa"/>
            <w:tcBorders>
              <w:left w:val="single" w:sz="4" w:space="0" w:color="auto"/>
              <w:right w:val="single" w:sz="12" w:space="0" w:color="000000" w:themeColor="text1"/>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5,224</w:t>
            </w:r>
          </w:p>
        </w:tc>
      </w:tr>
      <w:tr w:rsidR="008D1E80" w:rsidRPr="008D1E80" w:rsidTr="0053283A">
        <w:trPr>
          <w:cantSplit/>
          <w:trHeight w:val="465"/>
        </w:trPr>
        <w:tc>
          <w:tcPr>
            <w:tcW w:w="2660" w:type="dxa"/>
            <w:vMerge/>
            <w:tcBorders>
              <w:left w:val="single" w:sz="12" w:space="0" w:color="auto"/>
            </w:tcBorders>
            <w:shd w:val="clear" w:color="auto" w:fill="E6E6E6"/>
            <w:vAlign w:val="center"/>
          </w:tcPr>
          <w:p w:rsidR="008D1E80" w:rsidRPr="008D1E80" w:rsidRDefault="008D1E80" w:rsidP="008D1E80">
            <w:pPr>
              <w:rPr>
                <w:rFonts w:ascii="Arial Narrow" w:hAnsi="Arial Narrow"/>
                <w:sz w:val="20"/>
                <w:szCs w:val="20"/>
              </w:rPr>
            </w:pPr>
          </w:p>
        </w:tc>
        <w:tc>
          <w:tcPr>
            <w:tcW w:w="5528" w:type="dxa"/>
            <w:shd w:val="clear" w:color="auto" w:fill="auto"/>
            <w:vAlign w:val="center"/>
          </w:tcPr>
          <w:p w:rsidR="008D1E80" w:rsidRPr="008D1E80" w:rsidRDefault="008D1E80" w:rsidP="008D1E80">
            <w:pPr>
              <w:autoSpaceDE w:val="0"/>
              <w:autoSpaceDN w:val="0"/>
              <w:adjustRightInd w:val="0"/>
              <w:rPr>
                <w:rFonts w:ascii="Arial Narrow" w:hAnsi="Arial Narrow" w:cs="Corbel"/>
                <w:sz w:val="20"/>
                <w:szCs w:val="20"/>
              </w:rPr>
            </w:pPr>
            <w:r w:rsidRPr="008D1E80">
              <w:rPr>
                <w:rFonts w:ascii="Arial Narrow" w:hAnsi="Arial Narrow" w:cs="Corbel"/>
                <w:sz w:val="20"/>
                <w:szCs w:val="20"/>
              </w:rPr>
              <w:t>Indigenous 15</w:t>
            </w:r>
            <w:r w:rsidRPr="008D1E80">
              <w:rPr>
                <w:rFonts w:ascii="Calibri" w:hAnsi="Calibri" w:cs="Corbel"/>
                <w:sz w:val="20"/>
                <w:szCs w:val="20"/>
              </w:rPr>
              <w:t>‐</w:t>
            </w:r>
            <w:r w:rsidRPr="008D1E80">
              <w:rPr>
                <w:rFonts w:ascii="Arial Narrow" w:hAnsi="Arial Narrow" w:cs="Corbel"/>
                <w:sz w:val="20"/>
                <w:szCs w:val="20"/>
              </w:rPr>
              <w:t>19 year olds without a Year 12 certificate and not enrolled in school who are enrolled in a vocational education and training (VET) course at Certificate II level or higher</w:t>
            </w:r>
          </w:p>
        </w:tc>
        <w:tc>
          <w:tcPr>
            <w:tcW w:w="2126" w:type="dxa"/>
            <w:vMerge/>
            <w:tcBorders>
              <w:right w:val="single" w:sz="12" w:space="0" w:color="auto"/>
            </w:tcBorders>
            <w:shd w:val="clear" w:color="auto" w:fill="auto"/>
            <w:vAlign w:val="center"/>
          </w:tcPr>
          <w:p w:rsidR="008D1E80" w:rsidRPr="008D1E80" w:rsidRDefault="008D1E80" w:rsidP="008D1E80">
            <w:pPr>
              <w:rPr>
                <w:rFonts w:ascii="Arial Narrow" w:hAnsi="Arial Narrow"/>
                <w:sz w:val="20"/>
                <w:szCs w:val="20"/>
              </w:rPr>
            </w:pPr>
          </w:p>
        </w:tc>
        <w:tc>
          <w:tcPr>
            <w:tcW w:w="1701" w:type="dxa"/>
            <w:tcBorders>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247</w:t>
            </w:r>
          </w:p>
        </w:tc>
        <w:tc>
          <w:tcPr>
            <w:tcW w:w="1560" w:type="dxa"/>
            <w:tcBorders>
              <w:left w:val="single" w:sz="4" w:space="0" w:color="auto"/>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304</w:t>
            </w:r>
          </w:p>
        </w:tc>
        <w:tc>
          <w:tcPr>
            <w:tcW w:w="1559" w:type="dxa"/>
            <w:tcBorders>
              <w:left w:val="single" w:sz="4" w:space="0" w:color="auto"/>
              <w:right w:val="single" w:sz="12" w:space="0" w:color="000000" w:themeColor="text1"/>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308</w:t>
            </w:r>
          </w:p>
        </w:tc>
      </w:tr>
      <w:tr w:rsidR="008D1E80" w:rsidRPr="008D1E80" w:rsidTr="0053283A">
        <w:trPr>
          <w:cantSplit/>
          <w:trHeight w:val="636"/>
        </w:trPr>
        <w:tc>
          <w:tcPr>
            <w:tcW w:w="2660" w:type="dxa"/>
            <w:vMerge/>
            <w:tcBorders>
              <w:left w:val="single" w:sz="12" w:space="0" w:color="auto"/>
              <w:bottom w:val="single" w:sz="12" w:space="0" w:color="auto"/>
            </w:tcBorders>
            <w:shd w:val="clear" w:color="auto" w:fill="E6E6E6"/>
            <w:vAlign w:val="center"/>
          </w:tcPr>
          <w:p w:rsidR="008D1E80" w:rsidRPr="008D1E80" w:rsidRDefault="008D1E80" w:rsidP="008D1E80">
            <w:pPr>
              <w:rPr>
                <w:rFonts w:ascii="Arial Narrow" w:hAnsi="Arial Narrow"/>
                <w:sz w:val="20"/>
                <w:szCs w:val="20"/>
              </w:rPr>
            </w:pPr>
          </w:p>
        </w:tc>
        <w:tc>
          <w:tcPr>
            <w:tcW w:w="5528" w:type="dxa"/>
            <w:tcBorders>
              <w:bottom w:val="single" w:sz="12" w:space="0" w:color="auto"/>
            </w:tcBorders>
            <w:shd w:val="clear" w:color="auto" w:fill="auto"/>
            <w:vAlign w:val="center"/>
          </w:tcPr>
          <w:p w:rsidR="008D1E80" w:rsidRPr="008D1E80" w:rsidRDefault="008D1E80" w:rsidP="008D1E80">
            <w:pPr>
              <w:autoSpaceDE w:val="0"/>
              <w:autoSpaceDN w:val="0"/>
              <w:adjustRightInd w:val="0"/>
              <w:rPr>
                <w:rFonts w:ascii="Arial Narrow" w:hAnsi="Arial Narrow" w:cs="Corbel"/>
                <w:sz w:val="20"/>
                <w:szCs w:val="20"/>
              </w:rPr>
            </w:pPr>
            <w:r w:rsidRPr="008D1E80">
              <w:rPr>
                <w:rFonts w:ascii="Arial Narrow" w:hAnsi="Arial Narrow"/>
                <w:sz w:val="20"/>
                <w:szCs w:val="20"/>
              </w:rPr>
              <w:t>Indigenous 15-19 year olds without a Year 12 certificate and not enrolled in school who are enrolled in a vocational education and training (VET) course at Certificate I level</w:t>
            </w:r>
          </w:p>
        </w:tc>
        <w:tc>
          <w:tcPr>
            <w:tcW w:w="2126" w:type="dxa"/>
            <w:vMerge/>
            <w:tcBorders>
              <w:bottom w:val="single" w:sz="12" w:space="0" w:color="auto"/>
              <w:right w:val="single" w:sz="12" w:space="0" w:color="auto"/>
            </w:tcBorders>
            <w:shd w:val="clear" w:color="auto" w:fill="auto"/>
            <w:vAlign w:val="center"/>
          </w:tcPr>
          <w:p w:rsidR="008D1E80" w:rsidRPr="008D1E80" w:rsidRDefault="008D1E80" w:rsidP="008D1E80">
            <w:pPr>
              <w:rPr>
                <w:rFonts w:ascii="Arial Narrow" w:hAnsi="Arial Narrow"/>
                <w:sz w:val="20"/>
                <w:szCs w:val="20"/>
              </w:rPr>
            </w:pPr>
          </w:p>
        </w:tc>
        <w:tc>
          <w:tcPr>
            <w:tcW w:w="1701" w:type="dxa"/>
            <w:tcBorders>
              <w:bottom w:val="single" w:sz="12" w:space="0" w:color="auto"/>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229</w:t>
            </w:r>
          </w:p>
        </w:tc>
        <w:tc>
          <w:tcPr>
            <w:tcW w:w="1560" w:type="dxa"/>
            <w:tcBorders>
              <w:left w:val="single" w:sz="4" w:space="0" w:color="auto"/>
              <w:bottom w:val="single" w:sz="12" w:space="0" w:color="auto"/>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198</w:t>
            </w:r>
          </w:p>
        </w:tc>
        <w:tc>
          <w:tcPr>
            <w:tcW w:w="1559" w:type="dxa"/>
            <w:tcBorders>
              <w:left w:val="single" w:sz="4" w:space="0" w:color="auto"/>
              <w:bottom w:val="single" w:sz="12" w:space="0" w:color="auto"/>
              <w:right w:val="single" w:sz="12" w:space="0" w:color="000000" w:themeColor="text1"/>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70</w:t>
            </w:r>
          </w:p>
        </w:tc>
      </w:tr>
      <w:tr w:rsidR="008D1E80" w:rsidRPr="008D1E80" w:rsidTr="0053283A">
        <w:trPr>
          <w:cantSplit/>
          <w:trHeight w:val="262"/>
        </w:trPr>
        <w:tc>
          <w:tcPr>
            <w:tcW w:w="2660" w:type="dxa"/>
            <w:vMerge w:val="restart"/>
            <w:tcBorders>
              <w:left w:val="single" w:sz="12" w:space="0" w:color="auto"/>
            </w:tcBorders>
            <w:shd w:val="clear" w:color="auto" w:fill="E6E6E6"/>
            <w:vAlign w:val="center"/>
          </w:tcPr>
          <w:p w:rsidR="008D1E80" w:rsidRPr="008D1E80" w:rsidRDefault="008D1E80" w:rsidP="008D1E80">
            <w:pPr>
              <w:rPr>
                <w:rFonts w:ascii="Arial Narrow" w:hAnsi="Arial Narrow"/>
                <w:sz w:val="20"/>
                <w:szCs w:val="20"/>
              </w:rPr>
            </w:pPr>
            <w:r w:rsidRPr="008D1E80">
              <w:rPr>
                <w:rFonts w:ascii="Arial Narrow" w:hAnsi="Arial Narrow"/>
                <w:sz w:val="20"/>
                <w:szCs w:val="20"/>
              </w:rPr>
              <w:t>Increased attainment of young people aged 15</w:t>
            </w:r>
            <w:r w:rsidRPr="008D1E80">
              <w:rPr>
                <w:rFonts w:ascii="Calibri" w:hAnsi="Calibri"/>
                <w:sz w:val="20"/>
                <w:szCs w:val="20"/>
              </w:rPr>
              <w:t>‐</w:t>
            </w:r>
            <w:r w:rsidRPr="008D1E80">
              <w:rPr>
                <w:rFonts w:ascii="Arial Narrow" w:hAnsi="Arial Narrow"/>
                <w:sz w:val="20"/>
                <w:szCs w:val="20"/>
              </w:rPr>
              <w:t>24, including Indigenous youth</w:t>
            </w:r>
          </w:p>
        </w:tc>
        <w:tc>
          <w:tcPr>
            <w:tcW w:w="5528" w:type="dxa"/>
            <w:shd w:val="clear" w:color="auto" w:fill="auto"/>
            <w:vAlign w:val="center"/>
          </w:tcPr>
          <w:p w:rsidR="008D1E80" w:rsidRPr="008D1E80" w:rsidRDefault="008D1E80" w:rsidP="008D1E80">
            <w:pPr>
              <w:autoSpaceDE w:val="0"/>
              <w:autoSpaceDN w:val="0"/>
              <w:adjustRightInd w:val="0"/>
              <w:rPr>
                <w:rFonts w:ascii="Arial Narrow" w:hAnsi="Arial Narrow" w:cs="Corbel"/>
                <w:sz w:val="20"/>
                <w:szCs w:val="20"/>
              </w:rPr>
            </w:pPr>
            <w:r w:rsidRPr="008D1E80">
              <w:rPr>
                <w:rFonts w:ascii="Arial Narrow" w:hAnsi="Arial Narrow" w:cs="Corbel"/>
                <w:sz w:val="20"/>
                <w:szCs w:val="20"/>
              </w:rPr>
              <w:t>The proportion of young people aged 20</w:t>
            </w:r>
            <w:r w:rsidRPr="008D1E80">
              <w:rPr>
                <w:rFonts w:ascii="Calibri" w:hAnsi="Calibri" w:cs="Corbel"/>
                <w:sz w:val="20"/>
                <w:szCs w:val="20"/>
              </w:rPr>
              <w:t>‐</w:t>
            </w:r>
            <w:r w:rsidRPr="008D1E80">
              <w:rPr>
                <w:rFonts w:ascii="Arial Narrow" w:hAnsi="Arial Narrow" w:cs="Corbel"/>
                <w:sz w:val="20"/>
                <w:szCs w:val="20"/>
              </w:rPr>
              <w:t>24 who have attained Year 12 or Certificate II or above (b)</w:t>
            </w:r>
          </w:p>
        </w:tc>
        <w:tc>
          <w:tcPr>
            <w:tcW w:w="2126" w:type="dxa"/>
            <w:vMerge w:val="restart"/>
            <w:tcBorders>
              <w:top w:val="single" w:sz="4" w:space="0" w:color="auto"/>
              <w:right w:val="single" w:sz="12" w:space="0" w:color="auto"/>
            </w:tcBorders>
            <w:shd w:val="clear" w:color="auto" w:fill="auto"/>
            <w:vAlign w:val="center"/>
          </w:tcPr>
          <w:p w:rsidR="008D1E80" w:rsidRPr="008D1E80" w:rsidRDefault="008D1E80" w:rsidP="008D1E80">
            <w:pPr>
              <w:rPr>
                <w:rFonts w:ascii="Arial Narrow" w:hAnsi="Arial Narrow"/>
                <w:sz w:val="20"/>
                <w:szCs w:val="20"/>
              </w:rPr>
            </w:pPr>
            <w:r w:rsidRPr="008D1E80">
              <w:rPr>
                <w:rFonts w:ascii="Arial Narrow" w:hAnsi="Arial Narrow"/>
                <w:sz w:val="20"/>
                <w:szCs w:val="20"/>
              </w:rPr>
              <w:t>Census (ABS)</w:t>
            </w:r>
          </w:p>
        </w:tc>
        <w:tc>
          <w:tcPr>
            <w:tcW w:w="1701" w:type="dxa"/>
            <w:tcBorders>
              <w:top w:val="single" w:sz="4" w:space="0" w:color="auto"/>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N/A</w:t>
            </w:r>
          </w:p>
        </w:tc>
        <w:tc>
          <w:tcPr>
            <w:tcW w:w="1560" w:type="dxa"/>
            <w:tcBorders>
              <w:top w:val="single" w:sz="4" w:space="0" w:color="auto"/>
              <w:left w:val="single" w:sz="4" w:space="0" w:color="auto"/>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81.8%</w:t>
            </w:r>
          </w:p>
        </w:tc>
        <w:tc>
          <w:tcPr>
            <w:tcW w:w="1559" w:type="dxa"/>
            <w:tcBorders>
              <w:top w:val="single" w:sz="4" w:space="0" w:color="auto"/>
              <w:left w:val="single" w:sz="4" w:space="0" w:color="auto"/>
              <w:right w:val="single" w:sz="12" w:space="0" w:color="000000" w:themeColor="text1"/>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N/A</w:t>
            </w:r>
          </w:p>
        </w:tc>
      </w:tr>
      <w:tr w:rsidR="008D1E80" w:rsidRPr="008D1E80" w:rsidTr="0053283A">
        <w:trPr>
          <w:cantSplit/>
          <w:trHeight w:val="407"/>
        </w:trPr>
        <w:tc>
          <w:tcPr>
            <w:tcW w:w="2660" w:type="dxa"/>
            <w:vMerge/>
            <w:tcBorders>
              <w:left w:val="single" w:sz="12" w:space="0" w:color="auto"/>
            </w:tcBorders>
            <w:shd w:val="clear" w:color="auto" w:fill="E6E6E6"/>
            <w:vAlign w:val="center"/>
          </w:tcPr>
          <w:p w:rsidR="008D1E80" w:rsidRPr="008D1E80" w:rsidRDefault="008D1E80" w:rsidP="008D1E80">
            <w:pPr>
              <w:rPr>
                <w:rFonts w:ascii="Arial Narrow" w:hAnsi="Arial Narrow"/>
                <w:sz w:val="20"/>
                <w:szCs w:val="20"/>
              </w:rPr>
            </w:pPr>
          </w:p>
        </w:tc>
        <w:tc>
          <w:tcPr>
            <w:tcW w:w="5528" w:type="dxa"/>
            <w:shd w:val="clear" w:color="auto" w:fill="auto"/>
            <w:vAlign w:val="center"/>
          </w:tcPr>
          <w:p w:rsidR="008D1E80" w:rsidRPr="008D1E80" w:rsidRDefault="008D1E80" w:rsidP="008D1E80">
            <w:pPr>
              <w:autoSpaceDE w:val="0"/>
              <w:autoSpaceDN w:val="0"/>
              <w:adjustRightInd w:val="0"/>
              <w:rPr>
                <w:rFonts w:ascii="Arial Narrow" w:hAnsi="Arial Narrow" w:cs="Corbel"/>
                <w:sz w:val="20"/>
                <w:szCs w:val="20"/>
              </w:rPr>
            </w:pPr>
            <w:r w:rsidRPr="008D1E80">
              <w:rPr>
                <w:rFonts w:ascii="Arial Narrow" w:hAnsi="Arial Narrow" w:cs="Corbel"/>
                <w:sz w:val="20"/>
                <w:szCs w:val="20"/>
              </w:rPr>
              <w:t>The proportion of young Indigenous people aged 20</w:t>
            </w:r>
            <w:r w:rsidRPr="008D1E80">
              <w:rPr>
                <w:rFonts w:ascii="Calibri" w:hAnsi="Calibri" w:cs="Corbel"/>
                <w:sz w:val="20"/>
                <w:szCs w:val="20"/>
              </w:rPr>
              <w:t>‐</w:t>
            </w:r>
            <w:r w:rsidRPr="008D1E80">
              <w:rPr>
                <w:rFonts w:ascii="Arial Narrow" w:hAnsi="Arial Narrow" w:cs="Corbel"/>
                <w:sz w:val="20"/>
                <w:szCs w:val="20"/>
              </w:rPr>
              <w:t>24 who have attained Year 12 or Certificate II or above</w:t>
            </w:r>
          </w:p>
        </w:tc>
        <w:tc>
          <w:tcPr>
            <w:tcW w:w="2126" w:type="dxa"/>
            <w:vMerge/>
            <w:tcBorders>
              <w:right w:val="single" w:sz="12" w:space="0" w:color="auto"/>
            </w:tcBorders>
            <w:shd w:val="clear" w:color="auto" w:fill="auto"/>
            <w:vAlign w:val="center"/>
          </w:tcPr>
          <w:p w:rsidR="008D1E80" w:rsidRPr="008D1E80" w:rsidRDefault="008D1E80" w:rsidP="008D1E80">
            <w:pPr>
              <w:rPr>
                <w:rFonts w:ascii="Arial Narrow" w:hAnsi="Arial Narrow"/>
                <w:sz w:val="20"/>
                <w:szCs w:val="20"/>
              </w:rPr>
            </w:pPr>
          </w:p>
        </w:tc>
        <w:tc>
          <w:tcPr>
            <w:tcW w:w="1701" w:type="dxa"/>
            <w:tcBorders>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N/A</w:t>
            </w:r>
          </w:p>
        </w:tc>
        <w:tc>
          <w:tcPr>
            <w:tcW w:w="1560" w:type="dxa"/>
            <w:tcBorders>
              <w:left w:val="single" w:sz="4" w:space="0" w:color="auto"/>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50.7%</w:t>
            </w:r>
          </w:p>
        </w:tc>
        <w:tc>
          <w:tcPr>
            <w:tcW w:w="1559" w:type="dxa"/>
            <w:tcBorders>
              <w:left w:val="single" w:sz="4" w:space="0" w:color="auto"/>
              <w:right w:val="single" w:sz="12" w:space="0" w:color="000000" w:themeColor="text1"/>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N/A</w:t>
            </w:r>
          </w:p>
        </w:tc>
      </w:tr>
      <w:tr w:rsidR="008D1E80" w:rsidRPr="008D1E80" w:rsidTr="0053283A">
        <w:trPr>
          <w:cantSplit/>
          <w:trHeight w:val="273"/>
        </w:trPr>
        <w:tc>
          <w:tcPr>
            <w:tcW w:w="2660" w:type="dxa"/>
            <w:vMerge/>
            <w:tcBorders>
              <w:left w:val="single" w:sz="12" w:space="0" w:color="auto"/>
            </w:tcBorders>
            <w:shd w:val="clear" w:color="auto" w:fill="E6E6E6"/>
            <w:vAlign w:val="center"/>
          </w:tcPr>
          <w:p w:rsidR="008D1E80" w:rsidRPr="008D1E80" w:rsidRDefault="008D1E80" w:rsidP="008D1E80">
            <w:pPr>
              <w:rPr>
                <w:rFonts w:ascii="Arial Narrow" w:hAnsi="Arial Narrow"/>
                <w:sz w:val="20"/>
                <w:szCs w:val="20"/>
              </w:rPr>
            </w:pPr>
          </w:p>
        </w:tc>
        <w:tc>
          <w:tcPr>
            <w:tcW w:w="5528" w:type="dxa"/>
            <w:shd w:val="clear" w:color="auto" w:fill="auto"/>
            <w:vAlign w:val="center"/>
          </w:tcPr>
          <w:p w:rsidR="008D1E80" w:rsidRPr="008D1E80" w:rsidRDefault="008D1E80" w:rsidP="008D1E80">
            <w:pPr>
              <w:autoSpaceDE w:val="0"/>
              <w:autoSpaceDN w:val="0"/>
              <w:adjustRightInd w:val="0"/>
              <w:rPr>
                <w:rFonts w:ascii="Arial Narrow" w:hAnsi="Arial Narrow" w:cs="Corbel"/>
                <w:sz w:val="20"/>
                <w:szCs w:val="20"/>
              </w:rPr>
            </w:pPr>
            <w:r w:rsidRPr="008D1E80">
              <w:rPr>
                <w:rFonts w:ascii="Arial Narrow" w:hAnsi="Arial Narrow" w:cs="Corbel"/>
                <w:sz w:val="20"/>
                <w:szCs w:val="20"/>
              </w:rPr>
              <w:t>20-24 year old VET completions at Certificate II or above</w:t>
            </w:r>
          </w:p>
        </w:tc>
        <w:tc>
          <w:tcPr>
            <w:tcW w:w="2126" w:type="dxa"/>
            <w:vMerge w:val="restart"/>
            <w:tcBorders>
              <w:right w:val="single" w:sz="12" w:space="0" w:color="auto"/>
            </w:tcBorders>
            <w:shd w:val="clear" w:color="auto" w:fill="auto"/>
            <w:vAlign w:val="center"/>
          </w:tcPr>
          <w:p w:rsidR="008D1E80" w:rsidRPr="008D1E80" w:rsidRDefault="008D1E80" w:rsidP="008D1E80">
            <w:pPr>
              <w:rPr>
                <w:rFonts w:ascii="Arial Narrow" w:hAnsi="Arial Narrow"/>
                <w:sz w:val="20"/>
                <w:szCs w:val="20"/>
              </w:rPr>
            </w:pPr>
            <w:proofErr w:type="spellStart"/>
            <w:r w:rsidRPr="008D1E80">
              <w:rPr>
                <w:rFonts w:ascii="Arial Narrow" w:hAnsi="Arial Narrow"/>
                <w:sz w:val="20"/>
                <w:szCs w:val="20"/>
              </w:rPr>
              <w:t>VOCSTATS</w:t>
            </w:r>
            <w:proofErr w:type="spellEnd"/>
            <w:r w:rsidRPr="008D1E80">
              <w:rPr>
                <w:rFonts w:ascii="Arial Narrow" w:hAnsi="Arial Narrow"/>
                <w:sz w:val="20"/>
                <w:szCs w:val="20"/>
              </w:rPr>
              <w:t xml:space="preserve"> (</w:t>
            </w:r>
            <w:proofErr w:type="spellStart"/>
            <w:r w:rsidRPr="008D1E80">
              <w:rPr>
                <w:rFonts w:ascii="Arial Narrow" w:hAnsi="Arial Narrow"/>
                <w:sz w:val="20"/>
                <w:szCs w:val="20"/>
              </w:rPr>
              <w:t>NCVER</w:t>
            </w:r>
            <w:proofErr w:type="spellEnd"/>
            <w:r w:rsidRPr="008D1E80">
              <w:rPr>
                <w:rFonts w:ascii="Arial Narrow" w:hAnsi="Arial Narrow"/>
                <w:sz w:val="20"/>
                <w:szCs w:val="20"/>
              </w:rPr>
              <w:t>) (a)</w:t>
            </w:r>
          </w:p>
        </w:tc>
        <w:tc>
          <w:tcPr>
            <w:tcW w:w="1701" w:type="dxa"/>
            <w:tcBorders>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4,574</w:t>
            </w:r>
          </w:p>
        </w:tc>
        <w:tc>
          <w:tcPr>
            <w:tcW w:w="1560" w:type="dxa"/>
            <w:tcBorders>
              <w:left w:val="single" w:sz="4" w:space="0" w:color="auto"/>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7,717</w:t>
            </w:r>
          </w:p>
        </w:tc>
        <w:tc>
          <w:tcPr>
            <w:tcW w:w="1559" w:type="dxa"/>
            <w:tcBorders>
              <w:left w:val="single" w:sz="4" w:space="0" w:color="auto"/>
              <w:right w:val="single" w:sz="12" w:space="0" w:color="000000" w:themeColor="text1"/>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Not yet available</w:t>
            </w:r>
          </w:p>
        </w:tc>
      </w:tr>
      <w:tr w:rsidR="008D1E80" w:rsidRPr="008D1E80" w:rsidTr="0053283A">
        <w:trPr>
          <w:cantSplit/>
          <w:trHeight w:val="278"/>
        </w:trPr>
        <w:tc>
          <w:tcPr>
            <w:tcW w:w="2660" w:type="dxa"/>
            <w:vMerge/>
            <w:tcBorders>
              <w:left w:val="single" w:sz="12" w:space="0" w:color="auto"/>
            </w:tcBorders>
            <w:shd w:val="clear" w:color="auto" w:fill="E6E6E6"/>
            <w:vAlign w:val="center"/>
          </w:tcPr>
          <w:p w:rsidR="008D1E80" w:rsidRPr="008D1E80" w:rsidRDefault="008D1E80" w:rsidP="008D1E80">
            <w:pPr>
              <w:rPr>
                <w:rFonts w:ascii="Arial Narrow" w:hAnsi="Arial Narrow"/>
                <w:sz w:val="20"/>
                <w:szCs w:val="20"/>
              </w:rPr>
            </w:pPr>
          </w:p>
        </w:tc>
        <w:tc>
          <w:tcPr>
            <w:tcW w:w="5528" w:type="dxa"/>
            <w:shd w:val="clear" w:color="auto" w:fill="auto"/>
            <w:vAlign w:val="center"/>
          </w:tcPr>
          <w:p w:rsidR="008D1E80" w:rsidRPr="008D1E80" w:rsidRDefault="008D1E80" w:rsidP="008D1E80">
            <w:pPr>
              <w:autoSpaceDE w:val="0"/>
              <w:autoSpaceDN w:val="0"/>
              <w:adjustRightInd w:val="0"/>
              <w:rPr>
                <w:rFonts w:ascii="Arial Narrow" w:hAnsi="Arial Narrow" w:cs="Corbel"/>
                <w:sz w:val="20"/>
                <w:szCs w:val="20"/>
              </w:rPr>
            </w:pPr>
            <w:r w:rsidRPr="008D1E80">
              <w:rPr>
                <w:rFonts w:ascii="Arial Narrow" w:hAnsi="Arial Narrow" w:cs="Corbel"/>
                <w:sz w:val="20"/>
                <w:szCs w:val="20"/>
              </w:rPr>
              <w:t>Indigenous 20-24 year old VET completions at Certificate II or above</w:t>
            </w:r>
          </w:p>
        </w:tc>
        <w:tc>
          <w:tcPr>
            <w:tcW w:w="2126" w:type="dxa"/>
            <w:vMerge/>
            <w:tcBorders>
              <w:bottom w:val="single" w:sz="12" w:space="0" w:color="auto"/>
              <w:right w:val="single" w:sz="12" w:space="0" w:color="auto"/>
            </w:tcBorders>
            <w:shd w:val="clear" w:color="auto" w:fill="auto"/>
            <w:vAlign w:val="center"/>
          </w:tcPr>
          <w:p w:rsidR="008D1E80" w:rsidRPr="008D1E80" w:rsidRDefault="008D1E80" w:rsidP="008D1E80">
            <w:pPr>
              <w:rPr>
                <w:rFonts w:ascii="Arial Narrow" w:hAnsi="Arial Narrow"/>
                <w:sz w:val="20"/>
                <w:szCs w:val="20"/>
              </w:rPr>
            </w:pPr>
          </w:p>
        </w:tc>
        <w:tc>
          <w:tcPr>
            <w:tcW w:w="1701" w:type="dxa"/>
            <w:tcBorders>
              <w:bottom w:val="single" w:sz="12" w:space="0" w:color="auto"/>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152</w:t>
            </w:r>
          </w:p>
        </w:tc>
        <w:tc>
          <w:tcPr>
            <w:tcW w:w="1560" w:type="dxa"/>
            <w:tcBorders>
              <w:left w:val="single" w:sz="4" w:space="0" w:color="auto"/>
              <w:bottom w:val="single" w:sz="12" w:space="0" w:color="auto"/>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226</w:t>
            </w:r>
          </w:p>
        </w:tc>
        <w:tc>
          <w:tcPr>
            <w:tcW w:w="1559" w:type="dxa"/>
            <w:tcBorders>
              <w:left w:val="single" w:sz="4" w:space="0" w:color="auto"/>
              <w:bottom w:val="single" w:sz="12" w:space="0" w:color="auto"/>
              <w:right w:val="single" w:sz="12" w:space="0" w:color="000000" w:themeColor="text1"/>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Not yet available</w:t>
            </w:r>
          </w:p>
        </w:tc>
      </w:tr>
      <w:tr w:rsidR="008D1E80" w:rsidRPr="008D1E80" w:rsidTr="0053283A">
        <w:trPr>
          <w:cantSplit/>
          <w:trHeight w:val="403"/>
        </w:trPr>
        <w:tc>
          <w:tcPr>
            <w:tcW w:w="2660" w:type="dxa"/>
            <w:tcBorders>
              <w:top w:val="single" w:sz="12" w:space="0" w:color="auto"/>
              <w:left w:val="single" w:sz="12" w:space="0" w:color="auto"/>
            </w:tcBorders>
            <w:shd w:val="clear" w:color="auto" w:fill="E6E6E6"/>
            <w:vAlign w:val="center"/>
          </w:tcPr>
          <w:p w:rsidR="008D1E80" w:rsidRPr="008D1E80" w:rsidRDefault="008D1E80" w:rsidP="008D1E80">
            <w:pPr>
              <w:rPr>
                <w:rFonts w:ascii="Arial Narrow" w:hAnsi="Arial Narrow"/>
                <w:sz w:val="20"/>
                <w:szCs w:val="20"/>
              </w:rPr>
            </w:pPr>
            <w:bookmarkStart w:id="4" w:name="_Hlk237158622"/>
            <w:r w:rsidRPr="008D1E80">
              <w:rPr>
                <w:rFonts w:ascii="Arial Narrow" w:hAnsi="Arial Narrow"/>
                <w:sz w:val="20"/>
                <w:szCs w:val="20"/>
              </w:rPr>
              <w:t>Young people make a successful transition from school to further education, training or full</w:t>
            </w:r>
            <w:r w:rsidRPr="008D1E80">
              <w:rPr>
                <w:rFonts w:ascii="Calibri" w:hAnsi="Calibri"/>
                <w:sz w:val="20"/>
                <w:szCs w:val="20"/>
              </w:rPr>
              <w:t>‐</w:t>
            </w:r>
            <w:r w:rsidRPr="008D1E80">
              <w:rPr>
                <w:rFonts w:ascii="Arial Narrow" w:hAnsi="Arial Narrow"/>
                <w:sz w:val="20"/>
                <w:szCs w:val="20"/>
              </w:rPr>
              <w:t>time employment</w:t>
            </w:r>
          </w:p>
        </w:tc>
        <w:tc>
          <w:tcPr>
            <w:tcW w:w="5528" w:type="dxa"/>
            <w:tcBorders>
              <w:top w:val="single" w:sz="12" w:space="0" w:color="auto"/>
            </w:tcBorders>
            <w:shd w:val="clear" w:color="auto" w:fill="auto"/>
            <w:vAlign w:val="center"/>
          </w:tcPr>
          <w:p w:rsidR="008D1E80" w:rsidRPr="008D1E80" w:rsidRDefault="008D1E80" w:rsidP="008D1E80">
            <w:pPr>
              <w:rPr>
                <w:rFonts w:ascii="Arial Narrow" w:hAnsi="Arial Narrow"/>
                <w:i/>
                <w:sz w:val="20"/>
                <w:szCs w:val="20"/>
              </w:rPr>
            </w:pPr>
            <w:r w:rsidRPr="008D1E80">
              <w:rPr>
                <w:rFonts w:ascii="Arial Narrow" w:hAnsi="Arial Narrow"/>
                <w:sz w:val="20"/>
                <w:szCs w:val="20"/>
              </w:rPr>
              <w:t>The proportion of young people aged 17</w:t>
            </w:r>
            <w:r w:rsidRPr="008D1E80">
              <w:rPr>
                <w:rFonts w:ascii="Calibri" w:hAnsi="Calibri"/>
                <w:sz w:val="20"/>
                <w:szCs w:val="20"/>
              </w:rPr>
              <w:t>‐</w:t>
            </w:r>
            <w:r w:rsidRPr="008D1E80">
              <w:rPr>
                <w:rFonts w:ascii="Arial Narrow" w:hAnsi="Arial Narrow"/>
                <w:sz w:val="20"/>
                <w:szCs w:val="20"/>
              </w:rPr>
              <w:t>24 years participating in post</w:t>
            </w:r>
            <w:r w:rsidRPr="008D1E80">
              <w:rPr>
                <w:rFonts w:ascii="Calibri" w:hAnsi="Calibri"/>
                <w:sz w:val="20"/>
                <w:szCs w:val="20"/>
              </w:rPr>
              <w:t>‐</w:t>
            </w:r>
            <w:r w:rsidRPr="008D1E80">
              <w:rPr>
                <w:rFonts w:ascii="Arial Narrow" w:hAnsi="Arial Narrow"/>
                <w:sz w:val="20"/>
                <w:szCs w:val="20"/>
              </w:rPr>
              <w:t>school education, training or employment (c)</w:t>
            </w:r>
          </w:p>
        </w:tc>
        <w:tc>
          <w:tcPr>
            <w:tcW w:w="2126" w:type="dxa"/>
            <w:tcBorders>
              <w:top w:val="single" w:sz="12" w:space="0" w:color="auto"/>
              <w:bottom w:val="single" w:sz="4" w:space="0" w:color="auto"/>
              <w:right w:val="single" w:sz="12" w:space="0" w:color="auto"/>
            </w:tcBorders>
            <w:shd w:val="clear" w:color="auto" w:fill="auto"/>
            <w:vAlign w:val="center"/>
          </w:tcPr>
          <w:p w:rsidR="008D1E80" w:rsidRPr="008D1E80" w:rsidRDefault="008D1E80" w:rsidP="008D1E80">
            <w:pPr>
              <w:rPr>
                <w:rFonts w:ascii="Arial Narrow" w:hAnsi="Arial Narrow"/>
                <w:sz w:val="20"/>
                <w:szCs w:val="20"/>
              </w:rPr>
            </w:pPr>
            <w:r w:rsidRPr="008D1E80">
              <w:rPr>
                <w:rFonts w:ascii="Arial Narrow" w:hAnsi="Arial Narrow"/>
                <w:sz w:val="20"/>
                <w:szCs w:val="20"/>
              </w:rPr>
              <w:t>Census (ABS)</w:t>
            </w:r>
          </w:p>
        </w:tc>
        <w:tc>
          <w:tcPr>
            <w:tcW w:w="1701" w:type="dxa"/>
            <w:tcBorders>
              <w:top w:val="single" w:sz="12" w:space="0" w:color="auto"/>
              <w:bottom w:val="single" w:sz="4" w:space="0" w:color="auto"/>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N/A</w:t>
            </w:r>
          </w:p>
        </w:tc>
        <w:tc>
          <w:tcPr>
            <w:tcW w:w="1560" w:type="dxa"/>
            <w:tcBorders>
              <w:top w:val="single" w:sz="12" w:space="0" w:color="auto"/>
              <w:left w:val="single" w:sz="4" w:space="0" w:color="auto"/>
              <w:bottom w:val="single" w:sz="4" w:space="0" w:color="auto"/>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69.5%</w:t>
            </w:r>
          </w:p>
        </w:tc>
        <w:tc>
          <w:tcPr>
            <w:tcW w:w="1559" w:type="dxa"/>
            <w:tcBorders>
              <w:top w:val="single" w:sz="12" w:space="0" w:color="auto"/>
              <w:left w:val="single" w:sz="4" w:space="0" w:color="auto"/>
              <w:bottom w:val="single" w:sz="4" w:space="0" w:color="auto"/>
              <w:right w:val="single" w:sz="12" w:space="0" w:color="000000" w:themeColor="text1"/>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N/A</w:t>
            </w:r>
          </w:p>
        </w:tc>
      </w:tr>
      <w:bookmarkEnd w:id="4"/>
      <w:tr w:rsidR="008D1E80" w:rsidRPr="008D1E80" w:rsidTr="0053283A">
        <w:trPr>
          <w:cantSplit/>
          <w:trHeight w:val="254"/>
        </w:trPr>
        <w:tc>
          <w:tcPr>
            <w:tcW w:w="2660" w:type="dxa"/>
            <w:vMerge w:val="restart"/>
            <w:tcBorders>
              <w:top w:val="single" w:sz="12" w:space="0" w:color="000000" w:themeColor="text1"/>
              <w:left w:val="single" w:sz="12" w:space="0" w:color="000000" w:themeColor="text1"/>
            </w:tcBorders>
            <w:shd w:val="clear" w:color="auto" w:fill="E6E6E6"/>
            <w:vAlign w:val="center"/>
          </w:tcPr>
          <w:p w:rsidR="008D1E80" w:rsidRPr="008D1E80" w:rsidRDefault="008D1E80" w:rsidP="008D1E80">
            <w:pPr>
              <w:rPr>
                <w:rFonts w:ascii="Arial Narrow" w:hAnsi="Arial Narrow"/>
                <w:sz w:val="20"/>
                <w:szCs w:val="20"/>
              </w:rPr>
            </w:pPr>
            <w:r w:rsidRPr="008D1E80">
              <w:rPr>
                <w:rFonts w:ascii="Arial Narrow" w:hAnsi="Arial Narrow"/>
                <w:sz w:val="20"/>
                <w:szCs w:val="20"/>
              </w:rPr>
              <w:t>Improved Indigenous retention</w:t>
            </w:r>
          </w:p>
        </w:tc>
        <w:tc>
          <w:tcPr>
            <w:tcW w:w="5528" w:type="dxa"/>
            <w:tcBorders>
              <w:top w:val="single" w:sz="12" w:space="0" w:color="000000" w:themeColor="text1"/>
            </w:tcBorders>
            <w:shd w:val="clear" w:color="auto" w:fill="auto"/>
            <w:vAlign w:val="center"/>
          </w:tcPr>
          <w:p w:rsidR="008D1E80" w:rsidRPr="008D1E80" w:rsidRDefault="008D1E80" w:rsidP="008D1E80">
            <w:pPr>
              <w:autoSpaceDE w:val="0"/>
              <w:autoSpaceDN w:val="0"/>
              <w:adjustRightInd w:val="0"/>
              <w:rPr>
                <w:rFonts w:ascii="Arial Narrow" w:hAnsi="Arial Narrow" w:cs="Corbel"/>
                <w:sz w:val="20"/>
                <w:szCs w:val="20"/>
              </w:rPr>
            </w:pPr>
            <w:r w:rsidRPr="008D1E80">
              <w:rPr>
                <w:rFonts w:ascii="Arial Narrow" w:hAnsi="Arial Narrow" w:cs="Corbel"/>
                <w:sz w:val="20"/>
                <w:szCs w:val="20"/>
              </w:rPr>
              <w:t>Apparent retention years 7/8 to year 10, by Indigenous status (d)</w:t>
            </w:r>
          </w:p>
        </w:tc>
        <w:tc>
          <w:tcPr>
            <w:tcW w:w="2126" w:type="dxa"/>
            <w:vMerge w:val="restart"/>
            <w:tcBorders>
              <w:top w:val="single" w:sz="12" w:space="0" w:color="000000" w:themeColor="text1"/>
              <w:right w:val="single" w:sz="12" w:space="0" w:color="auto"/>
            </w:tcBorders>
            <w:shd w:val="clear" w:color="auto" w:fill="auto"/>
            <w:vAlign w:val="center"/>
          </w:tcPr>
          <w:p w:rsidR="008D1E80" w:rsidRPr="008D1E80" w:rsidRDefault="008D1E80" w:rsidP="008D1E80">
            <w:pPr>
              <w:rPr>
                <w:rFonts w:ascii="Arial Narrow" w:hAnsi="Arial Narrow"/>
                <w:sz w:val="20"/>
                <w:szCs w:val="20"/>
              </w:rPr>
            </w:pPr>
            <w:r w:rsidRPr="008D1E80">
              <w:rPr>
                <w:rFonts w:ascii="Arial Narrow" w:hAnsi="Arial Narrow"/>
                <w:sz w:val="20"/>
                <w:szCs w:val="20"/>
              </w:rPr>
              <w:t>National Schools Statistics Collection (ABS)</w:t>
            </w:r>
          </w:p>
        </w:tc>
        <w:tc>
          <w:tcPr>
            <w:tcW w:w="1701" w:type="dxa"/>
            <w:tcBorders>
              <w:top w:val="single" w:sz="12" w:space="0" w:color="000000" w:themeColor="text1"/>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99.2%</w:t>
            </w:r>
          </w:p>
        </w:tc>
        <w:tc>
          <w:tcPr>
            <w:tcW w:w="1560" w:type="dxa"/>
            <w:tcBorders>
              <w:top w:val="single" w:sz="12" w:space="0" w:color="000000" w:themeColor="text1"/>
              <w:left w:val="single" w:sz="4" w:space="0" w:color="auto"/>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102.0%</w:t>
            </w:r>
          </w:p>
        </w:tc>
        <w:tc>
          <w:tcPr>
            <w:tcW w:w="1559" w:type="dxa"/>
            <w:tcBorders>
              <w:top w:val="single" w:sz="12" w:space="0" w:color="000000" w:themeColor="text1"/>
              <w:left w:val="single" w:sz="4" w:space="0" w:color="auto"/>
              <w:right w:val="single" w:sz="12" w:space="0" w:color="000000" w:themeColor="text1"/>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101.1%</w:t>
            </w:r>
          </w:p>
        </w:tc>
      </w:tr>
      <w:tr w:rsidR="008D1E80" w:rsidRPr="008D1E80" w:rsidTr="0053283A">
        <w:trPr>
          <w:cantSplit/>
          <w:trHeight w:val="272"/>
        </w:trPr>
        <w:tc>
          <w:tcPr>
            <w:tcW w:w="2660" w:type="dxa"/>
            <w:vMerge/>
            <w:tcBorders>
              <w:left w:val="single" w:sz="12" w:space="0" w:color="000000" w:themeColor="text1"/>
              <w:bottom w:val="single" w:sz="12" w:space="0" w:color="000000" w:themeColor="text1"/>
            </w:tcBorders>
            <w:shd w:val="clear" w:color="auto" w:fill="E6E6E6"/>
            <w:vAlign w:val="center"/>
          </w:tcPr>
          <w:p w:rsidR="008D1E80" w:rsidRPr="008D1E80" w:rsidRDefault="008D1E80" w:rsidP="008D1E80">
            <w:pPr>
              <w:rPr>
                <w:rFonts w:ascii="Arial Narrow" w:hAnsi="Arial Narrow"/>
                <w:sz w:val="20"/>
                <w:szCs w:val="20"/>
              </w:rPr>
            </w:pPr>
          </w:p>
        </w:tc>
        <w:tc>
          <w:tcPr>
            <w:tcW w:w="5528" w:type="dxa"/>
            <w:tcBorders>
              <w:bottom w:val="single" w:sz="12" w:space="0" w:color="000000" w:themeColor="text1"/>
            </w:tcBorders>
            <w:shd w:val="clear" w:color="auto" w:fill="auto"/>
            <w:vAlign w:val="center"/>
          </w:tcPr>
          <w:p w:rsidR="008D1E80" w:rsidRPr="008D1E80" w:rsidRDefault="008D1E80" w:rsidP="008D1E80">
            <w:pPr>
              <w:autoSpaceDE w:val="0"/>
              <w:autoSpaceDN w:val="0"/>
              <w:adjustRightInd w:val="0"/>
              <w:rPr>
                <w:rFonts w:ascii="Arial Narrow" w:hAnsi="Arial Narrow" w:cs="Corbel"/>
                <w:sz w:val="20"/>
                <w:szCs w:val="20"/>
              </w:rPr>
            </w:pPr>
            <w:r w:rsidRPr="008D1E80">
              <w:rPr>
                <w:rFonts w:ascii="Arial Narrow" w:hAnsi="Arial Narrow" w:cs="Corbel"/>
                <w:sz w:val="20"/>
                <w:szCs w:val="20"/>
              </w:rPr>
              <w:t>Apparent retention years 7/8 to year 12, by Indigenous status (d)</w:t>
            </w:r>
          </w:p>
        </w:tc>
        <w:tc>
          <w:tcPr>
            <w:tcW w:w="2126" w:type="dxa"/>
            <w:vMerge/>
            <w:tcBorders>
              <w:bottom w:val="single" w:sz="12" w:space="0" w:color="000000" w:themeColor="text1"/>
              <w:right w:val="single" w:sz="12" w:space="0" w:color="auto"/>
            </w:tcBorders>
            <w:shd w:val="clear" w:color="auto" w:fill="auto"/>
            <w:vAlign w:val="center"/>
          </w:tcPr>
          <w:p w:rsidR="008D1E80" w:rsidRPr="008D1E80" w:rsidRDefault="008D1E80" w:rsidP="008D1E80">
            <w:pPr>
              <w:rPr>
                <w:rFonts w:ascii="Arial Narrow" w:hAnsi="Arial Narrow"/>
                <w:sz w:val="20"/>
                <w:szCs w:val="20"/>
              </w:rPr>
            </w:pPr>
          </w:p>
        </w:tc>
        <w:tc>
          <w:tcPr>
            <w:tcW w:w="1701" w:type="dxa"/>
            <w:tcBorders>
              <w:bottom w:val="single" w:sz="12" w:space="0" w:color="000000" w:themeColor="text1"/>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62.1%</w:t>
            </w:r>
          </w:p>
        </w:tc>
        <w:tc>
          <w:tcPr>
            <w:tcW w:w="1560" w:type="dxa"/>
            <w:tcBorders>
              <w:left w:val="single" w:sz="4" w:space="0" w:color="auto"/>
              <w:bottom w:val="single" w:sz="12" w:space="0" w:color="000000" w:themeColor="text1"/>
              <w:right w:val="single" w:sz="4" w:space="0" w:color="auto"/>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68.4%</w:t>
            </w:r>
          </w:p>
        </w:tc>
        <w:tc>
          <w:tcPr>
            <w:tcW w:w="1559" w:type="dxa"/>
            <w:tcBorders>
              <w:left w:val="single" w:sz="4" w:space="0" w:color="auto"/>
              <w:bottom w:val="single" w:sz="12" w:space="0" w:color="000000" w:themeColor="text1"/>
              <w:right w:val="single" w:sz="12" w:space="0" w:color="000000" w:themeColor="text1"/>
            </w:tcBorders>
            <w:vAlign w:val="center"/>
          </w:tcPr>
          <w:p w:rsidR="008D1E80" w:rsidRPr="008D1E80" w:rsidRDefault="008D1E80" w:rsidP="008D1E80">
            <w:pPr>
              <w:jc w:val="right"/>
              <w:rPr>
                <w:rFonts w:ascii="Arial Narrow" w:hAnsi="Arial Narrow" w:cs="Calibri"/>
                <w:color w:val="000000"/>
                <w:sz w:val="20"/>
                <w:szCs w:val="20"/>
              </w:rPr>
            </w:pPr>
            <w:r w:rsidRPr="008D1E80">
              <w:rPr>
                <w:rFonts w:ascii="Arial Narrow" w:hAnsi="Arial Narrow" w:cs="Calibri"/>
                <w:color w:val="000000"/>
                <w:sz w:val="20"/>
                <w:szCs w:val="20"/>
              </w:rPr>
              <w:t>69.4%</w:t>
            </w:r>
          </w:p>
        </w:tc>
      </w:tr>
    </w:tbl>
    <w:p w:rsidR="00C17EF5" w:rsidRDefault="00C17EF5" w:rsidP="008D1E80">
      <w:pPr>
        <w:rPr>
          <w:b/>
        </w:rPr>
      </w:pPr>
    </w:p>
    <w:p w:rsidR="008D1E80" w:rsidRPr="008D1E80" w:rsidRDefault="008D1E80" w:rsidP="008D1E80">
      <w:pPr>
        <w:rPr>
          <w:b/>
        </w:rPr>
      </w:pPr>
      <w:r w:rsidRPr="008D1E80">
        <w:rPr>
          <w:b/>
        </w:rPr>
        <w:t>Notes on the data</w:t>
      </w:r>
    </w:p>
    <w:p w:rsidR="008D1E80" w:rsidRPr="008D1E80" w:rsidRDefault="008D1E80" w:rsidP="0040521B">
      <w:pPr>
        <w:numPr>
          <w:ilvl w:val="0"/>
          <w:numId w:val="34"/>
        </w:numPr>
        <w:spacing w:line="240" w:lineRule="auto"/>
        <w:contextualSpacing/>
        <w:rPr>
          <w:rFonts w:ascii="Arial" w:hAnsi="Arial" w:cs="Arial"/>
          <w:sz w:val="18"/>
          <w:szCs w:val="18"/>
        </w:rPr>
      </w:pPr>
      <w:r w:rsidRPr="008D1E80">
        <w:rPr>
          <w:rFonts w:ascii="Arial" w:hAnsi="Arial" w:cs="Arial"/>
          <w:sz w:val="18"/>
          <w:szCs w:val="18"/>
        </w:rPr>
        <w:t xml:space="preserve">Data on students and courses are normally available in July the following year. Data on qualifications completed in 2012 are not available until July 2014. VET statistics reflect a cumulative summary of the year’s activity as opposed to a point in time. </w:t>
      </w:r>
    </w:p>
    <w:p w:rsidR="008D1E80" w:rsidRPr="008D1E80" w:rsidRDefault="008D1E80" w:rsidP="0040521B">
      <w:pPr>
        <w:numPr>
          <w:ilvl w:val="0"/>
          <w:numId w:val="34"/>
        </w:numPr>
        <w:spacing w:line="240" w:lineRule="auto"/>
        <w:contextualSpacing/>
        <w:rPr>
          <w:rFonts w:ascii="Arial" w:hAnsi="Arial" w:cs="Arial"/>
          <w:sz w:val="18"/>
          <w:szCs w:val="18"/>
        </w:rPr>
      </w:pPr>
      <w:r w:rsidRPr="008D1E80">
        <w:rPr>
          <w:rFonts w:ascii="Arial" w:hAnsi="Arial" w:cs="Arial"/>
          <w:sz w:val="18"/>
          <w:szCs w:val="18"/>
        </w:rPr>
        <w:t xml:space="preserve">The NP YAT specifies that the attainment indicator for 20 to 24 year olds is to be sourced from the Survey of Education and Work (SEW). The </w:t>
      </w:r>
      <w:r w:rsidRPr="008D1E80">
        <w:rPr>
          <w:rFonts w:ascii="Arial" w:hAnsi="Arial" w:cs="Arial"/>
          <w:i/>
          <w:sz w:val="18"/>
          <w:szCs w:val="18"/>
        </w:rPr>
        <w:t>Review of the National Education Agreement Performance Framework</w:t>
      </w:r>
      <w:r w:rsidRPr="008D1E80">
        <w:rPr>
          <w:rFonts w:ascii="Arial" w:hAnsi="Arial" w:cs="Arial"/>
          <w:sz w:val="18"/>
          <w:szCs w:val="18"/>
        </w:rPr>
        <w:t>, released in July 2012, noted that “large Relative Standard Errors (</w:t>
      </w:r>
      <w:proofErr w:type="spellStart"/>
      <w:r w:rsidRPr="008D1E80">
        <w:rPr>
          <w:rFonts w:ascii="Arial" w:hAnsi="Arial" w:cs="Arial"/>
          <w:sz w:val="18"/>
          <w:szCs w:val="18"/>
        </w:rPr>
        <w:t>RSEs</w:t>
      </w:r>
      <w:proofErr w:type="spellEnd"/>
      <w:r w:rsidRPr="008D1E80">
        <w:rPr>
          <w:rFonts w:ascii="Arial" w:hAnsi="Arial" w:cs="Arial"/>
          <w:sz w:val="18"/>
          <w:szCs w:val="18"/>
        </w:rPr>
        <w:t>) for this indicator can limit the appropriateness of the SEW to draw reliable jurisdiction level estimates from year to year, especially for smaller jurisdictions”. It recommended that the indicator be measured at the jurisdictional level with Census data or administrative data. In-line with this recommendation, data from the Census is now reported for this indicator.</w:t>
      </w:r>
    </w:p>
    <w:p w:rsidR="008D1E80" w:rsidRPr="008D1E80" w:rsidRDefault="008D1E80" w:rsidP="0040521B">
      <w:pPr>
        <w:numPr>
          <w:ilvl w:val="0"/>
          <w:numId w:val="34"/>
        </w:numPr>
        <w:spacing w:line="240" w:lineRule="auto"/>
        <w:contextualSpacing/>
        <w:rPr>
          <w:rFonts w:ascii="Arial" w:hAnsi="Arial" w:cs="Arial"/>
          <w:sz w:val="18"/>
          <w:szCs w:val="18"/>
        </w:rPr>
      </w:pPr>
      <w:r w:rsidRPr="008D1E80">
        <w:rPr>
          <w:rFonts w:ascii="Arial" w:hAnsi="Arial" w:cs="Arial"/>
          <w:sz w:val="18"/>
          <w:szCs w:val="18"/>
        </w:rPr>
        <w:t xml:space="preserve">The NP YAT includes the indicator “The proportion of young people aged 15-24 participating in post-school education, training or employment six months after leaving school” to be measured by the SEW. The </w:t>
      </w:r>
      <w:r w:rsidRPr="008D1E80">
        <w:rPr>
          <w:rFonts w:ascii="Arial" w:hAnsi="Arial" w:cs="Arial"/>
          <w:i/>
          <w:sz w:val="18"/>
          <w:szCs w:val="18"/>
        </w:rPr>
        <w:t>Review of the National Education Agreement Performance Framework</w:t>
      </w:r>
      <w:r w:rsidRPr="008D1E80">
        <w:rPr>
          <w:rFonts w:ascii="Arial" w:hAnsi="Arial" w:cs="Arial"/>
          <w:sz w:val="18"/>
          <w:szCs w:val="18"/>
        </w:rPr>
        <w:t xml:space="preserve"> recommended that the following indicator be revised to measure 17-24 year olds as 17 is the age at which participation in education is no longer compulsory. It was also recommended that Census data be used to provide reliable information at a jurisdictional level. In-line with these recommendations, this indicator has been aligned with the new NEA indicator 5 and data from the Census is now reported for this indicator.</w:t>
      </w:r>
    </w:p>
    <w:p w:rsidR="008D1E80" w:rsidRPr="008D1E80" w:rsidRDefault="008D1E80" w:rsidP="0040521B">
      <w:pPr>
        <w:numPr>
          <w:ilvl w:val="0"/>
          <w:numId w:val="34"/>
        </w:numPr>
        <w:spacing w:line="240" w:lineRule="auto"/>
        <w:contextualSpacing/>
        <w:rPr>
          <w:rFonts w:ascii="Arial" w:hAnsi="Arial" w:cs="Arial"/>
          <w:sz w:val="18"/>
          <w:szCs w:val="18"/>
        </w:rPr>
      </w:pPr>
      <w:r w:rsidRPr="008D1E80">
        <w:rPr>
          <w:rFonts w:ascii="Arial" w:hAnsi="Arial" w:cs="Arial"/>
          <w:sz w:val="18"/>
          <w:szCs w:val="18"/>
        </w:rPr>
        <w:t>The apparent retention rate measures the number of full-time school students in a designated level/year of education as a percentage of their respective cohort group in a base year. Ungraded students not included. Apparent retention rates for Indigenous students can be inflated by an increased propensity to identify as Indigenous over time. Caution should be taken in interpreting the data for apparent retention rates at the State and Territory level which can be inflated by a net increase in interstate migration. Small numbers of Indigenous students can also affect results from the State and Territory level and may produce apparent variations from year to year that may not accurately reflect the long-term trend.</w:t>
      </w:r>
    </w:p>
    <w:p w:rsidR="00440AE1" w:rsidRPr="00AA5F3C" w:rsidRDefault="00440AE1" w:rsidP="00E619A9">
      <w:pPr>
        <w:rPr>
          <w:rFonts w:ascii="Arial" w:hAnsi="Arial" w:cs="Arial"/>
        </w:rPr>
        <w:sectPr w:rsidR="00440AE1" w:rsidRPr="00AA5F3C" w:rsidSect="005641EE">
          <w:pgSz w:w="23814" w:h="16839" w:orient="landscape" w:code="8"/>
          <w:pgMar w:top="567" w:right="1440" w:bottom="567" w:left="1440" w:header="567" w:footer="709" w:gutter="0"/>
          <w:cols w:space="708"/>
          <w:docGrid w:linePitch="360"/>
        </w:sectPr>
      </w:pPr>
    </w:p>
    <w:p w:rsidR="0045514D" w:rsidRPr="00AA5F3C" w:rsidRDefault="00605C73" w:rsidP="00E619A9">
      <w:pPr>
        <w:pStyle w:val="Heading1"/>
        <w:rPr>
          <w:rFonts w:cs="Arial"/>
        </w:rPr>
      </w:pPr>
      <w:bookmarkStart w:id="5" w:name="_Toc320003793"/>
      <w:bookmarkStart w:id="6" w:name="_Toc384038217"/>
      <w:bookmarkEnd w:id="2"/>
      <w:r w:rsidRPr="00AA5F3C">
        <w:rPr>
          <w:rFonts w:cs="Arial"/>
        </w:rPr>
        <w:lastRenderedPageBreak/>
        <w:t>PART B:</w:t>
      </w:r>
      <w:bookmarkEnd w:id="5"/>
      <w:bookmarkEnd w:id="6"/>
    </w:p>
    <w:p w:rsidR="005F2405" w:rsidRPr="00AA5F3C" w:rsidRDefault="005B2F76" w:rsidP="00E619A9">
      <w:pPr>
        <w:pStyle w:val="Heading2"/>
        <w:spacing w:before="360"/>
        <w:rPr>
          <w:rFonts w:cs="Arial"/>
        </w:rPr>
      </w:pPr>
      <w:bookmarkStart w:id="7" w:name="_Toc320003794"/>
      <w:bookmarkStart w:id="8" w:name="_Toc358296240"/>
      <w:bookmarkStart w:id="9" w:name="_Toc384038218"/>
      <w:r w:rsidRPr="00AA5F3C">
        <w:rPr>
          <w:rFonts w:cs="Arial"/>
        </w:rPr>
        <w:t>Current Landscape (</w:t>
      </w:r>
      <w:r w:rsidR="00D43B11" w:rsidRPr="00AA5F3C">
        <w:rPr>
          <w:rFonts w:cs="Arial"/>
        </w:rPr>
        <w:t>Jurisdictional Context</w:t>
      </w:r>
      <w:bookmarkEnd w:id="7"/>
      <w:r w:rsidRPr="00AA5F3C">
        <w:rPr>
          <w:rFonts w:cs="Arial"/>
        </w:rPr>
        <w:t>)</w:t>
      </w:r>
      <w:bookmarkEnd w:id="8"/>
      <w:bookmarkEnd w:id="9"/>
      <w:r w:rsidR="008D4463" w:rsidRPr="00AA5F3C">
        <w:rPr>
          <w:rFonts w:cs="Arial"/>
        </w:rPr>
        <w:t xml:space="preserve"> </w:t>
      </w:r>
    </w:p>
    <w:p w:rsidR="008D4463" w:rsidRPr="00AA5F3C" w:rsidRDefault="008D4463" w:rsidP="00E619A9">
      <w:pPr>
        <w:spacing w:after="120"/>
        <w:rPr>
          <w:rFonts w:ascii="Arial" w:hAnsi="Arial" w:cs="Arial"/>
        </w:rPr>
      </w:pPr>
      <w:r w:rsidRPr="00AA5F3C">
        <w:rPr>
          <w:rFonts w:ascii="Arial" w:hAnsi="Arial" w:cs="Arial"/>
        </w:rPr>
        <w:t>The Youth Attainment and Transitions National Partnership (YAT NP) is well aligned to both state and education sectors’ existing strategic directions and targets.  The state has a commitment to achievement of outcomes which are consistent with the YAT NP objectives:</w:t>
      </w:r>
    </w:p>
    <w:p w:rsidR="00E25181" w:rsidRPr="00A23A64" w:rsidRDefault="00E25181" w:rsidP="0040521B">
      <w:pPr>
        <w:pStyle w:val="ListParagraph"/>
        <w:numPr>
          <w:ilvl w:val="0"/>
          <w:numId w:val="27"/>
        </w:numPr>
        <w:spacing w:before="60" w:after="120" w:line="240" w:lineRule="auto"/>
        <w:ind w:left="851" w:hanging="425"/>
        <w:rPr>
          <w:rFonts w:ascii="Arial" w:hAnsi="Arial" w:cs="Arial"/>
        </w:rPr>
      </w:pPr>
      <w:r w:rsidRPr="00A23A64">
        <w:rPr>
          <w:rFonts w:ascii="Arial" w:hAnsi="Arial" w:cs="Arial"/>
        </w:rPr>
        <w:t>Increased participation of young people in education and training</w:t>
      </w:r>
    </w:p>
    <w:p w:rsidR="00E25181" w:rsidRPr="00A23A64" w:rsidRDefault="00E25181" w:rsidP="0040521B">
      <w:pPr>
        <w:pStyle w:val="ListParagraph"/>
        <w:numPr>
          <w:ilvl w:val="0"/>
          <w:numId w:val="27"/>
        </w:numPr>
        <w:spacing w:before="60" w:after="120" w:line="240" w:lineRule="auto"/>
        <w:ind w:left="851" w:hanging="425"/>
        <w:rPr>
          <w:rFonts w:ascii="Arial" w:hAnsi="Arial" w:cs="Arial"/>
        </w:rPr>
      </w:pPr>
      <w:r w:rsidRPr="00A23A64">
        <w:rPr>
          <w:rFonts w:ascii="Arial" w:hAnsi="Arial" w:cs="Arial"/>
        </w:rPr>
        <w:t>Young people make a successful transition from school to furt</w:t>
      </w:r>
      <w:r w:rsidR="009D456C">
        <w:rPr>
          <w:rFonts w:ascii="Arial" w:hAnsi="Arial" w:cs="Arial"/>
        </w:rPr>
        <w:t>her education, training or full-</w:t>
      </w:r>
      <w:r w:rsidRPr="00A23A64">
        <w:rPr>
          <w:rFonts w:ascii="Arial" w:hAnsi="Arial" w:cs="Arial"/>
        </w:rPr>
        <w:t>time employment</w:t>
      </w:r>
    </w:p>
    <w:p w:rsidR="00E25181" w:rsidRPr="00481093" w:rsidRDefault="00E25181" w:rsidP="0040521B">
      <w:pPr>
        <w:pStyle w:val="ListParagraph"/>
        <w:numPr>
          <w:ilvl w:val="0"/>
          <w:numId w:val="27"/>
        </w:numPr>
        <w:spacing w:before="60" w:after="120" w:line="240" w:lineRule="auto"/>
        <w:ind w:left="851" w:hanging="425"/>
        <w:rPr>
          <w:rFonts w:ascii="Arial" w:hAnsi="Arial" w:cs="Arial"/>
        </w:rPr>
      </w:pPr>
      <w:r w:rsidRPr="00A23A64">
        <w:rPr>
          <w:rFonts w:ascii="Arial" w:hAnsi="Arial" w:cs="Arial"/>
        </w:rPr>
        <w:t>Increased att</w:t>
      </w:r>
      <w:r w:rsidR="009D456C">
        <w:rPr>
          <w:rFonts w:ascii="Arial" w:hAnsi="Arial" w:cs="Arial"/>
        </w:rPr>
        <w:t>ainment of young people aged 15-</w:t>
      </w:r>
      <w:r w:rsidRPr="00A23A64">
        <w:rPr>
          <w:rFonts w:ascii="Arial" w:hAnsi="Arial" w:cs="Arial"/>
        </w:rPr>
        <w:t>24, including Indigenous youth</w:t>
      </w:r>
    </w:p>
    <w:p w:rsidR="008D4463" w:rsidRPr="00481093" w:rsidRDefault="008D4463" w:rsidP="00E619A9">
      <w:pPr>
        <w:spacing w:before="60" w:after="120" w:line="240" w:lineRule="auto"/>
        <w:rPr>
          <w:rFonts w:ascii="Arial" w:hAnsi="Arial" w:cs="Arial"/>
        </w:rPr>
      </w:pPr>
    </w:p>
    <w:p w:rsidR="008D4463" w:rsidRPr="00AA5F3C" w:rsidRDefault="008D4463" w:rsidP="00E619A9">
      <w:pPr>
        <w:spacing w:before="60" w:after="120" w:line="240" w:lineRule="auto"/>
        <w:rPr>
          <w:rFonts w:ascii="Arial" w:hAnsi="Arial" w:cs="Arial"/>
          <w:highlight w:val="yellow"/>
        </w:rPr>
      </w:pPr>
      <w:r w:rsidRPr="00AA5F3C">
        <w:rPr>
          <w:rFonts w:ascii="Arial" w:hAnsi="Arial" w:cs="Arial"/>
        </w:rPr>
        <w:t>The SA Strategic Plan (2011-2014) which is the blueprint for its future identifies the following visions and goals:</w:t>
      </w:r>
    </w:p>
    <w:p w:rsidR="008D4463" w:rsidRPr="00EB230F" w:rsidRDefault="008D4463" w:rsidP="0040521B">
      <w:pPr>
        <w:pStyle w:val="ListParagraph"/>
        <w:numPr>
          <w:ilvl w:val="0"/>
          <w:numId w:val="27"/>
        </w:numPr>
        <w:spacing w:before="60" w:after="120" w:line="240" w:lineRule="auto"/>
        <w:ind w:left="851" w:hanging="425"/>
        <w:rPr>
          <w:rFonts w:ascii="Arial" w:hAnsi="Arial" w:cs="Arial"/>
        </w:rPr>
      </w:pPr>
      <w:r w:rsidRPr="00EB230F">
        <w:rPr>
          <w:rFonts w:ascii="Arial" w:hAnsi="Arial" w:cs="Arial"/>
        </w:rPr>
        <w:t>Our strong economy creates opportunities for an increasing number of South Australians to enter the workforce.</w:t>
      </w:r>
    </w:p>
    <w:p w:rsidR="008D4463" w:rsidRPr="00EB230F" w:rsidRDefault="008D4463" w:rsidP="0040521B">
      <w:pPr>
        <w:pStyle w:val="ListParagraph"/>
        <w:numPr>
          <w:ilvl w:val="0"/>
          <w:numId w:val="27"/>
        </w:numPr>
        <w:spacing w:before="60" w:after="120" w:line="240" w:lineRule="auto"/>
        <w:ind w:left="851" w:hanging="425"/>
        <w:rPr>
          <w:rFonts w:ascii="Arial" w:hAnsi="Arial" w:cs="Arial"/>
        </w:rPr>
      </w:pPr>
      <w:r w:rsidRPr="00EB230F">
        <w:rPr>
          <w:rFonts w:ascii="Arial" w:hAnsi="Arial" w:cs="Arial"/>
        </w:rPr>
        <w:t>We actively support the development of skills through apprentices</w:t>
      </w:r>
      <w:r w:rsidR="001C5A94">
        <w:rPr>
          <w:rFonts w:ascii="Arial" w:hAnsi="Arial" w:cs="Arial"/>
        </w:rPr>
        <w:t xml:space="preserve">hips and training and want all </w:t>
      </w:r>
      <w:r w:rsidR="00044BF2">
        <w:rPr>
          <w:rFonts w:ascii="Arial" w:hAnsi="Arial" w:cs="Arial"/>
        </w:rPr>
        <w:t>S</w:t>
      </w:r>
      <w:r w:rsidRPr="00EB230F">
        <w:rPr>
          <w:rFonts w:ascii="Arial" w:hAnsi="Arial" w:cs="Arial"/>
        </w:rPr>
        <w:t>outh Australians to have the opportunity to learn a lifelong skill or trade.</w:t>
      </w:r>
    </w:p>
    <w:p w:rsidR="008D4463" w:rsidRPr="00EB230F" w:rsidRDefault="008D4463" w:rsidP="0040521B">
      <w:pPr>
        <w:pStyle w:val="ListParagraph"/>
        <w:numPr>
          <w:ilvl w:val="0"/>
          <w:numId w:val="27"/>
        </w:numPr>
        <w:spacing w:before="60" w:after="120" w:line="240" w:lineRule="auto"/>
        <w:ind w:left="851" w:hanging="425"/>
        <w:rPr>
          <w:rFonts w:ascii="Arial" w:hAnsi="Arial" w:cs="Arial"/>
        </w:rPr>
      </w:pPr>
      <w:r w:rsidRPr="00EB230F">
        <w:rPr>
          <w:rFonts w:ascii="Arial" w:hAnsi="Arial" w:cs="Arial"/>
        </w:rPr>
        <w:t>In a globalised world we equip more young people with skills that ensure they can confidently pursue their goals.</w:t>
      </w:r>
    </w:p>
    <w:p w:rsidR="008D4463" w:rsidRPr="00EB230F" w:rsidRDefault="008D4463" w:rsidP="0040521B">
      <w:pPr>
        <w:pStyle w:val="ListParagraph"/>
        <w:numPr>
          <w:ilvl w:val="0"/>
          <w:numId w:val="27"/>
        </w:numPr>
        <w:spacing w:before="60" w:after="120" w:line="240" w:lineRule="auto"/>
        <w:ind w:left="851" w:hanging="425"/>
        <w:rPr>
          <w:rFonts w:ascii="Arial" w:hAnsi="Arial" w:cs="Arial"/>
        </w:rPr>
      </w:pPr>
      <w:r w:rsidRPr="00EB230F">
        <w:rPr>
          <w:rFonts w:ascii="Arial" w:hAnsi="Arial" w:cs="Arial"/>
        </w:rPr>
        <w:t>Every member of the community can equally participate in learning opportunities.</w:t>
      </w:r>
    </w:p>
    <w:p w:rsidR="008D4463" w:rsidRPr="00EB230F" w:rsidRDefault="008D4463" w:rsidP="0040521B">
      <w:pPr>
        <w:pStyle w:val="ListParagraph"/>
        <w:numPr>
          <w:ilvl w:val="0"/>
          <w:numId w:val="27"/>
        </w:numPr>
        <w:spacing w:before="60" w:after="120" w:line="240" w:lineRule="auto"/>
        <w:ind w:left="851" w:hanging="425"/>
        <w:rPr>
          <w:rFonts w:ascii="Arial" w:hAnsi="Arial" w:cs="Arial"/>
        </w:rPr>
      </w:pPr>
      <w:r w:rsidRPr="00EB230F">
        <w:rPr>
          <w:rFonts w:ascii="Arial" w:hAnsi="Arial" w:cs="Arial"/>
        </w:rPr>
        <w:t>We train, attract and retain a diverse workforce which attracts industry.</w:t>
      </w:r>
    </w:p>
    <w:p w:rsidR="008D4463" w:rsidRPr="00EB230F" w:rsidRDefault="008D4463" w:rsidP="0040521B">
      <w:pPr>
        <w:pStyle w:val="ListParagraph"/>
        <w:numPr>
          <w:ilvl w:val="0"/>
          <w:numId w:val="27"/>
        </w:numPr>
        <w:spacing w:before="60" w:after="120" w:line="240" w:lineRule="auto"/>
        <w:ind w:left="851" w:hanging="425"/>
        <w:rPr>
          <w:rFonts w:ascii="Arial" w:hAnsi="Arial" w:cs="Arial"/>
        </w:rPr>
      </w:pPr>
      <w:r w:rsidRPr="00EB230F">
        <w:rPr>
          <w:rFonts w:ascii="Arial" w:hAnsi="Arial" w:cs="Arial"/>
        </w:rPr>
        <w:t>We have a zest for lifelong learning.</w:t>
      </w:r>
    </w:p>
    <w:p w:rsidR="008D4463" w:rsidRPr="00AA5F3C" w:rsidRDefault="008D4463" w:rsidP="00E619A9">
      <w:pPr>
        <w:spacing w:before="60" w:after="120" w:line="240" w:lineRule="auto"/>
        <w:rPr>
          <w:rFonts w:ascii="Arial" w:hAnsi="Arial" w:cs="Arial"/>
          <w:highlight w:val="yellow"/>
        </w:rPr>
      </w:pPr>
    </w:p>
    <w:p w:rsidR="008D4463" w:rsidRPr="00AA5F3C" w:rsidRDefault="008D4463" w:rsidP="00E619A9">
      <w:pPr>
        <w:spacing w:before="60" w:after="120" w:line="240" w:lineRule="auto"/>
        <w:rPr>
          <w:rFonts w:ascii="Arial" w:hAnsi="Arial" w:cs="Arial"/>
        </w:rPr>
      </w:pPr>
      <w:r w:rsidRPr="00AA5F3C">
        <w:rPr>
          <w:rFonts w:ascii="Arial" w:hAnsi="Arial" w:cs="Arial"/>
        </w:rPr>
        <w:t>The Strategic Plan 2012-2016 for South Australian Public Education and Care identifies three major purposes of education which benefit individuals and the community including:</w:t>
      </w:r>
    </w:p>
    <w:p w:rsidR="008D4463" w:rsidRPr="00AA5F3C" w:rsidRDefault="008D4463" w:rsidP="0040521B">
      <w:pPr>
        <w:pStyle w:val="ListParagraph"/>
        <w:numPr>
          <w:ilvl w:val="0"/>
          <w:numId w:val="27"/>
        </w:numPr>
        <w:spacing w:before="60" w:after="120" w:line="240" w:lineRule="auto"/>
        <w:ind w:left="709"/>
        <w:rPr>
          <w:rFonts w:ascii="Arial" w:hAnsi="Arial" w:cs="Arial"/>
        </w:rPr>
      </w:pPr>
      <w:r w:rsidRPr="00AA5F3C">
        <w:rPr>
          <w:rFonts w:ascii="Arial" w:hAnsi="Arial" w:cs="Arial"/>
        </w:rPr>
        <w:t>To provide opportunities for all children and young people to develop skills and understandings and to pursue interests that will enable them to lead rich, fulfilling and productive lives</w:t>
      </w:r>
    </w:p>
    <w:p w:rsidR="008D4463" w:rsidRPr="00AA5F3C" w:rsidRDefault="008D4463" w:rsidP="0040521B">
      <w:pPr>
        <w:numPr>
          <w:ilvl w:val="0"/>
          <w:numId w:val="26"/>
        </w:numPr>
        <w:spacing w:before="60" w:after="120" w:line="240" w:lineRule="auto"/>
        <w:rPr>
          <w:rFonts w:ascii="Arial" w:hAnsi="Arial" w:cs="Arial"/>
        </w:rPr>
      </w:pPr>
      <w:r w:rsidRPr="00AA5F3C">
        <w:rPr>
          <w:rFonts w:ascii="Arial" w:hAnsi="Arial" w:cs="Arial"/>
        </w:rPr>
        <w:t>To make an important contribution to the Australian economy by preparing people for work in the many occupations that comprise the modern labour market, and</w:t>
      </w:r>
    </w:p>
    <w:p w:rsidR="008D4463" w:rsidRPr="00AA5F3C" w:rsidRDefault="008D4463" w:rsidP="0040521B">
      <w:pPr>
        <w:numPr>
          <w:ilvl w:val="0"/>
          <w:numId w:val="26"/>
        </w:numPr>
        <w:spacing w:before="60" w:after="120" w:line="240" w:lineRule="auto"/>
        <w:rPr>
          <w:rFonts w:ascii="Arial" w:hAnsi="Arial" w:cs="Arial"/>
        </w:rPr>
      </w:pPr>
      <w:r w:rsidRPr="00AA5F3C">
        <w:rPr>
          <w:rFonts w:ascii="Arial" w:hAnsi="Arial" w:cs="Arial"/>
        </w:rPr>
        <w:t xml:space="preserve">To prepare young people as citizens who are able to play an active constructive role in democratic life. </w:t>
      </w:r>
    </w:p>
    <w:p w:rsidR="008D4463" w:rsidRPr="00AA5F3C" w:rsidRDefault="008D4463" w:rsidP="00E619A9">
      <w:pPr>
        <w:spacing w:before="60" w:after="120" w:line="240" w:lineRule="auto"/>
        <w:rPr>
          <w:rFonts w:ascii="Arial" w:hAnsi="Arial" w:cs="Arial"/>
        </w:rPr>
      </w:pPr>
    </w:p>
    <w:p w:rsidR="008D4463" w:rsidRPr="00AA5F3C" w:rsidRDefault="008D4463" w:rsidP="00E619A9">
      <w:pPr>
        <w:spacing w:before="60" w:after="120" w:line="240" w:lineRule="auto"/>
        <w:rPr>
          <w:rFonts w:ascii="Arial" w:hAnsi="Arial" w:cs="Arial"/>
        </w:rPr>
      </w:pPr>
      <w:r w:rsidRPr="00AA5F3C">
        <w:rPr>
          <w:rFonts w:ascii="Arial" w:hAnsi="Arial" w:cs="Arial"/>
        </w:rPr>
        <w:t>Education within SA is shaped by both Commonwealth and State legislation and policies.</w:t>
      </w:r>
    </w:p>
    <w:p w:rsidR="008D4463" w:rsidRPr="00AA5F3C" w:rsidRDefault="008D4463" w:rsidP="00E619A9">
      <w:pPr>
        <w:spacing w:before="60" w:after="120" w:line="240" w:lineRule="auto"/>
        <w:rPr>
          <w:rFonts w:ascii="Arial" w:hAnsi="Arial" w:cs="Arial"/>
          <w:i/>
        </w:rPr>
      </w:pPr>
      <w:r w:rsidRPr="00AA5F3C">
        <w:rPr>
          <w:rFonts w:ascii="Arial" w:hAnsi="Arial" w:cs="Arial"/>
        </w:rPr>
        <w:t xml:space="preserve">At the Commonwealth level, the </w:t>
      </w:r>
      <w:r w:rsidRPr="00AA5F3C">
        <w:rPr>
          <w:rFonts w:ascii="Arial" w:hAnsi="Arial" w:cs="Arial"/>
          <w:i/>
        </w:rPr>
        <w:t>Melbourne Declaration on Educational Goals for Young Australians (2008</w:t>
      </w:r>
      <w:proofErr w:type="gramStart"/>
      <w:r w:rsidRPr="00AA5F3C">
        <w:rPr>
          <w:rFonts w:ascii="Arial" w:hAnsi="Arial" w:cs="Arial"/>
          <w:i/>
        </w:rPr>
        <w:t>)</w:t>
      </w:r>
      <w:r w:rsidRPr="00AA5F3C">
        <w:rPr>
          <w:rFonts w:ascii="Arial" w:hAnsi="Arial" w:cs="Arial"/>
        </w:rPr>
        <w:t>,</w:t>
      </w:r>
      <w:proofErr w:type="gramEnd"/>
      <w:r w:rsidRPr="00AA5F3C">
        <w:rPr>
          <w:rFonts w:ascii="Arial" w:hAnsi="Arial" w:cs="Arial"/>
        </w:rPr>
        <w:t xml:space="preserve"> provides the foundation for commitments by each </w:t>
      </w:r>
      <w:r w:rsidR="005E57E0" w:rsidRPr="00AA5F3C">
        <w:rPr>
          <w:rFonts w:ascii="Arial" w:hAnsi="Arial" w:cs="Arial"/>
        </w:rPr>
        <w:t xml:space="preserve">of the three schooling sectors </w:t>
      </w:r>
      <w:r w:rsidRPr="00AA5F3C">
        <w:rPr>
          <w:rFonts w:ascii="Arial" w:hAnsi="Arial" w:cs="Arial"/>
        </w:rPr>
        <w:t xml:space="preserve">which </w:t>
      </w:r>
      <w:r w:rsidRPr="00AA5F3C">
        <w:rPr>
          <w:rFonts w:ascii="Arial" w:hAnsi="Arial" w:cs="Arial"/>
          <w:i/>
        </w:rPr>
        <w:t xml:space="preserve">“value the central role of education in building a democratic, equitable and just society” and in particular “supporting senior years of schooling and youth transitions”. </w:t>
      </w:r>
    </w:p>
    <w:p w:rsidR="008D4463" w:rsidRPr="00AA5F3C" w:rsidRDefault="008D4463" w:rsidP="00E619A9">
      <w:pPr>
        <w:autoSpaceDE w:val="0"/>
        <w:autoSpaceDN w:val="0"/>
        <w:adjustRightInd w:val="0"/>
        <w:spacing w:after="120" w:line="240" w:lineRule="auto"/>
        <w:rPr>
          <w:rFonts w:ascii="Arial" w:hAnsi="Arial" w:cs="Arial"/>
          <w:i/>
        </w:rPr>
      </w:pPr>
      <w:r w:rsidRPr="00AA5F3C">
        <w:rPr>
          <w:rFonts w:ascii="Arial" w:eastAsia="Calibri" w:hAnsi="Arial" w:cs="Arial"/>
          <w:i/>
          <w:lang w:eastAsia="en-AU"/>
        </w:rPr>
        <w:t>“Australian governments commit to working with all school sectors to support the senior years of schooling and the provision of high-quality pathways to facilitate effective transitions between further study, training and employment.”</w:t>
      </w:r>
    </w:p>
    <w:p w:rsidR="008D4463" w:rsidRPr="00AA5F3C" w:rsidRDefault="00777DD2" w:rsidP="00E619A9">
      <w:pPr>
        <w:spacing w:before="60" w:after="120" w:line="240" w:lineRule="auto"/>
        <w:rPr>
          <w:rFonts w:ascii="Arial" w:hAnsi="Arial" w:cs="Arial"/>
        </w:rPr>
      </w:pPr>
      <w:r>
        <w:rPr>
          <w:rFonts w:ascii="Arial" w:hAnsi="Arial" w:cs="Arial"/>
        </w:rPr>
        <w:t>All three schooling sectors uphold t</w:t>
      </w:r>
      <w:r w:rsidR="008D4463" w:rsidRPr="00AA5F3C">
        <w:rPr>
          <w:rFonts w:ascii="Arial" w:hAnsi="Arial" w:cs="Arial"/>
        </w:rPr>
        <w:t xml:space="preserve">hese principles </w:t>
      </w:r>
      <w:r>
        <w:rPr>
          <w:rFonts w:ascii="Arial" w:hAnsi="Arial" w:cs="Arial"/>
        </w:rPr>
        <w:t>which are inherent in the Commonwealth, State and individual sector policies.</w:t>
      </w:r>
      <w:r w:rsidR="008D4463" w:rsidRPr="00AA5F3C">
        <w:rPr>
          <w:rFonts w:ascii="Arial" w:hAnsi="Arial" w:cs="Arial"/>
        </w:rPr>
        <w:t xml:space="preserve"> </w:t>
      </w:r>
    </w:p>
    <w:p w:rsidR="008D4463" w:rsidRPr="00AA5F3C" w:rsidRDefault="008D4463" w:rsidP="00E619A9">
      <w:pPr>
        <w:spacing w:before="60" w:after="120" w:line="240" w:lineRule="auto"/>
        <w:rPr>
          <w:rFonts w:ascii="Arial" w:hAnsi="Arial" w:cs="Arial"/>
        </w:rPr>
      </w:pPr>
      <w:r w:rsidRPr="00AA5F3C">
        <w:rPr>
          <w:rFonts w:ascii="Arial" w:hAnsi="Arial" w:cs="Arial"/>
        </w:rPr>
        <w:t xml:space="preserve">State legislation which impacts upon the work of schools and achievement of the YAT NP objectives includes the </w:t>
      </w:r>
      <w:r w:rsidRPr="00AA5F3C">
        <w:rPr>
          <w:rFonts w:ascii="Arial" w:hAnsi="Arial" w:cs="Arial"/>
          <w:i/>
        </w:rPr>
        <w:t>Education Act 1972</w:t>
      </w:r>
      <w:r w:rsidRPr="00AA5F3C">
        <w:rPr>
          <w:rFonts w:ascii="Arial" w:hAnsi="Arial" w:cs="Arial"/>
        </w:rPr>
        <w:t xml:space="preserve"> which made attendance at school compulsory for all young people up to the age of 15 years, and the </w:t>
      </w:r>
      <w:r w:rsidRPr="00AA5F3C">
        <w:rPr>
          <w:rFonts w:ascii="Arial" w:hAnsi="Arial" w:cs="Arial"/>
          <w:i/>
        </w:rPr>
        <w:t>Education (Compulsory Education Age) Amendment Act 2007</w:t>
      </w:r>
      <w:r w:rsidRPr="00AA5F3C">
        <w:rPr>
          <w:rFonts w:ascii="Arial" w:hAnsi="Arial" w:cs="Arial"/>
        </w:rPr>
        <w:t xml:space="preserve">, which made it compulsory for young people until age 17 years to be enrolled in a school or approved </w:t>
      </w:r>
      <w:r w:rsidRPr="00AA5F3C">
        <w:rPr>
          <w:rFonts w:ascii="Arial" w:hAnsi="Arial" w:cs="Arial"/>
        </w:rPr>
        <w:lastRenderedPageBreak/>
        <w:t>learning program (including training) until such time as they had “achieved a qualification under an approved learning program”.</w:t>
      </w:r>
    </w:p>
    <w:p w:rsidR="008D4463" w:rsidRPr="00AA5F3C" w:rsidRDefault="008D4463" w:rsidP="00E619A9">
      <w:pPr>
        <w:spacing w:before="60" w:after="120" w:line="240" w:lineRule="auto"/>
        <w:rPr>
          <w:rFonts w:ascii="Arial" w:hAnsi="Arial" w:cs="Arial"/>
        </w:rPr>
      </w:pPr>
      <w:r w:rsidRPr="00AA5F3C">
        <w:rPr>
          <w:rFonts w:ascii="Arial" w:hAnsi="Arial" w:cs="Arial"/>
        </w:rPr>
        <w:t xml:space="preserve">Compliance with this legislation and implementation of the stated policies is supported by a range of structures, strategies and initiatives which expand pathway </w:t>
      </w:r>
      <w:proofErr w:type="gramStart"/>
      <w:r w:rsidRPr="00AA5F3C">
        <w:rPr>
          <w:rFonts w:ascii="Arial" w:hAnsi="Arial" w:cs="Arial"/>
        </w:rPr>
        <w:t>options,</w:t>
      </w:r>
      <w:proofErr w:type="gramEnd"/>
      <w:r w:rsidRPr="00AA5F3C">
        <w:rPr>
          <w:rFonts w:ascii="Arial" w:hAnsi="Arial" w:cs="Arial"/>
        </w:rPr>
        <w:t xml:space="preserve"> encourage young people to participate in education and training and support transitions from education to paid employment or appropriate alternative pathways. These include</w:t>
      </w:r>
    </w:p>
    <w:p w:rsidR="008D4463" w:rsidRPr="00AA5F3C" w:rsidRDefault="008D4463" w:rsidP="0040521B">
      <w:pPr>
        <w:numPr>
          <w:ilvl w:val="0"/>
          <w:numId w:val="25"/>
        </w:numPr>
        <w:spacing w:before="60" w:after="120" w:line="240" w:lineRule="auto"/>
        <w:rPr>
          <w:rFonts w:ascii="Arial" w:hAnsi="Arial" w:cs="Arial"/>
        </w:rPr>
      </w:pPr>
      <w:r w:rsidRPr="00AA5F3C">
        <w:rPr>
          <w:rFonts w:ascii="Arial" w:hAnsi="Arial" w:cs="Arial"/>
        </w:rPr>
        <w:t>The South Australian Certificate of Education (</w:t>
      </w:r>
      <w:proofErr w:type="spellStart"/>
      <w:r w:rsidRPr="00AA5F3C">
        <w:rPr>
          <w:rFonts w:ascii="Arial" w:hAnsi="Arial" w:cs="Arial"/>
        </w:rPr>
        <w:t>SACE</w:t>
      </w:r>
      <w:proofErr w:type="spellEnd"/>
      <w:r w:rsidRPr="00AA5F3C">
        <w:rPr>
          <w:rFonts w:ascii="Arial" w:hAnsi="Arial" w:cs="Arial"/>
        </w:rPr>
        <w:t xml:space="preserve">) structure, the flexibility of which provides a range of options for recognition of learning and training including a combination of academic and vocational </w:t>
      </w:r>
      <w:r w:rsidR="00C10AF9">
        <w:rPr>
          <w:rFonts w:ascii="Arial" w:hAnsi="Arial" w:cs="Arial"/>
        </w:rPr>
        <w:t xml:space="preserve">education and training (VET) </w:t>
      </w:r>
      <w:r w:rsidRPr="00AA5F3C">
        <w:rPr>
          <w:rFonts w:ascii="Arial" w:hAnsi="Arial" w:cs="Arial"/>
        </w:rPr>
        <w:t>qualifications.</w:t>
      </w:r>
    </w:p>
    <w:p w:rsidR="008D4463" w:rsidRPr="00AA5F3C" w:rsidRDefault="008D4463" w:rsidP="0040521B">
      <w:pPr>
        <w:numPr>
          <w:ilvl w:val="0"/>
          <w:numId w:val="25"/>
        </w:numPr>
        <w:spacing w:before="60" w:after="120" w:line="240" w:lineRule="auto"/>
        <w:rPr>
          <w:rFonts w:ascii="Arial" w:hAnsi="Arial" w:cs="Arial"/>
        </w:rPr>
      </w:pPr>
      <w:r w:rsidRPr="00AA5F3C">
        <w:rPr>
          <w:rFonts w:ascii="Arial" w:hAnsi="Arial" w:cs="Arial"/>
        </w:rPr>
        <w:t>A mandatory Personal Learning Plan (</w:t>
      </w:r>
      <w:proofErr w:type="spellStart"/>
      <w:r w:rsidRPr="00AA5F3C">
        <w:rPr>
          <w:rFonts w:ascii="Arial" w:hAnsi="Arial" w:cs="Arial"/>
        </w:rPr>
        <w:t>PLP</w:t>
      </w:r>
      <w:proofErr w:type="spellEnd"/>
      <w:r w:rsidRPr="00AA5F3C">
        <w:rPr>
          <w:rFonts w:ascii="Arial" w:hAnsi="Arial" w:cs="Arial"/>
        </w:rPr>
        <w:t xml:space="preserve">) component within the </w:t>
      </w:r>
      <w:proofErr w:type="spellStart"/>
      <w:r w:rsidRPr="00AA5F3C">
        <w:rPr>
          <w:rFonts w:ascii="Arial" w:hAnsi="Arial" w:cs="Arial"/>
        </w:rPr>
        <w:t>SACE</w:t>
      </w:r>
      <w:proofErr w:type="spellEnd"/>
      <w:r w:rsidRPr="00AA5F3C">
        <w:rPr>
          <w:rFonts w:ascii="Arial" w:hAnsi="Arial" w:cs="Arial"/>
        </w:rPr>
        <w:t>, this plan providing opportunities for students to explore a range of options and relevant activities in planning future pathways</w:t>
      </w:r>
      <w:r w:rsidR="0058137C">
        <w:rPr>
          <w:rFonts w:ascii="Arial" w:hAnsi="Arial" w:cs="Arial"/>
        </w:rPr>
        <w:t>.</w:t>
      </w:r>
    </w:p>
    <w:p w:rsidR="008D4463" w:rsidRPr="00AA5F3C" w:rsidRDefault="008D4463" w:rsidP="0040521B">
      <w:pPr>
        <w:numPr>
          <w:ilvl w:val="0"/>
          <w:numId w:val="25"/>
        </w:numPr>
        <w:spacing w:before="60" w:after="120" w:line="240" w:lineRule="auto"/>
        <w:rPr>
          <w:rFonts w:ascii="Arial" w:hAnsi="Arial" w:cs="Arial"/>
        </w:rPr>
      </w:pPr>
      <w:r w:rsidRPr="00AA5F3C">
        <w:rPr>
          <w:rFonts w:ascii="Arial" w:hAnsi="Arial" w:cs="Arial"/>
        </w:rPr>
        <w:t>A comprehensive and widely accessed VET suite of programs</w:t>
      </w:r>
      <w:r w:rsidR="00C10AF9">
        <w:rPr>
          <w:rFonts w:ascii="Arial" w:hAnsi="Arial" w:cs="Arial"/>
        </w:rPr>
        <w:t>/qualifications</w:t>
      </w:r>
      <w:r w:rsidRPr="00AA5F3C">
        <w:rPr>
          <w:rFonts w:ascii="Arial" w:hAnsi="Arial" w:cs="Arial"/>
        </w:rPr>
        <w:t xml:space="preserve"> in addition to school-based Apprenticeships and</w:t>
      </w:r>
      <w:r w:rsidR="0058137C">
        <w:rPr>
          <w:rFonts w:ascii="Arial" w:hAnsi="Arial" w:cs="Arial"/>
        </w:rPr>
        <w:t>/or</w:t>
      </w:r>
      <w:r w:rsidRPr="00AA5F3C">
        <w:rPr>
          <w:rFonts w:ascii="Arial" w:hAnsi="Arial" w:cs="Arial"/>
        </w:rPr>
        <w:t xml:space="preserve"> Traineeships</w:t>
      </w:r>
      <w:r w:rsidR="0058137C">
        <w:rPr>
          <w:rFonts w:ascii="Arial" w:hAnsi="Arial" w:cs="Arial"/>
        </w:rPr>
        <w:t>.</w:t>
      </w:r>
    </w:p>
    <w:p w:rsidR="00D767D8" w:rsidRDefault="008D4463" w:rsidP="0040521B">
      <w:pPr>
        <w:numPr>
          <w:ilvl w:val="0"/>
          <w:numId w:val="25"/>
        </w:numPr>
        <w:spacing w:before="60" w:after="120" w:line="240" w:lineRule="auto"/>
        <w:rPr>
          <w:rFonts w:ascii="Arial" w:hAnsi="Arial" w:cs="Arial"/>
        </w:rPr>
      </w:pPr>
      <w:r w:rsidRPr="00AA5F3C">
        <w:rPr>
          <w:rFonts w:ascii="Arial" w:hAnsi="Arial" w:cs="Arial"/>
        </w:rPr>
        <w:t>Coordinated programs and services, at a local level, which provide early intervention and support for students at risk of not engaging or completing education and/or training</w:t>
      </w:r>
      <w:r w:rsidR="0058137C">
        <w:rPr>
          <w:rFonts w:ascii="Arial" w:hAnsi="Arial" w:cs="Arial"/>
        </w:rPr>
        <w:t>.</w:t>
      </w:r>
    </w:p>
    <w:p w:rsidR="00D767D8" w:rsidRPr="00481093" w:rsidRDefault="00124D43" w:rsidP="00E619A9">
      <w:pPr>
        <w:tabs>
          <w:tab w:val="left" w:pos="0"/>
        </w:tabs>
        <w:spacing w:before="60" w:after="120" w:line="240" w:lineRule="auto"/>
        <w:rPr>
          <w:rFonts w:ascii="Arial" w:hAnsi="Arial" w:cs="Arial"/>
        </w:rPr>
      </w:pPr>
      <w:r>
        <w:rPr>
          <w:rFonts w:ascii="Arial" w:hAnsi="Arial" w:cs="Arial"/>
        </w:rPr>
        <w:t>It is worth noting</w:t>
      </w:r>
      <w:r w:rsidR="00D767D8">
        <w:rPr>
          <w:rFonts w:ascii="Arial" w:hAnsi="Arial" w:cs="Arial"/>
        </w:rPr>
        <w:t xml:space="preserve"> that in 2012 of the 12,000 plus students in South Australia completing their </w:t>
      </w:r>
      <w:proofErr w:type="spellStart"/>
      <w:r w:rsidR="00D767D8">
        <w:rPr>
          <w:rFonts w:ascii="Arial" w:hAnsi="Arial" w:cs="Arial"/>
        </w:rPr>
        <w:t>SACE</w:t>
      </w:r>
      <w:proofErr w:type="spellEnd"/>
      <w:r w:rsidR="00D767D8">
        <w:rPr>
          <w:rFonts w:ascii="Arial" w:hAnsi="Arial" w:cs="Arial"/>
        </w:rPr>
        <w:t xml:space="preserve"> 38% included VET competencies within the award.</w:t>
      </w:r>
    </w:p>
    <w:p w:rsidR="00793E43" w:rsidRPr="00AA5F3C" w:rsidRDefault="00793E43" w:rsidP="00C17EF5">
      <w:pPr>
        <w:pStyle w:val="Heading2"/>
      </w:pPr>
      <w:bookmarkStart w:id="10" w:name="_Toc320003796"/>
      <w:bookmarkStart w:id="11" w:name="_Toc384038219"/>
      <w:r w:rsidRPr="00AA5F3C">
        <w:t xml:space="preserve">Broad </w:t>
      </w:r>
      <w:r w:rsidRPr="00E619A9">
        <w:t>education</w:t>
      </w:r>
      <w:r w:rsidRPr="00AA5F3C">
        <w:t xml:space="preserve"> reform directions</w:t>
      </w:r>
      <w:bookmarkEnd w:id="10"/>
      <w:bookmarkEnd w:id="11"/>
      <w:r w:rsidRPr="00AA5F3C">
        <w:t xml:space="preserve"> </w:t>
      </w:r>
    </w:p>
    <w:p w:rsidR="008D4463" w:rsidRPr="00AA5F3C" w:rsidRDefault="008D4463" w:rsidP="00E619A9">
      <w:pPr>
        <w:spacing w:before="60" w:after="60" w:line="240" w:lineRule="auto"/>
        <w:rPr>
          <w:rFonts w:ascii="Arial" w:hAnsi="Arial" w:cs="Arial"/>
        </w:rPr>
      </w:pPr>
      <w:r w:rsidRPr="00AA5F3C">
        <w:rPr>
          <w:rFonts w:ascii="Arial" w:hAnsi="Arial" w:cs="Arial"/>
        </w:rPr>
        <w:t xml:space="preserve">In October 2011 the Department for Education and Child Development (DECD) was created which integrated particular functions and services from the former Department of Families and Communities, Department of Health and the former Department of Education and Children’s Services. </w:t>
      </w:r>
    </w:p>
    <w:p w:rsidR="008D4463" w:rsidRPr="00AA5F3C" w:rsidRDefault="008D4463" w:rsidP="00E619A9">
      <w:pPr>
        <w:spacing w:before="60" w:after="120" w:line="240" w:lineRule="auto"/>
        <w:rPr>
          <w:rFonts w:ascii="Arial" w:hAnsi="Arial" w:cs="Arial"/>
        </w:rPr>
      </w:pPr>
      <w:r w:rsidRPr="00AA5F3C">
        <w:rPr>
          <w:rFonts w:ascii="Arial" w:hAnsi="Arial" w:cs="Arial"/>
        </w:rPr>
        <w:t xml:space="preserve">The new department is reforming the way education and services are delivered. </w:t>
      </w:r>
      <w:r w:rsidR="00DB2036" w:rsidRPr="00AA5F3C">
        <w:rPr>
          <w:rFonts w:ascii="Arial" w:hAnsi="Arial" w:cs="Arial"/>
        </w:rPr>
        <w:t xml:space="preserve">The </w:t>
      </w:r>
      <w:r w:rsidR="00DB2036" w:rsidRPr="00AA5F3C">
        <w:rPr>
          <w:rFonts w:ascii="Arial" w:hAnsi="Arial" w:cs="Arial"/>
          <w:i/>
        </w:rPr>
        <w:t>Every Chance for Every Child, No Wrong Door</w:t>
      </w:r>
      <w:r w:rsidR="00DB2036" w:rsidRPr="00AA5F3C">
        <w:rPr>
          <w:rFonts w:ascii="Arial" w:hAnsi="Arial" w:cs="Arial"/>
        </w:rPr>
        <w:t xml:space="preserve"> approach</w:t>
      </w:r>
      <w:r w:rsidRPr="00AA5F3C">
        <w:rPr>
          <w:rFonts w:ascii="Arial" w:hAnsi="Arial" w:cs="Arial"/>
        </w:rPr>
        <w:t xml:space="preserve"> takes collective responsibility for all children and young people, providing opportunity for stronger integration and working partnerships, internally and across government with partners in the community to allow families and carers to access easily the range and intensity of services they need for the health, development, education and safety of their children.</w:t>
      </w:r>
    </w:p>
    <w:p w:rsidR="008D4463" w:rsidRPr="00AA5F3C" w:rsidRDefault="008D4463" w:rsidP="00E619A9">
      <w:pPr>
        <w:spacing w:before="60" w:after="120" w:line="240" w:lineRule="auto"/>
        <w:rPr>
          <w:rFonts w:ascii="Arial" w:hAnsi="Arial" w:cs="Arial"/>
        </w:rPr>
      </w:pPr>
      <w:r w:rsidRPr="00AA5F3C">
        <w:rPr>
          <w:rFonts w:ascii="Arial" w:hAnsi="Arial" w:cs="Arial"/>
        </w:rPr>
        <w:t xml:space="preserve">In January 2012 the new ministerial portfolio, </w:t>
      </w:r>
      <w:r w:rsidRPr="00AA5F3C">
        <w:rPr>
          <w:rFonts w:ascii="Arial" w:hAnsi="Arial" w:cs="Arial"/>
          <w:i/>
        </w:rPr>
        <w:t>Education and Child Development</w:t>
      </w:r>
      <w:r w:rsidRPr="00AA5F3C">
        <w:rPr>
          <w:rFonts w:ascii="Arial" w:hAnsi="Arial" w:cs="Arial"/>
        </w:rPr>
        <w:t>, was created to oversee and manage this new department.</w:t>
      </w:r>
    </w:p>
    <w:p w:rsidR="008D4463" w:rsidRPr="00AA5F3C" w:rsidRDefault="008D4463" w:rsidP="00E619A9">
      <w:pPr>
        <w:spacing w:before="60" w:after="120" w:line="240" w:lineRule="auto"/>
        <w:rPr>
          <w:rFonts w:ascii="Arial" w:hAnsi="Arial" w:cs="Arial"/>
        </w:rPr>
      </w:pPr>
      <w:r w:rsidRPr="00AA5F3C">
        <w:rPr>
          <w:rFonts w:ascii="Arial" w:hAnsi="Arial" w:cs="Arial"/>
        </w:rPr>
        <w:t>This integration will be in place from January 2014 but during 2012 a period of intense disc</w:t>
      </w:r>
      <w:r w:rsidR="002F7617">
        <w:rPr>
          <w:rFonts w:ascii="Arial" w:hAnsi="Arial" w:cs="Arial"/>
        </w:rPr>
        <w:t>ussion, consultation and organis</w:t>
      </w:r>
      <w:r w:rsidRPr="00AA5F3C">
        <w:rPr>
          <w:rFonts w:ascii="Arial" w:hAnsi="Arial" w:cs="Arial"/>
        </w:rPr>
        <w:t xml:space="preserve">ational change took place and significant policy, structural and operational functions were reviewed to develop a blueprint for the future. </w:t>
      </w:r>
    </w:p>
    <w:p w:rsidR="00DB2036" w:rsidRPr="00AA5F3C" w:rsidRDefault="00DB2036" w:rsidP="00E619A9">
      <w:pPr>
        <w:spacing w:before="60" w:after="120" w:line="240" w:lineRule="auto"/>
        <w:rPr>
          <w:rFonts w:ascii="Arial" w:hAnsi="Arial" w:cs="Arial"/>
        </w:rPr>
      </w:pPr>
      <w:r w:rsidRPr="00AA5F3C">
        <w:rPr>
          <w:rFonts w:ascii="Arial" w:hAnsi="Arial" w:cs="Arial"/>
        </w:rPr>
        <w:t xml:space="preserve">In terms of delivery of improved educational outcomes, the government sector </w:t>
      </w:r>
      <w:r w:rsidR="005B378C">
        <w:rPr>
          <w:rFonts w:ascii="Arial" w:hAnsi="Arial" w:cs="Arial"/>
        </w:rPr>
        <w:t xml:space="preserve">in SA </w:t>
      </w:r>
      <w:r w:rsidRPr="00AA5F3C">
        <w:rPr>
          <w:rFonts w:ascii="Arial" w:hAnsi="Arial" w:cs="Arial"/>
        </w:rPr>
        <w:t>has developed the Teaching for Effective Learning (</w:t>
      </w:r>
      <w:proofErr w:type="spellStart"/>
      <w:proofErr w:type="gramStart"/>
      <w:r w:rsidRPr="00AA5F3C">
        <w:rPr>
          <w:rFonts w:ascii="Arial" w:hAnsi="Arial" w:cs="Arial"/>
        </w:rPr>
        <w:t>TeFL</w:t>
      </w:r>
      <w:proofErr w:type="spellEnd"/>
      <w:proofErr w:type="gramEnd"/>
      <w:r w:rsidRPr="00AA5F3C">
        <w:rPr>
          <w:rFonts w:ascii="Arial" w:hAnsi="Arial" w:cs="Arial"/>
        </w:rPr>
        <w:t xml:space="preserve">) </w:t>
      </w:r>
      <w:r w:rsidR="00CF68CC" w:rsidRPr="00AA5F3C">
        <w:rPr>
          <w:rFonts w:ascii="Arial" w:hAnsi="Arial" w:cs="Arial"/>
        </w:rPr>
        <w:t>framework which will support teachers to embrace more effective pedagogical approaches to learning.  To assist teachers t</w:t>
      </w:r>
      <w:r w:rsidR="002F7617">
        <w:rPr>
          <w:rFonts w:ascii="Arial" w:hAnsi="Arial" w:cs="Arial"/>
        </w:rPr>
        <w:t>o be more intentional and focus</w:t>
      </w:r>
      <w:r w:rsidR="00CF68CC" w:rsidRPr="00AA5F3C">
        <w:rPr>
          <w:rFonts w:ascii="Arial" w:hAnsi="Arial" w:cs="Arial"/>
        </w:rPr>
        <w:t xml:space="preserve">ed on the engagement and challenge of learners, the concept of Learning Design has been introduced. </w:t>
      </w:r>
      <w:r w:rsidRPr="00AA5F3C">
        <w:rPr>
          <w:rFonts w:ascii="Arial" w:hAnsi="Arial" w:cs="Arial"/>
        </w:rPr>
        <w:t>The focus is not on</w:t>
      </w:r>
      <w:r w:rsidR="00253764" w:rsidRPr="00AA5F3C">
        <w:rPr>
          <w:rFonts w:ascii="Arial" w:hAnsi="Arial" w:cs="Arial"/>
        </w:rPr>
        <w:t>l</w:t>
      </w:r>
      <w:r w:rsidRPr="00AA5F3C">
        <w:rPr>
          <w:rFonts w:ascii="Arial" w:hAnsi="Arial" w:cs="Arial"/>
        </w:rPr>
        <w:t xml:space="preserve">y on content but </w:t>
      </w:r>
      <w:r w:rsidR="00253764" w:rsidRPr="00AA5F3C">
        <w:rPr>
          <w:rFonts w:ascii="Arial" w:hAnsi="Arial" w:cs="Arial"/>
        </w:rPr>
        <w:t xml:space="preserve">also on </w:t>
      </w:r>
      <w:r w:rsidRPr="00AA5F3C">
        <w:rPr>
          <w:rFonts w:ascii="Arial" w:hAnsi="Arial" w:cs="Arial"/>
        </w:rPr>
        <w:t xml:space="preserve">improved pedagogy to meet the needs of individual students.  To support this, during 2012 </w:t>
      </w:r>
      <w:r w:rsidR="00253764" w:rsidRPr="00AA5F3C">
        <w:rPr>
          <w:rFonts w:ascii="Arial" w:hAnsi="Arial" w:cs="Arial"/>
        </w:rPr>
        <w:t xml:space="preserve">Secondary Implementation Officers have worked with leadership at every school site to plan and manage implementation of this strategy.  In addition the Leadership and Learning team worked in regional clusters with school leaders for implementation of </w:t>
      </w:r>
      <w:proofErr w:type="spellStart"/>
      <w:proofErr w:type="gramStart"/>
      <w:r w:rsidR="00253764" w:rsidRPr="00AA5F3C">
        <w:rPr>
          <w:rFonts w:ascii="Arial" w:hAnsi="Arial" w:cs="Arial"/>
        </w:rPr>
        <w:t>TeFL</w:t>
      </w:r>
      <w:proofErr w:type="spellEnd"/>
      <w:proofErr w:type="gramEnd"/>
      <w:r w:rsidR="00253764" w:rsidRPr="00AA5F3C">
        <w:rPr>
          <w:rFonts w:ascii="Arial" w:hAnsi="Arial" w:cs="Arial"/>
        </w:rPr>
        <w:t xml:space="preserve"> in every classroom.</w:t>
      </w:r>
    </w:p>
    <w:p w:rsidR="007D267D" w:rsidRPr="00AA5F3C" w:rsidRDefault="00E51387" w:rsidP="00E619A9">
      <w:pPr>
        <w:spacing w:before="60" w:after="120" w:line="240" w:lineRule="auto"/>
        <w:rPr>
          <w:rFonts w:ascii="Arial" w:hAnsi="Arial" w:cs="Arial"/>
        </w:rPr>
      </w:pPr>
      <w:r>
        <w:rPr>
          <w:rFonts w:ascii="Arial" w:hAnsi="Arial" w:cs="Arial"/>
        </w:rPr>
        <w:t>In S</w:t>
      </w:r>
      <w:r w:rsidR="006B5790">
        <w:rPr>
          <w:rFonts w:ascii="Arial" w:hAnsi="Arial" w:cs="Arial"/>
        </w:rPr>
        <w:t xml:space="preserve">outh </w:t>
      </w:r>
      <w:r>
        <w:rPr>
          <w:rFonts w:ascii="Arial" w:hAnsi="Arial" w:cs="Arial"/>
        </w:rPr>
        <w:t>A</w:t>
      </w:r>
      <w:r w:rsidR="006B5790">
        <w:rPr>
          <w:rFonts w:ascii="Arial" w:hAnsi="Arial" w:cs="Arial"/>
        </w:rPr>
        <w:t>ustralia</w:t>
      </w:r>
      <w:r>
        <w:rPr>
          <w:rFonts w:ascii="Arial" w:hAnsi="Arial" w:cs="Arial"/>
        </w:rPr>
        <w:t xml:space="preserve"> the three schooling sectors have been actively involved in the shaping, writing and implementation of the Australian Curriculum. C</w:t>
      </w:r>
      <w:r w:rsidR="00A70434">
        <w:rPr>
          <w:rFonts w:ascii="Arial" w:hAnsi="Arial" w:cs="Arial"/>
        </w:rPr>
        <w:t>onsultants and</w:t>
      </w:r>
      <w:r>
        <w:rPr>
          <w:rFonts w:ascii="Arial" w:hAnsi="Arial" w:cs="Arial"/>
        </w:rPr>
        <w:t>/or</w:t>
      </w:r>
      <w:r w:rsidR="00A70434">
        <w:rPr>
          <w:rFonts w:ascii="Arial" w:hAnsi="Arial" w:cs="Arial"/>
        </w:rPr>
        <w:t xml:space="preserve"> </w:t>
      </w:r>
      <w:r>
        <w:rPr>
          <w:rFonts w:ascii="Arial" w:hAnsi="Arial" w:cs="Arial"/>
        </w:rPr>
        <w:t>I</w:t>
      </w:r>
      <w:r w:rsidR="00A70434">
        <w:rPr>
          <w:rFonts w:ascii="Arial" w:hAnsi="Arial" w:cs="Arial"/>
        </w:rPr>
        <w:t xml:space="preserve">mplementation </w:t>
      </w:r>
      <w:r>
        <w:rPr>
          <w:rFonts w:ascii="Arial" w:hAnsi="Arial" w:cs="Arial"/>
        </w:rPr>
        <w:t>O</w:t>
      </w:r>
      <w:r w:rsidR="00A70434">
        <w:rPr>
          <w:rFonts w:ascii="Arial" w:hAnsi="Arial" w:cs="Arial"/>
        </w:rPr>
        <w:t xml:space="preserve">fficers </w:t>
      </w:r>
      <w:r w:rsidR="006B5790">
        <w:rPr>
          <w:rFonts w:ascii="Arial" w:hAnsi="Arial" w:cs="Arial"/>
        </w:rPr>
        <w:t xml:space="preserve">have been engaged to </w:t>
      </w:r>
      <w:r w:rsidR="00A70434">
        <w:rPr>
          <w:rFonts w:ascii="Arial" w:hAnsi="Arial" w:cs="Arial"/>
        </w:rPr>
        <w:t>support</w:t>
      </w:r>
      <w:r w:rsidR="004F191E">
        <w:rPr>
          <w:rFonts w:ascii="Arial" w:hAnsi="Arial" w:cs="Arial"/>
        </w:rPr>
        <w:t xml:space="preserve"> school </w:t>
      </w:r>
      <w:r w:rsidR="007D267D" w:rsidRPr="00AA5F3C">
        <w:rPr>
          <w:rFonts w:ascii="Arial" w:hAnsi="Arial" w:cs="Arial"/>
        </w:rPr>
        <w:t>staff in professional learning and familiari</w:t>
      </w:r>
      <w:r w:rsidR="005B378C">
        <w:rPr>
          <w:rFonts w:ascii="Arial" w:hAnsi="Arial" w:cs="Arial"/>
        </w:rPr>
        <w:t>s</w:t>
      </w:r>
      <w:r w:rsidR="007D267D" w:rsidRPr="00AA5F3C">
        <w:rPr>
          <w:rFonts w:ascii="Arial" w:hAnsi="Arial" w:cs="Arial"/>
        </w:rPr>
        <w:t xml:space="preserve">ation </w:t>
      </w:r>
      <w:r w:rsidR="00A70434">
        <w:rPr>
          <w:rFonts w:ascii="Arial" w:hAnsi="Arial" w:cs="Arial"/>
        </w:rPr>
        <w:t xml:space="preserve">for delivery of the Australian Curriculum, specifically for </w:t>
      </w:r>
      <w:r w:rsidR="007D267D" w:rsidRPr="00AA5F3C">
        <w:rPr>
          <w:rFonts w:ascii="Arial" w:hAnsi="Arial" w:cs="Arial"/>
        </w:rPr>
        <w:t>English, Science, Mathematics and History components</w:t>
      </w:r>
      <w:r w:rsidR="00A70434">
        <w:rPr>
          <w:rFonts w:ascii="Arial" w:hAnsi="Arial" w:cs="Arial"/>
        </w:rPr>
        <w:t>,</w:t>
      </w:r>
      <w:r w:rsidR="007D267D" w:rsidRPr="00AA5F3C">
        <w:rPr>
          <w:rFonts w:ascii="Arial" w:hAnsi="Arial" w:cs="Arial"/>
        </w:rPr>
        <w:t xml:space="preserve"> in preparation for implementation at Year 8 level in 2013.</w:t>
      </w:r>
      <w:r w:rsidR="00A70434">
        <w:rPr>
          <w:rFonts w:ascii="Arial" w:hAnsi="Arial" w:cs="Arial"/>
        </w:rPr>
        <w:t xml:space="preserve">  </w:t>
      </w:r>
    </w:p>
    <w:p w:rsidR="00596E7C" w:rsidRPr="00AA5F3C" w:rsidRDefault="00596E7C" w:rsidP="00E619A9">
      <w:pPr>
        <w:spacing w:before="60" w:after="120" w:line="240" w:lineRule="auto"/>
        <w:rPr>
          <w:rFonts w:ascii="Arial" w:hAnsi="Arial" w:cs="Arial"/>
        </w:rPr>
      </w:pPr>
      <w:r w:rsidRPr="00AA5F3C">
        <w:rPr>
          <w:rFonts w:ascii="Arial" w:hAnsi="Arial" w:cs="Arial"/>
        </w:rPr>
        <w:t>In 2011 the Science, Technology, Engineering and Mathematics</w:t>
      </w:r>
      <w:r w:rsidR="00CF68CC" w:rsidRPr="00AA5F3C">
        <w:rPr>
          <w:rFonts w:ascii="Arial" w:hAnsi="Arial" w:cs="Arial"/>
        </w:rPr>
        <w:t xml:space="preserve"> (STEM)</w:t>
      </w:r>
      <w:r w:rsidRPr="00AA5F3C">
        <w:rPr>
          <w:rFonts w:ascii="Arial" w:hAnsi="Arial" w:cs="Arial"/>
        </w:rPr>
        <w:t xml:space="preserve"> strategy was announced and in May 2012 the </w:t>
      </w:r>
      <w:r w:rsidRPr="00AA5F3C">
        <w:rPr>
          <w:rFonts w:ascii="Arial" w:hAnsi="Arial" w:cs="Arial"/>
          <w:i/>
        </w:rPr>
        <w:t>Health of Australian Science</w:t>
      </w:r>
      <w:r w:rsidRPr="00AA5F3C">
        <w:rPr>
          <w:rFonts w:ascii="Arial" w:hAnsi="Arial" w:cs="Arial"/>
        </w:rPr>
        <w:t xml:space="preserve"> and </w:t>
      </w:r>
      <w:r w:rsidRPr="00AA5F3C">
        <w:rPr>
          <w:rFonts w:ascii="Arial" w:hAnsi="Arial" w:cs="Arial"/>
          <w:i/>
        </w:rPr>
        <w:t>Maths, Eng</w:t>
      </w:r>
      <w:r w:rsidR="00CF68CC" w:rsidRPr="00AA5F3C">
        <w:rPr>
          <w:rFonts w:ascii="Arial" w:hAnsi="Arial" w:cs="Arial"/>
          <w:i/>
        </w:rPr>
        <w:t>ineering</w:t>
      </w:r>
      <w:r w:rsidRPr="00AA5F3C">
        <w:rPr>
          <w:rFonts w:ascii="Arial" w:hAnsi="Arial" w:cs="Arial"/>
          <w:i/>
        </w:rPr>
        <w:t xml:space="preserve"> and Science in the National Interest</w:t>
      </w:r>
      <w:r w:rsidRPr="00AA5F3C">
        <w:rPr>
          <w:rFonts w:ascii="Arial" w:hAnsi="Arial" w:cs="Arial"/>
        </w:rPr>
        <w:t xml:space="preserve"> reports were published.  These reports influenced the development of national </w:t>
      </w:r>
      <w:r w:rsidRPr="00AA5F3C">
        <w:rPr>
          <w:rFonts w:ascii="Arial" w:hAnsi="Arial" w:cs="Arial"/>
        </w:rPr>
        <w:lastRenderedPageBreak/>
        <w:t>projects and ha</w:t>
      </w:r>
      <w:r w:rsidR="005E57E0" w:rsidRPr="00AA5F3C">
        <w:rPr>
          <w:rFonts w:ascii="Arial" w:hAnsi="Arial" w:cs="Arial"/>
        </w:rPr>
        <w:t>ve</w:t>
      </w:r>
      <w:r w:rsidRPr="00AA5F3C">
        <w:rPr>
          <w:rFonts w:ascii="Arial" w:hAnsi="Arial" w:cs="Arial"/>
        </w:rPr>
        <w:t xml:space="preserve"> guided the work in schooling and education/training sectors.  The South Australian STEM </w:t>
      </w:r>
      <w:r w:rsidR="00CF68CC" w:rsidRPr="00AA5F3C">
        <w:rPr>
          <w:rFonts w:ascii="Arial" w:hAnsi="Arial" w:cs="Arial"/>
        </w:rPr>
        <w:t xml:space="preserve">Skills </w:t>
      </w:r>
      <w:r w:rsidRPr="00AA5F3C">
        <w:rPr>
          <w:rFonts w:ascii="Arial" w:hAnsi="Arial" w:cs="Arial"/>
        </w:rPr>
        <w:t>Strategy was implemented with personnel assigned to manage this strategy</w:t>
      </w:r>
      <w:r w:rsidR="00CF68CC" w:rsidRPr="00AA5F3C">
        <w:rPr>
          <w:rFonts w:ascii="Arial" w:hAnsi="Arial" w:cs="Arial"/>
        </w:rPr>
        <w:t xml:space="preserve"> th</w:t>
      </w:r>
      <w:r w:rsidR="001975CF" w:rsidRPr="00AA5F3C">
        <w:rPr>
          <w:rFonts w:ascii="Arial" w:hAnsi="Arial" w:cs="Arial"/>
        </w:rPr>
        <w:t>rough the SA Department of</w:t>
      </w:r>
      <w:r w:rsidR="00CF68CC" w:rsidRPr="00AA5F3C">
        <w:rPr>
          <w:rFonts w:ascii="Arial" w:hAnsi="Arial" w:cs="Arial"/>
        </w:rPr>
        <w:t xml:space="preserve"> Further Education, Employment</w:t>
      </w:r>
      <w:r w:rsidR="001975CF" w:rsidRPr="00AA5F3C">
        <w:rPr>
          <w:rFonts w:ascii="Arial" w:hAnsi="Arial" w:cs="Arial"/>
        </w:rPr>
        <w:t>, Science and Technology (</w:t>
      </w:r>
      <w:proofErr w:type="spellStart"/>
      <w:r w:rsidR="001975CF" w:rsidRPr="00AA5F3C">
        <w:rPr>
          <w:rFonts w:ascii="Arial" w:hAnsi="Arial" w:cs="Arial"/>
        </w:rPr>
        <w:t>DFEEST</w:t>
      </w:r>
      <w:proofErr w:type="spellEnd"/>
      <w:r w:rsidR="001975CF" w:rsidRPr="00AA5F3C">
        <w:rPr>
          <w:rFonts w:ascii="Arial" w:hAnsi="Arial" w:cs="Arial"/>
        </w:rPr>
        <w:t>)</w:t>
      </w:r>
      <w:r w:rsidR="00CF68CC" w:rsidRPr="00AA5F3C">
        <w:rPr>
          <w:rFonts w:ascii="Arial" w:hAnsi="Arial" w:cs="Arial"/>
        </w:rPr>
        <w:t>.</w:t>
      </w:r>
      <w:r w:rsidRPr="00AA5F3C">
        <w:rPr>
          <w:rFonts w:ascii="Arial" w:hAnsi="Arial" w:cs="Arial"/>
        </w:rPr>
        <w:t xml:space="preserve"> </w:t>
      </w:r>
    </w:p>
    <w:p w:rsidR="00596E7C" w:rsidRPr="00AA5F3C" w:rsidRDefault="00596E7C" w:rsidP="00E619A9">
      <w:pPr>
        <w:spacing w:before="60" w:after="120" w:line="240" w:lineRule="auto"/>
        <w:rPr>
          <w:rFonts w:ascii="Arial" w:hAnsi="Arial" w:cs="Arial"/>
        </w:rPr>
      </w:pPr>
      <w:r w:rsidRPr="00AA5F3C">
        <w:rPr>
          <w:rFonts w:ascii="Arial" w:hAnsi="Arial" w:cs="Arial"/>
        </w:rPr>
        <w:t xml:space="preserve">The objective of this strategy is </w:t>
      </w:r>
      <w:r w:rsidR="00FE26AC" w:rsidRPr="00AA5F3C">
        <w:rPr>
          <w:rFonts w:ascii="Arial" w:hAnsi="Arial" w:cs="Arial"/>
        </w:rPr>
        <w:t>to promote</w:t>
      </w:r>
      <w:r w:rsidRPr="00AA5F3C">
        <w:rPr>
          <w:rFonts w:ascii="Arial" w:hAnsi="Arial" w:cs="Arial"/>
        </w:rPr>
        <w:t xml:space="preserve"> STEM as a priority</w:t>
      </w:r>
      <w:r w:rsidR="0056444F" w:rsidRPr="00AA5F3C">
        <w:rPr>
          <w:rFonts w:ascii="Arial" w:hAnsi="Arial" w:cs="Arial"/>
        </w:rPr>
        <w:t xml:space="preserve">, reach a wider audience and emphasise STEM as critical elements of students’ learning. The goal is that STEM </w:t>
      </w:r>
      <w:r w:rsidR="00FE26AC" w:rsidRPr="00AA5F3C">
        <w:rPr>
          <w:rFonts w:ascii="Arial" w:hAnsi="Arial" w:cs="Arial"/>
        </w:rPr>
        <w:t>is incorporated as an integral part of</w:t>
      </w:r>
      <w:r w:rsidR="0056444F" w:rsidRPr="00AA5F3C">
        <w:rPr>
          <w:rFonts w:ascii="Arial" w:hAnsi="Arial" w:cs="Arial"/>
        </w:rPr>
        <w:t xml:space="preserve"> education and career development planning</w:t>
      </w:r>
      <w:r w:rsidRPr="00AA5F3C">
        <w:rPr>
          <w:rFonts w:ascii="Arial" w:hAnsi="Arial" w:cs="Arial"/>
        </w:rPr>
        <w:t xml:space="preserve">, and </w:t>
      </w:r>
      <w:r w:rsidR="00FE26AC" w:rsidRPr="00AA5F3C">
        <w:rPr>
          <w:rFonts w:ascii="Arial" w:hAnsi="Arial" w:cs="Arial"/>
        </w:rPr>
        <w:t>has increased focus</w:t>
      </w:r>
      <w:r w:rsidRPr="00AA5F3C">
        <w:rPr>
          <w:rFonts w:ascii="Arial" w:hAnsi="Arial" w:cs="Arial"/>
        </w:rPr>
        <w:t xml:space="preserve"> in the work of schools.</w:t>
      </w:r>
      <w:r w:rsidR="00FE26AC" w:rsidRPr="00AA5F3C">
        <w:rPr>
          <w:rFonts w:ascii="Arial" w:hAnsi="Arial" w:cs="Arial"/>
        </w:rPr>
        <w:t xml:space="preserve">  A DECD STEM Skills Strategy was approved for development </w:t>
      </w:r>
      <w:r w:rsidR="004F191E">
        <w:rPr>
          <w:rFonts w:ascii="Arial" w:hAnsi="Arial" w:cs="Arial"/>
        </w:rPr>
        <w:t>with a pos</w:t>
      </w:r>
      <w:r w:rsidR="009D091E">
        <w:rPr>
          <w:rFonts w:ascii="Arial" w:hAnsi="Arial" w:cs="Arial"/>
        </w:rPr>
        <w:t>i</w:t>
      </w:r>
      <w:r w:rsidR="004F191E">
        <w:rPr>
          <w:rFonts w:ascii="Arial" w:hAnsi="Arial" w:cs="Arial"/>
        </w:rPr>
        <w:t xml:space="preserve">tion created </w:t>
      </w:r>
      <w:r w:rsidR="009D091E">
        <w:rPr>
          <w:rFonts w:ascii="Arial" w:hAnsi="Arial" w:cs="Arial"/>
        </w:rPr>
        <w:t xml:space="preserve">which is </w:t>
      </w:r>
      <w:r w:rsidR="004F191E">
        <w:rPr>
          <w:rFonts w:ascii="Arial" w:hAnsi="Arial" w:cs="Arial"/>
        </w:rPr>
        <w:t>dedicated to</w:t>
      </w:r>
      <w:r w:rsidR="00FE26AC" w:rsidRPr="00AA5F3C">
        <w:rPr>
          <w:rFonts w:ascii="Arial" w:hAnsi="Arial" w:cs="Arial"/>
        </w:rPr>
        <w:t xml:space="preserve"> lead</w:t>
      </w:r>
      <w:r w:rsidR="004F191E">
        <w:rPr>
          <w:rFonts w:ascii="Arial" w:hAnsi="Arial" w:cs="Arial"/>
        </w:rPr>
        <w:t>ing</w:t>
      </w:r>
      <w:r w:rsidR="00FE26AC" w:rsidRPr="00AA5F3C">
        <w:rPr>
          <w:rFonts w:ascii="Arial" w:hAnsi="Arial" w:cs="Arial"/>
        </w:rPr>
        <w:t>, support</w:t>
      </w:r>
      <w:r w:rsidR="004F191E">
        <w:rPr>
          <w:rFonts w:ascii="Arial" w:hAnsi="Arial" w:cs="Arial"/>
        </w:rPr>
        <w:t>ing</w:t>
      </w:r>
      <w:r w:rsidR="00FE26AC" w:rsidRPr="00AA5F3C">
        <w:rPr>
          <w:rFonts w:ascii="Arial" w:hAnsi="Arial" w:cs="Arial"/>
        </w:rPr>
        <w:t xml:space="preserve"> and inform</w:t>
      </w:r>
      <w:r w:rsidR="004F191E">
        <w:rPr>
          <w:rFonts w:ascii="Arial" w:hAnsi="Arial" w:cs="Arial"/>
        </w:rPr>
        <w:t>ing</w:t>
      </w:r>
      <w:r w:rsidR="00FE26AC" w:rsidRPr="00AA5F3C">
        <w:rPr>
          <w:rFonts w:ascii="Arial" w:hAnsi="Arial" w:cs="Arial"/>
        </w:rPr>
        <w:t xml:space="preserve"> educators in this state in relation to STEM initiatives.</w:t>
      </w:r>
    </w:p>
    <w:p w:rsidR="004B1271" w:rsidRPr="00AA5F3C" w:rsidRDefault="004B1271" w:rsidP="00E619A9">
      <w:pPr>
        <w:spacing w:before="60" w:after="120" w:line="240" w:lineRule="auto"/>
        <w:rPr>
          <w:rFonts w:ascii="Arial" w:hAnsi="Arial" w:cs="Arial"/>
          <w:sz w:val="24"/>
          <w:szCs w:val="24"/>
        </w:rPr>
      </w:pPr>
      <w:r w:rsidRPr="00AA5F3C">
        <w:rPr>
          <w:rFonts w:ascii="Arial" w:hAnsi="Arial" w:cs="Arial"/>
        </w:rPr>
        <w:t>Catholic Education in South Australia operates within the Archdiocese of Adelaide and the Diocese of Port Pirie to meet the needs of families who choose an education based on Christian principles in the Catholic tradition. Founded in the tradition, and strengthened by their ethos Catholic schools in South Australia are committed to providing excellent education for students from a broad cross-section of communities. Across South Australia there are over 48,000 students enrolled in 103 Catholic schools.</w:t>
      </w:r>
    </w:p>
    <w:p w:rsidR="004B1271" w:rsidRPr="00AA5F3C" w:rsidRDefault="004B1271" w:rsidP="00E619A9">
      <w:pPr>
        <w:spacing w:before="60" w:after="120" w:line="240" w:lineRule="auto"/>
        <w:rPr>
          <w:rFonts w:ascii="Arial" w:hAnsi="Arial" w:cs="Arial"/>
        </w:rPr>
      </w:pPr>
      <w:r w:rsidRPr="00AA5F3C">
        <w:rPr>
          <w:rFonts w:ascii="Arial" w:hAnsi="Arial" w:cs="Arial"/>
        </w:rPr>
        <w:t xml:space="preserve">The Association of Independent Schools represents and promotes the diverse interests of non-government independent schools in South Australia, and supports choice, diversity, innovation and excellence in education. There are 95 member schools with a total enrolment in excess of 45,000 students. The </w:t>
      </w:r>
      <w:proofErr w:type="spellStart"/>
      <w:r w:rsidRPr="00AA5F3C">
        <w:rPr>
          <w:rFonts w:ascii="Arial" w:hAnsi="Arial" w:cs="Arial"/>
        </w:rPr>
        <w:t>AISSA</w:t>
      </w:r>
      <w:proofErr w:type="spellEnd"/>
      <w:r w:rsidRPr="00AA5F3C">
        <w:rPr>
          <w:rFonts w:ascii="Arial" w:hAnsi="Arial" w:cs="Arial"/>
        </w:rPr>
        <w:t xml:space="preserve"> is not a central office with directing authority. It has a unique collegial relationship to its member schools and school authorities within the sector where schools, their staff and school authorities, work in partnership to achieve agreed outcomes. It also acknowledges the diversity of beliefs that guide the governance, management and educational programs of member schools.</w:t>
      </w:r>
      <w:r w:rsidRPr="00AA5F3C">
        <w:rPr>
          <w:rFonts w:ascii="Arial" w:hAnsi="Arial" w:cs="Arial"/>
          <w:sz w:val="20"/>
          <w:szCs w:val="20"/>
        </w:rPr>
        <w:t xml:space="preserve"> </w:t>
      </w:r>
    </w:p>
    <w:p w:rsidR="000B3C55" w:rsidRPr="00AA5F3C" w:rsidRDefault="000B3C55" w:rsidP="00E619A9">
      <w:pPr>
        <w:spacing w:before="60" w:after="120" w:line="240" w:lineRule="auto"/>
        <w:rPr>
          <w:rFonts w:ascii="Arial" w:hAnsi="Arial" w:cs="Arial"/>
        </w:rPr>
      </w:pPr>
      <w:r w:rsidRPr="00AA5F3C">
        <w:rPr>
          <w:rFonts w:ascii="Arial" w:hAnsi="Arial" w:cs="Arial"/>
        </w:rPr>
        <w:t>The South Australian Implementation Plan for the YAT NP was developed collaboratively by representatives of the three education sectors and the training sector, and is focused on increasing the attainment and engagement of young people in education, training and successful post-school pathway transitions.</w:t>
      </w:r>
    </w:p>
    <w:p w:rsidR="00284516" w:rsidRDefault="000B3C55" w:rsidP="00E619A9">
      <w:pPr>
        <w:spacing w:before="60" w:after="120" w:line="240" w:lineRule="auto"/>
        <w:rPr>
          <w:rFonts w:ascii="Arial" w:hAnsi="Arial" w:cs="Arial"/>
        </w:rPr>
      </w:pPr>
      <w:r w:rsidRPr="00AA5F3C">
        <w:rPr>
          <w:rFonts w:ascii="Arial" w:hAnsi="Arial" w:cs="Arial"/>
        </w:rPr>
        <w:t>The strategies contai</w:t>
      </w:r>
      <w:r w:rsidR="002828C3" w:rsidRPr="00AA5F3C">
        <w:rPr>
          <w:rFonts w:ascii="Arial" w:hAnsi="Arial" w:cs="Arial"/>
        </w:rPr>
        <w:t xml:space="preserve">ned in the </w:t>
      </w:r>
      <w:r w:rsidR="00EF51F5">
        <w:rPr>
          <w:rFonts w:ascii="Arial" w:hAnsi="Arial" w:cs="Arial"/>
        </w:rPr>
        <w:t xml:space="preserve">SA </w:t>
      </w:r>
      <w:r w:rsidR="002828C3" w:rsidRPr="00AA5F3C">
        <w:rPr>
          <w:rFonts w:ascii="Arial" w:hAnsi="Arial" w:cs="Arial"/>
        </w:rPr>
        <w:t>Implementation Plan are</w:t>
      </w:r>
      <w:r w:rsidRPr="00AA5F3C">
        <w:rPr>
          <w:rFonts w:ascii="Arial" w:hAnsi="Arial" w:cs="Arial"/>
        </w:rPr>
        <w:t xml:space="preserve"> strategically aligned with effort in other reforms, national agreements and partnerships to provide a cohesive and comprehensive suite of activities which provide opportunities for all young people to reach their potential</w:t>
      </w:r>
      <w:r w:rsidR="00284516">
        <w:rPr>
          <w:rFonts w:ascii="Arial" w:hAnsi="Arial" w:cs="Arial"/>
        </w:rPr>
        <w:t>,</w:t>
      </w:r>
      <w:r w:rsidRPr="00AA5F3C">
        <w:rPr>
          <w:rFonts w:ascii="Arial" w:hAnsi="Arial" w:cs="Arial"/>
        </w:rPr>
        <w:t xml:space="preserve"> </w:t>
      </w:r>
      <w:r w:rsidR="00284516">
        <w:rPr>
          <w:rFonts w:ascii="Arial" w:hAnsi="Arial" w:cs="Arial"/>
        </w:rPr>
        <w:t>for example, in DECD</w:t>
      </w:r>
      <w:r w:rsidRPr="00AA5F3C">
        <w:rPr>
          <w:rFonts w:ascii="Arial" w:hAnsi="Arial" w:cs="Arial"/>
        </w:rPr>
        <w:t xml:space="preserve"> the Smarter Schools National Partnership – Low Socio-Economic </w:t>
      </w:r>
      <w:r w:rsidR="00284516">
        <w:rPr>
          <w:rFonts w:ascii="Arial" w:hAnsi="Arial" w:cs="Arial"/>
        </w:rPr>
        <w:t xml:space="preserve">(SES) School Communities </w:t>
      </w:r>
      <w:r w:rsidRPr="00AA5F3C">
        <w:rPr>
          <w:rFonts w:ascii="Arial" w:hAnsi="Arial" w:cs="Arial"/>
        </w:rPr>
        <w:t>is supporting access to nationally accredited training for young peop</w:t>
      </w:r>
      <w:r w:rsidR="000E10E5">
        <w:rPr>
          <w:rFonts w:ascii="Arial" w:hAnsi="Arial" w:cs="Arial"/>
        </w:rPr>
        <w:t>le in disadvantaged communities</w:t>
      </w:r>
      <w:r w:rsidR="00284516">
        <w:rPr>
          <w:rFonts w:ascii="Arial" w:hAnsi="Arial" w:cs="Arial"/>
        </w:rPr>
        <w:t xml:space="preserve">. </w:t>
      </w:r>
      <w:r w:rsidR="000E10E5">
        <w:rPr>
          <w:rFonts w:ascii="Arial" w:hAnsi="Arial" w:cs="Arial"/>
        </w:rPr>
        <w:t>In addition, the Commonwealth funded infrastructure Trade Training Centre in Schools Program (</w:t>
      </w:r>
      <w:proofErr w:type="spellStart"/>
      <w:r w:rsidR="000E10E5">
        <w:rPr>
          <w:rFonts w:ascii="Arial" w:hAnsi="Arial" w:cs="Arial"/>
        </w:rPr>
        <w:t>TTCs</w:t>
      </w:r>
      <w:proofErr w:type="spellEnd"/>
      <w:r w:rsidR="000E10E5">
        <w:rPr>
          <w:rFonts w:ascii="Arial" w:hAnsi="Arial" w:cs="Arial"/>
        </w:rPr>
        <w:t xml:space="preserve">) has had engagement by all three schooling sectors in SA and to date a total of </w:t>
      </w:r>
      <w:r w:rsidR="003B13E4">
        <w:rPr>
          <w:rFonts w:ascii="Arial" w:hAnsi="Arial" w:cs="Arial"/>
        </w:rPr>
        <w:t>39</w:t>
      </w:r>
      <w:r w:rsidR="000E10E5">
        <w:rPr>
          <w:rFonts w:ascii="Arial" w:hAnsi="Arial" w:cs="Arial"/>
        </w:rPr>
        <w:t xml:space="preserve"> </w:t>
      </w:r>
      <w:proofErr w:type="spellStart"/>
      <w:r w:rsidR="000E10E5">
        <w:rPr>
          <w:rFonts w:ascii="Arial" w:hAnsi="Arial" w:cs="Arial"/>
        </w:rPr>
        <w:t>TTCs</w:t>
      </w:r>
      <w:proofErr w:type="spellEnd"/>
      <w:r w:rsidR="000E10E5">
        <w:rPr>
          <w:rFonts w:ascii="Arial" w:hAnsi="Arial" w:cs="Arial"/>
        </w:rPr>
        <w:t xml:space="preserve"> have been approved since the </w:t>
      </w:r>
      <w:r w:rsidR="003B13E4">
        <w:rPr>
          <w:rFonts w:ascii="Arial" w:hAnsi="Arial" w:cs="Arial"/>
        </w:rPr>
        <w:t>commencement</w:t>
      </w:r>
      <w:r w:rsidR="000E10E5">
        <w:rPr>
          <w:rFonts w:ascii="Arial" w:hAnsi="Arial" w:cs="Arial"/>
        </w:rPr>
        <w:t xml:space="preserve"> of the program in </w:t>
      </w:r>
      <w:r w:rsidR="003B13E4">
        <w:rPr>
          <w:rFonts w:ascii="Arial" w:hAnsi="Arial" w:cs="Arial"/>
        </w:rPr>
        <w:t xml:space="preserve">July </w:t>
      </w:r>
      <w:r w:rsidR="000E10E5">
        <w:rPr>
          <w:rFonts w:ascii="Arial" w:hAnsi="Arial" w:cs="Arial"/>
        </w:rPr>
        <w:t>2008.</w:t>
      </w:r>
      <w:r w:rsidR="00284516">
        <w:rPr>
          <w:rFonts w:ascii="Arial" w:hAnsi="Arial" w:cs="Arial"/>
        </w:rPr>
        <w:t xml:space="preserve">  </w:t>
      </w:r>
    </w:p>
    <w:p w:rsidR="00430042" w:rsidRPr="00430042" w:rsidRDefault="00430042" w:rsidP="00E619A9">
      <w:pPr>
        <w:spacing w:before="60" w:after="120" w:line="240" w:lineRule="auto"/>
        <w:rPr>
          <w:rFonts w:ascii="Arial" w:eastAsia="Calibri" w:hAnsi="Arial" w:cs="Arial"/>
          <w:lang w:eastAsia="en-AU"/>
        </w:rPr>
      </w:pPr>
      <w:bookmarkStart w:id="12" w:name="_Toc320003797"/>
      <w:r w:rsidRPr="00430042">
        <w:rPr>
          <w:rFonts w:ascii="Arial" w:eastAsia="Calibri" w:hAnsi="Arial" w:cs="Arial"/>
          <w:lang w:eastAsia="en-AU"/>
        </w:rPr>
        <w:t>Special Purpose Payments (</w:t>
      </w:r>
      <w:proofErr w:type="spellStart"/>
      <w:r w:rsidRPr="00430042">
        <w:rPr>
          <w:rFonts w:ascii="Arial" w:eastAsia="Calibri" w:hAnsi="Arial" w:cs="Arial"/>
          <w:lang w:eastAsia="en-AU"/>
        </w:rPr>
        <w:t>SPP</w:t>
      </w:r>
      <w:proofErr w:type="spellEnd"/>
      <w:r w:rsidRPr="00430042">
        <w:rPr>
          <w:rFonts w:ascii="Arial" w:eastAsia="Calibri" w:hAnsi="Arial" w:cs="Arial"/>
          <w:lang w:eastAsia="en-AU"/>
        </w:rPr>
        <w:t xml:space="preserve">) made available through the </w:t>
      </w:r>
      <w:r w:rsidRPr="00430042">
        <w:rPr>
          <w:rFonts w:ascii="Arial" w:eastAsia="Calibri" w:hAnsi="Arial" w:cs="Arial"/>
          <w:bCs/>
          <w:lang w:eastAsia="en-AU"/>
        </w:rPr>
        <w:t xml:space="preserve">National </w:t>
      </w:r>
      <w:r w:rsidRPr="00430042">
        <w:rPr>
          <w:rFonts w:ascii="Arial" w:hAnsi="Arial" w:cs="Arial"/>
        </w:rPr>
        <w:t>Agreement</w:t>
      </w:r>
      <w:r w:rsidRPr="00430042">
        <w:rPr>
          <w:rFonts w:ascii="Arial" w:eastAsia="Calibri" w:hAnsi="Arial" w:cs="Arial"/>
          <w:bCs/>
          <w:lang w:eastAsia="en-AU"/>
        </w:rPr>
        <w:t xml:space="preserve"> for Skills and Workforce Development</w:t>
      </w:r>
      <w:r w:rsidRPr="00430042">
        <w:rPr>
          <w:rFonts w:ascii="Arial" w:eastAsia="Calibri" w:hAnsi="Arial" w:cs="Arial"/>
          <w:lang w:eastAsia="en-AU"/>
        </w:rPr>
        <w:t xml:space="preserve"> has continued to support VET in Schools (</w:t>
      </w:r>
      <w:proofErr w:type="spellStart"/>
      <w:r w:rsidRPr="00430042">
        <w:rPr>
          <w:rFonts w:ascii="Arial" w:eastAsia="Calibri" w:hAnsi="Arial" w:cs="Arial"/>
          <w:lang w:eastAsia="en-AU"/>
        </w:rPr>
        <w:t>VETiS</w:t>
      </w:r>
      <w:proofErr w:type="spellEnd"/>
      <w:r w:rsidRPr="00430042">
        <w:rPr>
          <w:rFonts w:ascii="Arial" w:eastAsia="Calibri" w:hAnsi="Arial" w:cs="Arial"/>
          <w:lang w:eastAsia="en-AU"/>
        </w:rPr>
        <w:t xml:space="preserve">) programs and </w:t>
      </w:r>
      <w:r>
        <w:rPr>
          <w:rFonts w:ascii="Arial" w:eastAsia="Calibri" w:hAnsi="Arial" w:cs="Arial"/>
          <w:lang w:eastAsia="en-AU"/>
        </w:rPr>
        <w:t xml:space="preserve">School-based Apprenticeships </w:t>
      </w:r>
      <w:r w:rsidRPr="00430042">
        <w:rPr>
          <w:rFonts w:ascii="Arial" w:eastAsia="Calibri" w:hAnsi="Arial" w:cs="Arial"/>
          <w:lang w:eastAsia="en-AU"/>
        </w:rPr>
        <w:t>(</w:t>
      </w:r>
      <w:proofErr w:type="spellStart"/>
      <w:r w:rsidRPr="00430042">
        <w:rPr>
          <w:rFonts w:ascii="Arial" w:eastAsia="Calibri" w:hAnsi="Arial" w:cs="Arial"/>
          <w:lang w:eastAsia="en-AU"/>
        </w:rPr>
        <w:t>ASbAs</w:t>
      </w:r>
      <w:proofErr w:type="spellEnd"/>
      <w:r w:rsidRPr="00430042">
        <w:rPr>
          <w:rFonts w:ascii="Arial" w:eastAsia="Calibri" w:hAnsi="Arial" w:cs="Arial"/>
          <w:lang w:eastAsia="en-AU"/>
        </w:rPr>
        <w:t xml:space="preserve">) pathways available to students in South Australian non-government </w:t>
      </w:r>
      <w:r>
        <w:rPr>
          <w:rFonts w:ascii="Arial" w:eastAsia="Calibri" w:hAnsi="Arial" w:cs="Arial"/>
          <w:lang w:eastAsia="en-AU"/>
        </w:rPr>
        <w:t>schools.</w:t>
      </w:r>
      <w:r w:rsidRPr="00430042">
        <w:rPr>
          <w:rFonts w:ascii="Arial" w:eastAsia="Calibri" w:hAnsi="Arial" w:cs="Arial"/>
          <w:lang w:eastAsia="en-AU"/>
        </w:rPr>
        <w:t xml:space="preserve"> </w:t>
      </w:r>
    </w:p>
    <w:p w:rsidR="00A05899" w:rsidRPr="00AA5F3C" w:rsidRDefault="000020AE" w:rsidP="00C17EF5">
      <w:pPr>
        <w:pStyle w:val="Heading2"/>
      </w:pPr>
      <w:bookmarkStart w:id="13" w:name="_Toc384038220"/>
      <w:r w:rsidRPr="00AA5F3C">
        <w:t>Y</w:t>
      </w:r>
      <w:r w:rsidR="0002588E" w:rsidRPr="00AA5F3C">
        <w:t xml:space="preserve">outh </w:t>
      </w:r>
      <w:r w:rsidR="0002588E" w:rsidRPr="00C17EF5">
        <w:t>attainment</w:t>
      </w:r>
      <w:r w:rsidR="0002588E" w:rsidRPr="00AA5F3C">
        <w:t xml:space="preserve"> and</w:t>
      </w:r>
      <w:r w:rsidR="00646CCE" w:rsidRPr="00AA5F3C">
        <w:t>/or</w:t>
      </w:r>
      <w:r w:rsidR="0002588E" w:rsidRPr="00AA5F3C">
        <w:t xml:space="preserve"> transitions reforms</w:t>
      </w:r>
      <w:r w:rsidR="00A05899" w:rsidRPr="00AA5F3C">
        <w:t xml:space="preserve"> </w:t>
      </w:r>
      <w:r w:rsidR="00DB4EA2" w:rsidRPr="00AA5F3C">
        <w:t xml:space="preserve">and programs </w:t>
      </w:r>
      <w:r w:rsidR="00A05899" w:rsidRPr="00AA5F3C">
        <w:t xml:space="preserve">not </w:t>
      </w:r>
      <w:r w:rsidR="005F2405" w:rsidRPr="00AA5F3C">
        <w:t>funded under the YAT NP</w:t>
      </w:r>
      <w:bookmarkEnd w:id="12"/>
      <w:bookmarkEnd w:id="13"/>
    </w:p>
    <w:p w:rsidR="00DF08B7" w:rsidRPr="00AA5F3C" w:rsidRDefault="003E5362" w:rsidP="00E619A9">
      <w:pPr>
        <w:spacing w:before="60" w:after="120" w:line="240" w:lineRule="auto"/>
        <w:rPr>
          <w:rFonts w:ascii="Arial" w:hAnsi="Arial" w:cs="Arial"/>
        </w:rPr>
      </w:pPr>
      <w:r w:rsidRPr="00AA5F3C">
        <w:rPr>
          <w:rFonts w:ascii="Arial" w:hAnsi="Arial" w:cs="Arial"/>
        </w:rPr>
        <w:t xml:space="preserve">Each of the schooling sectors </w:t>
      </w:r>
      <w:r w:rsidR="00F24F0C" w:rsidRPr="00AA5F3C">
        <w:rPr>
          <w:rFonts w:ascii="Arial" w:hAnsi="Arial" w:cs="Arial"/>
        </w:rPr>
        <w:t xml:space="preserve">and the training sector </w:t>
      </w:r>
      <w:r w:rsidRPr="00AA5F3C">
        <w:rPr>
          <w:rFonts w:ascii="Arial" w:hAnsi="Arial" w:cs="Arial"/>
        </w:rPr>
        <w:t>commits effort and resources, above and beyond the YAT NP funding, to improving attainment and transitions for young people.</w:t>
      </w:r>
      <w:r w:rsidR="009E5ABF" w:rsidRPr="00AA5F3C">
        <w:rPr>
          <w:rFonts w:ascii="Arial" w:hAnsi="Arial" w:cs="Arial"/>
        </w:rPr>
        <w:t xml:space="preserve">  Reforms and programs include:</w:t>
      </w:r>
    </w:p>
    <w:p w:rsidR="0064634B" w:rsidRPr="00AA5F3C" w:rsidRDefault="0064634B" w:rsidP="00E619A9">
      <w:pPr>
        <w:ind w:left="360"/>
        <w:rPr>
          <w:rFonts w:ascii="Arial" w:hAnsi="Arial" w:cs="Arial"/>
        </w:rPr>
      </w:pPr>
    </w:p>
    <w:p w:rsidR="00E06BC7" w:rsidRDefault="0064634B" w:rsidP="0040521B">
      <w:pPr>
        <w:pStyle w:val="ListParagraph"/>
        <w:numPr>
          <w:ilvl w:val="0"/>
          <w:numId w:val="6"/>
        </w:numPr>
        <w:spacing w:line="240" w:lineRule="auto"/>
        <w:rPr>
          <w:rFonts w:ascii="Arial" w:eastAsia="Calibri" w:hAnsi="Arial" w:cs="Arial"/>
        </w:rPr>
      </w:pPr>
      <w:bookmarkStart w:id="14" w:name="OLE_LINK1"/>
      <w:bookmarkStart w:id="15" w:name="OLE_LINK3"/>
      <w:bookmarkEnd w:id="14"/>
      <w:proofErr w:type="gramStart"/>
      <w:r w:rsidRPr="00975A6F">
        <w:rPr>
          <w:rFonts w:ascii="Arial" w:eastAsia="Calibri" w:hAnsi="Arial" w:cs="Arial"/>
          <w:b/>
          <w:i/>
          <w:iCs/>
        </w:rPr>
        <w:t>Skills for All</w:t>
      </w:r>
      <w:r w:rsidRPr="00481093">
        <w:rPr>
          <w:rFonts w:ascii="Arial" w:eastAsia="Calibri" w:hAnsi="Arial" w:cs="Arial"/>
          <w:i/>
          <w:iCs/>
        </w:rPr>
        <w:t xml:space="preserve"> </w:t>
      </w:r>
      <w:bookmarkEnd w:id="15"/>
      <w:r w:rsidRPr="00481093">
        <w:rPr>
          <w:rFonts w:ascii="Arial" w:eastAsia="Calibri" w:hAnsi="Arial" w:cs="Arial"/>
        </w:rPr>
        <w:t>is</w:t>
      </w:r>
      <w:proofErr w:type="gramEnd"/>
      <w:r w:rsidRPr="00481093">
        <w:rPr>
          <w:rFonts w:ascii="Arial" w:eastAsia="Calibri" w:hAnsi="Arial" w:cs="Arial"/>
        </w:rPr>
        <w:t xml:space="preserve"> a South Australian government initiative that is designed to change the way vocational education and training is funded in South Australia in order to meet the ski</w:t>
      </w:r>
      <w:r w:rsidR="001C1EE1" w:rsidRPr="00481093">
        <w:rPr>
          <w:rFonts w:ascii="Arial" w:eastAsia="Calibri" w:hAnsi="Arial" w:cs="Arial"/>
        </w:rPr>
        <w:t>lls challenge facing the state.</w:t>
      </w:r>
      <w:r w:rsidRPr="00481093">
        <w:rPr>
          <w:rFonts w:ascii="Arial" w:eastAsia="Calibri" w:hAnsi="Arial" w:cs="Arial"/>
        </w:rPr>
        <w:t xml:space="preserve"> Through </w:t>
      </w:r>
      <w:r w:rsidRPr="00481093">
        <w:rPr>
          <w:rFonts w:ascii="Arial" w:eastAsia="Calibri" w:hAnsi="Arial" w:cs="Arial"/>
          <w:i/>
          <w:iCs/>
        </w:rPr>
        <w:t xml:space="preserve">Skills for All </w:t>
      </w:r>
      <w:r w:rsidRPr="00481093">
        <w:rPr>
          <w:rFonts w:ascii="Arial" w:eastAsia="Calibri" w:hAnsi="Arial" w:cs="Arial"/>
        </w:rPr>
        <w:t>the South Australian government has committed $194 million additional funding to help support an additional 100,000 tra</w:t>
      </w:r>
      <w:r w:rsidR="001C1EE1" w:rsidRPr="00481093">
        <w:rPr>
          <w:rFonts w:ascii="Arial" w:eastAsia="Calibri" w:hAnsi="Arial" w:cs="Arial"/>
        </w:rPr>
        <w:t>ining places from July 2010/11.</w:t>
      </w:r>
      <w:r w:rsidRPr="00481093">
        <w:rPr>
          <w:rFonts w:ascii="Arial" w:eastAsia="Calibri" w:hAnsi="Arial" w:cs="Arial"/>
        </w:rPr>
        <w:t xml:space="preserve"> The initiative will give South Australians the opportunity to undertake subsidised training, at low or no cost, to gain more qualifications particularly at higher A</w:t>
      </w:r>
      <w:r w:rsidR="00126DE2" w:rsidRPr="00481093">
        <w:rPr>
          <w:rFonts w:ascii="Arial" w:eastAsia="Calibri" w:hAnsi="Arial" w:cs="Arial"/>
        </w:rPr>
        <w:t xml:space="preserve">ustralian </w:t>
      </w:r>
      <w:r w:rsidRPr="00481093">
        <w:rPr>
          <w:rFonts w:ascii="Arial" w:eastAsia="Calibri" w:hAnsi="Arial" w:cs="Arial"/>
        </w:rPr>
        <w:t>Q</w:t>
      </w:r>
      <w:r w:rsidR="00126DE2" w:rsidRPr="00481093">
        <w:rPr>
          <w:rFonts w:ascii="Arial" w:eastAsia="Calibri" w:hAnsi="Arial" w:cs="Arial"/>
        </w:rPr>
        <w:t xml:space="preserve">ualifications </w:t>
      </w:r>
      <w:r w:rsidRPr="00481093">
        <w:rPr>
          <w:rFonts w:ascii="Arial" w:eastAsia="Calibri" w:hAnsi="Arial" w:cs="Arial"/>
        </w:rPr>
        <w:t>F</w:t>
      </w:r>
      <w:r w:rsidR="00126DE2" w:rsidRPr="00481093">
        <w:rPr>
          <w:rFonts w:ascii="Arial" w:eastAsia="Calibri" w:hAnsi="Arial" w:cs="Arial"/>
        </w:rPr>
        <w:t>ramework (</w:t>
      </w:r>
      <w:proofErr w:type="spellStart"/>
      <w:r w:rsidR="00126DE2" w:rsidRPr="00481093">
        <w:rPr>
          <w:rFonts w:ascii="Arial" w:eastAsia="Calibri" w:hAnsi="Arial" w:cs="Arial"/>
        </w:rPr>
        <w:t>AQF</w:t>
      </w:r>
      <w:proofErr w:type="spellEnd"/>
      <w:r w:rsidR="00126DE2" w:rsidRPr="00481093">
        <w:rPr>
          <w:rFonts w:ascii="Arial" w:eastAsia="Calibri" w:hAnsi="Arial" w:cs="Arial"/>
        </w:rPr>
        <w:t>)</w:t>
      </w:r>
      <w:r w:rsidRPr="00481093">
        <w:rPr>
          <w:rFonts w:ascii="Arial" w:eastAsia="Calibri" w:hAnsi="Arial" w:cs="Arial"/>
        </w:rPr>
        <w:t xml:space="preserve"> levels, with an approved training provider of their choice</w:t>
      </w:r>
      <w:r w:rsidR="00A47CD1">
        <w:rPr>
          <w:rFonts w:ascii="Arial" w:eastAsia="Calibri" w:hAnsi="Arial" w:cs="Arial"/>
        </w:rPr>
        <w:t xml:space="preserve"> </w:t>
      </w:r>
      <w:r w:rsidRPr="00481093">
        <w:rPr>
          <w:rFonts w:ascii="Arial" w:eastAsia="Calibri" w:hAnsi="Arial" w:cs="Arial"/>
          <w:i/>
          <w:iCs/>
        </w:rPr>
        <w:t>Skills for All</w:t>
      </w:r>
      <w:r w:rsidRPr="00481093">
        <w:rPr>
          <w:rFonts w:ascii="Arial" w:eastAsia="Calibri" w:hAnsi="Arial" w:cs="Arial"/>
        </w:rPr>
        <w:t xml:space="preserve"> has been formally endorsed by the Commonwealth in a bilateral </w:t>
      </w:r>
      <w:r w:rsidRPr="00481093">
        <w:rPr>
          <w:rFonts w:ascii="Arial" w:eastAsia="Calibri" w:hAnsi="Arial" w:cs="Arial"/>
        </w:rPr>
        <w:lastRenderedPageBreak/>
        <w:t>agreement that recognises South Australia as a ‘reform state’. This means that Diploma and Advanced Diploma students will be able to defer payment of their upfront fees through VET FEE-HELP arrangements.</w:t>
      </w:r>
      <w:r w:rsidR="00943AF0">
        <w:rPr>
          <w:rFonts w:ascii="Arial" w:eastAsia="Calibri" w:hAnsi="Arial" w:cs="Arial"/>
        </w:rPr>
        <w:t xml:space="preserve"> </w:t>
      </w:r>
      <w:r w:rsidR="00943AF0" w:rsidRPr="00857502">
        <w:rPr>
          <w:rFonts w:ascii="Arial" w:eastAsia="Calibri" w:hAnsi="Arial" w:cs="Arial"/>
          <w:i/>
        </w:rPr>
        <w:t>Sk</w:t>
      </w:r>
      <w:r w:rsidRPr="00857502">
        <w:rPr>
          <w:rFonts w:ascii="Arial" w:eastAsia="Calibri" w:hAnsi="Arial" w:cs="Arial"/>
          <w:i/>
          <w:iCs/>
        </w:rPr>
        <w:t>ill</w:t>
      </w:r>
      <w:r w:rsidRPr="00481093">
        <w:rPr>
          <w:rFonts w:ascii="Arial" w:eastAsia="Calibri" w:hAnsi="Arial" w:cs="Arial"/>
          <w:i/>
          <w:iCs/>
        </w:rPr>
        <w:t xml:space="preserve">s for All </w:t>
      </w:r>
      <w:r w:rsidRPr="00481093">
        <w:rPr>
          <w:rFonts w:ascii="Arial" w:eastAsia="Calibri" w:hAnsi="Arial" w:cs="Arial"/>
        </w:rPr>
        <w:t>will guarantee students over the age of 16 a government funded training place, provide support for the disadvantaged, make the VET system more transparent and improve quality and choice.</w:t>
      </w:r>
    </w:p>
    <w:p w:rsidR="00E06BC7" w:rsidRDefault="00E06BC7" w:rsidP="00E619A9">
      <w:pPr>
        <w:spacing w:line="240" w:lineRule="auto"/>
        <w:ind w:left="709"/>
        <w:rPr>
          <w:rFonts w:ascii="Arial" w:eastAsia="Calibri" w:hAnsi="Arial" w:cs="Arial"/>
        </w:rPr>
      </w:pPr>
    </w:p>
    <w:p w:rsidR="00E06BC7" w:rsidRDefault="0064634B" w:rsidP="00E619A9">
      <w:pPr>
        <w:spacing w:line="240" w:lineRule="auto"/>
        <w:ind w:left="709"/>
        <w:rPr>
          <w:rFonts w:ascii="Arial" w:eastAsia="Calibri" w:hAnsi="Arial" w:cs="Arial"/>
        </w:rPr>
      </w:pPr>
      <w:r w:rsidRPr="00E06BC7">
        <w:rPr>
          <w:rFonts w:ascii="Arial" w:eastAsia="Calibri" w:hAnsi="Arial" w:cs="Arial"/>
        </w:rPr>
        <w:t>In the schooling sector,</w:t>
      </w:r>
      <w:r w:rsidRPr="00E06BC7">
        <w:rPr>
          <w:rFonts w:ascii="Arial" w:eastAsia="Calibri" w:hAnsi="Arial" w:cs="Arial"/>
          <w:i/>
          <w:iCs/>
        </w:rPr>
        <w:t xml:space="preserve"> Skills for All</w:t>
      </w:r>
      <w:r w:rsidRPr="00E06BC7">
        <w:rPr>
          <w:rFonts w:ascii="Arial" w:eastAsia="Calibri" w:hAnsi="Arial" w:cs="Arial"/>
        </w:rPr>
        <w:t xml:space="preserve"> supports students who are enrolled in school in the following ways: Training Guarantee for </w:t>
      </w:r>
      <w:proofErr w:type="spellStart"/>
      <w:r w:rsidRPr="00E06BC7">
        <w:rPr>
          <w:rFonts w:ascii="Arial" w:eastAsia="Calibri" w:hAnsi="Arial" w:cs="Arial"/>
        </w:rPr>
        <w:t>SACE</w:t>
      </w:r>
      <w:proofErr w:type="spellEnd"/>
      <w:r w:rsidRPr="00E06BC7">
        <w:rPr>
          <w:rFonts w:ascii="Arial" w:eastAsia="Calibri" w:hAnsi="Arial" w:cs="Arial"/>
        </w:rPr>
        <w:t xml:space="preserve"> Students (</w:t>
      </w:r>
      <w:proofErr w:type="spellStart"/>
      <w:r w:rsidRPr="00E06BC7">
        <w:rPr>
          <w:rFonts w:ascii="Arial" w:eastAsia="Calibri" w:hAnsi="Arial" w:cs="Arial"/>
        </w:rPr>
        <w:t>TGSS</w:t>
      </w:r>
      <w:proofErr w:type="spellEnd"/>
      <w:r w:rsidRPr="00E06BC7">
        <w:rPr>
          <w:rFonts w:ascii="Arial" w:eastAsia="Calibri" w:hAnsi="Arial" w:cs="Arial"/>
        </w:rPr>
        <w:t xml:space="preserve">) scheme; school based apprenticeships; </w:t>
      </w:r>
      <w:r w:rsidR="00627E26" w:rsidRPr="00E06BC7">
        <w:rPr>
          <w:rFonts w:ascii="Arial" w:eastAsia="Calibri" w:hAnsi="Arial" w:cs="Arial"/>
        </w:rPr>
        <w:t>students participating in Innovative Community Action Networks/Flexible Learning Options (</w:t>
      </w:r>
      <w:proofErr w:type="spellStart"/>
      <w:r w:rsidR="00627E26" w:rsidRPr="00E06BC7">
        <w:rPr>
          <w:rFonts w:ascii="Arial" w:eastAsia="Calibri" w:hAnsi="Arial" w:cs="Arial"/>
        </w:rPr>
        <w:t>ICAN</w:t>
      </w:r>
      <w:proofErr w:type="spellEnd"/>
      <w:r w:rsidR="00627E26" w:rsidRPr="00E06BC7">
        <w:rPr>
          <w:rFonts w:ascii="Arial" w:eastAsia="Calibri" w:hAnsi="Arial" w:cs="Arial"/>
        </w:rPr>
        <w:t>/FLO) programs</w:t>
      </w:r>
      <w:r w:rsidRPr="00E06BC7">
        <w:rPr>
          <w:rFonts w:ascii="Arial" w:eastAsia="Calibri" w:hAnsi="Arial" w:cs="Arial"/>
        </w:rPr>
        <w:t>.</w:t>
      </w:r>
    </w:p>
    <w:p w:rsidR="00E06BC7" w:rsidRDefault="00E06BC7" w:rsidP="00E619A9">
      <w:pPr>
        <w:spacing w:line="240" w:lineRule="auto"/>
        <w:ind w:left="709"/>
        <w:rPr>
          <w:rFonts w:ascii="Arial" w:eastAsia="Calibri" w:hAnsi="Arial" w:cs="Arial"/>
        </w:rPr>
      </w:pPr>
    </w:p>
    <w:p w:rsidR="00E06BC7" w:rsidRDefault="0064634B" w:rsidP="00E619A9">
      <w:pPr>
        <w:spacing w:line="240" w:lineRule="auto"/>
        <w:ind w:left="709"/>
        <w:rPr>
          <w:rFonts w:ascii="Arial" w:eastAsia="Calibri" w:hAnsi="Arial" w:cs="Arial"/>
        </w:rPr>
      </w:pPr>
      <w:r w:rsidRPr="00E06BC7">
        <w:rPr>
          <w:rFonts w:ascii="Arial" w:eastAsia="Calibri" w:hAnsi="Arial" w:cs="Arial"/>
        </w:rPr>
        <w:t xml:space="preserve">The </w:t>
      </w:r>
      <w:proofErr w:type="spellStart"/>
      <w:r w:rsidRPr="00E06BC7">
        <w:rPr>
          <w:rFonts w:ascii="Arial" w:eastAsia="Calibri" w:hAnsi="Arial" w:cs="Arial"/>
        </w:rPr>
        <w:t>TGSS</w:t>
      </w:r>
      <w:proofErr w:type="spellEnd"/>
      <w:r w:rsidRPr="00E06BC7">
        <w:rPr>
          <w:rFonts w:ascii="Arial" w:eastAsia="Calibri" w:hAnsi="Arial" w:cs="Arial"/>
        </w:rPr>
        <w:t xml:space="preserve"> scheme enables selected students to undertake subsidised training as part of their senior secondary school program. Students commence vocational studies (at certificate II and/or certificate III level) </w:t>
      </w:r>
      <w:proofErr w:type="gramStart"/>
      <w:r w:rsidRPr="00E06BC7">
        <w:rPr>
          <w:rFonts w:ascii="Arial" w:eastAsia="Calibri" w:hAnsi="Arial" w:cs="Arial"/>
        </w:rPr>
        <w:t xml:space="preserve">with an approved </w:t>
      </w:r>
      <w:r w:rsidRPr="003614FD">
        <w:rPr>
          <w:rFonts w:ascii="Arial" w:eastAsia="Calibri" w:hAnsi="Arial" w:cs="Arial"/>
          <w:i/>
        </w:rPr>
        <w:t>Skills</w:t>
      </w:r>
      <w:proofErr w:type="gramEnd"/>
      <w:r w:rsidRPr="003614FD">
        <w:rPr>
          <w:rFonts w:ascii="Arial" w:eastAsia="Calibri" w:hAnsi="Arial" w:cs="Arial"/>
          <w:i/>
        </w:rPr>
        <w:t xml:space="preserve"> for All</w:t>
      </w:r>
      <w:r w:rsidRPr="00E06BC7">
        <w:rPr>
          <w:rFonts w:ascii="Arial" w:eastAsia="Calibri" w:hAnsi="Arial" w:cs="Arial"/>
        </w:rPr>
        <w:t xml:space="preserve"> </w:t>
      </w:r>
      <w:r w:rsidR="001A26F6" w:rsidRPr="00E06BC7">
        <w:rPr>
          <w:rFonts w:ascii="Arial" w:eastAsia="Calibri" w:hAnsi="Arial" w:cs="Arial"/>
        </w:rPr>
        <w:t>t</w:t>
      </w:r>
      <w:r w:rsidRPr="00E06BC7">
        <w:rPr>
          <w:rFonts w:ascii="Arial" w:eastAsia="Calibri" w:hAnsi="Arial" w:cs="Arial"/>
        </w:rPr>
        <w:t xml:space="preserve">raining provider and are guaranteed a training place with the same provider once they have completed secondary school to complete at least a certificate </w:t>
      </w:r>
      <w:r w:rsidR="001C1EE1" w:rsidRPr="00E06BC7">
        <w:rPr>
          <w:rFonts w:ascii="Arial" w:eastAsia="Calibri" w:hAnsi="Arial" w:cs="Arial"/>
        </w:rPr>
        <w:t xml:space="preserve">III qualification. </w:t>
      </w:r>
      <w:proofErr w:type="spellStart"/>
      <w:r w:rsidRPr="00E06BC7">
        <w:rPr>
          <w:rFonts w:ascii="Arial" w:eastAsia="Calibri" w:hAnsi="Arial" w:cs="Arial"/>
        </w:rPr>
        <w:t>TGSS</w:t>
      </w:r>
      <w:proofErr w:type="spellEnd"/>
      <w:r w:rsidRPr="00E06BC7">
        <w:rPr>
          <w:rFonts w:ascii="Arial" w:eastAsia="Calibri" w:hAnsi="Arial" w:cs="Arial"/>
        </w:rPr>
        <w:t xml:space="preserve"> students count their vocational studies towards the completion requirements of the </w:t>
      </w:r>
      <w:proofErr w:type="spellStart"/>
      <w:r w:rsidR="001C1EE1" w:rsidRPr="00E06BC7">
        <w:rPr>
          <w:rFonts w:ascii="Arial" w:eastAsia="Calibri" w:hAnsi="Arial" w:cs="Arial"/>
        </w:rPr>
        <w:t>SACE</w:t>
      </w:r>
      <w:proofErr w:type="spellEnd"/>
      <w:r w:rsidR="001C1EE1" w:rsidRPr="00E06BC7">
        <w:rPr>
          <w:rFonts w:ascii="Arial" w:eastAsia="Calibri" w:hAnsi="Arial" w:cs="Arial"/>
        </w:rPr>
        <w:t xml:space="preserve">. </w:t>
      </w:r>
      <w:r w:rsidRPr="00E06BC7">
        <w:rPr>
          <w:rFonts w:ascii="Arial" w:eastAsia="Calibri" w:hAnsi="Arial" w:cs="Arial"/>
        </w:rPr>
        <w:t xml:space="preserve"> </w:t>
      </w:r>
      <w:proofErr w:type="spellStart"/>
      <w:r w:rsidRPr="00E06BC7">
        <w:rPr>
          <w:rFonts w:ascii="Arial" w:eastAsia="Calibri" w:hAnsi="Arial" w:cs="Arial"/>
        </w:rPr>
        <w:t>TGSS</w:t>
      </w:r>
      <w:proofErr w:type="spellEnd"/>
      <w:r w:rsidRPr="00E06BC7">
        <w:rPr>
          <w:rFonts w:ascii="Arial" w:eastAsia="Calibri" w:hAnsi="Arial" w:cs="Arial"/>
        </w:rPr>
        <w:t xml:space="preserve"> students also undertake work placement as a </w:t>
      </w:r>
      <w:proofErr w:type="spellStart"/>
      <w:r w:rsidRPr="00E06BC7">
        <w:rPr>
          <w:rFonts w:ascii="Arial" w:eastAsia="Calibri" w:hAnsi="Arial" w:cs="Arial"/>
        </w:rPr>
        <w:t>TGSS</w:t>
      </w:r>
      <w:proofErr w:type="spellEnd"/>
      <w:r w:rsidRPr="00E06BC7">
        <w:rPr>
          <w:rFonts w:ascii="Arial" w:eastAsia="Calibri" w:hAnsi="Arial" w:cs="Arial"/>
        </w:rPr>
        <w:t xml:space="preserve"> requirement. At 31 January 2013 there were 1066 school students enrolled in </w:t>
      </w:r>
      <w:proofErr w:type="spellStart"/>
      <w:r w:rsidRPr="00E06BC7">
        <w:rPr>
          <w:rFonts w:ascii="Arial" w:eastAsia="Calibri" w:hAnsi="Arial" w:cs="Arial"/>
        </w:rPr>
        <w:t>TGSS</w:t>
      </w:r>
      <w:proofErr w:type="spellEnd"/>
      <w:r w:rsidRPr="00E06BC7">
        <w:rPr>
          <w:rFonts w:ascii="Arial" w:eastAsia="Calibri" w:hAnsi="Arial" w:cs="Arial"/>
        </w:rPr>
        <w:t xml:space="preserve"> </w:t>
      </w:r>
      <w:r w:rsidR="00943AF0">
        <w:rPr>
          <w:rFonts w:ascii="Arial" w:eastAsia="Calibri" w:hAnsi="Arial" w:cs="Arial"/>
        </w:rPr>
        <w:t>a</w:t>
      </w:r>
      <w:r w:rsidRPr="00E06BC7">
        <w:rPr>
          <w:rFonts w:ascii="Arial" w:eastAsia="Calibri" w:hAnsi="Arial" w:cs="Arial"/>
        </w:rPr>
        <w:t>pproved courses with 40 different training providers in 57 different certificate II/III qualifications. The most popular qualifications were in the construction, engineering, automotive and child care/aged care industries.</w:t>
      </w:r>
    </w:p>
    <w:p w:rsidR="00E06BC7" w:rsidRDefault="00E06BC7" w:rsidP="00E619A9">
      <w:pPr>
        <w:spacing w:line="240" w:lineRule="auto"/>
        <w:ind w:left="709"/>
        <w:rPr>
          <w:rFonts w:ascii="Arial" w:eastAsia="Calibri" w:hAnsi="Arial" w:cs="Arial"/>
        </w:rPr>
      </w:pPr>
    </w:p>
    <w:p w:rsidR="00E06BC7" w:rsidRDefault="0064634B" w:rsidP="00E619A9">
      <w:pPr>
        <w:spacing w:line="240" w:lineRule="auto"/>
        <w:ind w:left="709"/>
        <w:rPr>
          <w:rFonts w:ascii="Arial" w:eastAsia="Calibri" w:hAnsi="Arial" w:cs="Arial"/>
        </w:rPr>
      </w:pPr>
      <w:r w:rsidRPr="00E06BC7">
        <w:rPr>
          <w:rFonts w:ascii="Arial" w:eastAsia="Calibri" w:hAnsi="Arial" w:cs="Arial"/>
        </w:rPr>
        <w:t>School students who want a more intensive on-the-job experience, particularly in trade related areas, may undertake a school based apprenticeships/traineeships</w:t>
      </w:r>
      <w:r w:rsidR="003614FD">
        <w:rPr>
          <w:rFonts w:ascii="Arial" w:eastAsia="Calibri" w:hAnsi="Arial" w:cs="Arial"/>
        </w:rPr>
        <w:t xml:space="preserve"> (</w:t>
      </w:r>
      <w:proofErr w:type="spellStart"/>
      <w:r w:rsidR="003614FD">
        <w:rPr>
          <w:rFonts w:ascii="Arial" w:eastAsia="Calibri" w:hAnsi="Arial" w:cs="Arial"/>
        </w:rPr>
        <w:t>SBAT</w:t>
      </w:r>
      <w:proofErr w:type="spellEnd"/>
      <w:r w:rsidR="003614FD">
        <w:rPr>
          <w:rFonts w:ascii="Arial" w:eastAsia="Calibri" w:hAnsi="Arial" w:cs="Arial"/>
        </w:rPr>
        <w:t>)</w:t>
      </w:r>
      <w:r w:rsidRPr="00E06BC7">
        <w:rPr>
          <w:rFonts w:ascii="Arial" w:eastAsia="Calibri" w:hAnsi="Arial" w:cs="Arial"/>
        </w:rPr>
        <w:t xml:space="preserve"> as part of their </w:t>
      </w:r>
      <w:proofErr w:type="spellStart"/>
      <w:r w:rsidRPr="00E06BC7">
        <w:rPr>
          <w:rFonts w:ascii="Arial" w:eastAsia="Calibri" w:hAnsi="Arial" w:cs="Arial"/>
        </w:rPr>
        <w:t>SACE</w:t>
      </w:r>
      <w:proofErr w:type="spellEnd"/>
      <w:r w:rsidRPr="00E06BC7">
        <w:rPr>
          <w:rFonts w:ascii="Arial" w:eastAsia="Calibri" w:hAnsi="Arial" w:cs="Arial"/>
        </w:rPr>
        <w:t xml:space="preserve"> with a view to the arrangement being converted to a full time apprenticeship</w:t>
      </w:r>
      <w:r w:rsidR="001A26F6" w:rsidRPr="00E06BC7">
        <w:rPr>
          <w:rFonts w:ascii="Arial" w:eastAsia="Calibri" w:hAnsi="Arial" w:cs="Arial"/>
        </w:rPr>
        <w:t>/traineeship</w:t>
      </w:r>
      <w:r w:rsidRPr="00E06BC7">
        <w:rPr>
          <w:rFonts w:ascii="Arial" w:eastAsia="Calibri" w:hAnsi="Arial" w:cs="Arial"/>
        </w:rPr>
        <w:t xml:space="preserve"> post-school. For eligible courses, the cost of the training is subsidised by </w:t>
      </w:r>
      <w:r w:rsidRPr="00975A6F">
        <w:rPr>
          <w:rFonts w:ascii="Arial" w:eastAsia="Calibri" w:hAnsi="Arial" w:cs="Arial"/>
          <w:i/>
        </w:rPr>
        <w:t>Skills for All</w:t>
      </w:r>
      <w:r w:rsidRPr="00E06BC7">
        <w:rPr>
          <w:rFonts w:ascii="Arial" w:eastAsia="Calibri" w:hAnsi="Arial" w:cs="Arial"/>
        </w:rPr>
        <w:t>.</w:t>
      </w:r>
    </w:p>
    <w:p w:rsidR="00E06BC7" w:rsidRDefault="00E06BC7" w:rsidP="00E619A9">
      <w:pPr>
        <w:spacing w:line="240" w:lineRule="auto"/>
        <w:ind w:left="709"/>
        <w:rPr>
          <w:rFonts w:ascii="Arial" w:eastAsia="Calibri" w:hAnsi="Arial" w:cs="Arial"/>
        </w:rPr>
      </w:pPr>
    </w:p>
    <w:p w:rsidR="00E06BC7" w:rsidRDefault="0064634B" w:rsidP="00E619A9">
      <w:pPr>
        <w:spacing w:line="240" w:lineRule="auto"/>
        <w:ind w:left="709"/>
        <w:rPr>
          <w:rFonts w:ascii="Arial" w:eastAsia="Calibri" w:hAnsi="Arial" w:cs="Arial"/>
        </w:rPr>
      </w:pPr>
      <w:r w:rsidRPr="00E06BC7">
        <w:rPr>
          <w:rFonts w:ascii="Arial" w:eastAsia="Calibri" w:hAnsi="Arial" w:cs="Arial"/>
        </w:rPr>
        <w:t>Some students who are at risk of disengaging from school may be counselled to particip</w:t>
      </w:r>
      <w:r w:rsidR="001C1EE1" w:rsidRPr="00E06BC7">
        <w:rPr>
          <w:rFonts w:ascii="Arial" w:eastAsia="Calibri" w:hAnsi="Arial" w:cs="Arial"/>
        </w:rPr>
        <w:t xml:space="preserve">ate in the </w:t>
      </w:r>
      <w:proofErr w:type="spellStart"/>
      <w:r w:rsidR="001C1EE1" w:rsidRPr="00E06BC7">
        <w:rPr>
          <w:rFonts w:ascii="Arial" w:eastAsia="Calibri" w:hAnsi="Arial" w:cs="Arial"/>
        </w:rPr>
        <w:t>ICAN</w:t>
      </w:r>
      <w:proofErr w:type="spellEnd"/>
      <w:r w:rsidR="001C1EE1" w:rsidRPr="00E06BC7">
        <w:rPr>
          <w:rFonts w:ascii="Arial" w:eastAsia="Calibri" w:hAnsi="Arial" w:cs="Arial"/>
        </w:rPr>
        <w:t>/FLO initiative.</w:t>
      </w:r>
      <w:r w:rsidRPr="00E06BC7">
        <w:rPr>
          <w:rFonts w:ascii="Arial" w:eastAsia="Calibri" w:hAnsi="Arial" w:cs="Arial"/>
        </w:rPr>
        <w:t xml:space="preserve"> A learning plan is negotiated for eligible students</w:t>
      </w:r>
      <w:r w:rsidR="001C1EE1" w:rsidRPr="00E06BC7">
        <w:rPr>
          <w:rFonts w:ascii="Arial" w:eastAsia="Calibri" w:hAnsi="Arial" w:cs="Arial"/>
        </w:rPr>
        <w:t xml:space="preserve"> that may include a VET course.</w:t>
      </w:r>
      <w:r w:rsidRPr="00E06BC7">
        <w:rPr>
          <w:rFonts w:ascii="Arial" w:eastAsia="Calibri" w:hAnsi="Arial" w:cs="Arial"/>
        </w:rPr>
        <w:t xml:space="preserve"> For eligible courses, the cost of the training can be subsidised by </w:t>
      </w:r>
      <w:r w:rsidRPr="00975A6F">
        <w:rPr>
          <w:rFonts w:ascii="Arial" w:eastAsia="Calibri" w:hAnsi="Arial" w:cs="Arial"/>
          <w:i/>
        </w:rPr>
        <w:t>Skills for All</w:t>
      </w:r>
      <w:r w:rsidRPr="00E06BC7">
        <w:rPr>
          <w:rFonts w:ascii="Arial" w:eastAsia="Calibri" w:hAnsi="Arial" w:cs="Arial"/>
        </w:rPr>
        <w:t>.</w:t>
      </w:r>
    </w:p>
    <w:p w:rsidR="00E06BC7" w:rsidRDefault="00E06BC7" w:rsidP="00E619A9">
      <w:pPr>
        <w:spacing w:line="240" w:lineRule="auto"/>
        <w:ind w:left="709"/>
        <w:rPr>
          <w:rFonts w:ascii="Arial" w:eastAsia="Calibri" w:hAnsi="Arial" w:cs="Arial"/>
        </w:rPr>
      </w:pPr>
    </w:p>
    <w:p w:rsidR="0064634B" w:rsidRPr="00E06BC7" w:rsidRDefault="0064634B" w:rsidP="00E619A9">
      <w:pPr>
        <w:spacing w:line="240" w:lineRule="auto"/>
        <w:ind w:left="709"/>
        <w:rPr>
          <w:rFonts w:ascii="Arial" w:eastAsia="Calibri" w:hAnsi="Arial" w:cs="Arial"/>
        </w:rPr>
      </w:pPr>
      <w:r w:rsidRPr="00E06BC7">
        <w:rPr>
          <w:rFonts w:ascii="Arial" w:eastAsia="Calibri" w:hAnsi="Arial" w:cs="Arial"/>
        </w:rPr>
        <w:t>Schools provide substantial implementation support for these programs.</w:t>
      </w:r>
    </w:p>
    <w:p w:rsidR="009E5ABF" w:rsidRPr="00AA5F3C" w:rsidRDefault="009E5ABF" w:rsidP="00E619A9">
      <w:pPr>
        <w:rPr>
          <w:rFonts w:ascii="Arial" w:hAnsi="Arial" w:cs="Arial"/>
        </w:rPr>
      </w:pPr>
    </w:p>
    <w:p w:rsidR="000A6A17" w:rsidRDefault="000C1B39" w:rsidP="0040521B">
      <w:pPr>
        <w:pStyle w:val="ListParagraph"/>
        <w:numPr>
          <w:ilvl w:val="0"/>
          <w:numId w:val="5"/>
        </w:numPr>
        <w:ind w:left="709"/>
        <w:rPr>
          <w:rFonts w:ascii="Arial" w:hAnsi="Arial" w:cs="Arial"/>
        </w:rPr>
      </w:pPr>
      <w:r w:rsidRPr="00742A70">
        <w:rPr>
          <w:rFonts w:ascii="Arial" w:hAnsi="Arial" w:cs="Arial"/>
        </w:rPr>
        <w:t xml:space="preserve">The </w:t>
      </w:r>
      <w:r w:rsidRPr="007A0647">
        <w:rPr>
          <w:rFonts w:ascii="Arial" w:hAnsi="Arial" w:cs="Arial"/>
        </w:rPr>
        <w:t>t</w:t>
      </w:r>
      <w:r w:rsidR="000A6A17" w:rsidRPr="001B435B">
        <w:rPr>
          <w:rFonts w:ascii="Arial" w:hAnsi="Arial" w:cs="Arial"/>
        </w:rPr>
        <w:t xml:space="preserve">wo </w:t>
      </w:r>
      <w:r w:rsidRPr="00975A6F">
        <w:rPr>
          <w:rFonts w:ascii="Arial" w:hAnsi="Arial" w:cs="Arial"/>
          <w:b/>
        </w:rPr>
        <w:t xml:space="preserve">Catholic </w:t>
      </w:r>
      <w:r w:rsidR="000A6A17" w:rsidRPr="00975A6F">
        <w:rPr>
          <w:rFonts w:ascii="Arial" w:hAnsi="Arial" w:cs="Arial"/>
          <w:b/>
        </w:rPr>
        <w:t>Technical Colleges</w:t>
      </w:r>
      <w:r w:rsidR="000A6A17" w:rsidRPr="001B435B">
        <w:rPr>
          <w:rFonts w:ascii="Arial" w:hAnsi="Arial" w:cs="Arial"/>
        </w:rPr>
        <w:t xml:space="preserve"> provide a </w:t>
      </w:r>
      <w:proofErr w:type="spellStart"/>
      <w:r w:rsidR="000A6A17" w:rsidRPr="00141156">
        <w:rPr>
          <w:rFonts w:ascii="Arial" w:hAnsi="Arial" w:cs="Arial"/>
        </w:rPr>
        <w:t>SACE</w:t>
      </w:r>
      <w:proofErr w:type="spellEnd"/>
      <w:r w:rsidR="000A6A17" w:rsidRPr="00742A70">
        <w:rPr>
          <w:rFonts w:ascii="Arial" w:hAnsi="Arial" w:cs="Arial"/>
        </w:rPr>
        <w:t xml:space="preserve"> pathway program for 600+ students in Years 11 and 12. These students aspire to complete their </w:t>
      </w:r>
      <w:proofErr w:type="spellStart"/>
      <w:r w:rsidR="000A6A17" w:rsidRPr="00742A70">
        <w:rPr>
          <w:rFonts w:ascii="Arial" w:hAnsi="Arial" w:cs="Arial"/>
        </w:rPr>
        <w:t>SACE</w:t>
      </w:r>
      <w:proofErr w:type="spellEnd"/>
      <w:r w:rsidR="000A6A17" w:rsidRPr="00742A70">
        <w:rPr>
          <w:rFonts w:ascii="Arial" w:hAnsi="Arial" w:cs="Arial"/>
        </w:rPr>
        <w:t xml:space="preserve"> and gain an apprentice and then move into fulltime employment. The Technical Colleges specialise in trade and vocational pathways including Automotive, Building and Construction, Commercial Cooking, Electro-technology, Metal Engineering, Hairdressing and Animal Studies. </w:t>
      </w:r>
    </w:p>
    <w:p w:rsidR="00975A6F" w:rsidRPr="00481093" w:rsidRDefault="00975A6F" w:rsidP="00E619A9">
      <w:pPr>
        <w:ind w:left="349"/>
        <w:rPr>
          <w:rFonts w:ascii="Arial" w:hAnsi="Arial" w:cs="Arial"/>
        </w:rPr>
      </w:pPr>
    </w:p>
    <w:p w:rsidR="009E5ABF" w:rsidRDefault="009E5ABF" w:rsidP="0040521B">
      <w:pPr>
        <w:pStyle w:val="ListParagraph"/>
        <w:numPr>
          <w:ilvl w:val="0"/>
          <w:numId w:val="5"/>
        </w:numPr>
        <w:ind w:left="709"/>
        <w:rPr>
          <w:rFonts w:ascii="Arial" w:hAnsi="Arial" w:cs="Arial"/>
        </w:rPr>
      </w:pPr>
      <w:r w:rsidRPr="00AA5F3C">
        <w:rPr>
          <w:rFonts w:ascii="Arial" w:hAnsi="Arial" w:cs="Arial"/>
          <w:b/>
        </w:rPr>
        <w:t>Industry Pathways Program</w:t>
      </w:r>
      <w:r w:rsidRPr="00AA5F3C">
        <w:rPr>
          <w:rFonts w:ascii="Arial" w:hAnsi="Arial" w:cs="Arial"/>
        </w:rPr>
        <w:t xml:space="preserve"> (</w:t>
      </w:r>
      <w:proofErr w:type="spellStart"/>
      <w:r w:rsidRPr="00AA5F3C">
        <w:rPr>
          <w:rFonts w:ascii="Arial" w:hAnsi="Arial" w:cs="Arial"/>
        </w:rPr>
        <w:t>IPP</w:t>
      </w:r>
      <w:proofErr w:type="spellEnd"/>
      <w:r w:rsidRPr="00AA5F3C">
        <w:rPr>
          <w:rFonts w:ascii="Arial" w:hAnsi="Arial" w:cs="Arial"/>
        </w:rPr>
        <w:t>) which integrates the State Government’s Trade Schools for the Future (</w:t>
      </w:r>
      <w:proofErr w:type="spellStart"/>
      <w:r w:rsidRPr="00AA5F3C">
        <w:rPr>
          <w:rFonts w:ascii="Arial" w:hAnsi="Arial" w:cs="Arial"/>
        </w:rPr>
        <w:t>TSfF</w:t>
      </w:r>
      <w:proofErr w:type="spellEnd"/>
      <w:r w:rsidRPr="00AA5F3C">
        <w:rPr>
          <w:rFonts w:ascii="Arial" w:hAnsi="Arial" w:cs="Arial"/>
        </w:rPr>
        <w:t xml:space="preserve">) strategy with the Australian Governments Trade Training Centres in Schools program to support sustainable vocational programs for young people, engaging students in vocational courses leading to Certificate III competencies specifically in area of industry skills needs.  The </w:t>
      </w:r>
      <w:proofErr w:type="spellStart"/>
      <w:r w:rsidRPr="00AA5F3C">
        <w:rPr>
          <w:rFonts w:ascii="Arial" w:hAnsi="Arial" w:cs="Arial"/>
        </w:rPr>
        <w:t>IPP</w:t>
      </w:r>
      <w:proofErr w:type="spellEnd"/>
      <w:r w:rsidRPr="00AA5F3C">
        <w:rPr>
          <w:rFonts w:ascii="Arial" w:hAnsi="Arial" w:cs="Arial"/>
        </w:rPr>
        <w:t xml:space="preserve"> has career development strategies </w:t>
      </w:r>
      <w:r w:rsidR="00582900" w:rsidRPr="00AA5F3C">
        <w:rPr>
          <w:rFonts w:ascii="Arial" w:hAnsi="Arial" w:cs="Arial"/>
        </w:rPr>
        <w:t xml:space="preserve">which </w:t>
      </w:r>
      <w:r w:rsidRPr="00AA5F3C">
        <w:rPr>
          <w:rFonts w:ascii="Arial" w:hAnsi="Arial" w:cs="Arial"/>
        </w:rPr>
        <w:t>support students’ career development skills and knowledge and engage parents/caregivers in the career pathways planning process.  During 2012</w:t>
      </w:r>
      <w:r w:rsidR="00CD3565" w:rsidRPr="00AA5F3C">
        <w:rPr>
          <w:rFonts w:ascii="Arial" w:hAnsi="Arial" w:cs="Arial"/>
        </w:rPr>
        <w:t>,</w:t>
      </w:r>
      <w:r w:rsidRPr="00AA5F3C">
        <w:rPr>
          <w:rFonts w:ascii="Arial" w:hAnsi="Arial" w:cs="Arial"/>
        </w:rPr>
        <w:t xml:space="preserve"> </w:t>
      </w:r>
      <w:r w:rsidR="00CD3565" w:rsidRPr="00AA5F3C">
        <w:rPr>
          <w:rFonts w:ascii="Arial" w:hAnsi="Arial" w:cs="Arial"/>
        </w:rPr>
        <w:t xml:space="preserve">students </w:t>
      </w:r>
      <w:r w:rsidRPr="00AA5F3C">
        <w:rPr>
          <w:rFonts w:ascii="Arial" w:hAnsi="Arial" w:cs="Arial"/>
        </w:rPr>
        <w:t xml:space="preserve">from 110 schools participated in </w:t>
      </w:r>
      <w:proofErr w:type="spellStart"/>
      <w:r w:rsidRPr="00AA5F3C">
        <w:rPr>
          <w:rFonts w:ascii="Arial" w:hAnsi="Arial" w:cs="Arial"/>
        </w:rPr>
        <w:t>IPPs</w:t>
      </w:r>
      <w:proofErr w:type="spellEnd"/>
      <w:r w:rsidRPr="00AA5F3C">
        <w:rPr>
          <w:rFonts w:ascii="Arial" w:hAnsi="Arial" w:cs="Arial"/>
        </w:rPr>
        <w:t xml:space="preserve"> in one of the following industry areas:</w:t>
      </w:r>
    </w:p>
    <w:p w:rsidR="00D14A50" w:rsidRDefault="00D14A50" w:rsidP="00E619A9">
      <w:pPr>
        <w:pStyle w:val="ListParagraph"/>
        <w:rPr>
          <w:rFonts w:ascii="Arial" w:hAnsi="Arial" w:cs="Arial"/>
        </w:rPr>
      </w:pPr>
    </w:p>
    <w:p w:rsidR="009502AE" w:rsidRDefault="009502AE" w:rsidP="00E619A9">
      <w:pPr>
        <w:pStyle w:val="ListParagraph"/>
        <w:rPr>
          <w:rFonts w:ascii="Arial" w:hAnsi="Arial" w:cs="Arial"/>
        </w:rPr>
        <w:sectPr w:rsidR="009502AE" w:rsidSect="005F2405">
          <w:pgSz w:w="11906" w:h="16838"/>
          <w:pgMar w:top="720" w:right="991" w:bottom="720" w:left="1134" w:header="568" w:footer="708" w:gutter="0"/>
          <w:cols w:space="708"/>
          <w:docGrid w:linePitch="360"/>
        </w:sectPr>
      </w:pPr>
    </w:p>
    <w:p w:rsidR="00D14A50" w:rsidRDefault="00D14A50" w:rsidP="00E619A9">
      <w:pPr>
        <w:pStyle w:val="ListParagraph"/>
        <w:rPr>
          <w:rFonts w:ascii="Arial" w:hAnsi="Arial" w:cs="Arial"/>
        </w:rPr>
      </w:pPr>
      <w:r w:rsidRPr="00AA5F3C">
        <w:rPr>
          <w:rFonts w:ascii="Arial" w:hAnsi="Arial" w:cs="Arial"/>
        </w:rPr>
        <w:lastRenderedPageBreak/>
        <w:t>Automotive</w:t>
      </w:r>
    </w:p>
    <w:p w:rsidR="00D14A50" w:rsidRDefault="00D14A50" w:rsidP="00E619A9">
      <w:pPr>
        <w:pStyle w:val="ListParagraph"/>
        <w:rPr>
          <w:rFonts w:ascii="Arial" w:hAnsi="Arial" w:cs="Arial"/>
        </w:rPr>
      </w:pPr>
      <w:r w:rsidRPr="00AA5F3C">
        <w:rPr>
          <w:rFonts w:ascii="Arial" w:hAnsi="Arial" w:cs="Arial"/>
        </w:rPr>
        <w:t>Civil Construction</w:t>
      </w:r>
    </w:p>
    <w:p w:rsidR="00D14A50" w:rsidRDefault="00D14A50" w:rsidP="00E619A9">
      <w:pPr>
        <w:pStyle w:val="ListParagraph"/>
        <w:rPr>
          <w:rFonts w:ascii="Arial" w:hAnsi="Arial" w:cs="Arial"/>
        </w:rPr>
      </w:pPr>
      <w:r w:rsidRPr="00AA5F3C">
        <w:rPr>
          <w:rFonts w:ascii="Arial" w:hAnsi="Arial" w:cs="Arial"/>
        </w:rPr>
        <w:t>Primary Industries</w:t>
      </w:r>
    </w:p>
    <w:p w:rsidR="00D14A50" w:rsidRDefault="00D14A50" w:rsidP="00E619A9">
      <w:pPr>
        <w:pStyle w:val="ListParagraph"/>
        <w:rPr>
          <w:rFonts w:ascii="Arial" w:hAnsi="Arial" w:cs="Arial"/>
        </w:rPr>
      </w:pPr>
      <w:r w:rsidRPr="00AA5F3C">
        <w:rPr>
          <w:rFonts w:ascii="Arial" w:hAnsi="Arial" w:cs="Arial"/>
        </w:rPr>
        <w:t>Business Services</w:t>
      </w:r>
    </w:p>
    <w:p w:rsidR="00D14A50" w:rsidRDefault="00D14A50" w:rsidP="00E619A9">
      <w:pPr>
        <w:pStyle w:val="ListParagraph"/>
        <w:rPr>
          <w:rFonts w:ascii="Arial" w:hAnsi="Arial" w:cs="Arial"/>
        </w:rPr>
      </w:pPr>
      <w:r w:rsidRPr="00AA5F3C">
        <w:rPr>
          <w:rFonts w:ascii="Arial" w:hAnsi="Arial" w:cs="Arial"/>
        </w:rPr>
        <w:t>Community Services</w:t>
      </w:r>
    </w:p>
    <w:p w:rsidR="00D14A50" w:rsidRDefault="00D14A50" w:rsidP="00E619A9">
      <w:pPr>
        <w:pStyle w:val="ListParagraph"/>
        <w:rPr>
          <w:rFonts w:ascii="Arial" w:hAnsi="Arial" w:cs="Arial"/>
        </w:rPr>
      </w:pPr>
      <w:r w:rsidRPr="00AA5F3C">
        <w:rPr>
          <w:rFonts w:ascii="Arial" w:hAnsi="Arial" w:cs="Arial"/>
        </w:rPr>
        <w:t>Electro-technology</w:t>
      </w:r>
    </w:p>
    <w:p w:rsidR="00D14A50" w:rsidRDefault="00D14A50" w:rsidP="00E619A9">
      <w:pPr>
        <w:pStyle w:val="ListParagraph"/>
        <w:rPr>
          <w:rFonts w:ascii="Arial" w:hAnsi="Arial" w:cs="Arial"/>
        </w:rPr>
      </w:pPr>
      <w:r w:rsidRPr="00AA5F3C">
        <w:rPr>
          <w:rFonts w:ascii="Arial" w:hAnsi="Arial" w:cs="Arial"/>
        </w:rPr>
        <w:lastRenderedPageBreak/>
        <w:t>Digital Media</w:t>
      </w:r>
    </w:p>
    <w:p w:rsidR="00D14A50" w:rsidRDefault="00D14A50" w:rsidP="00E619A9">
      <w:pPr>
        <w:pStyle w:val="ListParagraph"/>
        <w:rPr>
          <w:rFonts w:ascii="Arial" w:hAnsi="Arial" w:cs="Arial"/>
        </w:rPr>
      </w:pPr>
      <w:r w:rsidRPr="00AA5F3C">
        <w:rPr>
          <w:rFonts w:ascii="Arial" w:hAnsi="Arial" w:cs="Arial"/>
        </w:rPr>
        <w:t>Engineering</w:t>
      </w:r>
    </w:p>
    <w:p w:rsidR="00D14A50" w:rsidRDefault="00D14A50" w:rsidP="00E619A9">
      <w:pPr>
        <w:pStyle w:val="ListParagraph"/>
        <w:rPr>
          <w:rFonts w:ascii="Arial" w:hAnsi="Arial" w:cs="Arial"/>
        </w:rPr>
      </w:pPr>
      <w:r w:rsidRPr="00AA5F3C">
        <w:rPr>
          <w:rFonts w:ascii="Arial" w:hAnsi="Arial" w:cs="Arial"/>
        </w:rPr>
        <w:t>Manufacturing Technologies</w:t>
      </w:r>
    </w:p>
    <w:p w:rsidR="00D14A50" w:rsidRDefault="00D14A50" w:rsidP="00E619A9">
      <w:pPr>
        <w:pStyle w:val="ListParagraph"/>
        <w:rPr>
          <w:rFonts w:ascii="Arial" w:hAnsi="Arial" w:cs="Arial"/>
        </w:rPr>
      </w:pPr>
      <w:r w:rsidRPr="00AA5F3C">
        <w:rPr>
          <w:rFonts w:ascii="Arial" w:hAnsi="Arial" w:cs="Arial"/>
        </w:rPr>
        <w:t>Construction</w:t>
      </w:r>
    </w:p>
    <w:p w:rsidR="00D14A50" w:rsidRDefault="00D14A50" w:rsidP="00E619A9">
      <w:pPr>
        <w:pStyle w:val="ListParagraph"/>
        <w:rPr>
          <w:rFonts w:ascii="Arial" w:hAnsi="Arial" w:cs="Arial"/>
        </w:rPr>
      </w:pPr>
      <w:r w:rsidRPr="00AA5F3C">
        <w:rPr>
          <w:rFonts w:ascii="Arial" w:hAnsi="Arial" w:cs="Arial"/>
        </w:rPr>
        <w:t>Plumbing</w:t>
      </w:r>
    </w:p>
    <w:p w:rsidR="009502AE" w:rsidRDefault="009502AE" w:rsidP="00E619A9">
      <w:pPr>
        <w:pStyle w:val="ListParagraph"/>
        <w:rPr>
          <w:rFonts w:ascii="Arial" w:hAnsi="Arial" w:cs="Arial"/>
        </w:rPr>
      </w:pPr>
      <w:r>
        <w:rPr>
          <w:rFonts w:ascii="Arial" w:hAnsi="Arial" w:cs="Arial"/>
        </w:rPr>
        <w:lastRenderedPageBreak/>
        <w:t>Food preparation and processing</w:t>
      </w:r>
    </w:p>
    <w:p w:rsidR="009502AE" w:rsidRDefault="009502AE" w:rsidP="00E619A9">
      <w:pPr>
        <w:pStyle w:val="ListParagraph"/>
        <w:rPr>
          <w:rFonts w:ascii="Arial" w:hAnsi="Arial" w:cs="Arial"/>
        </w:rPr>
      </w:pPr>
      <w:r w:rsidRPr="00AA5F3C">
        <w:rPr>
          <w:rFonts w:ascii="Arial" w:hAnsi="Arial" w:cs="Arial"/>
        </w:rPr>
        <w:t>Health</w:t>
      </w:r>
    </w:p>
    <w:p w:rsidR="009502AE" w:rsidRDefault="009502AE" w:rsidP="00E619A9">
      <w:pPr>
        <w:pStyle w:val="ListParagraph"/>
        <w:rPr>
          <w:rFonts w:ascii="Arial" w:hAnsi="Arial" w:cs="Arial"/>
        </w:rPr>
      </w:pPr>
      <w:r w:rsidRPr="00AA5F3C">
        <w:rPr>
          <w:rFonts w:ascii="Arial" w:hAnsi="Arial" w:cs="Arial"/>
        </w:rPr>
        <w:t>Seafood</w:t>
      </w:r>
    </w:p>
    <w:p w:rsidR="009502AE" w:rsidRDefault="009502AE" w:rsidP="00E619A9">
      <w:pPr>
        <w:pStyle w:val="ListParagraph"/>
        <w:rPr>
          <w:rFonts w:ascii="Arial" w:hAnsi="Arial" w:cs="Arial"/>
        </w:rPr>
        <w:sectPr w:rsidR="009502AE" w:rsidSect="009502AE">
          <w:type w:val="continuous"/>
          <w:pgSz w:w="11906" w:h="16838"/>
          <w:pgMar w:top="720" w:right="991" w:bottom="720" w:left="1134" w:header="568" w:footer="708" w:gutter="0"/>
          <w:cols w:num="3" w:space="708"/>
          <w:docGrid w:linePitch="360"/>
        </w:sectPr>
      </w:pPr>
    </w:p>
    <w:p w:rsidR="00D14A50" w:rsidRDefault="00D14A50" w:rsidP="00E619A9">
      <w:pPr>
        <w:pStyle w:val="ListParagraph"/>
        <w:rPr>
          <w:rFonts w:ascii="Arial" w:hAnsi="Arial" w:cs="Arial"/>
        </w:rPr>
      </w:pPr>
    </w:p>
    <w:p w:rsidR="00CD3565" w:rsidRDefault="00CD3565" w:rsidP="00E619A9">
      <w:pPr>
        <w:rPr>
          <w:rFonts w:ascii="Arial" w:hAnsi="Arial" w:cs="Arial"/>
        </w:rPr>
      </w:pPr>
      <w:r w:rsidRPr="00AA5F3C">
        <w:rPr>
          <w:rFonts w:ascii="Arial" w:hAnsi="Arial" w:cs="Arial"/>
        </w:rPr>
        <w:lastRenderedPageBreak/>
        <w:t>2,869 students undertook Certificate III, Diploma or Advanced Diploma courses while at school which is an increase of almost 150% over the last five years</w:t>
      </w:r>
      <w:r w:rsidR="00B82BDE">
        <w:rPr>
          <w:rFonts w:ascii="Arial" w:hAnsi="Arial" w:cs="Arial"/>
        </w:rPr>
        <w:t>.</w:t>
      </w:r>
      <w:r w:rsidR="00582900" w:rsidRPr="00AA5F3C">
        <w:rPr>
          <w:rFonts w:ascii="Arial" w:hAnsi="Arial" w:cs="Arial"/>
        </w:rPr>
        <w:t xml:space="preserve"> </w:t>
      </w:r>
      <w:proofErr w:type="gramStart"/>
      <w:r w:rsidR="00B82BDE">
        <w:rPr>
          <w:rFonts w:ascii="Arial" w:hAnsi="Arial" w:cs="Arial"/>
        </w:rPr>
        <w:t>T</w:t>
      </w:r>
      <w:r w:rsidRPr="00AA5F3C">
        <w:rPr>
          <w:rFonts w:ascii="Arial" w:hAnsi="Arial" w:cs="Arial"/>
        </w:rPr>
        <w:t>raining hours at Certificate III increased by</w:t>
      </w:r>
      <w:r w:rsidR="00582900" w:rsidRPr="00AA5F3C">
        <w:rPr>
          <w:rFonts w:ascii="Arial" w:hAnsi="Arial" w:cs="Arial"/>
        </w:rPr>
        <w:t xml:space="preserve"> over 200% over the same p</w:t>
      </w:r>
      <w:r w:rsidR="009720EA">
        <w:rPr>
          <w:rFonts w:ascii="Arial" w:hAnsi="Arial" w:cs="Arial"/>
        </w:rPr>
        <w:t>eriod</w:t>
      </w:r>
      <w:r w:rsidR="00582900" w:rsidRPr="00AA5F3C">
        <w:rPr>
          <w:rFonts w:ascii="Arial" w:hAnsi="Arial" w:cs="Arial"/>
        </w:rPr>
        <w:t>.</w:t>
      </w:r>
      <w:proofErr w:type="gramEnd"/>
    </w:p>
    <w:p w:rsidR="00975A6F" w:rsidRPr="00AA5F3C" w:rsidRDefault="00975A6F" w:rsidP="00E619A9">
      <w:pPr>
        <w:ind w:left="709"/>
        <w:rPr>
          <w:rFonts w:ascii="Arial" w:hAnsi="Arial" w:cs="Arial"/>
        </w:rPr>
      </w:pPr>
    </w:p>
    <w:p w:rsidR="00582900" w:rsidRDefault="005D1C50" w:rsidP="0040521B">
      <w:pPr>
        <w:pStyle w:val="ListParagraph"/>
        <w:numPr>
          <w:ilvl w:val="0"/>
          <w:numId w:val="5"/>
        </w:numPr>
        <w:ind w:left="709"/>
        <w:rPr>
          <w:rFonts w:ascii="Arial" w:hAnsi="Arial" w:cs="Arial"/>
        </w:rPr>
      </w:pPr>
      <w:r w:rsidRPr="00AA5F3C">
        <w:rPr>
          <w:rFonts w:ascii="Arial" w:hAnsi="Arial" w:cs="Arial"/>
          <w:b/>
        </w:rPr>
        <w:t>Trade Schools for the Future</w:t>
      </w:r>
      <w:r w:rsidRPr="00AA5F3C">
        <w:rPr>
          <w:rFonts w:ascii="Arial" w:hAnsi="Arial" w:cs="Arial"/>
        </w:rPr>
        <w:t xml:space="preserve"> </w:t>
      </w:r>
      <w:r w:rsidR="009720EA">
        <w:rPr>
          <w:rFonts w:ascii="Arial" w:hAnsi="Arial" w:cs="Arial"/>
        </w:rPr>
        <w:t>(</w:t>
      </w:r>
      <w:proofErr w:type="spellStart"/>
      <w:r w:rsidR="009720EA">
        <w:rPr>
          <w:rFonts w:ascii="Arial" w:hAnsi="Arial" w:cs="Arial"/>
        </w:rPr>
        <w:t>TSfF</w:t>
      </w:r>
      <w:proofErr w:type="spellEnd"/>
      <w:r w:rsidR="009720EA">
        <w:rPr>
          <w:rFonts w:ascii="Arial" w:hAnsi="Arial" w:cs="Arial"/>
        </w:rPr>
        <w:t xml:space="preserve">) </w:t>
      </w:r>
      <w:r w:rsidRPr="00AA5F3C">
        <w:rPr>
          <w:rFonts w:ascii="Arial" w:hAnsi="Arial" w:cs="Arial"/>
        </w:rPr>
        <w:t xml:space="preserve">is a </w:t>
      </w:r>
      <w:r w:rsidR="00DA01FF">
        <w:rPr>
          <w:rFonts w:ascii="Arial" w:hAnsi="Arial" w:cs="Arial"/>
        </w:rPr>
        <w:t>DECD</w:t>
      </w:r>
      <w:r w:rsidRPr="00AA5F3C">
        <w:rPr>
          <w:rFonts w:ascii="Arial" w:hAnsi="Arial" w:cs="Arial"/>
        </w:rPr>
        <w:t xml:space="preserve"> initiative which provides a range of resources for schools, including Apprenticeship Brokers appointed in 10 identified </w:t>
      </w:r>
      <w:proofErr w:type="spellStart"/>
      <w:r w:rsidRPr="00AA5F3C">
        <w:rPr>
          <w:rFonts w:ascii="Arial" w:hAnsi="Arial" w:cs="Arial"/>
        </w:rPr>
        <w:t>TSfF</w:t>
      </w:r>
      <w:proofErr w:type="spellEnd"/>
      <w:r w:rsidRPr="00AA5F3C">
        <w:rPr>
          <w:rFonts w:ascii="Arial" w:hAnsi="Arial" w:cs="Arial"/>
        </w:rPr>
        <w:t xml:space="preserve"> clusters, to assist students wishing to enter into school-based </w:t>
      </w:r>
      <w:r w:rsidR="009720EA">
        <w:rPr>
          <w:rFonts w:ascii="Arial" w:hAnsi="Arial" w:cs="Arial"/>
        </w:rPr>
        <w:t>a</w:t>
      </w:r>
      <w:r w:rsidRPr="00AA5F3C">
        <w:rPr>
          <w:rFonts w:ascii="Arial" w:hAnsi="Arial" w:cs="Arial"/>
        </w:rPr>
        <w:t>pprenticeships/</w:t>
      </w:r>
      <w:r w:rsidR="009720EA">
        <w:rPr>
          <w:rFonts w:ascii="Arial" w:hAnsi="Arial" w:cs="Arial"/>
        </w:rPr>
        <w:t xml:space="preserve"> </w:t>
      </w:r>
      <w:r w:rsidRPr="00AA5F3C">
        <w:rPr>
          <w:rFonts w:ascii="Arial" w:hAnsi="Arial" w:cs="Arial"/>
        </w:rPr>
        <w:t>traineeships (</w:t>
      </w:r>
      <w:proofErr w:type="spellStart"/>
      <w:r w:rsidR="00975A6F">
        <w:rPr>
          <w:rFonts w:ascii="Arial" w:hAnsi="Arial" w:cs="Arial"/>
        </w:rPr>
        <w:t>ASbA</w:t>
      </w:r>
      <w:r w:rsidRPr="00AA5F3C">
        <w:rPr>
          <w:rFonts w:ascii="Arial" w:hAnsi="Arial" w:cs="Arial"/>
        </w:rPr>
        <w:t>s</w:t>
      </w:r>
      <w:proofErr w:type="spellEnd"/>
      <w:r w:rsidRPr="00AA5F3C">
        <w:rPr>
          <w:rFonts w:ascii="Arial" w:hAnsi="Arial" w:cs="Arial"/>
        </w:rPr>
        <w:t>).  In 2012 there was an increase from 892 to 942 in the number of y</w:t>
      </w:r>
      <w:r w:rsidR="00975A6F">
        <w:rPr>
          <w:rFonts w:ascii="Arial" w:hAnsi="Arial" w:cs="Arial"/>
        </w:rPr>
        <w:t xml:space="preserve">oung people who commenced an </w:t>
      </w:r>
      <w:proofErr w:type="spellStart"/>
      <w:r w:rsidR="00975A6F">
        <w:rPr>
          <w:rFonts w:ascii="Arial" w:hAnsi="Arial" w:cs="Arial"/>
        </w:rPr>
        <w:t>ASb</w:t>
      </w:r>
      <w:r w:rsidRPr="00AA5F3C">
        <w:rPr>
          <w:rFonts w:ascii="Arial" w:hAnsi="Arial" w:cs="Arial"/>
        </w:rPr>
        <w:t>A</w:t>
      </w:r>
      <w:proofErr w:type="spellEnd"/>
      <w:r w:rsidRPr="00AA5F3C">
        <w:rPr>
          <w:rFonts w:ascii="Arial" w:hAnsi="Arial" w:cs="Arial"/>
        </w:rPr>
        <w:t>.</w:t>
      </w:r>
    </w:p>
    <w:p w:rsidR="00CC12F9" w:rsidRPr="00CC12F9" w:rsidRDefault="00CC12F9" w:rsidP="00CC12F9">
      <w:pPr>
        <w:ind w:left="349"/>
        <w:rPr>
          <w:rFonts w:ascii="Arial" w:hAnsi="Arial" w:cs="Arial"/>
        </w:rPr>
      </w:pPr>
    </w:p>
    <w:p w:rsidR="008749EC" w:rsidRDefault="008749EC" w:rsidP="0040521B">
      <w:pPr>
        <w:pStyle w:val="ListParagraph"/>
        <w:numPr>
          <w:ilvl w:val="0"/>
          <w:numId w:val="5"/>
        </w:numPr>
        <w:ind w:left="709"/>
        <w:rPr>
          <w:rFonts w:ascii="Arial" w:hAnsi="Arial" w:cs="Arial"/>
        </w:rPr>
      </w:pPr>
      <w:r w:rsidRPr="00AA5F3C">
        <w:rPr>
          <w:rFonts w:ascii="Arial" w:hAnsi="Arial" w:cs="Arial"/>
          <w:b/>
        </w:rPr>
        <w:t>Advanced Technology Program</w:t>
      </w:r>
      <w:r w:rsidRPr="00AA5F3C">
        <w:rPr>
          <w:rFonts w:ascii="Arial" w:hAnsi="Arial" w:cs="Arial"/>
        </w:rPr>
        <w:t xml:space="preserve"> is a </w:t>
      </w:r>
      <w:r w:rsidR="00F547A5" w:rsidRPr="00F547A5">
        <w:rPr>
          <w:rFonts w:ascii="Arial" w:eastAsia="Calibri" w:hAnsi="Arial" w:cs="Arial"/>
          <w:lang w:val="en-US"/>
        </w:rPr>
        <w:t xml:space="preserve">National Partnership project funded by the Commonwealth Government through the </w:t>
      </w:r>
      <w:proofErr w:type="spellStart"/>
      <w:r w:rsidR="00F547A5" w:rsidRPr="00F547A5">
        <w:rPr>
          <w:rFonts w:ascii="Arial" w:eastAsia="Calibri" w:hAnsi="Arial" w:cs="Arial"/>
          <w:lang w:val="en-US"/>
        </w:rPr>
        <w:t>Defence</w:t>
      </w:r>
      <w:proofErr w:type="spellEnd"/>
      <w:r w:rsidR="00F547A5" w:rsidRPr="00F547A5">
        <w:rPr>
          <w:rFonts w:ascii="Arial" w:eastAsia="Calibri" w:hAnsi="Arial" w:cs="Arial"/>
          <w:lang w:val="en-US"/>
        </w:rPr>
        <w:t xml:space="preserve"> Material </w:t>
      </w:r>
      <w:proofErr w:type="spellStart"/>
      <w:r w:rsidR="00F547A5" w:rsidRPr="00F547A5">
        <w:rPr>
          <w:rFonts w:ascii="Arial" w:eastAsia="Calibri" w:hAnsi="Arial" w:cs="Arial"/>
          <w:lang w:val="en-US"/>
        </w:rPr>
        <w:t>Organisation</w:t>
      </w:r>
      <w:proofErr w:type="spellEnd"/>
      <w:r w:rsidR="00F547A5" w:rsidRPr="00F547A5">
        <w:rPr>
          <w:rFonts w:ascii="Arial" w:eastAsia="Calibri" w:hAnsi="Arial" w:cs="Arial"/>
          <w:lang w:val="en-US"/>
        </w:rPr>
        <w:t xml:space="preserve">. Implementation is supported by government and non-government schooling sectors and aims to increase the number of young people in science, mathematics and technology and courses that may lead to pathways in </w:t>
      </w:r>
      <w:proofErr w:type="spellStart"/>
      <w:r w:rsidR="00F547A5" w:rsidRPr="00F547A5">
        <w:rPr>
          <w:rFonts w:ascii="Arial" w:eastAsia="Calibri" w:hAnsi="Arial" w:cs="Arial"/>
          <w:lang w:val="en-US"/>
        </w:rPr>
        <w:t>defence</w:t>
      </w:r>
      <w:proofErr w:type="spellEnd"/>
      <w:r w:rsidR="00F547A5" w:rsidRPr="00F547A5">
        <w:rPr>
          <w:rFonts w:ascii="Arial" w:eastAsia="Calibri" w:hAnsi="Arial" w:cs="Arial"/>
          <w:lang w:val="en-US"/>
        </w:rPr>
        <w:t xml:space="preserve"> related industries. Implementation is supported by three South Australian secondary schools chosen to lead the program in partnership with 15 other schools. The lead schools have developed </w:t>
      </w:r>
      <w:proofErr w:type="spellStart"/>
      <w:r w:rsidR="00F547A5" w:rsidRPr="00F547A5">
        <w:rPr>
          <w:rFonts w:ascii="Arial" w:eastAsia="Calibri" w:hAnsi="Arial" w:cs="Arial"/>
          <w:lang w:val="en-US"/>
        </w:rPr>
        <w:t>specialised</w:t>
      </w:r>
      <w:proofErr w:type="spellEnd"/>
      <w:r w:rsidR="00F547A5" w:rsidRPr="00F547A5">
        <w:rPr>
          <w:rFonts w:ascii="Arial" w:eastAsia="Calibri" w:hAnsi="Arial" w:cs="Arial"/>
          <w:lang w:val="en-US"/>
        </w:rPr>
        <w:t xml:space="preserve"> curriculum for Year 6 to 12 students around </w:t>
      </w:r>
      <w:proofErr w:type="spellStart"/>
      <w:r w:rsidR="00F547A5" w:rsidRPr="00F547A5">
        <w:rPr>
          <w:rFonts w:ascii="Arial" w:eastAsia="Calibri" w:hAnsi="Arial" w:cs="Arial"/>
          <w:lang w:val="en-US"/>
        </w:rPr>
        <w:t>maths</w:t>
      </w:r>
      <w:proofErr w:type="spellEnd"/>
      <w:r w:rsidR="00F547A5" w:rsidRPr="00F547A5">
        <w:rPr>
          <w:rFonts w:ascii="Arial" w:eastAsia="Calibri" w:hAnsi="Arial" w:cs="Arial"/>
          <w:lang w:val="en-US"/>
        </w:rPr>
        <w:t>, science and technology, with a particular focus on industry vocational curriculum, higher education pathways and career development for students. St Patrick’s Technical College Northern Adelaide and the Aust</w:t>
      </w:r>
      <w:r w:rsidR="00F547A5">
        <w:rPr>
          <w:rFonts w:ascii="Arial" w:eastAsia="Calibri" w:hAnsi="Arial" w:cs="Arial"/>
          <w:lang w:val="en-US"/>
        </w:rPr>
        <w:t>ralian Science and Mathematics S</w:t>
      </w:r>
      <w:r w:rsidR="00F547A5" w:rsidRPr="00F547A5">
        <w:rPr>
          <w:rFonts w:ascii="Arial" w:eastAsia="Calibri" w:hAnsi="Arial" w:cs="Arial"/>
          <w:lang w:val="en-US"/>
        </w:rPr>
        <w:t xml:space="preserve">chool are </w:t>
      </w:r>
      <w:proofErr w:type="gramStart"/>
      <w:r w:rsidR="00F547A5" w:rsidRPr="00F547A5">
        <w:rPr>
          <w:rFonts w:ascii="Arial" w:eastAsia="Calibri" w:hAnsi="Arial" w:cs="Arial"/>
          <w:lang w:val="en-US"/>
        </w:rPr>
        <w:t>focus</w:t>
      </w:r>
      <w:proofErr w:type="gramEnd"/>
      <w:r w:rsidR="00F547A5" w:rsidRPr="00F547A5">
        <w:rPr>
          <w:rFonts w:ascii="Arial" w:eastAsia="Calibri" w:hAnsi="Arial" w:cs="Arial"/>
          <w:lang w:val="en-US"/>
        </w:rPr>
        <w:t xml:space="preserve"> curriculum schools within the program</w:t>
      </w:r>
      <w:r w:rsidR="00F547A5">
        <w:rPr>
          <w:rFonts w:ascii="Arial" w:eastAsia="Calibri" w:hAnsi="Arial" w:cs="Arial"/>
          <w:lang w:val="en-US"/>
        </w:rPr>
        <w:t>.</w:t>
      </w:r>
      <w:r w:rsidR="00F547A5">
        <w:rPr>
          <w:rFonts w:ascii="Arial" w:hAnsi="Arial" w:cs="Arial"/>
        </w:rPr>
        <w:t xml:space="preserve"> </w:t>
      </w:r>
      <w:r w:rsidR="001E4692" w:rsidRPr="00AA5F3C">
        <w:rPr>
          <w:rFonts w:ascii="Arial" w:hAnsi="Arial" w:cs="Arial"/>
        </w:rPr>
        <w:t>Industry partnerships have been established with: Lockheed Martin, Hendon Semi-conductors, Australian Maritime College, Australian Maritime and Fisheries Academy, Raytheon, and BAE Systems.  In addition Middle School Inquiry professional development program</w:t>
      </w:r>
      <w:r w:rsidR="00F547A5">
        <w:rPr>
          <w:rFonts w:ascii="Arial" w:hAnsi="Arial" w:cs="Arial"/>
        </w:rPr>
        <w:t xml:space="preserve"> </w:t>
      </w:r>
      <w:r w:rsidR="001E4692" w:rsidRPr="00AA5F3C">
        <w:rPr>
          <w:rFonts w:ascii="Arial" w:hAnsi="Arial" w:cs="Arial"/>
        </w:rPr>
        <w:t>by the A</w:t>
      </w:r>
      <w:r w:rsidR="00F679B7">
        <w:rPr>
          <w:rFonts w:ascii="Arial" w:hAnsi="Arial" w:cs="Arial"/>
        </w:rPr>
        <w:t xml:space="preserve">ustralian </w:t>
      </w:r>
      <w:r w:rsidR="001E4692" w:rsidRPr="00AA5F3C">
        <w:rPr>
          <w:rFonts w:ascii="Arial" w:hAnsi="Arial" w:cs="Arial"/>
        </w:rPr>
        <w:t>S</w:t>
      </w:r>
      <w:r w:rsidR="00F679B7">
        <w:rPr>
          <w:rFonts w:ascii="Arial" w:hAnsi="Arial" w:cs="Arial"/>
        </w:rPr>
        <w:t xml:space="preserve">cience and </w:t>
      </w:r>
      <w:r w:rsidR="001E4692" w:rsidRPr="00AA5F3C">
        <w:rPr>
          <w:rFonts w:ascii="Arial" w:hAnsi="Arial" w:cs="Arial"/>
        </w:rPr>
        <w:t>M</w:t>
      </w:r>
      <w:r w:rsidR="00F679B7">
        <w:rPr>
          <w:rFonts w:ascii="Arial" w:hAnsi="Arial" w:cs="Arial"/>
        </w:rPr>
        <w:t xml:space="preserve">athematics </w:t>
      </w:r>
      <w:r w:rsidR="001E4692" w:rsidRPr="00AA5F3C">
        <w:rPr>
          <w:rFonts w:ascii="Arial" w:hAnsi="Arial" w:cs="Arial"/>
        </w:rPr>
        <w:t>S</w:t>
      </w:r>
      <w:r w:rsidR="00F679B7">
        <w:rPr>
          <w:rFonts w:ascii="Arial" w:hAnsi="Arial" w:cs="Arial"/>
        </w:rPr>
        <w:t>chool</w:t>
      </w:r>
      <w:r w:rsidR="001E4692" w:rsidRPr="00AA5F3C">
        <w:rPr>
          <w:rFonts w:ascii="Arial" w:hAnsi="Arial" w:cs="Arial"/>
        </w:rPr>
        <w:t xml:space="preserve"> with a focus on STEM was established in 2010 and is ongoing.</w:t>
      </w:r>
    </w:p>
    <w:p w:rsidR="00975A6F" w:rsidRPr="00975A6F" w:rsidRDefault="00975A6F" w:rsidP="00E619A9">
      <w:pPr>
        <w:pStyle w:val="ListParagraph"/>
        <w:rPr>
          <w:rFonts w:ascii="Arial" w:hAnsi="Arial" w:cs="Arial"/>
        </w:rPr>
      </w:pPr>
    </w:p>
    <w:p w:rsidR="001E4692" w:rsidRDefault="001E4692" w:rsidP="0040521B">
      <w:pPr>
        <w:pStyle w:val="ListParagraph"/>
        <w:numPr>
          <w:ilvl w:val="0"/>
          <w:numId w:val="5"/>
        </w:numPr>
        <w:ind w:left="709"/>
        <w:rPr>
          <w:rFonts w:ascii="Arial" w:hAnsi="Arial" w:cs="Arial"/>
        </w:rPr>
      </w:pPr>
      <w:r w:rsidRPr="00AA5F3C">
        <w:rPr>
          <w:rFonts w:ascii="Arial" w:hAnsi="Arial" w:cs="Arial"/>
          <w:b/>
        </w:rPr>
        <w:t>Student Pathways – new directions</w:t>
      </w:r>
      <w:r w:rsidRPr="00AA5F3C">
        <w:rPr>
          <w:rFonts w:ascii="Arial" w:hAnsi="Arial" w:cs="Arial"/>
        </w:rPr>
        <w:t xml:space="preserve">  During 2012 the public schooling sector developed refocused and redesigned the work done to support schools and young people to strengthen their active involvement in planning and implementing their learning, career and vocational decisions</w:t>
      </w:r>
      <w:r w:rsidR="0021364A">
        <w:rPr>
          <w:rFonts w:ascii="Arial" w:hAnsi="Arial" w:cs="Arial"/>
        </w:rPr>
        <w:t>.</w:t>
      </w:r>
    </w:p>
    <w:p w:rsidR="00BE1116" w:rsidRPr="00BE1116" w:rsidRDefault="00BE1116" w:rsidP="00E619A9">
      <w:pPr>
        <w:pStyle w:val="ListParagraph"/>
        <w:rPr>
          <w:rFonts w:ascii="Arial" w:hAnsi="Arial" w:cs="Arial"/>
        </w:rPr>
      </w:pPr>
    </w:p>
    <w:p w:rsidR="00B43AA8" w:rsidRPr="00AA5F3C" w:rsidRDefault="00B43AA8" w:rsidP="0040521B">
      <w:pPr>
        <w:pStyle w:val="ListParagraph"/>
        <w:numPr>
          <w:ilvl w:val="0"/>
          <w:numId w:val="5"/>
        </w:numPr>
        <w:ind w:left="709"/>
        <w:rPr>
          <w:rFonts w:ascii="Arial" w:hAnsi="Arial" w:cs="Arial"/>
        </w:rPr>
      </w:pPr>
      <w:r w:rsidRPr="00AA5F3C">
        <w:rPr>
          <w:rFonts w:ascii="Arial" w:hAnsi="Arial" w:cs="Arial"/>
          <w:b/>
        </w:rPr>
        <w:t xml:space="preserve">Career Development  </w:t>
      </w:r>
      <w:r w:rsidRPr="00481093">
        <w:rPr>
          <w:rFonts w:ascii="Arial" w:hAnsi="Arial" w:cs="Arial"/>
        </w:rPr>
        <w:t xml:space="preserve">The key goals of the new careers strategy are to: </w:t>
      </w:r>
    </w:p>
    <w:p w:rsidR="00B43AA8" w:rsidRPr="00AA5F3C" w:rsidRDefault="00B43AA8" w:rsidP="0040521B">
      <w:pPr>
        <w:pStyle w:val="ListParagraph"/>
        <w:numPr>
          <w:ilvl w:val="0"/>
          <w:numId w:val="33"/>
        </w:numPr>
        <w:rPr>
          <w:rFonts w:ascii="Arial" w:hAnsi="Arial" w:cs="Arial"/>
        </w:rPr>
      </w:pPr>
      <w:r w:rsidRPr="00AA5F3C">
        <w:rPr>
          <w:rFonts w:ascii="Arial" w:hAnsi="Arial" w:cs="Arial"/>
        </w:rPr>
        <w:t>strengthen young people’s active involvement in planning and implementing their learning, career and vocational decisions,</w:t>
      </w:r>
    </w:p>
    <w:p w:rsidR="00B43AA8" w:rsidRPr="00AA5F3C" w:rsidRDefault="00B43AA8" w:rsidP="0040521B">
      <w:pPr>
        <w:pStyle w:val="ListParagraph"/>
        <w:numPr>
          <w:ilvl w:val="0"/>
          <w:numId w:val="33"/>
        </w:numPr>
        <w:rPr>
          <w:rFonts w:ascii="Arial" w:hAnsi="Arial" w:cs="Arial"/>
        </w:rPr>
      </w:pPr>
      <w:r w:rsidRPr="00AA5F3C">
        <w:rPr>
          <w:rFonts w:ascii="Arial" w:hAnsi="Arial" w:cs="Arial"/>
        </w:rPr>
        <w:t>increased student access to support for career management skills development, and</w:t>
      </w:r>
    </w:p>
    <w:p w:rsidR="00B43AA8" w:rsidRPr="00AA5F3C" w:rsidRDefault="00B43AA8" w:rsidP="0040521B">
      <w:pPr>
        <w:pStyle w:val="ListParagraph"/>
        <w:numPr>
          <w:ilvl w:val="0"/>
          <w:numId w:val="33"/>
        </w:numPr>
        <w:rPr>
          <w:rFonts w:ascii="Arial" w:hAnsi="Arial" w:cs="Arial"/>
        </w:rPr>
      </w:pPr>
      <w:proofErr w:type="gramStart"/>
      <w:r w:rsidRPr="00AA5F3C">
        <w:rPr>
          <w:rFonts w:ascii="Arial" w:hAnsi="Arial" w:cs="Arial"/>
        </w:rPr>
        <w:t>strengthened</w:t>
      </w:r>
      <w:proofErr w:type="gramEnd"/>
      <w:r w:rsidRPr="00AA5F3C">
        <w:rPr>
          <w:rFonts w:ascii="Arial" w:hAnsi="Arial" w:cs="Arial"/>
        </w:rPr>
        <w:t xml:space="preserve"> school and community capacity to providing career development services and programs.</w:t>
      </w:r>
    </w:p>
    <w:p w:rsidR="00B43AA8" w:rsidRDefault="00F679B7" w:rsidP="00E619A9">
      <w:pPr>
        <w:ind w:left="709"/>
        <w:rPr>
          <w:rFonts w:ascii="Arial" w:hAnsi="Arial" w:cs="Arial"/>
        </w:rPr>
      </w:pPr>
      <w:r>
        <w:rPr>
          <w:rFonts w:ascii="Arial" w:hAnsi="Arial" w:cs="Arial"/>
        </w:rPr>
        <w:t xml:space="preserve">One component of the Careers Strategy is the development of a </w:t>
      </w:r>
      <w:r w:rsidRPr="00AA5F3C">
        <w:rPr>
          <w:rFonts w:ascii="Arial" w:hAnsi="Arial" w:cs="Arial"/>
        </w:rPr>
        <w:t>Graduate Qualities and Skills Framework</w:t>
      </w:r>
      <w:r>
        <w:rPr>
          <w:rFonts w:ascii="Arial" w:hAnsi="Arial" w:cs="Arial"/>
        </w:rPr>
        <w:t xml:space="preserve"> (</w:t>
      </w:r>
      <w:proofErr w:type="spellStart"/>
      <w:r>
        <w:rPr>
          <w:rFonts w:ascii="Arial" w:hAnsi="Arial" w:cs="Arial"/>
        </w:rPr>
        <w:t>GQSF</w:t>
      </w:r>
      <w:proofErr w:type="spellEnd"/>
      <w:r>
        <w:rPr>
          <w:rFonts w:ascii="Arial" w:hAnsi="Arial" w:cs="Arial"/>
        </w:rPr>
        <w:t>) and</w:t>
      </w:r>
      <w:r w:rsidRPr="00AA5F3C">
        <w:rPr>
          <w:rFonts w:ascii="Arial" w:hAnsi="Arial" w:cs="Arial"/>
        </w:rPr>
        <w:t xml:space="preserve"> </w:t>
      </w:r>
      <w:r>
        <w:rPr>
          <w:rFonts w:ascii="Arial" w:hAnsi="Arial" w:cs="Arial"/>
        </w:rPr>
        <w:t>i</w:t>
      </w:r>
      <w:r w:rsidR="00B43AA8" w:rsidRPr="00AA5F3C">
        <w:rPr>
          <w:rFonts w:ascii="Arial" w:hAnsi="Arial" w:cs="Arial"/>
        </w:rPr>
        <w:t xml:space="preserve">n </w:t>
      </w:r>
      <w:proofErr w:type="gramStart"/>
      <w:r w:rsidR="00B43AA8" w:rsidRPr="00AA5F3C">
        <w:rPr>
          <w:rFonts w:ascii="Arial" w:hAnsi="Arial" w:cs="Arial"/>
        </w:rPr>
        <w:t>2012,</w:t>
      </w:r>
      <w:proofErr w:type="gramEnd"/>
      <w:r w:rsidR="00B43AA8" w:rsidRPr="00AA5F3C">
        <w:rPr>
          <w:rFonts w:ascii="Arial" w:hAnsi="Arial" w:cs="Arial"/>
        </w:rPr>
        <w:t xml:space="preserve"> four </w:t>
      </w:r>
      <w:r w:rsidR="0021364A">
        <w:rPr>
          <w:rFonts w:ascii="Arial" w:hAnsi="Arial" w:cs="Arial"/>
        </w:rPr>
        <w:t xml:space="preserve">DECD </w:t>
      </w:r>
      <w:r w:rsidR="00B43AA8" w:rsidRPr="00AA5F3C">
        <w:rPr>
          <w:rFonts w:ascii="Arial" w:hAnsi="Arial" w:cs="Arial"/>
        </w:rPr>
        <w:t xml:space="preserve">schools were involved in </w:t>
      </w:r>
      <w:r>
        <w:rPr>
          <w:rFonts w:ascii="Arial" w:hAnsi="Arial" w:cs="Arial"/>
        </w:rPr>
        <w:t xml:space="preserve">its </w:t>
      </w:r>
      <w:r w:rsidR="00B43AA8" w:rsidRPr="00AA5F3C">
        <w:rPr>
          <w:rFonts w:ascii="Arial" w:hAnsi="Arial" w:cs="Arial"/>
        </w:rPr>
        <w:t xml:space="preserve">trialling and appraisal </w:t>
      </w:r>
      <w:r>
        <w:rPr>
          <w:rFonts w:ascii="Arial" w:hAnsi="Arial" w:cs="Arial"/>
        </w:rPr>
        <w:t xml:space="preserve">across </w:t>
      </w:r>
      <w:r w:rsidR="00B43AA8" w:rsidRPr="00AA5F3C">
        <w:rPr>
          <w:rFonts w:ascii="Arial" w:hAnsi="Arial" w:cs="Arial"/>
        </w:rPr>
        <w:t xml:space="preserve">learning areas and year levels, using the Australian Curriculum, </w:t>
      </w:r>
      <w:r>
        <w:rPr>
          <w:rFonts w:ascii="Arial" w:hAnsi="Arial" w:cs="Arial"/>
        </w:rPr>
        <w:t xml:space="preserve">to </w:t>
      </w:r>
      <w:r w:rsidR="00B43AA8" w:rsidRPr="00AA5F3C">
        <w:rPr>
          <w:rFonts w:ascii="Arial" w:hAnsi="Arial" w:cs="Arial"/>
        </w:rPr>
        <w:t>inform an extended pilot in 2013.</w:t>
      </w:r>
    </w:p>
    <w:p w:rsidR="00E619A9" w:rsidRPr="00AA5F3C" w:rsidRDefault="00E619A9" w:rsidP="00E619A9">
      <w:pPr>
        <w:ind w:left="709"/>
        <w:rPr>
          <w:rFonts w:ascii="Arial" w:hAnsi="Arial" w:cs="Arial"/>
        </w:rPr>
      </w:pPr>
    </w:p>
    <w:p w:rsidR="00BF5078" w:rsidRDefault="00BF5078" w:rsidP="0040521B">
      <w:pPr>
        <w:pStyle w:val="ListParagraph"/>
        <w:numPr>
          <w:ilvl w:val="0"/>
          <w:numId w:val="5"/>
        </w:numPr>
        <w:ind w:left="709"/>
        <w:rPr>
          <w:rFonts w:ascii="Arial" w:hAnsi="Arial" w:cs="Arial"/>
        </w:rPr>
      </w:pPr>
      <w:r w:rsidRPr="00AA5F3C">
        <w:rPr>
          <w:rFonts w:ascii="Arial" w:hAnsi="Arial" w:cs="Arial"/>
          <w:b/>
        </w:rPr>
        <w:t>Innovative Community Action Networks (</w:t>
      </w:r>
      <w:proofErr w:type="spellStart"/>
      <w:r w:rsidRPr="00AA5F3C">
        <w:rPr>
          <w:rFonts w:ascii="Arial" w:hAnsi="Arial" w:cs="Arial"/>
          <w:b/>
        </w:rPr>
        <w:t>ICANs</w:t>
      </w:r>
      <w:proofErr w:type="spellEnd"/>
      <w:r w:rsidRPr="00AA5F3C">
        <w:rPr>
          <w:rFonts w:ascii="Arial" w:hAnsi="Arial" w:cs="Arial"/>
          <w:b/>
        </w:rPr>
        <w:t>), Student Mentoring and Youth Development through Transitions programs</w:t>
      </w:r>
      <w:r w:rsidRPr="00AA5F3C">
        <w:rPr>
          <w:rFonts w:ascii="Arial" w:hAnsi="Arial" w:cs="Arial"/>
        </w:rPr>
        <w:t xml:space="preserve"> are strategies implemented to improve youth student wellbeing and engagement for disengaged students. Students taking part include those at risk of not remaining engaged and achieving at school, through to those young people who have completely disengaged from school, including the most vulnerable young people with multiple complexities such as those involved with the juvenile justice system, students with significant mental health issues, young parents and students under the Guardianship of the Minister.  The initiatives are funded to enable school and local community partners to provide individual student case management and </w:t>
      </w:r>
      <w:r w:rsidR="0027278D" w:rsidRPr="00AA5F3C">
        <w:rPr>
          <w:rFonts w:ascii="Arial" w:hAnsi="Arial" w:cs="Arial"/>
        </w:rPr>
        <w:t xml:space="preserve">Flexible Learning </w:t>
      </w:r>
      <w:r w:rsidR="0027278D" w:rsidRPr="00AA5F3C">
        <w:rPr>
          <w:rFonts w:ascii="Arial" w:hAnsi="Arial" w:cs="Arial"/>
        </w:rPr>
        <w:lastRenderedPageBreak/>
        <w:t>Options (FLO) programs,</w:t>
      </w:r>
      <w:r w:rsidR="0027278D" w:rsidRPr="00AA5F3C">
        <w:rPr>
          <w:rFonts w:ascii="Arial" w:hAnsi="Arial" w:cs="Arial"/>
          <w:b/>
        </w:rPr>
        <w:t xml:space="preserve"> </w:t>
      </w:r>
      <w:r w:rsidRPr="00AA5F3C">
        <w:rPr>
          <w:rFonts w:ascii="Arial" w:hAnsi="Arial" w:cs="Arial"/>
        </w:rPr>
        <w:t>one to one mentoring, professional learning for teachers and school based student support staff to build their capacity to strengthen social and emotional wellbeing for all students and to develop and maintain strong partnerships with volunteers and the broader community.</w:t>
      </w:r>
    </w:p>
    <w:p w:rsidR="00E619A9" w:rsidRPr="00AA5F3C" w:rsidRDefault="00E619A9" w:rsidP="00C17EF5">
      <w:pPr>
        <w:pStyle w:val="ListParagraph"/>
        <w:ind w:left="709"/>
        <w:rPr>
          <w:rFonts w:ascii="Arial" w:hAnsi="Arial" w:cs="Arial"/>
        </w:rPr>
      </w:pPr>
    </w:p>
    <w:p w:rsidR="00BF5078" w:rsidRPr="00AA5F3C" w:rsidRDefault="00BF5078" w:rsidP="0040521B">
      <w:pPr>
        <w:pStyle w:val="ListParagraph"/>
        <w:numPr>
          <w:ilvl w:val="0"/>
          <w:numId w:val="5"/>
        </w:numPr>
        <w:ind w:left="709"/>
        <w:rPr>
          <w:rFonts w:ascii="Arial" w:hAnsi="Arial" w:cs="Arial"/>
        </w:rPr>
      </w:pPr>
      <w:r w:rsidRPr="00AA5F3C">
        <w:rPr>
          <w:rFonts w:ascii="Arial" w:hAnsi="Arial" w:cs="Arial"/>
          <w:b/>
        </w:rPr>
        <w:t xml:space="preserve">E-Mentoring </w:t>
      </w:r>
      <w:r w:rsidRPr="00AA5F3C">
        <w:rPr>
          <w:rFonts w:ascii="Arial" w:hAnsi="Arial" w:cs="Arial"/>
        </w:rPr>
        <w:t>was developed to enable provision of 1:1 support by trained mentors to young people in rural and remote locations. During 2012 1405 students across Years 8-12 received support from trained learning mentors.  Of the 185 senior secondary students identified as at risk</w:t>
      </w:r>
      <w:r w:rsidR="0027278D" w:rsidRPr="00AA5F3C">
        <w:rPr>
          <w:rFonts w:ascii="Arial" w:hAnsi="Arial" w:cs="Arial"/>
        </w:rPr>
        <w:t xml:space="preserve">, who were provided with mentoring support in 2011, 87.5% successfully completed their </w:t>
      </w:r>
      <w:proofErr w:type="spellStart"/>
      <w:r w:rsidR="0027278D" w:rsidRPr="00AA5F3C">
        <w:rPr>
          <w:rFonts w:ascii="Arial" w:hAnsi="Arial" w:cs="Arial"/>
        </w:rPr>
        <w:t>SACE</w:t>
      </w:r>
      <w:proofErr w:type="spellEnd"/>
      <w:r w:rsidR="0027278D" w:rsidRPr="00AA5F3C">
        <w:rPr>
          <w:rFonts w:ascii="Arial" w:hAnsi="Arial" w:cs="Arial"/>
        </w:rPr>
        <w:t xml:space="preserve">. The E-Mentoring project will be part of the broader E-Mentoring program run in partnership with DECD and Flinders University. It is planned for 250 university students </w:t>
      </w:r>
      <w:r w:rsidR="00727F70">
        <w:rPr>
          <w:rFonts w:ascii="Arial" w:hAnsi="Arial" w:cs="Arial"/>
        </w:rPr>
        <w:t xml:space="preserve">to work </w:t>
      </w:r>
      <w:r w:rsidR="0027278D" w:rsidRPr="00AA5F3C">
        <w:rPr>
          <w:rFonts w:ascii="Arial" w:hAnsi="Arial" w:cs="Arial"/>
        </w:rPr>
        <w:t>with 250 year 5-9 students to increase student aspirations and connections with tertiary pathways.</w:t>
      </w:r>
    </w:p>
    <w:p w:rsidR="006B449E" w:rsidRDefault="00167D3D" w:rsidP="00C17EF5">
      <w:pPr>
        <w:pStyle w:val="Heading2"/>
      </w:pPr>
      <w:bookmarkStart w:id="16" w:name="_Toc384038221"/>
      <w:r w:rsidRPr="00AA5F3C">
        <w:t>Progress/ impact as a result of the YAT NP</w:t>
      </w:r>
      <w:bookmarkEnd w:id="16"/>
      <w:r w:rsidR="006B449E" w:rsidRPr="00AA5F3C">
        <w:t xml:space="preserve"> </w:t>
      </w:r>
    </w:p>
    <w:p w:rsidR="00167D3D" w:rsidRPr="00AA5F3C" w:rsidRDefault="006B449E" w:rsidP="00E619A9">
      <w:r w:rsidRPr="00AA5F3C">
        <w:t xml:space="preserve">(See Cumulative Progress section under following </w:t>
      </w:r>
      <w:proofErr w:type="spellStart"/>
      <w:r w:rsidRPr="00AA5F3C">
        <w:t>MEAST</w:t>
      </w:r>
      <w:proofErr w:type="spellEnd"/>
      <w:r w:rsidRPr="00AA5F3C">
        <w:t xml:space="preserve"> Report)</w:t>
      </w:r>
    </w:p>
    <w:p w:rsidR="004D5D53" w:rsidRPr="00AA5F3C" w:rsidRDefault="004D5D53" w:rsidP="00C17EF5">
      <w:pPr>
        <w:pStyle w:val="Heading2"/>
      </w:pPr>
      <w:bookmarkStart w:id="17" w:name="_Toc320003798"/>
      <w:bookmarkStart w:id="18" w:name="_Toc384038222"/>
      <w:r w:rsidRPr="00AA5F3C">
        <w:t>Maximising Engagement, Attainment and Successful Transitions</w:t>
      </w:r>
      <w:bookmarkEnd w:id="17"/>
      <w:r w:rsidRPr="00AA5F3C">
        <w:t xml:space="preserve"> </w:t>
      </w:r>
      <w:r w:rsidR="00556879">
        <w:t>– Funded initiatives</w:t>
      </w:r>
      <w:bookmarkEnd w:id="18"/>
    </w:p>
    <w:p w:rsidR="00A05899" w:rsidRPr="00F336A9" w:rsidRDefault="00072738" w:rsidP="00E619A9">
      <w:pPr>
        <w:rPr>
          <w:rFonts w:ascii="Arial" w:hAnsi="Arial" w:cs="Arial"/>
        </w:rPr>
      </w:pPr>
      <w:proofErr w:type="gramStart"/>
      <w:r w:rsidRPr="00AA5F3C">
        <w:t xml:space="preserve">SA </w:t>
      </w:r>
      <w:r w:rsidR="00F125C1" w:rsidRPr="00F336A9">
        <w:rPr>
          <w:rFonts w:ascii="Arial" w:hAnsi="Arial" w:cs="Arial"/>
        </w:rPr>
        <w:t>201</w:t>
      </w:r>
      <w:r w:rsidR="00F300BD" w:rsidRPr="00F336A9">
        <w:rPr>
          <w:rFonts w:ascii="Arial" w:hAnsi="Arial" w:cs="Arial"/>
        </w:rPr>
        <w:t>2</w:t>
      </w:r>
      <w:r w:rsidR="00F125C1" w:rsidRPr="00F336A9">
        <w:rPr>
          <w:rFonts w:ascii="Arial" w:hAnsi="Arial" w:cs="Arial"/>
        </w:rPr>
        <w:t xml:space="preserve"> expenditure fo</w:t>
      </w:r>
      <w:r w:rsidR="003D40FF" w:rsidRPr="00F336A9">
        <w:rPr>
          <w:rFonts w:ascii="Arial" w:hAnsi="Arial" w:cs="Arial"/>
        </w:rPr>
        <w:t xml:space="preserve">r Multiple Learning Pathways, </w:t>
      </w:r>
      <w:r w:rsidR="00F125C1" w:rsidRPr="00F336A9">
        <w:rPr>
          <w:rFonts w:ascii="Arial" w:hAnsi="Arial" w:cs="Arial"/>
        </w:rPr>
        <w:t>Mentor</w:t>
      </w:r>
      <w:r w:rsidR="00FE1646" w:rsidRPr="00F336A9">
        <w:rPr>
          <w:rFonts w:ascii="Arial" w:hAnsi="Arial" w:cs="Arial"/>
        </w:rPr>
        <w:t xml:space="preserve">ing </w:t>
      </w:r>
      <w:r w:rsidR="003D40FF" w:rsidRPr="00F336A9">
        <w:rPr>
          <w:rFonts w:ascii="Arial" w:hAnsi="Arial" w:cs="Arial"/>
        </w:rPr>
        <w:t>and</w:t>
      </w:r>
      <w:r w:rsidR="00FE1646" w:rsidRPr="00F336A9">
        <w:rPr>
          <w:rFonts w:ascii="Arial" w:hAnsi="Arial" w:cs="Arial"/>
        </w:rPr>
        <w:t xml:space="preserve"> Career Development.</w:t>
      </w:r>
      <w:proofErr w:type="gramEnd"/>
    </w:p>
    <w:tbl>
      <w:tblPr>
        <w:tblStyle w:val="TableGrid"/>
        <w:tblW w:w="0" w:type="auto"/>
        <w:tblInd w:w="250" w:type="dxa"/>
        <w:tblLook w:val="06A0" w:firstRow="1" w:lastRow="0" w:firstColumn="1" w:lastColumn="0" w:noHBand="1" w:noVBand="1"/>
        <w:tblDescription w:val="South Australian expenditure for multiple learning pathways, mentoring, and career development in 2012."/>
      </w:tblPr>
      <w:tblGrid>
        <w:gridCol w:w="1277"/>
        <w:gridCol w:w="2996"/>
        <w:gridCol w:w="2391"/>
        <w:gridCol w:w="2693"/>
      </w:tblGrid>
      <w:tr w:rsidR="00AA5F3C" w:rsidRPr="00556879" w:rsidTr="0058742A">
        <w:trPr>
          <w:tblHeader/>
        </w:trPr>
        <w:tc>
          <w:tcPr>
            <w:tcW w:w="1277" w:type="dxa"/>
          </w:tcPr>
          <w:p w:rsidR="00A05899" w:rsidRPr="00556879" w:rsidRDefault="00F125C1" w:rsidP="00E619A9">
            <w:pPr>
              <w:rPr>
                <w:rFonts w:ascii="Arial" w:hAnsi="Arial" w:cs="Arial"/>
                <w:b/>
              </w:rPr>
            </w:pPr>
            <w:r w:rsidRPr="00556879">
              <w:rPr>
                <w:rFonts w:ascii="Arial" w:hAnsi="Arial" w:cs="Arial"/>
                <w:b/>
              </w:rPr>
              <w:t>Year</w:t>
            </w:r>
          </w:p>
        </w:tc>
        <w:tc>
          <w:tcPr>
            <w:tcW w:w="2996" w:type="dxa"/>
          </w:tcPr>
          <w:p w:rsidR="00A05899" w:rsidRPr="00556879" w:rsidRDefault="00F125C1" w:rsidP="00E619A9">
            <w:pPr>
              <w:rPr>
                <w:rFonts w:ascii="Arial" w:hAnsi="Arial" w:cs="Arial"/>
                <w:b/>
              </w:rPr>
            </w:pPr>
            <w:r w:rsidRPr="00556879">
              <w:rPr>
                <w:rFonts w:ascii="Arial" w:hAnsi="Arial" w:cs="Arial"/>
                <w:b/>
              </w:rPr>
              <w:t>Multiple Learning Pathways</w:t>
            </w:r>
          </w:p>
        </w:tc>
        <w:tc>
          <w:tcPr>
            <w:tcW w:w="2391" w:type="dxa"/>
          </w:tcPr>
          <w:p w:rsidR="00A05899" w:rsidRPr="00556879" w:rsidRDefault="00F125C1" w:rsidP="00E619A9">
            <w:pPr>
              <w:rPr>
                <w:rFonts w:ascii="Arial" w:hAnsi="Arial" w:cs="Arial"/>
                <w:b/>
              </w:rPr>
            </w:pPr>
            <w:r w:rsidRPr="00556879">
              <w:rPr>
                <w:rFonts w:ascii="Arial" w:hAnsi="Arial" w:cs="Arial"/>
                <w:b/>
              </w:rPr>
              <w:t>Mentoring</w:t>
            </w:r>
          </w:p>
        </w:tc>
        <w:tc>
          <w:tcPr>
            <w:tcW w:w="2693" w:type="dxa"/>
          </w:tcPr>
          <w:p w:rsidR="00A05899" w:rsidRPr="00556879" w:rsidRDefault="00F125C1" w:rsidP="00E619A9">
            <w:pPr>
              <w:rPr>
                <w:rFonts w:ascii="Arial" w:hAnsi="Arial" w:cs="Arial"/>
                <w:b/>
              </w:rPr>
            </w:pPr>
            <w:r w:rsidRPr="00556879">
              <w:rPr>
                <w:rFonts w:ascii="Arial" w:hAnsi="Arial" w:cs="Arial"/>
                <w:b/>
              </w:rPr>
              <w:t>Career Development</w:t>
            </w:r>
          </w:p>
        </w:tc>
      </w:tr>
      <w:tr w:rsidR="002431D4" w:rsidRPr="00F336A9" w:rsidTr="0056354A">
        <w:tc>
          <w:tcPr>
            <w:tcW w:w="1277" w:type="dxa"/>
          </w:tcPr>
          <w:p w:rsidR="002431D4" w:rsidRPr="00F336A9" w:rsidRDefault="002431D4" w:rsidP="00E619A9">
            <w:pPr>
              <w:rPr>
                <w:rFonts w:ascii="Arial" w:hAnsi="Arial" w:cs="Arial"/>
              </w:rPr>
            </w:pPr>
            <w:r w:rsidRPr="00F336A9">
              <w:rPr>
                <w:rFonts w:ascii="Arial" w:hAnsi="Arial" w:cs="Arial"/>
              </w:rPr>
              <w:t>2012</w:t>
            </w:r>
          </w:p>
        </w:tc>
        <w:tc>
          <w:tcPr>
            <w:tcW w:w="2996" w:type="dxa"/>
          </w:tcPr>
          <w:p w:rsidR="002431D4" w:rsidRPr="00F336A9" w:rsidRDefault="002431D4" w:rsidP="00E619A9">
            <w:pPr>
              <w:rPr>
                <w:rFonts w:ascii="Arial" w:hAnsi="Arial" w:cs="Arial"/>
              </w:rPr>
            </w:pPr>
            <w:r w:rsidRPr="00F336A9">
              <w:rPr>
                <w:rFonts w:ascii="Arial" w:hAnsi="Arial" w:cs="Arial"/>
              </w:rPr>
              <w:t>$1,</w:t>
            </w:r>
            <w:r w:rsidR="00363A59" w:rsidRPr="00F336A9">
              <w:rPr>
                <w:rFonts w:ascii="Arial" w:hAnsi="Arial" w:cs="Arial"/>
              </w:rPr>
              <w:t>704,112</w:t>
            </w:r>
          </w:p>
        </w:tc>
        <w:tc>
          <w:tcPr>
            <w:tcW w:w="2391" w:type="dxa"/>
          </w:tcPr>
          <w:p w:rsidR="002431D4" w:rsidRPr="00F336A9" w:rsidRDefault="002431D4" w:rsidP="00E619A9">
            <w:pPr>
              <w:rPr>
                <w:rFonts w:ascii="Arial" w:hAnsi="Arial" w:cs="Arial"/>
              </w:rPr>
            </w:pPr>
            <w:r w:rsidRPr="00F336A9">
              <w:rPr>
                <w:rFonts w:ascii="Arial" w:hAnsi="Arial" w:cs="Arial"/>
              </w:rPr>
              <w:t>$</w:t>
            </w:r>
            <w:r w:rsidR="00363A59" w:rsidRPr="00F336A9">
              <w:rPr>
                <w:rFonts w:ascii="Arial" w:hAnsi="Arial" w:cs="Arial"/>
              </w:rPr>
              <w:t>68,327</w:t>
            </w:r>
          </w:p>
        </w:tc>
        <w:tc>
          <w:tcPr>
            <w:tcW w:w="2693" w:type="dxa"/>
          </w:tcPr>
          <w:p w:rsidR="002431D4" w:rsidRPr="00F336A9" w:rsidRDefault="002431D4" w:rsidP="00E619A9">
            <w:pPr>
              <w:rPr>
                <w:rFonts w:ascii="Arial" w:hAnsi="Arial" w:cs="Arial"/>
              </w:rPr>
            </w:pPr>
            <w:r w:rsidRPr="00F336A9">
              <w:rPr>
                <w:rFonts w:ascii="Arial" w:hAnsi="Arial" w:cs="Arial"/>
              </w:rPr>
              <w:t>$</w:t>
            </w:r>
            <w:r w:rsidR="00363A59" w:rsidRPr="00F336A9">
              <w:rPr>
                <w:rFonts w:ascii="Arial" w:hAnsi="Arial" w:cs="Arial"/>
              </w:rPr>
              <w:t>211,794</w:t>
            </w:r>
          </w:p>
        </w:tc>
      </w:tr>
    </w:tbl>
    <w:p w:rsidR="00A05899" w:rsidRPr="00F336A9" w:rsidRDefault="00A05899" w:rsidP="00E619A9">
      <w:pPr>
        <w:rPr>
          <w:rFonts w:ascii="Arial" w:hAnsi="Arial" w:cs="Arial"/>
          <w:highlight w:val="yellow"/>
        </w:rPr>
      </w:pPr>
    </w:p>
    <w:tbl>
      <w:tblPr>
        <w:tblStyle w:val="TableGrid"/>
        <w:tblW w:w="9357" w:type="dxa"/>
        <w:tblInd w:w="250" w:type="dxa"/>
        <w:tblLook w:val="06A0" w:firstRow="1" w:lastRow="0" w:firstColumn="1" w:lastColumn="0" w:noHBand="1" w:noVBand="1"/>
        <w:tblDescription w:val="Table showing 2012 expenditure by schooling sector by multiple learning pathway, mentoring and career development."/>
      </w:tblPr>
      <w:tblGrid>
        <w:gridCol w:w="1277"/>
        <w:gridCol w:w="2916"/>
        <w:gridCol w:w="2471"/>
        <w:gridCol w:w="2693"/>
      </w:tblGrid>
      <w:tr w:rsidR="00162673" w:rsidRPr="00556879" w:rsidTr="0058742A">
        <w:trPr>
          <w:tblHeader/>
        </w:trPr>
        <w:tc>
          <w:tcPr>
            <w:tcW w:w="1277" w:type="dxa"/>
          </w:tcPr>
          <w:p w:rsidR="003D40FF" w:rsidRPr="00556879" w:rsidRDefault="00556879" w:rsidP="00E619A9">
            <w:pPr>
              <w:rPr>
                <w:rFonts w:ascii="Arial" w:hAnsi="Arial" w:cs="Arial"/>
                <w:b/>
              </w:rPr>
            </w:pPr>
            <w:r w:rsidRPr="00556879">
              <w:rPr>
                <w:rFonts w:ascii="Arial" w:hAnsi="Arial" w:cs="Arial"/>
                <w:b/>
              </w:rPr>
              <w:t>Sector</w:t>
            </w:r>
          </w:p>
        </w:tc>
        <w:tc>
          <w:tcPr>
            <w:tcW w:w="2916" w:type="dxa"/>
          </w:tcPr>
          <w:p w:rsidR="003D40FF" w:rsidRPr="00556879" w:rsidRDefault="003D40FF" w:rsidP="00E619A9">
            <w:pPr>
              <w:rPr>
                <w:rFonts w:ascii="Arial" w:hAnsi="Arial" w:cs="Arial"/>
                <w:b/>
              </w:rPr>
            </w:pPr>
            <w:r w:rsidRPr="00556879">
              <w:rPr>
                <w:rFonts w:ascii="Arial" w:hAnsi="Arial" w:cs="Arial"/>
                <w:b/>
              </w:rPr>
              <w:t>Multiple Learning Pathways</w:t>
            </w:r>
          </w:p>
        </w:tc>
        <w:tc>
          <w:tcPr>
            <w:tcW w:w="2471" w:type="dxa"/>
          </w:tcPr>
          <w:p w:rsidR="003D40FF" w:rsidRPr="00556879" w:rsidRDefault="003D40FF" w:rsidP="00E619A9">
            <w:pPr>
              <w:rPr>
                <w:rFonts w:ascii="Arial" w:hAnsi="Arial" w:cs="Arial"/>
                <w:b/>
              </w:rPr>
            </w:pPr>
            <w:r w:rsidRPr="00556879">
              <w:rPr>
                <w:rFonts w:ascii="Arial" w:hAnsi="Arial" w:cs="Arial"/>
                <w:b/>
              </w:rPr>
              <w:t>Mentoring</w:t>
            </w:r>
          </w:p>
        </w:tc>
        <w:tc>
          <w:tcPr>
            <w:tcW w:w="2693" w:type="dxa"/>
          </w:tcPr>
          <w:p w:rsidR="003D40FF" w:rsidRPr="00556879" w:rsidRDefault="003D40FF" w:rsidP="00E619A9">
            <w:pPr>
              <w:rPr>
                <w:rFonts w:ascii="Arial" w:hAnsi="Arial" w:cs="Arial"/>
                <w:b/>
              </w:rPr>
            </w:pPr>
            <w:r w:rsidRPr="00556879">
              <w:rPr>
                <w:rFonts w:ascii="Arial" w:hAnsi="Arial" w:cs="Arial"/>
                <w:b/>
              </w:rPr>
              <w:t>Career Development</w:t>
            </w:r>
          </w:p>
        </w:tc>
      </w:tr>
      <w:tr w:rsidR="00162673" w:rsidRPr="00F336A9" w:rsidTr="0056354A">
        <w:tc>
          <w:tcPr>
            <w:tcW w:w="1277" w:type="dxa"/>
          </w:tcPr>
          <w:p w:rsidR="003D40FF" w:rsidRPr="00F336A9" w:rsidRDefault="003D40FF" w:rsidP="00E619A9">
            <w:pPr>
              <w:rPr>
                <w:rFonts w:ascii="Arial" w:hAnsi="Arial" w:cs="Arial"/>
              </w:rPr>
            </w:pPr>
            <w:r w:rsidRPr="00F336A9">
              <w:rPr>
                <w:rFonts w:ascii="Arial" w:hAnsi="Arial" w:cs="Arial"/>
              </w:rPr>
              <w:t>DECD</w:t>
            </w:r>
          </w:p>
        </w:tc>
        <w:tc>
          <w:tcPr>
            <w:tcW w:w="2916" w:type="dxa"/>
          </w:tcPr>
          <w:p w:rsidR="003D40FF" w:rsidRPr="00F336A9" w:rsidRDefault="003D40FF" w:rsidP="00E619A9">
            <w:pPr>
              <w:rPr>
                <w:rFonts w:ascii="Arial" w:hAnsi="Arial" w:cs="Arial"/>
              </w:rPr>
            </w:pPr>
            <w:r w:rsidRPr="00F336A9">
              <w:rPr>
                <w:rFonts w:ascii="Arial" w:hAnsi="Arial" w:cs="Arial"/>
              </w:rPr>
              <w:t>$1,</w:t>
            </w:r>
            <w:r w:rsidR="002431D4" w:rsidRPr="00F336A9">
              <w:rPr>
                <w:rFonts w:ascii="Arial" w:hAnsi="Arial" w:cs="Arial"/>
              </w:rPr>
              <w:t>108,000</w:t>
            </w:r>
          </w:p>
        </w:tc>
        <w:tc>
          <w:tcPr>
            <w:tcW w:w="2471" w:type="dxa"/>
          </w:tcPr>
          <w:p w:rsidR="003D40FF" w:rsidRPr="00F336A9" w:rsidRDefault="003D40FF" w:rsidP="00E619A9">
            <w:pPr>
              <w:rPr>
                <w:rFonts w:ascii="Arial" w:hAnsi="Arial" w:cs="Arial"/>
              </w:rPr>
            </w:pPr>
            <w:r w:rsidRPr="00F336A9">
              <w:rPr>
                <w:rFonts w:ascii="Arial" w:hAnsi="Arial" w:cs="Arial"/>
              </w:rPr>
              <w:t>-</w:t>
            </w:r>
          </w:p>
        </w:tc>
        <w:tc>
          <w:tcPr>
            <w:tcW w:w="2693" w:type="dxa"/>
          </w:tcPr>
          <w:p w:rsidR="003D40FF" w:rsidRPr="00F336A9" w:rsidRDefault="003D40FF" w:rsidP="00E619A9">
            <w:pPr>
              <w:rPr>
                <w:rFonts w:ascii="Arial" w:hAnsi="Arial" w:cs="Arial"/>
              </w:rPr>
            </w:pPr>
            <w:r w:rsidRPr="00F336A9">
              <w:rPr>
                <w:rFonts w:ascii="Arial" w:hAnsi="Arial" w:cs="Arial"/>
              </w:rPr>
              <w:t>-</w:t>
            </w:r>
          </w:p>
        </w:tc>
      </w:tr>
      <w:tr w:rsidR="00162673" w:rsidRPr="00F336A9" w:rsidTr="0056354A">
        <w:tc>
          <w:tcPr>
            <w:tcW w:w="1277" w:type="dxa"/>
          </w:tcPr>
          <w:p w:rsidR="003D40FF" w:rsidRPr="00F336A9" w:rsidRDefault="003D40FF" w:rsidP="00E619A9">
            <w:pPr>
              <w:rPr>
                <w:rFonts w:ascii="Arial" w:hAnsi="Arial" w:cs="Arial"/>
              </w:rPr>
            </w:pPr>
            <w:proofErr w:type="spellStart"/>
            <w:r w:rsidRPr="00F336A9">
              <w:rPr>
                <w:rFonts w:ascii="Arial" w:hAnsi="Arial" w:cs="Arial"/>
              </w:rPr>
              <w:t>AISSA</w:t>
            </w:r>
            <w:proofErr w:type="spellEnd"/>
          </w:p>
        </w:tc>
        <w:tc>
          <w:tcPr>
            <w:tcW w:w="2916" w:type="dxa"/>
          </w:tcPr>
          <w:p w:rsidR="003D40FF" w:rsidRPr="00F336A9" w:rsidRDefault="003D40FF" w:rsidP="00E619A9">
            <w:pPr>
              <w:rPr>
                <w:rFonts w:ascii="Arial" w:hAnsi="Arial" w:cs="Arial"/>
              </w:rPr>
            </w:pPr>
            <w:r w:rsidRPr="00F336A9">
              <w:rPr>
                <w:rFonts w:ascii="Arial" w:hAnsi="Arial" w:cs="Arial"/>
              </w:rPr>
              <w:t>$287,405</w:t>
            </w:r>
          </w:p>
        </w:tc>
        <w:tc>
          <w:tcPr>
            <w:tcW w:w="2471" w:type="dxa"/>
          </w:tcPr>
          <w:p w:rsidR="003D40FF" w:rsidRPr="00F336A9" w:rsidRDefault="003D40FF" w:rsidP="00E619A9">
            <w:pPr>
              <w:rPr>
                <w:rFonts w:ascii="Arial" w:hAnsi="Arial" w:cs="Arial"/>
              </w:rPr>
            </w:pPr>
            <w:r w:rsidRPr="00F336A9">
              <w:rPr>
                <w:rFonts w:ascii="Arial" w:hAnsi="Arial" w:cs="Arial"/>
              </w:rPr>
              <w:t>$68,327</w:t>
            </w:r>
          </w:p>
        </w:tc>
        <w:tc>
          <w:tcPr>
            <w:tcW w:w="2693" w:type="dxa"/>
          </w:tcPr>
          <w:p w:rsidR="003D40FF" w:rsidRPr="00F336A9" w:rsidRDefault="003D40FF" w:rsidP="00E619A9">
            <w:pPr>
              <w:rPr>
                <w:rFonts w:ascii="Arial" w:hAnsi="Arial" w:cs="Arial"/>
              </w:rPr>
            </w:pPr>
            <w:r w:rsidRPr="00F336A9">
              <w:rPr>
                <w:rFonts w:ascii="Arial" w:hAnsi="Arial" w:cs="Arial"/>
              </w:rPr>
              <w:t>$111,794</w:t>
            </w:r>
          </w:p>
        </w:tc>
      </w:tr>
      <w:tr w:rsidR="00162673" w:rsidRPr="00F336A9" w:rsidTr="0056354A">
        <w:tc>
          <w:tcPr>
            <w:tcW w:w="1277" w:type="dxa"/>
          </w:tcPr>
          <w:p w:rsidR="003D40FF" w:rsidRPr="00F336A9" w:rsidRDefault="003D40FF" w:rsidP="00E619A9">
            <w:pPr>
              <w:rPr>
                <w:rFonts w:ascii="Arial" w:hAnsi="Arial" w:cs="Arial"/>
              </w:rPr>
            </w:pPr>
            <w:proofErr w:type="spellStart"/>
            <w:r w:rsidRPr="00F336A9">
              <w:rPr>
                <w:rFonts w:ascii="Arial" w:hAnsi="Arial" w:cs="Arial"/>
              </w:rPr>
              <w:t>CESA</w:t>
            </w:r>
            <w:proofErr w:type="spellEnd"/>
          </w:p>
        </w:tc>
        <w:tc>
          <w:tcPr>
            <w:tcW w:w="2916" w:type="dxa"/>
          </w:tcPr>
          <w:p w:rsidR="003D40FF" w:rsidRPr="00F336A9" w:rsidRDefault="005E57E0" w:rsidP="00E619A9">
            <w:pPr>
              <w:rPr>
                <w:rFonts w:ascii="Arial" w:hAnsi="Arial" w:cs="Arial"/>
              </w:rPr>
            </w:pPr>
            <w:r w:rsidRPr="00F336A9">
              <w:rPr>
                <w:rFonts w:ascii="Arial" w:hAnsi="Arial" w:cs="Arial"/>
              </w:rPr>
              <w:t>$308,707</w:t>
            </w:r>
          </w:p>
        </w:tc>
        <w:tc>
          <w:tcPr>
            <w:tcW w:w="2471" w:type="dxa"/>
          </w:tcPr>
          <w:p w:rsidR="003D40FF" w:rsidRPr="00F336A9" w:rsidRDefault="005E57E0" w:rsidP="00E619A9">
            <w:pPr>
              <w:rPr>
                <w:rFonts w:ascii="Arial" w:hAnsi="Arial" w:cs="Arial"/>
              </w:rPr>
            </w:pPr>
            <w:r w:rsidRPr="00F336A9">
              <w:rPr>
                <w:rFonts w:ascii="Arial" w:hAnsi="Arial" w:cs="Arial"/>
              </w:rPr>
              <w:t>-</w:t>
            </w:r>
          </w:p>
        </w:tc>
        <w:tc>
          <w:tcPr>
            <w:tcW w:w="2693" w:type="dxa"/>
          </w:tcPr>
          <w:p w:rsidR="003D40FF" w:rsidRPr="00F336A9" w:rsidRDefault="005E57E0" w:rsidP="00E619A9">
            <w:pPr>
              <w:rPr>
                <w:rFonts w:ascii="Arial" w:hAnsi="Arial" w:cs="Arial"/>
              </w:rPr>
            </w:pPr>
            <w:r w:rsidRPr="00F336A9">
              <w:rPr>
                <w:rFonts w:ascii="Arial" w:hAnsi="Arial" w:cs="Arial"/>
              </w:rPr>
              <w:t>$100,000</w:t>
            </w:r>
          </w:p>
        </w:tc>
      </w:tr>
    </w:tbl>
    <w:p w:rsidR="00694EED" w:rsidRPr="00F336A9" w:rsidRDefault="006F01E5" w:rsidP="00E619A9">
      <w:pPr>
        <w:rPr>
          <w:rFonts w:ascii="Arial" w:hAnsi="Arial" w:cs="Arial"/>
          <w:i/>
        </w:rPr>
      </w:pPr>
      <w:r w:rsidRPr="00F336A9">
        <w:rPr>
          <w:rFonts w:ascii="Arial" w:hAnsi="Arial" w:cs="Arial"/>
          <w:i/>
        </w:rPr>
        <w:t>Note: Some activities were funded partially with carryover of YAT NP funds from 2011.</w:t>
      </w:r>
    </w:p>
    <w:p w:rsidR="00694EED" w:rsidRPr="00F336A9" w:rsidRDefault="00694EED" w:rsidP="00E619A9">
      <w:pPr>
        <w:rPr>
          <w:rFonts w:ascii="Arial" w:hAnsi="Arial" w:cs="Arial"/>
          <w:highlight w:val="yellow"/>
        </w:rPr>
      </w:pPr>
    </w:p>
    <w:p w:rsidR="00072738" w:rsidRPr="00F336A9" w:rsidRDefault="00072738" w:rsidP="00E619A9">
      <w:pPr>
        <w:rPr>
          <w:rFonts w:ascii="Arial" w:hAnsi="Arial" w:cs="Arial"/>
          <w:b/>
          <w:bCs/>
        </w:rPr>
      </w:pPr>
      <w:r w:rsidRPr="00F336A9">
        <w:rPr>
          <w:rFonts w:ascii="Arial" w:hAnsi="Arial" w:cs="Arial"/>
        </w:rPr>
        <w:t xml:space="preserve">The three schooling sectors agreed to pursue their own initiatives under the </w:t>
      </w:r>
      <w:proofErr w:type="spellStart"/>
      <w:r w:rsidRPr="00F336A9">
        <w:rPr>
          <w:rFonts w:ascii="Arial" w:hAnsi="Arial" w:cs="Arial"/>
        </w:rPr>
        <w:t>MEAST</w:t>
      </w:r>
      <w:proofErr w:type="spellEnd"/>
      <w:r w:rsidRPr="00F336A9">
        <w:rPr>
          <w:rFonts w:ascii="Arial" w:hAnsi="Arial" w:cs="Arial"/>
        </w:rPr>
        <w:t xml:space="preserve"> element</w:t>
      </w:r>
      <w:r w:rsidR="002828C3" w:rsidRPr="00F336A9">
        <w:rPr>
          <w:rFonts w:ascii="Arial" w:hAnsi="Arial" w:cs="Arial"/>
        </w:rPr>
        <w:t xml:space="preserve"> as per the SA Implementation Plan</w:t>
      </w:r>
      <w:r w:rsidRPr="00F336A9">
        <w:rPr>
          <w:rFonts w:ascii="Arial" w:hAnsi="Arial" w:cs="Arial"/>
        </w:rPr>
        <w:t xml:space="preserve"> and</w:t>
      </w:r>
      <w:r w:rsidR="002828C3" w:rsidRPr="00F336A9">
        <w:rPr>
          <w:rFonts w:ascii="Arial" w:hAnsi="Arial" w:cs="Arial"/>
        </w:rPr>
        <w:t>,</w:t>
      </w:r>
      <w:r w:rsidRPr="00F336A9">
        <w:rPr>
          <w:rFonts w:ascii="Arial" w:hAnsi="Arial" w:cs="Arial"/>
        </w:rPr>
        <w:t xml:space="preserve"> where appropriate, resources were combined. These initiatives were driven by the mutual intent to improve outcomes in engagement in learning and educational attainment of young people to achieve a successful transition into post school education, training and/or employment. The actions and strategies implemented by the three schooling sectors reflect the stated objectives and outcomes of this national partnership often combining aspects of all three reform areas within an individual initiative. In funding the three reform areas, additional funds to the YAT NP (</w:t>
      </w:r>
      <w:proofErr w:type="spellStart"/>
      <w:r w:rsidRPr="00F336A9">
        <w:rPr>
          <w:rFonts w:ascii="Arial" w:hAnsi="Arial" w:cs="Arial"/>
        </w:rPr>
        <w:t>MEAST</w:t>
      </w:r>
      <w:proofErr w:type="spellEnd"/>
      <w:r w:rsidRPr="00F336A9">
        <w:rPr>
          <w:rFonts w:ascii="Arial" w:hAnsi="Arial" w:cs="Arial"/>
        </w:rPr>
        <w:t>) were used to supplement a number of initiatives, including funding provided by other national partnerships, schooling sector and/or individual school resources.</w:t>
      </w:r>
    </w:p>
    <w:p w:rsidR="00072738" w:rsidRPr="00F336A9" w:rsidRDefault="00072738" w:rsidP="00E619A9">
      <w:pPr>
        <w:rPr>
          <w:rFonts w:ascii="Arial" w:hAnsi="Arial" w:cs="Arial"/>
          <w:highlight w:val="yellow"/>
        </w:rPr>
      </w:pPr>
    </w:p>
    <w:p w:rsidR="003702A5" w:rsidRPr="00AA5F3C" w:rsidRDefault="003702A5" w:rsidP="00E619A9">
      <w:pPr>
        <w:pStyle w:val="Heading3"/>
      </w:pPr>
      <w:bookmarkStart w:id="19" w:name="_Toc275443696"/>
      <w:bookmarkStart w:id="20" w:name="_Toc320003799"/>
      <w:r w:rsidRPr="00AA5F3C">
        <w:t>Multiple Learning Pathways:</w:t>
      </w:r>
    </w:p>
    <w:p w:rsidR="003702A5" w:rsidRPr="00AA5F3C" w:rsidRDefault="003702A5" w:rsidP="00E619A9">
      <w:pPr>
        <w:spacing w:line="240" w:lineRule="auto"/>
        <w:rPr>
          <w:rFonts w:ascii="Arial" w:hAnsi="Arial" w:cs="Arial"/>
          <w:b/>
          <w:color w:val="5F497A" w:themeColor="accent4" w:themeShade="BF"/>
        </w:rPr>
      </w:pPr>
    </w:p>
    <w:tbl>
      <w:tblPr>
        <w:tblW w:w="9889" w:type="dxa"/>
        <w:tblBorders>
          <w:top w:val="single" w:sz="4" w:space="0" w:color="auto"/>
        </w:tblBorders>
        <w:tblLook w:val="00A0" w:firstRow="1" w:lastRow="0" w:firstColumn="1" w:lastColumn="0" w:noHBand="0" w:noVBand="0"/>
      </w:tblPr>
      <w:tblGrid>
        <w:gridCol w:w="1809"/>
        <w:gridCol w:w="16"/>
        <w:gridCol w:w="126"/>
        <w:gridCol w:w="7546"/>
        <w:gridCol w:w="392"/>
      </w:tblGrid>
      <w:tr w:rsidR="003702A5" w:rsidRPr="00AA5F3C" w:rsidTr="00556879">
        <w:tc>
          <w:tcPr>
            <w:tcW w:w="1809" w:type="dxa"/>
            <w:tcBorders>
              <w:top w:val="single" w:sz="4" w:space="0" w:color="auto"/>
            </w:tcBorders>
          </w:tcPr>
          <w:p w:rsidR="003702A5" w:rsidRPr="00AA5F3C" w:rsidRDefault="003702A5" w:rsidP="00E619A9">
            <w:pPr>
              <w:spacing w:before="120" w:after="120" w:line="240" w:lineRule="auto"/>
              <w:rPr>
                <w:rFonts w:ascii="Arial" w:hAnsi="Arial" w:cs="Arial"/>
              </w:rPr>
            </w:pPr>
            <w:r w:rsidRPr="00AA5F3C">
              <w:rPr>
                <w:rFonts w:ascii="Arial" w:hAnsi="Arial" w:cs="Arial"/>
              </w:rPr>
              <w:t>Initiative</w:t>
            </w:r>
          </w:p>
        </w:tc>
        <w:tc>
          <w:tcPr>
            <w:tcW w:w="8080" w:type="dxa"/>
            <w:gridSpan w:val="4"/>
            <w:tcBorders>
              <w:top w:val="single" w:sz="4" w:space="0" w:color="auto"/>
            </w:tcBorders>
          </w:tcPr>
          <w:p w:rsidR="003702A5" w:rsidRPr="00AA5F3C" w:rsidRDefault="003702A5" w:rsidP="00E619A9">
            <w:pPr>
              <w:spacing w:before="120" w:after="120" w:line="240" w:lineRule="auto"/>
              <w:rPr>
                <w:rFonts w:ascii="Arial" w:hAnsi="Arial" w:cs="Arial"/>
              </w:rPr>
            </w:pPr>
            <w:r w:rsidRPr="00AA5F3C">
              <w:rPr>
                <w:rFonts w:ascii="Arial" w:hAnsi="Arial" w:cs="Arial"/>
                <w:b/>
                <w:bCs/>
              </w:rPr>
              <w:t xml:space="preserve">Improving student progression to higher skill and qualifications levels </w:t>
            </w:r>
            <w:r w:rsidR="002828C3" w:rsidRPr="00AA5F3C">
              <w:rPr>
                <w:rFonts w:ascii="Arial" w:hAnsi="Arial" w:cs="Arial"/>
                <w:b/>
                <w:bCs/>
              </w:rPr>
              <w:t xml:space="preserve"> </w:t>
            </w:r>
          </w:p>
        </w:tc>
      </w:tr>
      <w:tr w:rsidR="003702A5" w:rsidRPr="00AA5F3C" w:rsidTr="00556879">
        <w:tc>
          <w:tcPr>
            <w:tcW w:w="1809" w:type="dxa"/>
          </w:tcPr>
          <w:p w:rsidR="003702A5" w:rsidRPr="00AA5F3C" w:rsidRDefault="003702A5" w:rsidP="00E619A9">
            <w:pPr>
              <w:spacing w:after="120" w:line="240" w:lineRule="auto"/>
              <w:rPr>
                <w:rFonts w:ascii="Arial" w:hAnsi="Arial" w:cs="Arial"/>
              </w:rPr>
            </w:pPr>
            <w:r w:rsidRPr="00AA5F3C">
              <w:rPr>
                <w:rFonts w:ascii="Arial" w:hAnsi="Arial" w:cs="Arial"/>
              </w:rPr>
              <w:t>Purpose and target cohort</w:t>
            </w:r>
          </w:p>
        </w:tc>
        <w:tc>
          <w:tcPr>
            <w:tcW w:w="8080" w:type="dxa"/>
            <w:gridSpan w:val="4"/>
          </w:tcPr>
          <w:p w:rsidR="003702A5" w:rsidRPr="00AA5F3C" w:rsidRDefault="00401A49" w:rsidP="00E619A9">
            <w:pPr>
              <w:spacing w:after="120" w:line="240" w:lineRule="auto"/>
              <w:rPr>
                <w:rFonts w:ascii="Arial" w:hAnsi="Arial" w:cs="Arial"/>
              </w:rPr>
            </w:pPr>
            <w:r w:rsidRPr="00AA5F3C">
              <w:rPr>
                <w:rFonts w:ascii="Arial" w:hAnsi="Arial" w:cs="Arial"/>
              </w:rPr>
              <w:t>Access to</w:t>
            </w:r>
            <w:r w:rsidR="003702A5" w:rsidRPr="00AA5F3C">
              <w:rPr>
                <w:rFonts w:ascii="Arial" w:hAnsi="Arial" w:cs="Arial"/>
              </w:rPr>
              <w:t xml:space="preserve"> high-level VET qualifications </w:t>
            </w:r>
            <w:r w:rsidRPr="00AA5F3C">
              <w:rPr>
                <w:rFonts w:ascii="Arial" w:hAnsi="Arial" w:cs="Arial"/>
              </w:rPr>
              <w:t>for students who are disadvantaged but not enrolled in low SES schools - achieved through provision of additional places in Industry Pathways Programs (</w:t>
            </w:r>
            <w:proofErr w:type="spellStart"/>
            <w:r w:rsidRPr="00AA5F3C">
              <w:rPr>
                <w:rFonts w:ascii="Arial" w:hAnsi="Arial" w:cs="Arial"/>
              </w:rPr>
              <w:t>IPPs</w:t>
            </w:r>
            <w:proofErr w:type="spellEnd"/>
            <w:r w:rsidRPr="00AA5F3C">
              <w:rPr>
                <w:rFonts w:ascii="Arial" w:hAnsi="Arial" w:cs="Arial"/>
              </w:rPr>
              <w:t>).</w:t>
            </w:r>
          </w:p>
        </w:tc>
      </w:tr>
      <w:tr w:rsidR="003702A5" w:rsidRPr="00AA5F3C" w:rsidTr="00556879">
        <w:tc>
          <w:tcPr>
            <w:tcW w:w="1809" w:type="dxa"/>
            <w:tcBorders>
              <w:bottom w:val="nil"/>
            </w:tcBorders>
          </w:tcPr>
          <w:p w:rsidR="003702A5" w:rsidRPr="00AA5F3C" w:rsidRDefault="003702A5" w:rsidP="00E619A9">
            <w:pPr>
              <w:spacing w:after="120" w:line="240" w:lineRule="auto"/>
              <w:rPr>
                <w:rFonts w:ascii="Arial" w:hAnsi="Arial" w:cs="Arial"/>
              </w:rPr>
            </w:pPr>
            <w:r w:rsidRPr="00AA5F3C">
              <w:rPr>
                <w:rFonts w:ascii="Arial" w:hAnsi="Arial" w:cs="Arial"/>
              </w:rPr>
              <w:t>Action &amp; Timing</w:t>
            </w:r>
          </w:p>
        </w:tc>
        <w:tc>
          <w:tcPr>
            <w:tcW w:w="8080" w:type="dxa"/>
            <w:gridSpan w:val="4"/>
            <w:tcBorders>
              <w:bottom w:val="nil"/>
            </w:tcBorders>
          </w:tcPr>
          <w:p w:rsidR="003702A5" w:rsidRPr="00AA5F3C" w:rsidRDefault="00401A49" w:rsidP="00E619A9">
            <w:pPr>
              <w:spacing w:after="120" w:line="240" w:lineRule="auto"/>
              <w:ind w:left="67"/>
              <w:rPr>
                <w:rFonts w:ascii="Arial" w:hAnsi="Arial" w:cs="Arial"/>
              </w:rPr>
            </w:pPr>
            <w:r w:rsidRPr="00AA5F3C">
              <w:rPr>
                <w:rFonts w:ascii="Arial" w:hAnsi="Arial" w:cs="Arial"/>
              </w:rPr>
              <w:t>During 2012</w:t>
            </w:r>
            <w:r w:rsidR="003702A5" w:rsidRPr="00AA5F3C">
              <w:rPr>
                <w:rFonts w:ascii="Arial" w:hAnsi="Arial" w:cs="Arial"/>
              </w:rPr>
              <w:t xml:space="preserve"> funding provided (VET Scholarships) to schools to purchase training in higher level VET, largely Certificate III</w:t>
            </w:r>
            <w:r w:rsidR="006E508E">
              <w:rPr>
                <w:rFonts w:ascii="Arial" w:hAnsi="Arial" w:cs="Arial"/>
              </w:rPr>
              <w:t>.</w:t>
            </w:r>
            <w:r w:rsidR="003702A5" w:rsidRPr="00AA5F3C">
              <w:rPr>
                <w:rFonts w:ascii="Arial" w:hAnsi="Arial" w:cs="Arial"/>
              </w:rPr>
              <w:t xml:space="preserve"> </w:t>
            </w:r>
          </w:p>
        </w:tc>
      </w:tr>
      <w:tr w:rsidR="003702A5" w:rsidRPr="00AA5F3C" w:rsidTr="00556879">
        <w:tc>
          <w:tcPr>
            <w:tcW w:w="1809" w:type="dxa"/>
            <w:tcBorders>
              <w:top w:val="nil"/>
              <w:bottom w:val="single" w:sz="4" w:space="0" w:color="auto"/>
            </w:tcBorders>
          </w:tcPr>
          <w:p w:rsidR="003702A5" w:rsidRPr="00AA5F3C" w:rsidRDefault="003702A5" w:rsidP="00E619A9">
            <w:pPr>
              <w:spacing w:after="120" w:line="240" w:lineRule="auto"/>
              <w:rPr>
                <w:rFonts w:ascii="Arial" w:hAnsi="Arial" w:cs="Arial"/>
              </w:rPr>
            </w:pPr>
            <w:r w:rsidRPr="00AA5F3C">
              <w:rPr>
                <w:rFonts w:ascii="Arial" w:hAnsi="Arial" w:cs="Arial"/>
              </w:rPr>
              <w:lastRenderedPageBreak/>
              <w:t>Outcomes</w:t>
            </w:r>
          </w:p>
        </w:tc>
        <w:tc>
          <w:tcPr>
            <w:tcW w:w="8080" w:type="dxa"/>
            <w:gridSpan w:val="4"/>
            <w:tcBorders>
              <w:top w:val="nil"/>
              <w:bottom w:val="single" w:sz="4" w:space="0" w:color="auto"/>
            </w:tcBorders>
          </w:tcPr>
          <w:p w:rsidR="00401A49" w:rsidRDefault="00401A49" w:rsidP="00E619A9">
            <w:pPr>
              <w:spacing w:after="120" w:line="240" w:lineRule="auto"/>
              <w:ind w:left="67"/>
              <w:rPr>
                <w:rFonts w:ascii="Arial" w:hAnsi="Arial" w:cs="Arial"/>
              </w:rPr>
            </w:pPr>
            <w:r w:rsidRPr="00AA5F3C">
              <w:rPr>
                <w:rFonts w:ascii="Arial" w:hAnsi="Arial" w:cs="Arial"/>
              </w:rPr>
              <w:t>1700 s</w:t>
            </w:r>
            <w:r w:rsidR="003702A5" w:rsidRPr="00AA5F3C">
              <w:rPr>
                <w:rFonts w:ascii="Arial" w:hAnsi="Arial" w:cs="Arial"/>
              </w:rPr>
              <w:t>tudents</w:t>
            </w:r>
            <w:r w:rsidRPr="00AA5F3C">
              <w:rPr>
                <w:rFonts w:ascii="Arial" w:hAnsi="Arial" w:cs="Arial"/>
              </w:rPr>
              <w:t xml:space="preserve"> identified as </w:t>
            </w:r>
            <w:r w:rsidR="003702A5" w:rsidRPr="00AA5F3C">
              <w:rPr>
                <w:rFonts w:ascii="Arial" w:hAnsi="Arial" w:cs="Arial"/>
              </w:rPr>
              <w:t>disadvantaged, but not able to access support through the Low SES Schools National Partnership Agreement, were supported to participate in high</w:t>
            </w:r>
            <w:r w:rsidRPr="00AA5F3C">
              <w:rPr>
                <w:rFonts w:ascii="Arial" w:hAnsi="Arial" w:cs="Arial"/>
              </w:rPr>
              <w:t>er</w:t>
            </w:r>
            <w:r w:rsidR="003702A5" w:rsidRPr="00AA5F3C">
              <w:rPr>
                <w:rFonts w:ascii="Arial" w:hAnsi="Arial" w:cs="Arial"/>
              </w:rPr>
              <w:t xml:space="preserve">-level VET training while also gaining credit towards </w:t>
            </w:r>
            <w:r w:rsidRPr="00AA5F3C">
              <w:rPr>
                <w:rFonts w:ascii="Arial" w:hAnsi="Arial" w:cs="Arial"/>
              </w:rPr>
              <w:t xml:space="preserve">achievement of the </w:t>
            </w:r>
            <w:proofErr w:type="spellStart"/>
            <w:r w:rsidR="003702A5" w:rsidRPr="00AA5F3C">
              <w:rPr>
                <w:rFonts w:ascii="Arial" w:hAnsi="Arial" w:cs="Arial"/>
              </w:rPr>
              <w:t>SACE</w:t>
            </w:r>
            <w:proofErr w:type="spellEnd"/>
            <w:r w:rsidR="003702A5" w:rsidRPr="00AA5F3C">
              <w:rPr>
                <w:rFonts w:ascii="Arial" w:hAnsi="Arial" w:cs="Arial"/>
              </w:rPr>
              <w:t>.</w:t>
            </w:r>
          </w:p>
          <w:p w:rsidR="0065263E" w:rsidRPr="00AA5F3C" w:rsidRDefault="000E10E5" w:rsidP="00E619A9">
            <w:pPr>
              <w:spacing w:after="120" w:line="240" w:lineRule="auto"/>
              <w:ind w:left="67"/>
              <w:rPr>
                <w:rFonts w:ascii="Arial" w:hAnsi="Arial" w:cs="Arial"/>
              </w:rPr>
            </w:pPr>
            <w:r>
              <w:rPr>
                <w:rFonts w:ascii="Arial" w:hAnsi="Arial" w:cs="Arial"/>
              </w:rPr>
              <w:t xml:space="preserve">The </w:t>
            </w:r>
            <w:proofErr w:type="spellStart"/>
            <w:r>
              <w:rPr>
                <w:rFonts w:ascii="Arial" w:hAnsi="Arial" w:cs="Arial"/>
              </w:rPr>
              <w:t>SACE</w:t>
            </w:r>
            <w:proofErr w:type="spellEnd"/>
            <w:r>
              <w:rPr>
                <w:rFonts w:ascii="Arial" w:hAnsi="Arial" w:cs="Arial"/>
              </w:rPr>
              <w:t xml:space="preserve"> Board has reported that a significant number of all </w:t>
            </w:r>
            <w:proofErr w:type="spellStart"/>
            <w:r>
              <w:rPr>
                <w:rFonts w:ascii="Arial" w:hAnsi="Arial" w:cs="Arial"/>
              </w:rPr>
              <w:t>SACE</w:t>
            </w:r>
            <w:proofErr w:type="spellEnd"/>
            <w:r>
              <w:rPr>
                <w:rFonts w:ascii="Arial" w:hAnsi="Arial" w:cs="Arial"/>
              </w:rPr>
              <w:t xml:space="preserve"> completers included VET as part of their </w:t>
            </w:r>
            <w:proofErr w:type="spellStart"/>
            <w:r>
              <w:rPr>
                <w:rFonts w:ascii="Arial" w:hAnsi="Arial" w:cs="Arial"/>
              </w:rPr>
              <w:t>SACE</w:t>
            </w:r>
            <w:proofErr w:type="spellEnd"/>
            <w:r>
              <w:rPr>
                <w:rFonts w:ascii="Arial" w:hAnsi="Arial" w:cs="Arial"/>
              </w:rPr>
              <w:t xml:space="preserve"> in 2012 and would not have achieved this without the inclusion of VET.  </w:t>
            </w:r>
            <w:proofErr w:type="spellStart"/>
            <w:r>
              <w:rPr>
                <w:rFonts w:ascii="Arial" w:hAnsi="Arial" w:cs="Arial"/>
              </w:rPr>
              <w:t>MEAST</w:t>
            </w:r>
            <w:proofErr w:type="spellEnd"/>
            <w:r>
              <w:rPr>
                <w:rFonts w:ascii="Arial" w:hAnsi="Arial" w:cs="Arial"/>
              </w:rPr>
              <w:t xml:space="preserve"> funds have contributed to these outcomes.</w:t>
            </w:r>
          </w:p>
        </w:tc>
      </w:tr>
      <w:tr w:rsidR="00162673" w:rsidRPr="00AA5F3C" w:rsidTr="00556879">
        <w:tblPrEx>
          <w:tblBorders>
            <w:top w:val="single" w:sz="2" w:space="0" w:color="auto"/>
            <w:bottom w:val="single" w:sz="2" w:space="0" w:color="auto"/>
          </w:tblBorders>
        </w:tblPrEx>
        <w:tc>
          <w:tcPr>
            <w:tcW w:w="1951" w:type="dxa"/>
            <w:gridSpan w:val="3"/>
          </w:tcPr>
          <w:p w:rsidR="00E56728" w:rsidRPr="00E56728" w:rsidRDefault="00E56728" w:rsidP="00E619A9">
            <w:pPr>
              <w:spacing w:before="120" w:after="120" w:line="240" w:lineRule="auto"/>
              <w:rPr>
                <w:rFonts w:ascii="Arial" w:eastAsia="Calibri" w:hAnsi="Arial" w:cs="Arial"/>
              </w:rPr>
            </w:pPr>
            <w:r w:rsidRPr="00E56728">
              <w:rPr>
                <w:rFonts w:ascii="Arial" w:eastAsia="Calibri" w:hAnsi="Arial" w:cs="Arial"/>
              </w:rPr>
              <w:t>Initiative</w:t>
            </w:r>
          </w:p>
        </w:tc>
        <w:tc>
          <w:tcPr>
            <w:tcW w:w="7938" w:type="dxa"/>
            <w:gridSpan w:val="2"/>
          </w:tcPr>
          <w:p w:rsidR="00E56728" w:rsidRPr="00E56728" w:rsidRDefault="00E56728" w:rsidP="00E619A9">
            <w:pPr>
              <w:spacing w:before="120" w:after="120" w:line="240" w:lineRule="auto"/>
              <w:rPr>
                <w:rFonts w:ascii="Arial" w:eastAsia="Calibri" w:hAnsi="Arial" w:cs="Arial"/>
              </w:rPr>
            </w:pPr>
            <w:r w:rsidRPr="00E56728">
              <w:rPr>
                <w:rFonts w:ascii="Arial" w:eastAsia="Calibri" w:hAnsi="Arial" w:cs="Arial"/>
                <w:b/>
                <w:bCs/>
              </w:rPr>
              <w:t>On-The-Job Workplace Learning Program</w:t>
            </w:r>
          </w:p>
        </w:tc>
      </w:tr>
      <w:tr w:rsidR="00162673" w:rsidRPr="00AA5F3C" w:rsidTr="00556879">
        <w:tblPrEx>
          <w:tblBorders>
            <w:top w:val="single" w:sz="2" w:space="0" w:color="auto"/>
            <w:bottom w:val="single" w:sz="2" w:space="0" w:color="auto"/>
          </w:tblBorders>
        </w:tblPrEx>
        <w:tc>
          <w:tcPr>
            <w:tcW w:w="1951" w:type="dxa"/>
            <w:gridSpan w:val="3"/>
          </w:tcPr>
          <w:p w:rsidR="00E56728" w:rsidRPr="00E56728" w:rsidRDefault="00E56728" w:rsidP="00E619A9">
            <w:pPr>
              <w:spacing w:after="240" w:line="240" w:lineRule="auto"/>
              <w:rPr>
                <w:rFonts w:ascii="Arial" w:eastAsia="Calibri" w:hAnsi="Arial" w:cs="Arial"/>
              </w:rPr>
            </w:pPr>
            <w:r w:rsidRPr="00E56728">
              <w:rPr>
                <w:rFonts w:ascii="Arial" w:eastAsia="Calibri" w:hAnsi="Arial" w:cs="Arial"/>
              </w:rPr>
              <w:t>Purpose and target cohort</w:t>
            </w:r>
          </w:p>
        </w:tc>
        <w:tc>
          <w:tcPr>
            <w:tcW w:w="7938" w:type="dxa"/>
            <w:gridSpan w:val="2"/>
          </w:tcPr>
          <w:p w:rsidR="00E56728" w:rsidRPr="00E56728" w:rsidRDefault="00E56728" w:rsidP="0040521B">
            <w:pPr>
              <w:numPr>
                <w:ilvl w:val="0"/>
                <w:numId w:val="29"/>
              </w:numPr>
              <w:spacing w:after="120" w:line="240" w:lineRule="auto"/>
              <w:contextualSpacing/>
              <w:rPr>
                <w:rFonts w:ascii="Arial" w:eastAsia="Calibri" w:hAnsi="Arial" w:cs="Arial"/>
              </w:rPr>
            </w:pPr>
            <w:r w:rsidRPr="00E56728">
              <w:rPr>
                <w:rFonts w:ascii="Arial" w:eastAsia="Calibri" w:hAnsi="Arial" w:cs="Arial"/>
              </w:rPr>
              <w:t xml:space="preserve">To support students to complete meaningful work placements aligned to their VET program. </w:t>
            </w:r>
          </w:p>
          <w:p w:rsidR="00E56728" w:rsidRPr="00AA5F3C" w:rsidRDefault="00E56728" w:rsidP="0040521B">
            <w:pPr>
              <w:numPr>
                <w:ilvl w:val="0"/>
                <w:numId w:val="29"/>
              </w:numPr>
              <w:spacing w:after="120" w:line="240" w:lineRule="auto"/>
              <w:contextualSpacing/>
              <w:rPr>
                <w:rFonts w:ascii="Arial" w:eastAsia="Calibri" w:hAnsi="Arial" w:cs="Arial"/>
              </w:rPr>
            </w:pPr>
            <w:r w:rsidRPr="00E56728">
              <w:rPr>
                <w:rFonts w:ascii="Arial" w:eastAsia="Calibri" w:hAnsi="Arial" w:cs="Arial"/>
              </w:rPr>
              <w:t>To build capacity in schools to more effectively support students who are at an increased risk of disengaging from learning.</w:t>
            </w:r>
          </w:p>
          <w:p w:rsidR="00E56728" w:rsidRPr="00E56728" w:rsidRDefault="00E56728" w:rsidP="00E619A9">
            <w:pPr>
              <w:spacing w:after="120" w:line="240" w:lineRule="auto"/>
              <w:contextualSpacing/>
              <w:rPr>
                <w:rFonts w:ascii="Arial" w:eastAsia="Calibri" w:hAnsi="Arial" w:cs="Arial"/>
              </w:rPr>
            </w:pPr>
          </w:p>
          <w:p w:rsidR="00E56728" w:rsidRPr="00E56728" w:rsidRDefault="00E56728" w:rsidP="00E619A9">
            <w:pPr>
              <w:spacing w:after="120" w:line="240" w:lineRule="auto"/>
              <w:contextualSpacing/>
              <w:rPr>
                <w:rFonts w:ascii="Arial" w:eastAsia="Calibri" w:hAnsi="Arial" w:cs="Arial"/>
              </w:rPr>
            </w:pPr>
            <w:r w:rsidRPr="00E56728">
              <w:rPr>
                <w:rFonts w:ascii="Arial" w:eastAsia="Calibri" w:hAnsi="Arial" w:cs="Arial"/>
                <w:i/>
              </w:rPr>
              <w:t>Indigenous, New arrivals / refugees, rural and remote students, students with disabilities and/or identified special learning needs.</w:t>
            </w:r>
          </w:p>
          <w:p w:rsidR="00E56728" w:rsidRPr="00E56728" w:rsidRDefault="00E56728" w:rsidP="00E619A9">
            <w:pPr>
              <w:spacing w:after="120" w:line="240" w:lineRule="auto"/>
              <w:contextualSpacing/>
              <w:rPr>
                <w:rFonts w:ascii="Arial" w:eastAsia="Calibri" w:hAnsi="Arial" w:cs="Arial"/>
                <w:i/>
              </w:rPr>
            </w:pPr>
          </w:p>
        </w:tc>
      </w:tr>
      <w:tr w:rsidR="00162673" w:rsidRPr="00AA5F3C" w:rsidTr="00556879">
        <w:tblPrEx>
          <w:tblBorders>
            <w:top w:val="single" w:sz="2" w:space="0" w:color="auto"/>
            <w:bottom w:val="single" w:sz="2" w:space="0" w:color="auto"/>
          </w:tblBorders>
        </w:tblPrEx>
        <w:tc>
          <w:tcPr>
            <w:tcW w:w="1951" w:type="dxa"/>
            <w:gridSpan w:val="3"/>
          </w:tcPr>
          <w:p w:rsidR="00E56728" w:rsidRPr="00E56728" w:rsidRDefault="00E56728" w:rsidP="00E619A9">
            <w:pPr>
              <w:spacing w:after="240" w:line="240" w:lineRule="auto"/>
              <w:rPr>
                <w:rFonts w:ascii="Arial" w:eastAsia="Calibri" w:hAnsi="Arial" w:cs="Arial"/>
              </w:rPr>
            </w:pPr>
            <w:r w:rsidRPr="00E56728">
              <w:rPr>
                <w:rFonts w:ascii="Arial" w:eastAsia="Calibri" w:hAnsi="Arial" w:cs="Arial"/>
              </w:rPr>
              <w:t>Action &amp; Timing</w:t>
            </w:r>
          </w:p>
        </w:tc>
        <w:tc>
          <w:tcPr>
            <w:tcW w:w="7938" w:type="dxa"/>
            <w:gridSpan w:val="2"/>
          </w:tcPr>
          <w:p w:rsidR="00E56728" w:rsidRPr="00E56728" w:rsidRDefault="00E56728" w:rsidP="00E619A9">
            <w:pPr>
              <w:numPr>
                <w:ilvl w:val="0"/>
                <w:numId w:val="3"/>
              </w:numPr>
              <w:spacing w:after="120" w:line="240" w:lineRule="auto"/>
              <w:ind w:left="317" w:hanging="317"/>
              <w:contextualSpacing/>
              <w:rPr>
                <w:rFonts w:ascii="Arial" w:eastAsia="Calibri" w:hAnsi="Arial" w:cs="Arial"/>
              </w:rPr>
            </w:pPr>
            <w:r w:rsidRPr="00E56728">
              <w:rPr>
                <w:rFonts w:ascii="Arial" w:eastAsia="Calibri" w:hAnsi="Arial" w:cs="Arial"/>
              </w:rPr>
              <w:t>Consultant engaged to work with schools to mentor staff to meet objectives of program</w:t>
            </w:r>
            <w:r w:rsidR="006E508E">
              <w:rPr>
                <w:rFonts w:ascii="Arial" w:eastAsia="Calibri" w:hAnsi="Arial" w:cs="Arial"/>
              </w:rPr>
              <w:t>.</w:t>
            </w:r>
          </w:p>
          <w:p w:rsidR="00E56728" w:rsidRPr="00E56728" w:rsidRDefault="00E56728" w:rsidP="00E619A9">
            <w:pPr>
              <w:numPr>
                <w:ilvl w:val="0"/>
                <w:numId w:val="3"/>
              </w:numPr>
              <w:spacing w:after="200" w:line="240" w:lineRule="auto"/>
              <w:ind w:left="317" w:hanging="317"/>
              <w:contextualSpacing/>
              <w:rPr>
                <w:rFonts w:ascii="Arial" w:eastAsia="Calibri" w:hAnsi="Arial" w:cs="Arial"/>
              </w:rPr>
            </w:pPr>
            <w:r w:rsidRPr="00E56728">
              <w:rPr>
                <w:rFonts w:ascii="Arial" w:eastAsia="Calibri" w:hAnsi="Arial" w:cs="Arial"/>
              </w:rPr>
              <w:t>Funding to schools to enable engagement of a mentor to work directly with the students to successfully achieve identified goals</w:t>
            </w:r>
            <w:r w:rsidR="006E508E">
              <w:rPr>
                <w:rFonts w:ascii="Arial" w:eastAsia="Calibri" w:hAnsi="Arial" w:cs="Arial"/>
              </w:rPr>
              <w:t>.</w:t>
            </w:r>
          </w:p>
          <w:p w:rsidR="00E56728" w:rsidRPr="00E56728" w:rsidRDefault="00E56728" w:rsidP="00E619A9">
            <w:pPr>
              <w:numPr>
                <w:ilvl w:val="0"/>
                <w:numId w:val="3"/>
              </w:numPr>
              <w:spacing w:after="120" w:line="240" w:lineRule="auto"/>
              <w:ind w:left="317" w:hanging="317"/>
              <w:rPr>
                <w:rFonts w:ascii="Arial" w:eastAsia="Calibri" w:hAnsi="Arial" w:cs="Arial"/>
              </w:rPr>
            </w:pPr>
            <w:r w:rsidRPr="00E56728">
              <w:rPr>
                <w:rFonts w:ascii="Arial" w:eastAsia="Calibri" w:hAnsi="Arial" w:cs="Arial"/>
              </w:rPr>
              <w:t>Funding to enable mentors to be released from schoo</w:t>
            </w:r>
            <w:r w:rsidR="006E508E">
              <w:rPr>
                <w:rFonts w:ascii="Arial" w:eastAsia="Calibri" w:hAnsi="Arial" w:cs="Arial"/>
              </w:rPr>
              <w:t>ls for professional development.</w:t>
            </w:r>
          </w:p>
        </w:tc>
      </w:tr>
      <w:tr w:rsidR="00162673" w:rsidRPr="00AA5F3C" w:rsidTr="00556879">
        <w:tblPrEx>
          <w:tblBorders>
            <w:top w:val="single" w:sz="2" w:space="0" w:color="auto"/>
            <w:bottom w:val="single" w:sz="2" w:space="0" w:color="auto"/>
          </w:tblBorders>
        </w:tblPrEx>
        <w:tc>
          <w:tcPr>
            <w:tcW w:w="1951" w:type="dxa"/>
            <w:gridSpan w:val="3"/>
          </w:tcPr>
          <w:p w:rsidR="00E56728" w:rsidRPr="00E56728" w:rsidRDefault="00E56728" w:rsidP="00E619A9">
            <w:pPr>
              <w:spacing w:after="240" w:line="240" w:lineRule="auto"/>
              <w:rPr>
                <w:rFonts w:ascii="Arial" w:eastAsia="Calibri" w:hAnsi="Arial" w:cs="Arial"/>
              </w:rPr>
            </w:pPr>
            <w:r w:rsidRPr="00E56728">
              <w:rPr>
                <w:rFonts w:ascii="Arial" w:eastAsia="Calibri" w:hAnsi="Arial" w:cs="Arial"/>
              </w:rPr>
              <w:t>Outcomes</w:t>
            </w:r>
          </w:p>
          <w:p w:rsidR="00E56728" w:rsidRPr="00E56728" w:rsidRDefault="00E56728" w:rsidP="00E619A9">
            <w:pPr>
              <w:spacing w:after="240" w:line="240" w:lineRule="auto"/>
              <w:rPr>
                <w:rFonts w:ascii="Arial" w:eastAsia="Calibri" w:hAnsi="Arial" w:cs="Arial"/>
              </w:rPr>
            </w:pPr>
          </w:p>
          <w:p w:rsidR="00E56728" w:rsidRPr="00E56728" w:rsidRDefault="00E56728" w:rsidP="00E619A9">
            <w:pPr>
              <w:spacing w:after="240" w:line="240" w:lineRule="auto"/>
              <w:rPr>
                <w:rFonts w:ascii="Arial" w:eastAsia="Calibri" w:hAnsi="Arial" w:cs="Arial"/>
              </w:rPr>
            </w:pPr>
          </w:p>
        </w:tc>
        <w:tc>
          <w:tcPr>
            <w:tcW w:w="7938" w:type="dxa"/>
            <w:gridSpan w:val="2"/>
          </w:tcPr>
          <w:p w:rsidR="00E56728" w:rsidRPr="00E56728" w:rsidRDefault="00E56728" w:rsidP="0040521B">
            <w:pPr>
              <w:numPr>
                <w:ilvl w:val="0"/>
                <w:numId w:val="11"/>
              </w:numPr>
              <w:spacing w:after="120" w:line="240" w:lineRule="auto"/>
              <w:contextualSpacing/>
              <w:rPr>
                <w:rFonts w:ascii="Arial" w:eastAsia="Calibri" w:hAnsi="Arial" w:cs="Arial"/>
              </w:rPr>
            </w:pPr>
            <w:r w:rsidRPr="00E56728">
              <w:rPr>
                <w:rFonts w:ascii="Arial" w:eastAsia="Calibri" w:hAnsi="Arial" w:cs="Arial"/>
              </w:rPr>
              <w:t>Development of mentoring skills by staff</w:t>
            </w:r>
            <w:r w:rsidR="006E508E">
              <w:rPr>
                <w:rFonts w:ascii="Arial" w:eastAsia="Calibri" w:hAnsi="Arial" w:cs="Arial"/>
              </w:rPr>
              <w:t>.</w:t>
            </w:r>
          </w:p>
          <w:p w:rsidR="00E56728" w:rsidRPr="00E56728" w:rsidRDefault="00E56728" w:rsidP="0040521B">
            <w:pPr>
              <w:numPr>
                <w:ilvl w:val="0"/>
                <w:numId w:val="11"/>
              </w:numPr>
              <w:spacing w:after="120" w:line="240" w:lineRule="auto"/>
              <w:contextualSpacing/>
              <w:rPr>
                <w:rFonts w:ascii="Arial" w:eastAsia="Calibri" w:hAnsi="Arial" w:cs="Arial"/>
              </w:rPr>
            </w:pPr>
            <w:r w:rsidRPr="00E56728">
              <w:rPr>
                <w:rFonts w:ascii="Arial" w:eastAsia="Calibri" w:hAnsi="Arial" w:cs="Arial"/>
              </w:rPr>
              <w:t>Consultant engagement with mentoring staff from each participating school.</w:t>
            </w:r>
          </w:p>
          <w:p w:rsidR="00E56728" w:rsidRPr="00E56728" w:rsidRDefault="00E56728" w:rsidP="0040521B">
            <w:pPr>
              <w:numPr>
                <w:ilvl w:val="0"/>
                <w:numId w:val="11"/>
              </w:numPr>
              <w:spacing w:after="120" w:line="240" w:lineRule="auto"/>
              <w:contextualSpacing/>
              <w:rPr>
                <w:rFonts w:ascii="Arial" w:eastAsia="Calibri" w:hAnsi="Arial" w:cs="Arial"/>
              </w:rPr>
            </w:pPr>
            <w:r w:rsidRPr="00E56728">
              <w:rPr>
                <w:rFonts w:ascii="Arial" w:eastAsia="Calibri" w:hAnsi="Arial" w:cs="Arial"/>
              </w:rPr>
              <w:t>Development of on-going school partnerships with Business and Community.</w:t>
            </w:r>
          </w:p>
          <w:p w:rsidR="00E56728" w:rsidRPr="00E56728" w:rsidRDefault="00E56728" w:rsidP="0040521B">
            <w:pPr>
              <w:numPr>
                <w:ilvl w:val="0"/>
                <w:numId w:val="11"/>
              </w:numPr>
              <w:spacing w:after="120" w:line="240" w:lineRule="auto"/>
              <w:contextualSpacing/>
              <w:rPr>
                <w:rFonts w:ascii="Arial" w:eastAsia="Calibri" w:hAnsi="Arial" w:cs="Arial"/>
              </w:rPr>
            </w:pPr>
            <w:r w:rsidRPr="00E56728">
              <w:rPr>
                <w:rFonts w:ascii="Arial" w:eastAsia="Calibri" w:hAnsi="Arial" w:cs="Arial"/>
              </w:rPr>
              <w:t>Opportunity to build and enhance employability skills by students.</w:t>
            </w:r>
          </w:p>
          <w:p w:rsidR="00E56728" w:rsidRPr="00E56728" w:rsidRDefault="00E56728" w:rsidP="0040521B">
            <w:pPr>
              <w:numPr>
                <w:ilvl w:val="0"/>
                <w:numId w:val="11"/>
              </w:numPr>
              <w:spacing w:after="120" w:line="240" w:lineRule="auto"/>
              <w:contextualSpacing/>
              <w:rPr>
                <w:rFonts w:ascii="Arial" w:eastAsia="Calibri" w:hAnsi="Arial" w:cs="Arial"/>
              </w:rPr>
            </w:pPr>
            <w:r w:rsidRPr="00E56728">
              <w:rPr>
                <w:rFonts w:ascii="Arial" w:eastAsia="Calibri" w:hAnsi="Arial" w:cs="Arial"/>
              </w:rPr>
              <w:t xml:space="preserve">Subsequent pathway confirmation, employment and apprenticeships secured by students (contributing to the achievement of the </w:t>
            </w:r>
            <w:proofErr w:type="spellStart"/>
            <w:r w:rsidRPr="00E56728">
              <w:rPr>
                <w:rFonts w:ascii="Arial" w:eastAsia="Calibri" w:hAnsi="Arial" w:cs="Arial"/>
              </w:rPr>
              <w:t>SACE</w:t>
            </w:r>
            <w:proofErr w:type="spellEnd"/>
            <w:r w:rsidRPr="00E56728">
              <w:rPr>
                <w:rFonts w:ascii="Arial" w:eastAsia="Calibri" w:hAnsi="Arial" w:cs="Arial"/>
              </w:rPr>
              <w:t>)</w:t>
            </w:r>
            <w:r w:rsidR="006E508E">
              <w:rPr>
                <w:rFonts w:ascii="Arial" w:eastAsia="Calibri" w:hAnsi="Arial" w:cs="Arial"/>
              </w:rPr>
              <w:t>.</w:t>
            </w:r>
          </w:p>
        </w:tc>
      </w:tr>
      <w:tr w:rsidR="00162673" w:rsidRPr="00AA5F3C" w:rsidTr="00556879">
        <w:tblPrEx>
          <w:tblBorders>
            <w:top w:val="single" w:sz="2" w:space="0" w:color="auto"/>
            <w:bottom w:val="single" w:sz="2" w:space="0" w:color="auto"/>
          </w:tblBorders>
        </w:tblPrEx>
        <w:tc>
          <w:tcPr>
            <w:tcW w:w="1951" w:type="dxa"/>
            <w:gridSpan w:val="3"/>
          </w:tcPr>
          <w:p w:rsidR="00E56728" w:rsidRPr="00E56728" w:rsidRDefault="00E56728" w:rsidP="00E619A9">
            <w:pPr>
              <w:spacing w:after="240" w:line="240" w:lineRule="auto"/>
              <w:rPr>
                <w:rFonts w:ascii="Arial" w:eastAsia="Calibri" w:hAnsi="Arial" w:cs="Arial"/>
              </w:rPr>
            </w:pPr>
            <w:r w:rsidRPr="00E56728">
              <w:rPr>
                <w:rFonts w:ascii="Arial" w:eastAsia="Calibri" w:hAnsi="Arial" w:cs="Arial"/>
              </w:rPr>
              <w:t>Cumulative Progress</w:t>
            </w:r>
          </w:p>
        </w:tc>
        <w:tc>
          <w:tcPr>
            <w:tcW w:w="7938" w:type="dxa"/>
            <w:gridSpan w:val="2"/>
          </w:tcPr>
          <w:p w:rsidR="00E56728" w:rsidRPr="00E56728" w:rsidRDefault="00E56728" w:rsidP="0040521B">
            <w:pPr>
              <w:numPr>
                <w:ilvl w:val="0"/>
                <w:numId w:val="11"/>
              </w:numPr>
              <w:spacing w:after="120" w:line="240" w:lineRule="auto"/>
              <w:contextualSpacing/>
              <w:rPr>
                <w:rFonts w:ascii="Arial" w:eastAsia="Calibri" w:hAnsi="Arial" w:cs="Arial"/>
              </w:rPr>
            </w:pPr>
            <w:r w:rsidRPr="00E56728">
              <w:rPr>
                <w:rFonts w:ascii="Arial" w:eastAsia="Calibri" w:hAnsi="Arial" w:cs="Arial"/>
              </w:rPr>
              <w:t>An increased depth of engagement by students in program resulting in a more informed transitional and pathway decision making process</w:t>
            </w:r>
            <w:r w:rsidR="006E508E">
              <w:rPr>
                <w:rFonts w:ascii="Arial" w:eastAsia="Calibri" w:hAnsi="Arial" w:cs="Arial"/>
              </w:rPr>
              <w:t>.</w:t>
            </w:r>
          </w:p>
          <w:p w:rsidR="00E56728" w:rsidRPr="00E56728" w:rsidRDefault="00E56728" w:rsidP="0040521B">
            <w:pPr>
              <w:numPr>
                <w:ilvl w:val="0"/>
                <w:numId w:val="11"/>
              </w:numPr>
              <w:spacing w:after="120" w:line="240" w:lineRule="auto"/>
              <w:contextualSpacing/>
              <w:rPr>
                <w:rFonts w:ascii="Arial" w:eastAsia="Calibri" w:hAnsi="Arial" w:cs="Arial"/>
              </w:rPr>
            </w:pPr>
            <w:r w:rsidRPr="00E56728">
              <w:rPr>
                <w:rFonts w:ascii="Arial" w:eastAsia="Calibri" w:hAnsi="Arial" w:cs="Arial"/>
              </w:rPr>
              <w:t>An increased application of mentoring programs to support transition pathways for students</w:t>
            </w:r>
            <w:r w:rsidR="006E508E">
              <w:rPr>
                <w:rFonts w:ascii="Arial" w:eastAsia="Calibri" w:hAnsi="Arial" w:cs="Arial"/>
              </w:rPr>
              <w:t>.</w:t>
            </w:r>
          </w:p>
          <w:p w:rsidR="00E56728" w:rsidRDefault="00E56728" w:rsidP="0040521B">
            <w:pPr>
              <w:numPr>
                <w:ilvl w:val="0"/>
                <w:numId w:val="11"/>
              </w:numPr>
              <w:spacing w:after="120" w:line="240" w:lineRule="auto"/>
              <w:contextualSpacing/>
              <w:rPr>
                <w:rFonts w:ascii="Arial" w:eastAsia="Calibri" w:hAnsi="Arial" w:cs="Arial"/>
              </w:rPr>
            </w:pPr>
            <w:r w:rsidRPr="00E56728">
              <w:rPr>
                <w:rFonts w:ascii="Arial" w:eastAsia="Calibri" w:hAnsi="Arial" w:cs="Arial"/>
              </w:rPr>
              <w:t xml:space="preserve">A growing appreciation and acceptance within schools of the validity of workplace learning to </w:t>
            </w:r>
            <w:proofErr w:type="spellStart"/>
            <w:r w:rsidRPr="00E56728">
              <w:rPr>
                <w:rFonts w:ascii="Arial" w:eastAsia="Calibri" w:hAnsi="Arial" w:cs="Arial"/>
              </w:rPr>
              <w:t>SACE</w:t>
            </w:r>
            <w:proofErr w:type="spellEnd"/>
            <w:r w:rsidRPr="00E56728">
              <w:rPr>
                <w:rFonts w:ascii="Arial" w:eastAsia="Calibri" w:hAnsi="Arial" w:cs="Arial"/>
              </w:rPr>
              <w:t xml:space="preserve"> achievement.</w:t>
            </w:r>
          </w:p>
          <w:p w:rsidR="00BE1116" w:rsidRPr="00E56728" w:rsidRDefault="00BE1116" w:rsidP="00E619A9">
            <w:pPr>
              <w:spacing w:after="120" w:line="240" w:lineRule="auto"/>
              <w:contextualSpacing/>
              <w:rPr>
                <w:rFonts w:ascii="Arial" w:eastAsia="Calibri" w:hAnsi="Arial" w:cs="Arial"/>
              </w:rPr>
            </w:pPr>
          </w:p>
        </w:tc>
      </w:tr>
      <w:tr w:rsidR="00162673" w:rsidRPr="00AA5F3C" w:rsidTr="00556879">
        <w:tblPrEx>
          <w:tblBorders>
            <w:top w:val="none" w:sz="0" w:space="0" w:color="auto"/>
          </w:tblBorders>
        </w:tblPrEx>
        <w:trPr>
          <w:gridAfter w:val="1"/>
          <w:wAfter w:w="392" w:type="dxa"/>
        </w:trPr>
        <w:tc>
          <w:tcPr>
            <w:tcW w:w="1825" w:type="dxa"/>
            <w:gridSpan w:val="2"/>
            <w:tcBorders>
              <w:top w:val="single" w:sz="2" w:space="0" w:color="auto"/>
            </w:tcBorders>
          </w:tcPr>
          <w:p w:rsidR="00510EF8" w:rsidRPr="00510EF8" w:rsidRDefault="00510EF8" w:rsidP="00E619A9">
            <w:pPr>
              <w:spacing w:before="120" w:after="120" w:line="240" w:lineRule="auto"/>
              <w:rPr>
                <w:rFonts w:ascii="Arial" w:eastAsia="Calibri" w:hAnsi="Arial" w:cs="Arial"/>
              </w:rPr>
            </w:pPr>
            <w:r w:rsidRPr="00510EF8">
              <w:rPr>
                <w:rFonts w:ascii="Arial" w:eastAsia="Calibri" w:hAnsi="Arial" w:cs="Arial"/>
              </w:rPr>
              <w:t>Initiative</w:t>
            </w:r>
          </w:p>
        </w:tc>
        <w:tc>
          <w:tcPr>
            <w:tcW w:w="7672" w:type="dxa"/>
            <w:gridSpan w:val="2"/>
            <w:tcBorders>
              <w:top w:val="single" w:sz="2" w:space="0" w:color="auto"/>
            </w:tcBorders>
          </w:tcPr>
          <w:p w:rsidR="00510EF8" w:rsidRPr="00510EF8" w:rsidRDefault="00510EF8" w:rsidP="00E619A9">
            <w:pPr>
              <w:spacing w:before="120" w:after="120" w:line="240" w:lineRule="auto"/>
              <w:rPr>
                <w:rFonts w:ascii="Arial" w:eastAsia="Calibri" w:hAnsi="Arial" w:cs="Arial"/>
                <w:b/>
              </w:rPr>
            </w:pPr>
            <w:r w:rsidRPr="00510EF8">
              <w:rPr>
                <w:rFonts w:ascii="Arial" w:eastAsia="Calibri" w:hAnsi="Arial" w:cs="Arial"/>
                <w:b/>
              </w:rPr>
              <w:t>VET in Schools Program</w:t>
            </w:r>
          </w:p>
        </w:tc>
      </w:tr>
      <w:tr w:rsidR="00162673" w:rsidRPr="00AA5F3C" w:rsidTr="00556879">
        <w:tblPrEx>
          <w:tblBorders>
            <w:top w:val="none" w:sz="0" w:space="0" w:color="auto"/>
          </w:tblBorders>
        </w:tblPrEx>
        <w:trPr>
          <w:gridAfter w:val="1"/>
          <w:wAfter w:w="392" w:type="dxa"/>
        </w:trPr>
        <w:tc>
          <w:tcPr>
            <w:tcW w:w="1825" w:type="dxa"/>
            <w:gridSpan w:val="2"/>
          </w:tcPr>
          <w:p w:rsidR="00510EF8" w:rsidRPr="00510EF8" w:rsidRDefault="00510EF8" w:rsidP="00E619A9">
            <w:pPr>
              <w:spacing w:after="240" w:line="240" w:lineRule="auto"/>
              <w:rPr>
                <w:rFonts w:ascii="Arial" w:eastAsia="Calibri" w:hAnsi="Arial" w:cs="Arial"/>
              </w:rPr>
            </w:pPr>
            <w:r w:rsidRPr="00510EF8">
              <w:rPr>
                <w:rFonts w:ascii="Arial" w:eastAsia="Calibri" w:hAnsi="Arial" w:cs="Arial"/>
              </w:rPr>
              <w:t>Purpose and target cohort</w:t>
            </w:r>
          </w:p>
        </w:tc>
        <w:tc>
          <w:tcPr>
            <w:tcW w:w="7672" w:type="dxa"/>
            <w:gridSpan w:val="2"/>
          </w:tcPr>
          <w:p w:rsidR="00510EF8" w:rsidRPr="00AA5F3C" w:rsidRDefault="00510EF8" w:rsidP="0040521B">
            <w:pPr>
              <w:pStyle w:val="ListParagraph"/>
              <w:numPr>
                <w:ilvl w:val="0"/>
                <w:numId w:val="17"/>
              </w:numPr>
              <w:spacing w:after="120" w:line="240" w:lineRule="auto"/>
              <w:ind w:left="443" w:hanging="283"/>
              <w:rPr>
                <w:rFonts w:ascii="Arial" w:eastAsia="Calibri" w:hAnsi="Arial" w:cs="Arial"/>
              </w:rPr>
            </w:pPr>
            <w:r w:rsidRPr="00AA5F3C">
              <w:rPr>
                <w:rFonts w:ascii="Arial" w:eastAsia="Calibri" w:hAnsi="Arial" w:cs="Arial"/>
              </w:rPr>
              <w:t xml:space="preserve">Support schools and their students in the understanding and accessing of VET in Schools programs in particular the Training Guarantee for </w:t>
            </w:r>
            <w:proofErr w:type="spellStart"/>
            <w:r w:rsidRPr="00AA5F3C">
              <w:rPr>
                <w:rFonts w:ascii="Arial" w:eastAsia="Calibri" w:hAnsi="Arial" w:cs="Arial"/>
              </w:rPr>
              <w:t>SACE</w:t>
            </w:r>
            <w:proofErr w:type="spellEnd"/>
            <w:r w:rsidRPr="00AA5F3C">
              <w:rPr>
                <w:rFonts w:ascii="Arial" w:eastAsia="Calibri" w:hAnsi="Arial" w:cs="Arial"/>
              </w:rPr>
              <w:t xml:space="preserve"> Students (</w:t>
            </w:r>
            <w:proofErr w:type="spellStart"/>
            <w:r w:rsidRPr="00AA5F3C">
              <w:rPr>
                <w:rFonts w:ascii="Arial" w:eastAsia="Calibri" w:hAnsi="Arial" w:cs="Arial"/>
              </w:rPr>
              <w:t>TGSS</w:t>
            </w:r>
            <w:proofErr w:type="spellEnd"/>
            <w:r w:rsidRPr="00AA5F3C">
              <w:rPr>
                <w:rFonts w:ascii="Arial" w:eastAsia="Calibri" w:hAnsi="Arial" w:cs="Arial"/>
              </w:rPr>
              <w:t>) scheme</w:t>
            </w:r>
            <w:r w:rsidR="006E508E">
              <w:rPr>
                <w:rFonts w:ascii="Arial" w:eastAsia="Calibri" w:hAnsi="Arial" w:cs="Arial"/>
              </w:rPr>
              <w:t>.</w:t>
            </w:r>
          </w:p>
          <w:p w:rsidR="00510EF8" w:rsidRPr="00AA5F3C" w:rsidRDefault="00510EF8" w:rsidP="0040521B">
            <w:pPr>
              <w:pStyle w:val="ListParagraph"/>
              <w:numPr>
                <w:ilvl w:val="0"/>
                <w:numId w:val="17"/>
              </w:numPr>
              <w:spacing w:after="120" w:line="240" w:lineRule="auto"/>
              <w:ind w:left="443" w:hanging="283"/>
              <w:rPr>
                <w:rFonts w:ascii="Arial" w:eastAsia="Calibri" w:hAnsi="Arial" w:cs="Arial"/>
              </w:rPr>
            </w:pPr>
            <w:r w:rsidRPr="00AA5F3C">
              <w:rPr>
                <w:rFonts w:ascii="Arial" w:eastAsia="Calibri" w:hAnsi="Arial" w:cs="Arial"/>
              </w:rPr>
              <w:t xml:space="preserve">Secondary schools engaged in the </w:t>
            </w:r>
            <w:proofErr w:type="spellStart"/>
            <w:r w:rsidRPr="00AA5F3C">
              <w:rPr>
                <w:rFonts w:ascii="Arial" w:eastAsia="Calibri" w:hAnsi="Arial" w:cs="Arial"/>
              </w:rPr>
              <w:t>TGSS</w:t>
            </w:r>
            <w:proofErr w:type="spellEnd"/>
            <w:r w:rsidRPr="00AA5F3C">
              <w:rPr>
                <w:rFonts w:ascii="Arial" w:eastAsia="Calibri" w:hAnsi="Arial" w:cs="Arial"/>
              </w:rPr>
              <w:t xml:space="preserve"> scheme</w:t>
            </w:r>
            <w:r w:rsidR="006E508E">
              <w:rPr>
                <w:rFonts w:ascii="Arial" w:eastAsia="Calibri" w:hAnsi="Arial" w:cs="Arial"/>
              </w:rPr>
              <w:t>.</w:t>
            </w:r>
          </w:p>
        </w:tc>
      </w:tr>
      <w:tr w:rsidR="00162673" w:rsidRPr="00AA5F3C" w:rsidTr="00556879">
        <w:tblPrEx>
          <w:tblBorders>
            <w:top w:val="none" w:sz="0" w:space="0" w:color="auto"/>
          </w:tblBorders>
        </w:tblPrEx>
        <w:trPr>
          <w:gridAfter w:val="1"/>
          <w:wAfter w:w="392" w:type="dxa"/>
        </w:trPr>
        <w:tc>
          <w:tcPr>
            <w:tcW w:w="1825" w:type="dxa"/>
            <w:gridSpan w:val="2"/>
          </w:tcPr>
          <w:p w:rsidR="00510EF8" w:rsidRPr="00510EF8" w:rsidRDefault="00510EF8" w:rsidP="00E619A9">
            <w:pPr>
              <w:spacing w:after="240" w:line="240" w:lineRule="auto"/>
              <w:rPr>
                <w:rFonts w:ascii="Arial" w:eastAsia="Calibri" w:hAnsi="Arial" w:cs="Arial"/>
              </w:rPr>
            </w:pPr>
            <w:r w:rsidRPr="00510EF8">
              <w:rPr>
                <w:rFonts w:ascii="Arial" w:eastAsia="Calibri" w:hAnsi="Arial" w:cs="Arial"/>
              </w:rPr>
              <w:t>Action &amp; Timing</w:t>
            </w:r>
          </w:p>
        </w:tc>
        <w:tc>
          <w:tcPr>
            <w:tcW w:w="7672" w:type="dxa"/>
            <w:gridSpan w:val="2"/>
          </w:tcPr>
          <w:p w:rsidR="00510EF8" w:rsidRPr="00510EF8" w:rsidRDefault="00510EF8" w:rsidP="00E619A9">
            <w:pPr>
              <w:numPr>
                <w:ilvl w:val="0"/>
                <w:numId w:val="3"/>
              </w:numPr>
              <w:spacing w:after="120" w:line="240" w:lineRule="auto"/>
              <w:ind w:left="443" w:hanging="283"/>
              <w:rPr>
                <w:rFonts w:ascii="Arial" w:eastAsia="Calibri" w:hAnsi="Arial" w:cs="Arial"/>
              </w:rPr>
            </w:pPr>
            <w:r w:rsidRPr="00510EF8">
              <w:rPr>
                <w:rFonts w:ascii="Arial" w:eastAsia="Calibri" w:hAnsi="Arial" w:cs="Arial"/>
              </w:rPr>
              <w:t>Collaboration between the 3 schooling sectors and the Department of Further Education, Employment, Science and Technology (</w:t>
            </w:r>
            <w:proofErr w:type="spellStart"/>
            <w:r w:rsidRPr="00510EF8">
              <w:rPr>
                <w:rFonts w:ascii="Arial" w:eastAsia="Calibri" w:hAnsi="Arial" w:cs="Arial"/>
              </w:rPr>
              <w:t>DFEEST</w:t>
            </w:r>
            <w:proofErr w:type="spellEnd"/>
            <w:r w:rsidRPr="00510EF8">
              <w:rPr>
                <w:rFonts w:ascii="Arial" w:eastAsia="Calibri" w:hAnsi="Arial" w:cs="Arial"/>
              </w:rPr>
              <w:t xml:space="preserve">) in the pilot phase and the full implementation of the </w:t>
            </w:r>
            <w:proofErr w:type="spellStart"/>
            <w:r w:rsidRPr="00510EF8">
              <w:rPr>
                <w:rFonts w:ascii="Arial" w:eastAsia="Calibri" w:hAnsi="Arial" w:cs="Arial"/>
              </w:rPr>
              <w:t>TGGS</w:t>
            </w:r>
            <w:proofErr w:type="spellEnd"/>
            <w:r w:rsidRPr="00510EF8">
              <w:rPr>
                <w:rFonts w:ascii="Arial" w:eastAsia="Calibri" w:hAnsi="Arial" w:cs="Arial"/>
              </w:rPr>
              <w:t xml:space="preserve"> scheme</w:t>
            </w:r>
            <w:r w:rsidR="006E508E">
              <w:rPr>
                <w:rFonts w:ascii="Arial" w:eastAsia="Calibri" w:hAnsi="Arial" w:cs="Arial"/>
              </w:rPr>
              <w:t>.</w:t>
            </w:r>
          </w:p>
          <w:p w:rsidR="00510EF8" w:rsidRPr="00510EF8" w:rsidRDefault="00510EF8" w:rsidP="00E619A9">
            <w:pPr>
              <w:numPr>
                <w:ilvl w:val="0"/>
                <w:numId w:val="3"/>
              </w:numPr>
              <w:spacing w:after="120" w:line="240" w:lineRule="auto"/>
              <w:ind w:left="443" w:hanging="283"/>
              <w:rPr>
                <w:rFonts w:ascii="Arial" w:eastAsia="Calibri" w:hAnsi="Arial" w:cs="Arial"/>
              </w:rPr>
            </w:pPr>
            <w:r w:rsidRPr="00510EF8">
              <w:rPr>
                <w:rFonts w:ascii="Arial" w:eastAsia="Calibri" w:hAnsi="Arial" w:cs="Arial"/>
              </w:rPr>
              <w:t xml:space="preserve">Support the implementation of the </w:t>
            </w:r>
            <w:proofErr w:type="spellStart"/>
            <w:r w:rsidRPr="00510EF8">
              <w:rPr>
                <w:rFonts w:ascii="Arial" w:eastAsia="Calibri" w:hAnsi="Arial" w:cs="Arial"/>
              </w:rPr>
              <w:t>TGSS</w:t>
            </w:r>
            <w:proofErr w:type="spellEnd"/>
            <w:r w:rsidRPr="00510EF8">
              <w:rPr>
                <w:rFonts w:ascii="Arial" w:eastAsia="Calibri" w:hAnsi="Arial" w:cs="Arial"/>
              </w:rPr>
              <w:t xml:space="preserve"> scheme through:</w:t>
            </w:r>
          </w:p>
          <w:p w:rsidR="00510EF8" w:rsidRPr="00510EF8" w:rsidRDefault="00510EF8" w:rsidP="0040521B">
            <w:pPr>
              <w:numPr>
                <w:ilvl w:val="1"/>
                <w:numId w:val="22"/>
              </w:numPr>
              <w:spacing w:after="120" w:line="240" w:lineRule="auto"/>
              <w:ind w:left="727" w:hanging="283"/>
              <w:rPr>
                <w:rFonts w:ascii="Arial" w:eastAsia="Calibri" w:hAnsi="Arial" w:cs="Arial"/>
              </w:rPr>
            </w:pPr>
            <w:r w:rsidRPr="00510EF8">
              <w:rPr>
                <w:rFonts w:ascii="Arial" w:eastAsia="Calibri" w:hAnsi="Arial" w:cs="Arial"/>
              </w:rPr>
              <w:t>Information sessions, regular updates and ongoing advice and guidance to schools</w:t>
            </w:r>
            <w:r w:rsidR="006E508E">
              <w:rPr>
                <w:rFonts w:ascii="Arial" w:eastAsia="Calibri" w:hAnsi="Arial" w:cs="Arial"/>
              </w:rPr>
              <w:t>.</w:t>
            </w:r>
          </w:p>
          <w:p w:rsidR="00510EF8" w:rsidRPr="00510EF8" w:rsidRDefault="00510EF8" w:rsidP="0040521B">
            <w:pPr>
              <w:numPr>
                <w:ilvl w:val="1"/>
                <w:numId w:val="22"/>
              </w:numPr>
              <w:spacing w:after="120" w:line="240" w:lineRule="auto"/>
              <w:ind w:left="727" w:hanging="283"/>
              <w:rPr>
                <w:rFonts w:ascii="Arial" w:eastAsia="Calibri" w:hAnsi="Arial" w:cs="Arial"/>
              </w:rPr>
            </w:pPr>
            <w:r w:rsidRPr="00510EF8">
              <w:rPr>
                <w:rFonts w:ascii="Arial" w:eastAsia="Calibri" w:hAnsi="Arial" w:cs="Arial"/>
              </w:rPr>
              <w:t xml:space="preserve">Provide financial support to schools to administer, manage and coordinate the requirements of the </w:t>
            </w:r>
            <w:proofErr w:type="spellStart"/>
            <w:r w:rsidRPr="00510EF8">
              <w:rPr>
                <w:rFonts w:ascii="Arial" w:eastAsia="Calibri" w:hAnsi="Arial" w:cs="Arial"/>
              </w:rPr>
              <w:t>TGSS</w:t>
            </w:r>
            <w:proofErr w:type="spellEnd"/>
            <w:r w:rsidRPr="00510EF8">
              <w:rPr>
                <w:rFonts w:ascii="Arial" w:eastAsia="Calibri" w:hAnsi="Arial" w:cs="Arial"/>
              </w:rPr>
              <w:t xml:space="preserve"> scheme</w:t>
            </w:r>
            <w:r w:rsidR="006E508E">
              <w:rPr>
                <w:rFonts w:ascii="Arial" w:eastAsia="Calibri" w:hAnsi="Arial" w:cs="Arial"/>
              </w:rPr>
              <w:t>.</w:t>
            </w:r>
          </w:p>
        </w:tc>
      </w:tr>
      <w:tr w:rsidR="00162673" w:rsidRPr="00AA5F3C" w:rsidTr="00556879">
        <w:tblPrEx>
          <w:tblBorders>
            <w:top w:val="none" w:sz="0" w:space="0" w:color="auto"/>
          </w:tblBorders>
        </w:tblPrEx>
        <w:trPr>
          <w:gridAfter w:val="1"/>
          <w:wAfter w:w="392" w:type="dxa"/>
        </w:trPr>
        <w:tc>
          <w:tcPr>
            <w:tcW w:w="1825" w:type="dxa"/>
            <w:gridSpan w:val="2"/>
          </w:tcPr>
          <w:p w:rsidR="00510EF8" w:rsidRPr="00510EF8" w:rsidRDefault="00037B5A" w:rsidP="00E619A9">
            <w:pPr>
              <w:spacing w:after="240" w:line="240" w:lineRule="auto"/>
              <w:rPr>
                <w:rFonts w:ascii="Arial" w:eastAsia="Calibri" w:hAnsi="Arial" w:cs="Arial"/>
              </w:rPr>
            </w:pPr>
            <w:r w:rsidRPr="00AA5F3C">
              <w:rPr>
                <w:rFonts w:ascii="Arial" w:eastAsia="Calibri" w:hAnsi="Arial" w:cs="Arial"/>
              </w:rPr>
              <w:t>Outcome</w:t>
            </w:r>
          </w:p>
          <w:p w:rsidR="00510EF8" w:rsidRPr="00510EF8" w:rsidRDefault="00510EF8" w:rsidP="00E619A9">
            <w:pPr>
              <w:spacing w:after="240" w:line="240" w:lineRule="auto"/>
              <w:rPr>
                <w:rFonts w:ascii="Arial" w:eastAsia="Calibri" w:hAnsi="Arial" w:cs="Arial"/>
              </w:rPr>
            </w:pPr>
          </w:p>
        </w:tc>
        <w:tc>
          <w:tcPr>
            <w:tcW w:w="7672" w:type="dxa"/>
            <w:gridSpan w:val="2"/>
          </w:tcPr>
          <w:p w:rsidR="00510EF8" w:rsidRPr="00510EF8" w:rsidRDefault="00510EF8" w:rsidP="0040521B">
            <w:pPr>
              <w:numPr>
                <w:ilvl w:val="0"/>
                <w:numId w:val="11"/>
              </w:numPr>
              <w:spacing w:after="120" w:line="240" w:lineRule="auto"/>
              <w:ind w:left="443" w:hanging="283"/>
              <w:contextualSpacing/>
              <w:rPr>
                <w:rFonts w:ascii="Arial" w:eastAsia="Calibri" w:hAnsi="Arial" w:cs="Arial"/>
              </w:rPr>
            </w:pPr>
            <w:r w:rsidRPr="00510EF8">
              <w:rPr>
                <w:rFonts w:ascii="Arial" w:eastAsia="Calibri" w:hAnsi="Arial" w:cs="Arial"/>
              </w:rPr>
              <w:lastRenderedPageBreak/>
              <w:t xml:space="preserve">Increased understanding of the </w:t>
            </w:r>
            <w:proofErr w:type="spellStart"/>
            <w:r w:rsidRPr="00510EF8">
              <w:rPr>
                <w:rFonts w:ascii="Arial" w:eastAsia="Calibri" w:hAnsi="Arial" w:cs="Arial"/>
              </w:rPr>
              <w:t>TGSS</w:t>
            </w:r>
            <w:proofErr w:type="spellEnd"/>
            <w:r w:rsidRPr="00510EF8">
              <w:rPr>
                <w:rFonts w:ascii="Arial" w:eastAsia="Calibri" w:hAnsi="Arial" w:cs="Arial"/>
              </w:rPr>
              <w:t xml:space="preserve"> scheme</w:t>
            </w:r>
            <w:r w:rsidR="006E508E">
              <w:rPr>
                <w:rFonts w:ascii="Arial" w:eastAsia="Calibri" w:hAnsi="Arial" w:cs="Arial"/>
              </w:rPr>
              <w:t>.</w:t>
            </w:r>
          </w:p>
          <w:p w:rsidR="00510EF8" w:rsidRPr="00510EF8" w:rsidRDefault="00510EF8" w:rsidP="0040521B">
            <w:pPr>
              <w:numPr>
                <w:ilvl w:val="0"/>
                <w:numId w:val="11"/>
              </w:numPr>
              <w:spacing w:after="120" w:line="240" w:lineRule="auto"/>
              <w:ind w:left="443" w:hanging="283"/>
              <w:contextualSpacing/>
              <w:rPr>
                <w:rFonts w:ascii="Arial" w:eastAsia="Calibri" w:hAnsi="Arial" w:cs="Arial"/>
              </w:rPr>
            </w:pPr>
            <w:r w:rsidRPr="00510EF8">
              <w:rPr>
                <w:rFonts w:ascii="Arial" w:eastAsia="Calibri" w:hAnsi="Arial" w:cs="Arial"/>
              </w:rPr>
              <w:t>Development of school practices for the successful i</w:t>
            </w:r>
            <w:r w:rsidR="00037B5A" w:rsidRPr="00AA5F3C">
              <w:rPr>
                <w:rFonts w:ascii="Arial" w:eastAsia="Calibri" w:hAnsi="Arial" w:cs="Arial"/>
              </w:rPr>
              <w:t xml:space="preserve">mplementation of the </w:t>
            </w:r>
            <w:proofErr w:type="spellStart"/>
            <w:r w:rsidR="00037B5A" w:rsidRPr="00AA5F3C">
              <w:rPr>
                <w:rFonts w:ascii="Arial" w:eastAsia="Calibri" w:hAnsi="Arial" w:cs="Arial"/>
              </w:rPr>
              <w:t>TGSS</w:t>
            </w:r>
            <w:proofErr w:type="spellEnd"/>
            <w:r w:rsidR="00037B5A" w:rsidRPr="00AA5F3C">
              <w:rPr>
                <w:rFonts w:ascii="Arial" w:eastAsia="Calibri" w:hAnsi="Arial" w:cs="Arial"/>
              </w:rPr>
              <w:t xml:space="preserve"> scheme</w:t>
            </w:r>
            <w:r w:rsidR="006E508E">
              <w:rPr>
                <w:rFonts w:ascii="Arial" w:eastAsia="Calibri" w:hAnsi="Arial" w:cs="Arial"/>
              </w:rPr>
              <w:t>.</w:t>
            </w:r>
          </w:p>
        </w:tc>
      </w:tr>
      <w:tr w:rsidR="00162673" w:rsidRPr="00AA5F3C" w:rsidTr="00556879">
        <w:tblPrEx>
          <w:tblBorders>
            <w:top w:val="none" w:sz="0" w:space="0" w:color="auto"/>
          </w:tblBorders>
        </w:tblPrEx>
        <w:trPr>
          <w:gridAfter w:val="1"/>
          <w:wAfter w:w="392" w:type="dxa"/>
        </w:trPr>
        <w:tc>
          <w:tcPr>
            <w:tcW w:w="1825" w:type="dxa"/>
            <w:gridSpan w:val="2"/>
          </w:tcPr>
          <w:p w:rsidR="00510EF8" w:rsidRPr="00510EF8" w:rsidRDefault="00510EF8" w:rsidP="00E619A9">
            <w:pPr>
              <w:spacing w:after="240" w:line="240" w:lineRule="auto"/>
              <w:rPr>
                <w:rFonts w:ascii="Arial" w:eastAsia="Calibri" w:hAnsi="Arial" w:cs="Arial"/>
              </w:rPr>
            </w:pPr>
            <w:r w:rsidRPr="00510EF8">
              <w:rPr>
                <w:rFonts w:ascii="Arial" w:eastAsia="Calibri" w:hAnsi="Arial" w:cs="Arial"/>
              </w:rPr>
              <w:lastRenderedPageBreak/>
              <w:t>Cumulative Progress</w:t>
            </w:r>
          </w:p>
        </w:tc>
        <w:tc>
          <w:tcPr>
            <w:tcW w:w="7672" w:type="dxa"/>
            <w:gridSpan w:val="2"/>
          </w:tcPr>
          <w:p w:rsidR="00510EF8" w:rsidRPr="00510EF8" w:rsidRDefault="00510EF8" w:rsidP="0040521B">
            <w:pPr>
              <w:numPr>
                <w:ilvl w:val="0"/>
                <w:numId w:val="11"/>
              </w:numPr>
              <w:spacing w:after="120" w:line="240" w:lineRule="auto"/>
              <w:ind w:left="443" w:hanging="283"/>
              <w:contextualSpacing/>
              <w:rPr>
                <w:rFonts w:ascii="Arial" w:eastAsia="Calibri" w:hAnsi="Arial" w:cs="Arial"/>
              </w:rPr>
            </w:pPr>
            <w:r w:rsidRPr="00510EF8">
              <w:rPr>
                <w:rFonts w:ascii="Arial" w:eastAsia="Calibri" w:hAnsi="Arial" w:cs="Arial"/>
              </w:rPr>
              <w:t xml:space="preserve">Increased uptake of </w:t>
            </w:r>
            <w:r w:rsidRPr="00510EF8">
              <w:rPr>
                <w:rFonts w:ascii="Arial" w:eastAsia="Calibri" w:hAnsi="Arial" w:cs="Arial"/>
                <w:i/>
              </w:rPr>
              <w:t>targeted</w:t>
            </w:r>
            <w:r w:rsidRPr="00510EF8">
              <w:rPr>
                <w:rFonts w:ascii="Arial" w:eastAsia="Calibri" w:hAnsi="Arial" w:cs="Arial"/>
              </w:rPr>
              <w:t xml:space="preserve"> VET in Schools programs</w:t>
            </w:r>
            <w:r w:rsidR="006E508E">
              <w:rPr>
                <w:rFonts w:ascii="Arial" w:eastAsia="Calibri" w:hAnsi="Arial" w:cs="Arial"/>
              </w:rPr>
              <w:t>.</w:t>
            </w:r>
          </w:p>
        </w:tc>
      </w:tr>
      <w:tr w:rsidR="00162673" w:rsidRPr="00AA5F3C" w:rsidTr="005568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09" w:type="dxa"/>
            <w:tcBorders>
              <w:top w:val="single" w:sz="4" w:space="0" w:color="auto"/>
              <w:left w:val="nil"/>
              <w:bottom w:val="nil"/>
              <w:right w:val="nil"/>
            </w:tcBorders>
          </w:tcPr>
          <w:p w:rsidR="003702A5" w:rsidRPr="00AA5F3C" w:rsidRDefault="003702A5" w:rsidP="00E619A9">
            <w:pPr>
              <w:spacing w:before="120" w:after="120" w:line="240" w:lineRule="auto"/>
              <w:rPr>
                <w:rFonts w:ascii="Arial" w:hAnsi="Arial" w:cs="Arial"/>
              </w:rPr>
            </w:pPr>
            <w:r w:rsidRPr="00AA5F3C">
              <w:rPr>
                <w:rFonts w:ascii="Arial" w:hAnsi="Arial" w:cs="Arial"/>
              </w:rPr>
              <w:t>Initiative</w:t>
            </w:r>
          </w:p>
        </w:tc>
        <w:tc>
          <w:tcPr>
            <w:tcW w:w="8080" w:type="dxa"/>
            <w:gridSpan w:val="4"/>
            <w:tcBorders>
              <w:top w:val="single" w:sz="4" w:space="0" w:color="auto"/>
              <w:left w:val="nil"/>
              <w:bottom w:val="nil"/>
              <w:right w:val="nil"/>
            </w:tcBorders>
          </w:tcPr>
          <w:p w:rsidR="003702A5" w:rsidRPr="00AA5F3C" w:rsidRDefault="003702A5" w:rsidP="00E619A9">
            <w:pPr>
              <w:spacing w:before="120" w:after="120" w:line="240" w:lineRule="auto"/>
              <w:rPr>
                <w:rFonts w:ascii="Arial" w:hAnsi="Arial" w:cs="Arial"/>
                <w:b/>
              </w:rPr>
            </w:pPr>
            <w:r w:rsidRPr="00AA5F3C">
              <w:rPr>
                <w:rFonts w:ascii="Arial" w:hAnsi="Arial" w:cs="Arial"/>
                <w:b/>
              </w:rPr>
              <w:t xml:space="preserve">Successful transitions for young people with a disability </w:t>
            </w:r>
          </w:p>
        </w:tc>
      </w:tr>
      <w:tr w:rsidR="00162673" w:rsidRPr="00AA5F3C" w:rsidTr="005568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09" w:type="dxa"/>
            <w:tcBorders>
              <w:top w:val="nil"/>
              <w:left w:val="nil"/>
              <w:bottom w:val="nil"/>
              <w:right w:val="nil"/>
            </w:tcBorders>
          </w:tcPr>
          <w:p w:rsidR="003702A5" w:rsidRPr="00AA5F3C" w:rsidRDefault="003702A5" w:rsidP="00E619A9">
            <w:pPr>
              <w:spacing w:after="120" w:line="240" w:lineRule="auto"/>
              <w:rPr>
                <w:rFonts w:ascii="Arial" w:hAnsi="Arial" w:cs="Arial"/>
              </w:rPr>
            </w:pPr>
            <w:r w:rsidRPr="00AA5F3C">
              <w:rPr>
                <w:rFonts w:ascii="Arial" w:hAnsi="Arial" w:cs="Arial"/>
              </w:rPr>
              <w:t>Purpose and target cohort</w:t>
            </w:r>
          </w:p>
        </w:tc>
        <w:tc>
          <w:tcPr>
            <w:tcW w:w="8080" w:type="dxa"/>
            <w:gridSpan w:val="4"/>
            <w:tcBorders>
              <w:top w:val="nil"/>
              <w:left w:val="nil"/>
              <w:bottom w:val="nil"/>
              <w:right w:val="nil"/>
            </w:tcBorders>
          </w:tcPr>
          <w:p w:rsidR="003702A5" w:rsidRPr="00AA5F3C" w:rsidRDefault="003702A5" w:rsidP="00E619A9">
            <w:pPr>
              <w:spacing w:after="120" w:line="240" w:lineRule="auto"/>
              <w:rPr>
                <w:rFonts w:ascii="Arial" w:hAnsi="Arial" w:cs="Arial"/>
              </w:rPr>
            </w:pPr>
            <w:r w:rsidRPr="00AA5F3C">
              <w:rPr>
                <w:rFonts w:ascii="Arial" w:hAnsi="Arial" w:cs="Arial"/>
              </w:rPr>
              <w:t xml:space="preserve">To support the achievement of the </w:t>
            </w:r>
            <w:proofErr w:type="spellStart"/>
            <w:r w:rsidRPr="00AA5F3C">
              <w:rPr>
                <w:rFonts w:ascii="Arial" w:hAnsi="Arial" w:cs="Arial"/>
              </w:rPr>
              <w:t>SACE</w:t>
            </w:r>
            <w:proofErr w:type="spellEnd"/>
            <w:r w:rsidRPr="00AA5F3C">
              <w:rPr>
                <w:rFonts w:ascii="Arial" w:hAnsi="Arial" w:cs="Arial"/>
              </w:rPr>
              <w:t xml:space="preserve"> and a successful transition from secondary schooling for students with disabilities and/or special learning needs.</w:t>
            </w:r>
          </w:p>
          <w:p w:rsidR="003702A5" w:rsidRPr="00AA5F3C" w:rsidRDefault="003702A5" w:rsidP="00E619A9">
            <w:pPr>
              <w:spacing w:after="120" w:line="240" w:lineRule="auto"/>
              <w:rPr>
                <w:rFonts w:ascii="Arial" w:hAnsi="Arial" w:cs="Arial"/>
                <w:i/>
              </w:rPr>
            </w:pPr>
            <w:r w:rsidRPr="00AA5F3C">
              <w:rPr>
                <w:rFonts w:ascii="Arial" w:hAnsi="Arial" w:cs="Arial"/>
                <w:i/>
              </w:rPr>
              <w:t>Students, Special Education Teachers, Careers/Vocational Education Teachers</w:t>
            </w:r>
          </w:p>
        </w:tc>
      </w:tr>
      <w:tr w:rsidR="00162673" w:rsidRPr="00AA5F3C" w:rsidTr="005568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09" w:type="dxa"/>
            <w:tcBorders>
              <w:top w:val="nil"/>
              <w:left w:val="nil"/>
              <w:bottom w:val="nil"/>
              <w:right w:val="nil"/>
            </w:tcBorders>
          </w:tcPr>
          <w:p w:rsidR="003702A5" w:rsidRPr="00AA5F3C" w:rsidRDefault="003702A5" w:rsidP="00E619A9">
            <w:pPr>
              <w:spacing w:after="120" w:line="240" w:lineRule="auto"/>
              <w:rPr>
                <w:rFonts w:ascii="Arial" w:hAnsi="Arial" w:cs="Arial"/>
              </w:rPr>
            </w:pPr>
            <w:r w:rsidRPr="00AA5F3C">
              <w:rPr>
                <w:rFonts w:ascii="Arial" w:hAnsi="Arial" w:cs="Arial"/>
              </w:rPr>
              <w:t>Action &amp; Timing</w:t>
            </w:r>
          </w:p>
          <w:p w:rsidR="003702A5" w:rsidRPr="00AA5F3C" w:rsidRDefault="003702A5" w:rsidP="00E619A9">
            <w:pPr>
              <w:spacing w:after="120" w:line="240" w:lineRule="auto"/>
              <w:rPr>
                <w:rFonts w:ascii="Arial" w:hAnsi="Arial" w:cs="Arial"/>
              </w:rPr>
            </w:pPr>
          </w:p>
        </w:tc>
        <w:tc>
          <w:tcPr>
            <w:tcW w:w="8080" w:type="dxa"/>
            <w:gridSpan w:val="4"/>
            <w:tcBorders>
              <w:top w:val="nil"/>
              <w:left w:val="nil"/>
              <w:bottom w:val="nil"/>
              <w:right w:val="nil"/>
            </w:tcBorders>
          </w:tcPr>
          <w:p w:rsidR="003702A5" w:rsidRPr="00AA5F3C" w:rsidRDefault="003702A5" w:rsidP="0040521B">
            <w:pPr>
              <w:numPr>
                <w:ilvl w:val="0"/>
                <w:numId w:val="11"/>
              </w:numPr>
              <w:spacing w:before="60" w:after="60" w:line="240" w:lineRule="auto"/>
              <w:ind w:left="443" w:hanging="283"/>
              <w:contextualSpacing/>
              <w:rPr>
                <w:rFonts w:ascii="Arial" w:hAnsi="Arial" w:cs="Arial"/>
              </w:rPr>
            </w:pPr>
            <w:r w:rsidRPr="00AA5F3C">
              <w:rPr>
                <w:rFonts w:ascii="Arial" w:hAnsi="Arial" w:cs="Arial"/>
              </w:rPr>
              <w:t xml:space="preserve">Student workshops were held to assist students with a range of intellectual </w:t>
            </w:r>
            <w:r w:rsidRPr="00EC5957">
              <w:rPr>
                <w:rFonts w:ascii="Arial" w:eastAsia="Calibri" w:hAnsi="Arial" w:cs="Arial"/>
              </w:rPr>
              <w:t>disabilities</w:t>
            </w:r>
            <w:r w:rsidRPr="00AA5F3C">
              <w:rPr>
                <w:rFonts w:ascii="Arial" w:hAnsi="Arial" w:cs="Arial"/>
              </w:rPr>
              <w:t xml:space="preserve"> and learning needs to understand the skills required to transition successfully through their senior secondary schooling and into a</w:t>
            </w:r>
            <w:r w:rsidR="00CC12F9">
              <w:rPr>
                <w:rFonts w:ascii="Arial" w:hAnsi="Arial" w:cs="Arial"/>
              </w:rPr>
              <w:t xml:space="preserve"> meaningful post school pathway</w:t>
            </w:r>
            <w:r w:rsidR="006E508E">
              <w:rPr>
                <w:rFonts w:ascii="Arial" w:hAnsi="Arial" w:cs="Arial"/>
              </w:rPr>
              <w:t>.</w:t>
            </w:r>
          </w:p>
          <w:p w:rsidR="003702A5" w:rsidRPr="00AA5F3C" w:rsidRDefault="003702A5" w:rsidP="0040521B">
            <w:pPr>
              <w:numPr>
                <w:ilvl w:val="0"/>
                <w:numId w:val="11"/>
              </w:numPr>
              <w:spacing w:before="60" w:after="60" w:line="240" w:lineRule="auto"/>
              <w:ind w:left="443" w:hanging="283"/>
              <w:contextualSpacing/>
              <w:rPr>
                <w:rFonts w:ascii="Arial" w:hAnsi="Arial" w:cs="Arial"/>
              </w:rPr>
            </w:pPr>
            <w:r w:rsidRPr="00AA5F3C">
              <w:rPr>
                <w:rFonts w:ascii="Arial" w:hAnsi="Arial" w:cs="Arial"/>
              </w:rPr>
              <w:t xml:space="preserve">Special Education Teachers and/or Vocational Education Adviser workshops focussed on curriculum writing at </w:t>
            </w:r>
            <w:proofErr w:type="spellStart"/>
            <w:r w:rsidRPr="00AA5F3C">
              <w:rPr>
                <w:rFonts w:ascii="Arial" w:hAnsi="Arial" w:cs="Arial"/>
              </w:rPr>
              <w:t>SACE</w:t>
            </w:r>
            <w:proofErr w:type="spellEnd"/>
            <w:r w:rsidRPr="00AA5F3C">
              <w:rPr>
                <w:rFonts w:ascii="Arial" w:hAnsi="Arial" w:cs="Arial"/>
              </w:rPr>
              <w:t xml:space="preserve"> Stage 1 and at Stage 2</w:t>
            </w:r>
            <w:r w:rsidR="006E508E">
              <w:rPr>
                <w:rFonts w:ascii="Arial" w:hAnsi="Arial" w:cs="Arial"/>
              </w:rPr>
              <w:t>.</w:t>
            </w:r>
          </w:p>
          <w:p w:rsidR="003702A5" w:rsidRPr="00AA5F3C" w:rsidRDefault="003702A5" w:rsidP="0040521B">
            <w:pPr>
              <w:numPr>
                <w:ilvl w:val="0"/>
                <w:numId w:val="11"/>
              </w:numPr>
              <w:spacing w:before="60" w:after="60" w:line="240" w:lineRule="auto"/>
              <w:ind w:left="443" w:hanging="283"/>
              <w:contextualSpacing/>
              <w:rPr>
                <w:rFonts w:ascii="Arial" w:hAnsi="Arial" w:cs="Arial"/>
              </w:rPr>
            </w:pPr>
            <w:r w:rsidRPr="00AA5F3C">
              <w:rPr>
                <w:rFonts w:ascii="Arial" w:hAnsi="Arial" w:cs="Arial"/>
              </w:rPr>
              <w:t>Special Education Teachers and/or Vocational Education Adviser workshops aimed at the available resources and agencies that support the learning and transition of students with disabilities and special learning needs</w:t>
            </w:r>
            <w:r w:rsidR="006E508E">
              <w:rPr>
                <w:rFonts w:ascii="Arial" w:hAnsi="Arial" w:cs="Arial"/>
              </w:rPr>
              <w:t>.</w:t>
            </w:r>
          </w:p>
          <w:p w:rsidR="003702A5" w:rsidRPr="00AA5F3C" w:rsidRDefault="003702A5" w:rsidP="0040521B">
            <w:pPr>
              <w:numPr>
                <w:ilvl w:val="0"/>
                <w:numId w:val="11"/>
              </w:numPr>
              <w:spacing w:before="60" w:after="60" w:line="240" w:lineRule="auto"/>
              <w:ind w:left="443" w:hanging="284"/>
              <w:contextualSpacing/>
              <w:rPr>
                <w:rFonts w:ascii="Arial" w:hAnsi="Arial" w:cs="Arial"/>
              </w:rPr>
            </w:pPr>
            <w:r w:rsidRPr="00AA5F3C">
              <w:rPr>
                <w:rFonts w:ascii="Arial" w:hAnsi="Arial" w:cs="Arial"/>
              </w:rPr>
              <w:t xml:space="preserve">Special Education Teachers and Vocational Education Coordinators workshops were held to build the capacity and strengthen networks between schools and agencies </w:t>
            </w:r>
            <w:proofErr w:type="gramStart"/>
            <w:r w:rsidRPr="00AA5F3C">
              <w:rPr>
                <w:rFonts w:ascii="Arial" w:hAnsi="Arial" w:cs="Arial"/>
              </w:rPr>
              <w:t>who</w:t>
            </w:r>
            <w:proofErr w:type="gramEnd"/>
            <w:r w:rsidRPr="00AA5F3C">
              <w:rPr>
                <w:rFonts w:ascii="Arial" w:hAnsi="Arial" w:cs="Arial"/>
              </w:rPr>
              <w:t xml:space="preserve"> assist students with a disability to gain a successful post school pathway</w:t>
            </w:r>
            <w:r w:rsidR="006E508E">
              <w:rPr>
                <w:rFonts w:ascii="Arial" w:hAnsi="Arial" w:cs="Arial"/>
              </w:rPr>
              <w:t>.</w:t>
            </w:r>
          </w:p>
          <w:p w:rsidR="003702A5" w:rsidRPr="00AA5F3C" w:rsidRDefault="003702A5" w:rsidP="0040521B">
            <w:pPr>
              <w:numPr>
                <w:ilvl w:val="0"/>
                <w:numId w:val="11"/>
              </w:numPr>
              <w:spacing w:before="60" w:after="60" w:line="240" w:lineRule="auto"/>
              <w:ind w:left="443" w:hanging="283"/>
              <w:contextualSpacing/>
              <w:rPr>
                <w:rFonts w:ascii="Arial" w:hAnsi="Arial" w:cs="Arial"/>
              </w:rPr>
            </w:pPr>
            <w:r w:rsidRPr="00AA5F3C">
              <w:rPr>
                <w:rFonts w:ascii="Arial" w:hAnsi="Arial" w:cs="Arial"/>
              </w:rPr>
              <w:t>The establishment of a Post-school Transition Network for Students model to support students with a disability, their families and school staff to navigate and negotiate the services available to assist students with their transition from senior secondary school into further education, training, community engagement, and supported and/or open employment. This involved the establishment of partnerships with employment agencies, service providers, tertiary education systems, community groups and local government.</w:t>
            </w:r>
          </w:p>
        </w:tc>
      </w:tr>
      <w:tr w:rsidR="00162673" w:rsidRPr="00AA5F3C" w:rsidTr="005568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09" w:type="dxa"/>
            <w:tcBorders>
              <w:top w:val="nil"/>
              <w:left w:val="nil"/>
              <w:bottom w:val="nil"/>
              <w:right w:val="nil"/>
            </w:tcBorders>
          </w:tcPr>
          <w:p w:rsidR="003702A5" w:rsidRPr="00AA5F3C" w:rsidRDefault="003702A5" w:rsidP="00E619A9">
            <w:pPr>
              <w:spacing w:after="120" w:line="240" w:lineRule="auto"/>
              <w:rPr>
                <w:rFonts w:ascii="Arial" w:hAnsi="Arial" w:cs="Arial"/>
              </w:rPr>
            </w:pPr>
            <w:r w:rsidRPr="00AA5F3C">
              <w:rPr>
                <w:rFonts w:ascii="Arial" w:hAnsi="Arial" w:cs="Arial"/>
              </w:rPr>
              <w:t>Outcomes</w:t>
            </w:r>
          </w:p>
        </w:tc>
        <w:tc>
          <w:tcPr>
            <w:tcW w:w="8080" w:type="dxa"/>
            <w:gridSpan w:val="4"/>
            <w:tcBorders>
              <w:top w:val="nil"/>
              <w:left w:val="nil"/>
              <w:bottom w:val="nil"/>
              <w:right w:val="nil"/>
            </w:tcBorders>
          </w:tcPr>
          <w:p w:rsidR="003702A5" w:rsidRPr="00AA5F3C" w:rsidRDefault="003702A5" w:rsidP="0040521B">
            <w:pPr>
              <w:pStyle w:val="ListParagraph"/>
              <w:numPr>
                <w:ilvl w:val="0"/>
                <w:numId w:val="7"/>
              </w:numPr>
              <w:spacing w:before="60" w:after="60" w:line="240" w:lineRule="auto"/>
              <w:rPr>
                <w:rFonts w:ascii="Arial" w:hAnsi="Arial" w:cs="Arial"/>
              </w:rPr>
            </w:pPr>
            <w:r w:rsidRPr="00AA5F3C">
              <w:rPr>
                <w:rFonts w:ascii="Arial" w:hAnsi="Arial" w:cs="Arial"/>
              </w:rPr>
              <w:t>Professional learning of staff working with students with disabilities.</w:t>
            </w:r>
          </w:p>
          <w:p w:rsidR="003702A5" w:rsidRPr="00AA5F3C" w:rsidRDefault="003702A5" w:rsidP="0040521B">
            <w:pPr>
              <w:pStyle w:val="ListParagraph"/>
              <w:numPr>
                <w:ilvl w:val="0"/>
                <w:numId w:val="7"/>
              </w:numPr>
              <w:spacing w:before="60" w:after="60" w:line="240" w:lineRule="auto"/>
              <w:rPr>
                <w:rFonts w:ascii="Arial" w:hAnsi="Arial" w:cs="Arial"/>
              </w:rPr>
            </w:pPr>
            <w:r w:rsidRPr="00AA5F3C">
              <w:rPr>
                <w:rFonts w:ascii="Arial" w:hAnsi="Arial" w:cs="Arial"/>
              </w:rPr>
              <w:t>Capacity building of Special Education Teachers and Vocational education Coordinators (key teachers) when working with students with a disability</w:t>
            </w:r>
            <w:r w:rsidR="006E508E">
              <w:rPr>
                <w:rFonts w:ascii="Arial" w:hAnsi="Arial" w:cs="Arial"/>
              </w:rPr>
              <w:t>.</w:t>
            </w:r>
          </w:p>
          <w:p w:rsidR="003702A5" w:rsidRPr="00AA5F3C" w:rsidRDefault="003702A5" w:rsidP="0040521B">
            <w:pPr>
              <w:pStyle w:val="ListParagraph"/>
              <w:numPr>
                <w:ilvl w:val="0"/>
                <w:numId w:val="7"/>
              </w:numPr>
              <w:spacing w:before="60" w:after="60" w:line="240" w:lineRule="auto"/>
              <w:rPr>
                <w:rFonts w:ascii="Arial" w:hAnsi="Arial" w:cs="Arial"/>
              </w:rPr>
            </w:pPr>
            <w:proofErr w:type="spellStart"/>
            <w:r w:rsidRPr="00AA5F3C">
              <w:rPr>
                <w:rFonts w:ascii="Arial" w:hAnsi="Arial" w:cs="Arial"/>
              </w:rPr>
              <w:t>SACE</w:t>
            </w:r>
            <w:proofErr w:type="spellEnd"/>
            <w:r w:rsidRPr="00AA5F3C">
              <w:rPr>
                <w:rFonts w:ascii="Arial" w:hAnsi="Arial" w:cs="Arial"/>
              </w:rPr>
              <w:t xml:space="preserve"> aligned curriculum developed to support students’ learning with appropriate methodologies. This allows for a three year cycle catering for the needs of Year 10,</w:t>
            </w:r>
            <w:r w:rsidR="00053251">
              <w:rPr>
                <w:rFonts w:ascii="Arial" w:hAnsi="Arial" w:cs="Arial"/>
              </w:rPr>
              <w:t xml:space="preserve"> </w:t>
            </w:r>
            <w:r w:rsidRPr="00AA5F3C">
              <w:rPr>
                <w:rFonts w:ascii="Arial" w:hAnsi="Arial" w:cs="Arial"/>
              </w:rPr>
              <w:t>11 and 12 students</w:t>
            </w:r>
            <w:r w:rsidR="006E508E">
              <w:rPr>
                <w:rFonts w:ascii="Arial" w:hAnsi="Arial" w:cs="Arial"/>
              </w:rPr>
              <w:t>.</w:t>
            </w:r>
          </w:p>
          <w:p w:rsidR="003702A5" w:rsidRPr="00AA5F3C" w:rsidRDefault="003702A5" w:rsidP="0040521B">
            <w:pPr>
              <w:pStyle w:val="ListParagraph"/>
              <w:numPr>
                <w:ilvl w:val="0"/>
                <w:numId w:val="7"/>
              </w:numPr>
              <w:spacing w:before="60" w:after="60" w:line="240" w:lineRule="auto"/>
              <w:rPr>
                <w:rFonts w:ascii="Arial" w:hAnsi="Arial" w:cs="Arial"/>
              </w:rPr>
            </w:pPr>
            <w:r w:rsidRPr="00AA5F3C">
              <w:rPr>
                <w:rFonts w:ascii="Arial" w:hAnsi="Arial" w:cs="Arial"/>
              </w:rPr>
              <w:t>The strengthening of partnerships between schools and work placement providers</w:t>
            </w:r>
            <w:r w:rsidR="006E508E">
              <w:rPr>
                <w:rFonts w:ascii="Arial" w:hAnsi="Arial" w:cs="Arial"/>
              </w:rPr>
              <w:t>.</w:t>
            </w:r>
          </w:p>
          <w:p w:rsidR="003702A5" w:rsidRPr="00AA5F3C" w:rsidRDefault="003702A5" w:rsidP="0040521B">
            <w:pPr>
              <w:pStyle w:val="ListParagraph"/>
              <w:numPr>
                <w:ilvl w:val="0"/>
                <w:numId w:val="7"/>
              </w:numPr>
              <w:spacing w:before="60" w:after="60" w:line="240" w:lineRule="auto"/>
              <w:rPr>
                <w:rFonts w:ascii="Arial" w:hAnsi="Arial" w:cs="Arial"/>
              </w:rPr>
            </w:pPr>
            <w:r w:rsidRPr="00AA5F3C">
              <w:rPr>
                <w:rFonts w:ascii="Arial" w:hAnsi="Arial" w:cs="Arial"/>
              </w:rPr>
              <w:t>Students with disabilities provided with opportunities to be</w:t>
            </w:r>
          </w:p>
          <w:p w:rsidR="003702A5" w:rsidRPr="00AA5F3C" w:rsidRDefault="003702A5" w:rsidP="0040521B">
            <w:pPr>
              <w:pStyle w:val="ListParagraph"/>
              <w:numPr>
                <w:ilvl w:val="1"/>
                <w:numId w:val="23"/>
              </w:numPr>
              <w:spacing w:before="60" w:after="60" w:line="240" w:lineRule="auto"/>
              <w:rPr>
                <w:rFonts w:ascii="Arial" w:hAnsi="Arial" w:cs="Arial"/>
              </w:rPr>
            </w:pPr>
            <w:r w:rsidRPr="00AA5F3C">
              <w:rPr>
                <w:rFonts w:ascii="Arial" w:hAnsi="Arial" w:cs="Arial"/>
              </w:rPr>
              <w:t>better informed of transitional and career pathways</w:t>
            </w:r>
          </w:p>
          <w:p w:rsidR="003702A5" w:rsidRPr="00AA5F3C" w:rsidRDefault="003702A5" w:rsidP="0040521B">
            <w:pPr>
              <w:pStyle w:val="ListParagraph"/>
              <w:numPr>
                <w:ilvl w:val="1"/>
                <w:numId w:val="23"/>
              </w:numPr>
              <w:spacing w:before="60" w:after="60" w:line="240" w:lineRule="auto"/>
              <w:rPr>
                <w:rFonts w:ascii="Arial" w:hAnsi="Arial" w:cs="Arial"/>
              </w:rPr>
            </w:pPr>
            <w:r w:rsidRPr="00AA5F3C">
              <w:rPr>
                <w:rFonts w:ascii="Arial" w:hAnsi="Arial" w:cs="Arial"/>
              </w:rPr>
              <w:t>well prepared for work placements, and supported to ensure meaningful work placement experiences</w:t>
            </w:r>
          </w:p>
          <w:p w:rsidR="003702A5" w:rsidRPr="00AA5F3C" w:rsidRDefault="003702A5" w:rsidP="0040521B">
            <w:pPr>
              <w:pStyle w:val="ListParagraph"/>
              <w:numPr>
                <w:ilvl w:val="1"/>
                <w:numId w:val="23"/>
              </w:numPr>
              <w:spacing w:before="60" w:after="60" w:line="240" w:lineRule="auto"/>
              <w:rPr>
                <w:rFonts w:ascii="Arial" w:hAnsi="Arial" w:cs="Arial"/>
              </w:rPr>
            </w:pPr>
            <w:r w:rsidRPr="00AA5F3C">
              <w:rPr>
                <w:rFonts w:ascii="Arial" w:hAnsi="Arial" w:cs="Arial"/>
              </w:rPr>
              <w:t>aware of the broad array of post school opportunities</w:t>
            </w:r>
          </w:p>
          <w:p w:rsidR="003702A5" w:rsidRPr="00AA5F3C" w:rsidRDefault="003702A5" w:rsidP="0040521B">
            <w:pPr>
              <w:pStyle w:val="ListParagraph"/>
              <w:numPr>
                <w:ilvl w:val="0"/>
                <w:numId w:val="7"/>
              </w:numPr>
              <w:spacing w:before="60" w:after="60" w:line="240" w:lineRule="auto"/>
              <w:rPr>
                <w:rFonts w:ascii="Arial" w:hAnsi="Arial" w:cs="Arial"/>
              </w:rPr>
            </w:pPr>
            <w:r w:rsidRPr="00AA5F3C">
              <w:rPr>
                <w:rFonts w:ascii="Arial" w:hAnsi="Arial" w:cs="Arial"/>
              </w:rPr>
              <w:t>Parents of children with a disability built greater capacity in the understanding of the services provided by external agencies to assist people with a disability</w:t>
            </w:r>
            <w:r w:rsidR="006E508E">
              <w:rPr>
                <w:rFonts w:ascii="Arial" w:hAnsi="Arial" w:cs="Arial"/>
              </w:rPr>
              <w:t>.</w:t>
            </w:r>
          </w:p>
          <w:p w:rsidR="003702A5" w:rsidRPr="00AA5F3C" w:rsidRDefault="003702A5" w:rsidP="0040521B">
            <w:pPr>
              <w:pStyle w:val="ListParagraph"/>
              <w:numPr>
                <w:ilvl w:val="0"/>
                <w:numId w:val="7"/>
              </w:numPr>
              <w:spacing w:before="60" w:after="60" w:line="240" w:lineRule="auto"/>
              <w:rPr>
                <w:rFonts w:ascii="Arial" w:hAnsi="Arial" w:cs="Arial"/>
              </w:rPr>
            </w:pPr>
            <w:r w:rsidRPr="00AA5F3C">
              <w:rPr>
                <w:rFonts w:ascii="Arial" w:hAnsi="Arial" w:cs="Arial"/>
              </w:rPr>
              <w:t>Development of networks for shared learning</w:t>
            </w:r>
            <w:r w:rsidR="006E508E">
              <w:rPr>
                <w:rFonts w:ascii="Arial" w:hAnsi="Arial" w:cs="Arial"/>
              </w:rPr>
              <w:t>.</w:t>
            </w:r>
          </w:p>
        </w:tc>
      </w:tr>
      <w:tr w:rsidR="00162673" w:rsidRPr="00AA5F3C" w:rsidTr="00CC12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09" w:type="dxa"/>
            <w:tcBorders>
              <w:top w:val="nil"/>
              <w:left w:val="nil"/>
              <w:bottom w:val="nil"/>
              <w:right w:val="nil"/>
            </w:tcBorders>
          </w:tcPr>
          <w:p w:rsidR="003702A5" w:rsidRPr="00AA5F3C" w:rsidRDefault="003702A5" w:rsidP="00E619A9">
            <w:pPr>
              <w:spacing w:after="120" w:line="240" w:lineRule="auto"/>
              <w:rPr>
                <w:rFonts w:ascii="Arial" w:hAnsi="Arial" w:cs="Arial"/>
              </w:rPr>
            </w:pPr>
            <w:r w:rsidRPr="00AA5F3C">
              <w:rPr>
                <w:rFonts w:ascii="Arial" w:hAnsi="Arial" w:cs="Arial"/>
              </w:rPr>
              <w:t>Cumulative Progress</w:t>
            </w:r>
          </w:p>
        </w:tc>
        <w:tc>
          <w:tcPr>
            <w:tcW w:w="8080" w:type="dxa"/>
            <w:gridSpan w:val="4"/>
            <w:tcBorders>
              <w:top w:val="nil"/>
              <w:left w:val="nil"/>
              <w:bottom w:val="nil"/>
              <w:right w:val="nil"/>
            </w:tcBorders>
          </w:tcPr>
          <w:p w:rsidR="003702A5" w:rsidRPr="00AA5F3C" w:rsidRDefault="003702A5" w:rsidP="0040521B">
            <w:pPr>
              <w:pStyle w:val="ListParagraph"/>
              <w:numPr>
                <w:ilvl w:val="0"/>
                <w:numId w:val="7"/>
              </w:numPr>
              <w:spacing w:before="60" w:after="60" w:line="240" w:lineRule="auto"/>
              <w:rPr>
                <w:rFonts w:ascii="Arial" w:hAnsi="Arial" w:cs="Arial"/>
              </w:rPr>
            </w:pPr>
            <w:proofErr w:type="spellStart"/>
            <w:r w:rsidRPr="00AA5F3C">
              <w:rPr>
                <w:rFonts w:ascii="Arial" w:hAnsi="Arial" w:cs="Arial"/>
              </w:rPr>
              <w:t>SACE</w:t>
            </w:r>
            <w:proofErr w:type="spellEnd"/>
            <w:r w:rsidRPr="00AA5F3C">
              <w:rPr>
                <w:rFonts w:ascii="Arial" w:hAnsi="Arial" w:cs="Arial"/>
              </w:rPr>
              <w:t xml:space="preserve"> aligned curriculum partially developed to support students with a disability (undertaking work experience), with a strong focus on ensuring a child safe environment</w:t>
            </w:r>
            <w:r w:rsidR="006E508E">
              <w:rPr>
                <w:rFonts w:ascii="Arial" w:hAnsi="Arial" w:cs="Arial"/>
              </w:rPr>
              <w:t>.</w:t>
            </w:r>
          </w:p>
          <w:p w:rsidR="003702A5" w:rsidRPr="00AA5F3C" w:rsidRDefault="003702A5" w:rsidP="0040521B">
            <w:pPr>
              <w:pStyle w:val="ListParagraph"/>
              <w:numPr>
                <w:ilvl w:val="0"/>
                <w:numId w:val="7"/>
              </w:numPr>
              <w:spacing w:before="60" w:after="60" w:line="240" w:lineRule="auto"/>
              <w:rPr>
                <w:rFonts w:ascii="Arial" w:hAnsi="Arial" w:cs="Arial"/>
              </w:rPr>
            </w:pPr>
            <w:r w:rsidRPr="00AA5F3C">
              <w:rPr>
                <w:rFonts w:ascii="Arial" w:hAnsi="Arial" w:cs="Arial"/>
              </w:rPr>
              <w:t>Increased understanding of the parental role in successful student transition</w:t>
            </w:r>
            <w:r w:rsidR="006E508E">
              <w:rPr>
                <w:rFonts w:ascii="Arial" w:hAnsi="Arial" w:cs="Arial"/>
              </w:rPr>
              <w:t>.</w:t>
            </w:r>
          </w:p>
          <w:p w:rsidR="003702A5" w:rsidRDefault="003702A5" w:rsidP="0040521B">
            <w:pPr>
              <w:pStyle w:val="ListParagraph"/>
              <w:numPr>
                <w:ilvl w:val="0"/>
                <w:numId w:val="7"/>
              </w:numPr>
              <w:spacing w:before="60" w:after="60" w:line="240" w:lineRule="auto"/>
              <w:rPr>
                <w:rFonts w:ascii="Arial" w:hAnsi="Arial" w:cs="Arial"/>
              </w:rPr>
            </w:pPr>
            <w:r w:rsidRPr="00AA5F3C">
              <w:rPr>
                <w:rFonts w:ascii="Arial" w:hAnsi="Arial" w:cs="Arial"/>
              </w:rPr>
              <w:t xml:space="preserve">An increased awareness of the role key teachers </w:t>
            </w:r>
            <w:proofErr w:type="gramStart"/>
            <w:r w:rsidRPr="00AA5F3C">
              <w:rPr>
                <w:rFonts w:ascii="Arial" w:hAnsi="Arial" w:cs="Arial"/>
              </w:rPr>
              <w:t>have</w:t>
            </w:r>
            <w:proofErr w:type="gramEnd"/>
            <w:r w:rsidRPr="00AA5F3C">
              <w:rPr>
                <w:rFonts w:ascii="Arial" w:hAnsi="Arial" w:cs="Arial"/>
              </w:rPr>
              <w:t xml:space="preserve"> in assisting students to successfully transition into meaningful post school pathways.</w:t>
            </w:r>
          </w:p>
          <w:p w:rsidR="00857502" w:rsidRPr="00857502" w:rsidRDefault="00857502" w:rsidP="00E619A9">
            <w:pPr>
              <w:spacing w:before="60" w:after="60" w:line="240" w:lineRule="auto"/>
              <w:rPr>
                <w:rFonts w:ascii="Arial" w:hAnsi="Arial" w:cs="Arial"/>
              </w:rPr>
            </w:pPr>
          </w:p>
        </w:tc>
      </w:tr>
      <w:tr w:rsidR="00CC12F9" w:rsidRPr="00AA5F3C" w:rsidTr="005568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09" w:type="dxa"/>
            <w:tcBorders>
              <w:top w:val="nil"/>
              <w:left w:val="nil"/>
              <w:bottom w:val="single" w:sz="2" w:space="0" w:color="auto"/>
              <w:right w:val="nil"/>
            </w:tcBorders>
          </w:tcPr>
          <w:p w:rsidR="00CC12F9" w:rsidRPr="00AA5F3C" w:rsidRDefault="00CC12F9" w:rsidP="00E619A9">
            <w:pPr>
              <w:spacing w:after="120" w:line="240" w:lineRule="auto"/>
              <w:rPr>
                <w:rFonts w:ascii="Arial" w:hAnsi="Arial" w:cs="Arial"/>
              </w:rPr>
            </w:pPr>
          </w:p>
        </w:tc>
        <w:tc>
          <w:tcPr>
            <w:tcW w:w="8080" w:type="dxa"/>
            <w:gridSpan w:val="4"/>
            <w:tcBorders>
              <w:top w:val="nil"/>
              <w:left w:val="nil"/>
              <w:bottom w:val="single" w:sz="2" w:space="0" w:color="auto"/>
              <w:right w:val="nil"/>
            </w:tcBorders>
          </w:tcPr>
          <w:p w:rsidR="00CC12F9" w:rsidRPr="00CC12F9" w:rsidRDefault="00CC12F9" w:rsidP="00CC12F9">
            <w:pPr>
              <w:spacing w:before="60" w:after="60" w:line="240" w:lineRule="auto"/>
              <w:rPr>
                <w:rFonts w:ascii="Arial" w:hAnsi="Arial" w:cs="Arial"/>
              </w:rPr>
            </w:pPr>
          </w:p>
        </w:tc>
      </w:tr>
    </w:tbl>
    <w:p w:rsidR="003702A5" w:rsidRPr="00AA5F3C" w:rsidRDefault="003702A5" w:rsidP="00E619A9">
      <w:pPr>
        <w:pStyle w:val="ListParagraph"/>
        <w:ind w:left="1434"/>
        <w:rPr>
          <w:rFonts w:ascii="Arial" w:hAnsi="Arial" w:cs="Arial"/>
        </w:rPr>
      </w:pPr>
    </w:p>
    <w:tbl>
      <w:tblPr>
        <w:tblW w:w="9889" w:type="dxa"/>
        <w:tblBorders>
          <w:top w:val="single" w:sz="4" w:space="0" w:color="auto"/>
          <w:bottom w:val="single" w:sz="4" w:space="0" w:color="auto"/>
        </w:tblBorders>
        <w:tblLook w:val="00A0" w:firstRow="1" w:lastRow="0" w:firstColumn="1" w:lastColumn="0" w:noHBand="0" w:noVBand="0"/>
      </w:tblPr>
      <w:tblGrid>
        <w:gridCol w:w="1809"/>
        <w:gridCol w:w="8080"/>
      </w:tblGrid>
      <w:tr w:rsidR="00AA5F3C" w:rsidRPr="00AA5F3C" w:rsidTr="00556879">
        <w:tc>
          <w:tcPr>
            <w:tcW w:w="1809" w:type="dxa"/>
            <w:tcBorders>
              <w:top w:val="nil"/>
              <w:bottom w:val="nil"/>
            </w:tcBorders>
          </w:tcPr>
          <w:p w:rsidR="003702A5" w:rsidRPr="00AA5F3C" w:rsidRDefault="003702A5" w:rsidP="00E619A9">
            <w:pPr>
              <w:spacing w:after="120" w:line="240" w:lineRule="auto"/>
              <w:rPr>
                <w:rFonts w:ascii="Arial" w:hAnsi="Arial" w:cs="Arial"/>
              </w:rPr>
            </w:pPr>
            <w:r w:rsidRPr="00AA5F3C">
              <w:rPr>
                <w:rFonts w:ascii="Arial" w:hAnsi="Arial" w:cs="Arial"/>
              </w:rPr>
              <w:t>Initiative</w:t>
            </w:r>
          </w:p>
        </w:tc>
        <w:tc>
          <w:tcPr>
            <w:tcW w:w="8080" w:type="dxa"/>
            <w:tcBorders>
              <w:top w:val="nil"/>
              <w:bottom w:val="nil"/>
            </w:tcBorders>
          </w:tcPr>
          <w:p w:rsidR="003702A5" w:rsidRPr="00AA5F3C" w:rsidRDefault="003702A5" w:rsidP="00E619A9">
            <w:pPr>
              <w:spacing w:after="120" w:line="240" w:lineRule="auto"/>
              <w:rPr>
                <w:rFonts w:ascii="Arial" w:hAnsi="Arial" w:cs="Arial"/>
                <w:b/>
                <w:bCs/>
              </w:rPr>
            </w:pPr>
            <w:r w:rsidRPr="00AA5F3C">
              <w:rPr>
                <w:rFonts w:ascii="Arial" w:hAnsi="Arial" w:cs="Arial"/>
                <w:b/>
                <w:bCs/>
              </w:rPr>
              <w:t xml:space="preserve">Increasing engagement and attainment by Aboriginal young people </w:t>
            </w:r>
          </w:p>
        </w:tc>
      </w:tr>
      <w:tr w:rsidR="00AA5F3C" w:rsidRPr="00AA5F3C" w:rsidTr="00556879">
        <w:tc>
          <w:tcPr>
            <w:tcW w:w="1809" w:type="dxa"/>
            <w:tcBorders>
              <w:top w:val="nil"/>
            </w:tcBorders>
          </w:tcPr>
          <w:p w:rsidR="003702A5" w:rsidRPr="00AA5F3C" w:rsidRDefault="003702A5" w:rsidP="00E619A9">
            <w:pPr>
              <w:spacing w:after="120" w:line="240" w:lineRule="auto"/>
              <w:rPr>
                <w:rFonts w:ascii="Arial" w:hAnsi="Arial" w:cs="Arial"/>
              </w:rPr>
            </w:pPr>
            <w:r w:rsidRPr="00AA5F3C">
              <w:rPr>
                <w:rFonts w:ascii="Arial" w:hAnsi="Arial" w:cs="Arial"/>
              </w:rPr>
              <w:t>Purpose and target cohort</w:t>
            </w:r>
          </w:p>
        </w:tc>
        <w:tc>
          <w:tcPr>
            <w:tcW w:w="8080" w:type="dxa"/>
            <w:tcBorders>
              <w:top w:val="nil"/>
            </w:tcBorders>
          </w:tcPr>
          <w:p w:rsidR="003702A5" w:rsidRPr="00AA5F3C" w:rsidRDefault="003702A5" w:rsidP="0040521B">
            <w:pPr>
              <w:pStyle w:val="ListParagraph"/>
              <w:numPr>
                <w:ilvl w:val="0"/>
                <w:numId w:val="30"/>
              </w:numPr>
              <w:spacing w:before="60" w:after="120" w:line="240" w:lineRule="auto"/>
              <w:ind w:left="357" w:right="-144" w:hanging="357"/>
              <w:rPr>
                <w:rFonts w:ascii="Arial" w:hAnsi="Arial" w:cs="Arial"/>
              </w:rPr>
            </w:pPr>
            <w:r w:rsidRPr="00AA5F3C">
              <w:rPr>
                <w:rFonts w:ascii="Arial" w:hAnsi="Arial" w:cs="Arial"/>
              </w:rPr>
              <w:t xml:space="preserve">To identify curriculum and programs aimed at supporting cultural identity, engagement in learning, educational attainment and post school transition of Aboriginal students. </w:t>
            </w:r>
          </w:p>
          <w:p w:rsidR="003702A5" w:rsidRPr="00AA5F3C" w:rsidRDefault="003702A5" w:rsidP="0040521B">
            <w:pPr>
              <w:pStyle w:val="ListParagraph"/>
              <w:numPr>
                <w:ilvl w:val="0"/>
                <w:numId w:val="30"/>
              </w:numPr>
              <w:spacing w:before="60" w:after="120" w:line="240" w:lineRule="auto"/>
              <w:ind w:left="357" w:right="-144" w:hanging="357"/>
              <w:rPr>
                <w:rFonts w:ascii="Arial" w:hAnsi="Arial" w:cs="Arial"/>
              </w:rPr>
            </w:pPr>
            <w:r w:rsidRPr="00AA5F3C">
              <w:rPr>
                <w:rFonts w:ascii="Arial" w:hAnsi="Arial" w:cs="Arial"/>
              </w:rPr>
              <w:t>To support the development of cultural intelligence and proficiency amongst those teaching and supporting Aboriginal students.</w:t>
            </w:r>
          </w:p>
          <w:p w:rsidR="003702A5" w:rsidRPr="00AA5F3C" w:rsidRDefault="003702A5" w:rsidP="0040521B">
            <w:pPr>
              <w:pStyle w:val="ListParagraph"/>
              <w:numPr>
                <w:ilvl w:val="0"/>
                <w:numId w:val="30"/>
              </w:numPr>
              <w:spacing w:before="60" w:after="120" w:line="240" w:lineRule="auto"/>
              <w:ind w:left="357" w:hanging="357"/>
              <w:rPr>
                <w:rFonts w:ascii="Arial" w:hAnsi="Arial" w:cs="Arial"/>
              </w:rPr>
            </w:pPr>
            <w:r w:rsidRPr="00AA5F3C">
              <w:rPr>
                <w:rFonts w:ascii="Arial" w:hAnsi="Arial" w:cs="Arial"/>
              </w:rPr>
              <w:t xml:space="preserve">The provision of information and advice regarding flexible learning options available through the </w:t>
            </w:r>
            <w:proofErr w:type="spellStart"/>
            <w:r w:rsidRPr="00AA5F3C">
              <w:rPr>
                <w:rFonts w:ascii="Arial" w:hAnsi="Arial" w:cs="Arial"/>
              </w:rPr>
              <w:t>SACE</w:t>
            </w:r>
            <w:proofErr w:type="spellEnd"/>
            <w:r w:rsidRPr="00AA5F3C">
              <w:rPr>
                <w:rFonts w:ascii="Arial" w:hAnsi="Arial" w:cs="Arial"/>
              </w:rPr>
              <w:t xml:space="preserve"> and school-to-work transition planning. </w:t>
            </w:r>
          </w:p>
          <w:p w:rsidR="003702A5" w:rsidRPr="00AA5F3C" w:rsidRDefault="003702A5" w:rsidP="0040521B">
            <w:pPr>
              <w:pStyle w:val="ListParagraph"/>
              <w:numPr>
                <w:ilvl w:val="0"/>
                <w:numId w:val="30"/>
              </w:numPr>
              <w:spacing w:before="60" w:after="120" w:line="240" w:lineRule="auto"/>
              <w:ind w:left="357" w:hanging="357"/>
              <w:rPr>
                <w:rFonts w:ascii="Arial" w:hAnsi="Arial" w:cs="Arial"/>
              </w:rPr>
            </w:pPr>
            <w:r w:rsidRPr="00AA5F3C">
              <w:rPr>
                <w:rFonts w:ascii="Arial" w:hAnsi="Arial" w:cs="Arial"/>
              </w:rPr>
              <w:t>To encourage family and community involvement in education and transition pathway decision-making.</w:t>
            </w:r>
          </w:p>
          <w:p w:rsidR="003702A5" w:rsidRPr="00AA5F3C" w:rsidRDefault="003702A5" w:rsidP="00E619A9">
            <w:pPr>
              <w:spacing w:after="120" w:line="240" w:lineRule="auto"/>
              <w:rPr>
                <w:rFonts w:ascii="Arial" w:hAnsi="Arial" w:cs="Arial"/>
                <w:i/>
              </w:rPr>
            </w:pPr>
            <w:r w:rsidRPr="00AA5F3C">
              <w:rPr>
                <w:rFonts w:ascii="Arial" w:hAnsi="Arial" w:cs="Arial"/>
                <w:i/>
              </w:rPr>
              <w:t>Aboriginal students, parents/caregivers and schools working with Aboriginal students.</w:t>
            </w:r>
          </w:p>
        </w:tc>
      </w:tr>
      <w:tr w:rsidR="00AA5F3C" w:rsidRPr="00AA5F3C" w:rsidTr="00556879">
        <w:tc>
          <w:tcPr>
            <w:tcW w:w="1809" w:type="dxa"/>
            <w:tcBorders>
              <w:bottom w:val="nil"/>
            </w:tcBorders>
          </w:tcPr>
          <w:p w:rsidR="003702A5" w:rsidRPr="00AA5F3C" w:rsidRDefault="003702A5" w:rsidP="00E619A9">
            <w:pPr>
              <w:spacing w:after="120" w:line="240" w:lineRule="auto"/>
              <w:rPr>
                <w:rFonts w:ascii="Arial" w:hAnsi="Arial" w:cs="Arial"/>
              </w:rPr>
            </w:pPr>
            <w:r w:rsidRPr="00AA5F3C">
              <w:rPr>
                <w:rFonts w:ascii="Arial" w:hAnsi="Arial" w:cs="Arial"/>
              </w:rPr>
              <w:t>Action &amp; Timing</w:t>
            </w:r>
          </w:p>
        </w:tc>
        <w:tc>
          <w:tcPr>
            <w:tcW w:w="8080" w:type="dxa"/>
            <w:tcBorders>
              <w:bottom w:val="nil"/>
            </w:tcBorders>
          </w:tcPr>
          <w:p w:rsidR="003702A5" w:rsidRPr="00AA5F3C" w:rsidRDefault="003702A5" w:rsidP="0040521B">
            <w:pPr>
              <w:pStyle w:val="ListParagraph"/>
              <w:numPr>
                <w:ilvl w:val="0"/>
                <w:numId w:val="8"/>
              </w:numPr>
              <w:spacing w:after="120" w:line="240" w:lineRule="auto"/>
              <w:rPr>
                <w:rFonts w:ascii="Arial" w:hAnsi="Arial" w:cs="Arial"/>
              </w:rPr>
            </w:pPr>
            <w:r w:rsidRPr="00AA5F3C">
              <w:rPr>
                <w:rFonts w:ascii="Arial" w:hAnsi="Arial" w:cs="Arial"/>
              </w:rPr>
              <w:t>Post-Secondary Transition Programs for Aboriginal and Torres Strait Islander Students – scoping project was facilitated to identify strengths and gaps in current transition programs in schools. This has informed future planning in this area</w:t>
            </w:r>
            <w:r w:rsidR="006E508E">
              <w:rPr>
                <w:rFonts w:ascii="Arial" w:hAnsi="Arial" w:cs="Arial"/>
              </w:rPr>
              <w:t>.</w:t>
            </w:r>
            <w:r w:rsidRPr="00AA5F3C">
              <w:rPr>
                <w:rFonts w:ascii="Arial" w:hAnsi="Arial" w:cs="Arial"/>
              </w:rPr>
              <w:t xml:space="preserve"> </w:t>
            </w:r>
          </w:p>
          <w:p w:rsidR="003702A5" w:rsidRPr="00AA5F3C" w:rsidRDefault="003702A5" w:rsidP="0040521B">
            <w:pPr>
              <w:pStyle w:val="ListParagraph"/>
              <w:numPr>
                <w:ilvl w:val="0"/>
                <w:numId w:val="8"/>
              </w:numPr>
              <w:spacing w:after="120" w:line="240" w:lineRule="auto"/>
              <w:rPr>
                <w:rFonts w:ascii="Arial" w:hAnsi="Arial" w:cs="Arial"/>
              </w:rPr>
            </w:pPr>
            <w:r w:rsidRPr="00AA5F3C">
              <w:rPr>
                <w:rFonts w:ascii="Arial" w:hAnsi="Arial" w:cs="Arial"/>
              </w:rPr>
              <w:t xml:space="preserve">Workshops were facilitated for Aboriginal students, parents/caregivers, Vocational Education Coordinators (including Careers Advisers, Flexible Learning Coordinators, </w:t>
            </w:r>
            <w:proofErr w:type="gramStart"/>
            <w:r w:rsidRPr="00AA5F3C">
              <w:rPr>
                <w:rFonts w:ascii="Arial" w:hAnsi="Arial" w:cs="Arial"/>
              </w:rPr>
              <w:t>Transition</w:t>
            </w:r>
            <w:proofErr w:type="gramEnd"/>
            <w:r w:rsidRPr="00AA5F3C">
              <w:rPr>
                <w:rFonts w:ascii="Arial" w:hAnsi="Arial" w:cs="Arial"/>
              </w:rPr>
              <w:t xml:space="preserve"> Pathways Coordinators) and school based Aboriginal student Focus Teachers</w:t>
            </w:r>
            <w:r w:rsidR="006E508E">
              <w:rPr>
                <w:rFonts w:ascii="Arial" w:hAnsi="Arial" w:cs="Arial"/>
              </w:rPr>
              <w:t>.</w:t>
            </w:r>
          </w:p>
          <w:p w:rsidR="003702A5" w:rsidRPr="00AA5F3C" w:rsidRDefault="003702A5" w:rsidP="0040521B">
            <w:pPr>
              <w:pStyle w:val="ListParagraph"/>
              <w:numPr>
                <w:ilvl w:val="0"/>
                <w:numId w:val="8"/>
              </w:numPr>
              <w:spacing w:after="120" w:line="240" w:lineRule="auto"/>
              <w:rPr>
                <w:rFonts w:ascii="Arial" w:hAnsi="Arial" w:cs="Arial"/>
              </w:rPr>
            </w:pPr>
            <w:r w:rsidRPr="00AA5F3C">
              <w:rPr>
                <w:rFonts w:ascii="Arial" w:hAnsi="Arial" w:cs="Arial"/>
              </w:rPr>
              <w:t>Mentored visits to, and engagement with Aboriginal faculties at universities, TAFE and other further education and training providers  for Year 10, 11 and 12 students</w:t>
            </w:r>
            <w:r w:rsidR="006E508E">
              <w:rPr>
                <w:rFonts w:ascii="Arial" w:hAnsi="Arial" w:cs="Arial"/>
              </w:rPr>
              <w:t>.</w:t>
            </w:r>
          </w:p>
          <w:p w:rsidR="003702A5" w:rsidRPr="00AA5F3C" w:rsidRDefault="003702A5" w:rsidP="0040521B">
            <w:pPr>
              <w:pStyle w:val="ListParagraph"/>
              <w:numPr>
                <w:ilvl w:val="0"/>
                <w:numId w:val="8"/>
              </w:numPr>
              <w:spacing w:after="120" w:line="240" w:lineRule="auto"/>
              <w:rPr>
                <w:rFonts w:ascii="Arial" w:hAnsi="Arial" w:cs="Arial"/>
              </w:rPr>
            </w:pPr>
            <w:r w:rsidRPr="00AA5F3C">
              <w:rPr>
                <w:rFonts w:ascii="Arial" w:hAnsi="Arial" w:cs="Arial"/>
              </w:rPr>
              <w:t xml:space="preserve">The development of a Parents </w:t>
            </w:r>
            <w:proofErr w:type="gramStart"/>
            <w:r w:rsidRPr="00AA5F3C">
              <w:rPr>
                <w:rFonts w:ascii="Arial" w:hAnsi="Arial" w:cs="Arial"/>
              </w:rPr>
              <w:t>As</w:t>
            </w:r>
            <w:proofErr w:type="gramEnd"/>
            <w:r w:rsidRPr="00AA5F3C">
              <w:rPr>
                <w:rFonts w:ascii="Arial" w:hAnsi="Arial" w:cs="Arial"/>
              </w:rPr>
              <w:t xml:space="preserve"> Career Partners (</w:t>
            </w:r>
            <w:proofErr w:type="spellStart"/>
            <w:r w:rsidRPr="00AA5F3C">
              <w:rPr>
                <w:rFonts w:ascii="Arial" w:hAnsi="Arial" w:cs="Arial"/>
              </w:rPr>
              <w:t>PACP</w:t>
            </w:r>
            <w:proofErr w:type="spellEnd"/>
            <w:r w:rsidRPr="00AA5F3C">
              <w:rPr>
                <w:rFonts w:ascii="Arial" w:hAnsi="Arial" w:cs="Arial"/>
              </w:rPr>
              <w:t>) program appropriate for parent/caregivers of Indigenous children</w:t>
            </w:r>
            <w:r w:rsidR="006E508E">
              <w:rPr>
                <w:rFonts w:ascii="Arial" w:hAnsi="Arial" w:cs="Arial"/>
              </w:rPr>
              <w:t>.</w:t>
            </w:r>
          </w:p>
          <w:p w:rsidR="003702A5" w:rsidRPr="00AA5F3C" w:rsidRDefault="003702A5" w:rsidP="0040521B">
            <w:pPr>
              <w:pStyle w:val="ListParagraph"/>
              <w:numPr>
                <w:ilvl w:val="0"/>
                <w:numId w:val="8"/>
              </w:numPr>
              <w:spacing w:after="120" w:line="240" w:lineRule="auto"/>
              <w:rPr>
                <w:rFonts w:ascii="Arial" w:hAnsi="Arial" w:cs="Arial"/>
              </w:rPr>
            </w:pPr>
            <w:r w:rsidRPr="00AA5F3C">
              <w:rPr>
                <w:rFonts w:ascii="Arial" w:hAnsi="Arial" w:cs="Arial"/>
              </w:rPr>
              <w:t xml:space="preserve">The development of relevant </w:t>
            </w:r>
            <w:proofErr w:type="spellStart"/>
            <w:r w:rsidRPr="00AA5F3C">
              <w:rPr>
                <w:rFonts w:ascii="Arial" w:hAnsi="Arial" w:cs="Arial"/>
              </w:rPr>
              <w:t>SACE</w:t>
            </w:r>
            <w:proofErr w:type="spellEnd"/>
            <w:r w:rsidRPr="00AA5F3C">
              <w:rPr>
                <w:rFonts w:ascii="Arial" w:hAnsi="Arial" w:cs="Arial"/>
              </w:rPr>
              <w:t xml:space="preserve"> Stage 1 and Stage 2 curriculum documents as well as resources to support the learning and transition of Aboriginal young people</w:t>
            </w:r>
            <w:r w:rsidR="006E508E">
              <w:rPr>
                <w:rFonts w:ascii="Arial" w:hAnsi="Arial" w:cs="Arial"/>
              </w:rPr>
              <w:t>.</w:t>
            </w:r>
          </w:p>
          <w:p w:rsidR="003702A5" w:rsidRPr="00AA5F3C" w:rsidRDefault="003702A5" w:rsidP="0040521B">
            <w:pPr>
              <w:pStyle w:val="ListParagraph"/>
              <w:numPr>
                <w:ilvl w:val="0"/>
                <w:numId w:val="8"/>
              </w:numPr>
              <w:spacing w:after="120" w:line="240" w:lineRule="auto"/>
              <w:rPr>
                <w:rFonts w:ascii="Arial" w:hAnsi="Arial" w:cs="Arial"/>
              </w:rPr>
            </w:pPr>
            <w:r w:rsidRPr="00AA5F3C">
              <w:rPr>
                <w:rFonts w:ascii="Arial" w:hAnsi="Arial" w:cs="Arial"/>
              </w:rPr>
              <w:t>Development of Aboriginal Role-Model networks to support goal setting, learning engagement, education attainment and seamless transition into post school pathways</w:t>
            </w:r>
            <w:r w:rsidR="006E508E">
              <w:rPr>
                <w:rFonts w:ascii="Arial" w:hAnsi="Arial" w:cs="Arial"/>
              </w:rPr>
              <w:t>.</w:t>
            </w:r>
          </w:p>
          <w:p w:rsidR="003702A5" w:rsidRPr="00AA5F3C" w:rsidRDefault="003702A5" w:rsidP="0040521B">
            <w:pPr>
              <w:pStyle w:val="ListParagraph"/>
              <w:numPr>
                <w:ilvl w:val="0"/>
                <w:numId w:val="8"/>
              </w:numPr>
              <w:spacing w:after="120" w:line="240" w:lineRule="auto"/>
              <w:rPr>
                <w:rFonts w:ascii="Arial" w:hAnsi="Arial" w:cs="Arial"/>
              </w:rPr>
            </w:pPr>
            <w:r w:rsidRPr="00AA5F3C">
              <w:rPr>
                <w:rFonts w:ascii="Arial" w:hAnsi="Arial" w:cs="Arial"/>
              </w:rPr>
              <w:t>Support for attendance at Cultural Events</w:t>
            </w:r>
            <w:r w:rsidR="006E508E">
              <w:rPr>
                <w:rFonts w:ascii="Arial" w:hAnsi="Arial" w:cs="Arial"/>
              </w:rPr>
              <w:t>.</w:t>
            </w:r>
          </w:p>
          <w:p w:rsidR="003702A5" w:rsidRPr="00AA5F3C" w:rsidRDefault="003702A5" w:rsidP="0040521B">
            <w:pPr>
              <w:pStyle w:val="ListParagraph"/>
              <w:numPr>
                <w:ilvl w:val="0"/>
                <w:numId w:val="8"/>
              </w:numPr>
              <w:spacing w:after="120" w:line="240" w:lineRule="auto"/>
              <w:rPr>
                <w:rFonts w:ascii="Arial" w:hAnsi="Arial" w:cs="Arial"/>
              </w:rPr>
            </w:pPr>
            <w:r w:rsidRPr="00AA5F3C">
              <w:rPr>
                <w:rFonts w:ascii="Arial" w:hAnsi="Arial" w:cs="Arial"/>
              </w:rPr>
              <w:t>Support for students and families to attend state and national Aboriginal student conferences</w:t>
            </w:r>
            <w:r w:rsidR="006E508E">
              <w:rPr>
                <w:rFonts w:ascii="Arial" w:hAnsi="Arial" w:cs="Arial"/>
              </w:rPr>
              <w:t>.</w:t>
            </w:r>
          </w:p>
          <w:p w:rsidR="003702A5" w:rsidRPr="00AA5F3C" w:rsidRDefault="003702A5" w:rsidP="0040521B">
            <w:pPr>
              <w:pStyle w:val="ListParagraph"/>
              <w:numPr>
                <w:ilvl w:val="0"/>
                <w:numId w:val="8"/>
              </w:numPr>
              <w:spacing w:after="120" w:line="240" w:lineRule="auto"/>
              <w:rPr>
                <w:rFonts w:ascii="Arial" w:hAnsi="Arial" w:cs="Arial"/>
              </w:rPr>
            </w:pPr>
            <w:r w:rsidRPr="00AA5F3C">
              <w:rPr>
                <w:rFonts w:ascii="Arial" w:hAnsi="Arial" w:cs="Arial"/>
              </w:rPr>
              <w:t xml:space="preserve">Professional learning workshops for teaching and support </w:t>
            </w:r>
            <w:proofErr w:type="gramStart"/>
            <w:r w:rsidRPr="00AA5F3C">
              <w:rPr>
                <w:rFonts w:ascii="Arial" w:hAnsi="Arial" w:cs="Arial"/>
              </w:rPr>
              <w:t>staff  to</w:t>
            </w:r>
            <w:proofErr w:type="gramEnd"/>
            <w:r w:rsidRPr="00AA5F3C">
              <w:rPr>
                <w:rFonts w:ascii="Arial" w:hAnsi="Arial" w:cs="Arial"/>
              </w:rPr>
              <w:t xml:space="preserve"> develop their cultural intelligence and proficiency to more effectively work with Aboriginal students</w:t>
            </w:r>
            <w:r w:rsidR="006E508E">
              <w:rPr>
                <w:rFonts w:ascii="Arial" w:hAnsi="Arial" w:cs="Arial"/>
              </w:rPr>
              <w:t>.</w:t>
            </w:r>
          </w:p>
        </w:tc>
      </w:tr>
      <w:tr w:rsidR="00AA5F3C" w:rsidRPr="00AA5F3C" w:rsidTr="00556879">
        <w:tc>
          <w:tcPr>
            <w:tcW w:w="1809" w:type="dxa"/>
            <w:tcBorders>
              <w:top w:val="nil"/>
              <w:bottom w:val="nil"/>
            </w:tcBorders>
          </w:tcPr>
          <w:p w:rsidR="003702A5" w:rsidRPr="00AA5F3C" w:rsidRDefault="003702A5" w:rsidP="00E619A9">
            <w:pPr>
              <w:spacing w:after="120" w:line="240" w:lineRule="auto"/>
              <w:rPr>
                <w:rFonts w:ascii="Arial" w:hAnsi="Arial" w:cs="Arial"/>
              </w:rPr>
            </w:pPr>
            <w:r w:rsidRPr="00AA5F3C">
              <w:rPr>
                <w:rFonts w:ascii="Arial" w:hAnsi="Arial" w:cs="Arial"/>
              </w:rPr>
              <w:t>Outcomes</w:t>
            </w:r>
          </w:p>
          <w:p w:rsidR="003702A5" w:rsidRPr="00AA5F3C" w:rsidRDefault="003702A5" w:rsidP="00CC12F9">
            <w:pPr>
              <w:spacing w:after="120" w:line="240" w:lineRule="auto"/>
              <w:rPr>
                <w:rFonts w:ascii="Arial" w:hAnsi="Arial" w:cs="Arial"/>
              </w:rPr>
            </w:pPr>
          </w:p>
        </w:tc>
        <w:tc>
          <w:tcPr>
            <w:tcW w:w="8080" w:type="dxa"/>
            <w:tcBorders>
              <w:top w:val="nil"/>
              <w:bottom w:val="nil"/>
            </w:tcBorders>
          </w:tcPr>
          <w:p w:rsidR="003702A5" w:rsidRPr="00AA5F3C" w:rsidRDefault="003702A5" w:rsidP="0040521B">
            <w:pPr>
              <w:pStyle w:val="ListParagraph"/>
              <w:numPr>
                <w:ilvl w:val="0"/>
                <w:numId w:val="7"/>
              </w:numPr>
              <w:spacing w:after="120" w:line="240" w:lineRule="auto"/>
              <w:rPr>
                <w:rFonts w:ascii="Arial" w:hAnsi="Arial" w:cs="Arial"/>
              </w:rPr>
            </w:pPr>
            <w:r w:rsidRPr="00AA5F3C">
              <w:rPr>
                <w:rFonts w:ascii="Arial" w:hAnsi="Arial" w:cs="Arial"/>
              </w:rPr>
              <w:t xml:space="preserve">Aboriginal students and families provided with opportunities to be better informed of </w:t>
            </w:r>
            <w:proofErr w:type="spellStart"/>
            <w:r w:rsidRPr="00AA5F3C">
              <w:rPr>
                <w:rFonts w:ascii="Arial" w:hAnsi="Arial" w:cs="Arial"/>
              </w:rPr>
              <w:t>SACE</w:t>
            </w:r>
            <w:proofErr w:type="spellEnd"/>
            <w:r w:rsidRPr="00AA5F3C">
              <w:rPr>
                <w:rFonts w:ascii="Arial" w:hAnsi="Arial" w:cs="Arial"/>
              </w:rPr>
              <w:t xml:space="preserve"> requirements, employment opportunities and meaningful post school pathways.</w:t>
            </w:r>
          </w:p>
          <w:p w:rsidR="003702A5" w:rsidRPr="00AA5F3C" w:rsidRDefault="003702A5" w:rsidP="0040521B">
            <w:pPr>
              <w:pStyle w:val="ListParagraph"/>
              <w:numPr>
                <w:ilvl w:val="0"/>
                <w:numId w:val="7"/>
              </w:numPr>
              <w:spacing w:after="120" w:line="240" w:lineRule="auto"/>
              <w:rPr>
                <w:rFonts w:ascii="Arial" w:hAnsi="Arial" w:cs="Arial"/>
              </w:rPr>
            </w:pPr>
            <w:r w:rsidRPr="00AA5F3C">
              <w:rPr>
                <w:rFonts w:ascii="Arial" w:hAnsi="Arial" w:cs="Arial"/>
              </w:rPr>
              <w:t xml:space="preserve">Partial development of </w:t>
            </w:r>
            <w:proofErr w:type="spellStart"/>
            <w:r w:rsidRPr="00AA5F3C">
              <w:rPr>
                <w:rFonts w:ascii="Arial" w:hAnsi="Arial" w:cs="Arial"/>
              </w:rPr>
              <w:t>SACE</w:t>
            </w:r>
            <w:proofErr w:type="spellEnd"/>
            <w:r w:rsidRPr="00AA5F3C">
              <w:rPr>
                <w:rFonts w:ascii="Arial" w:hAnsi="Arial" w:cs="Arial"/>
              </w:rPr>
              <w:t xml:space="preserve"> Learning and Assessment (</w:t>
            </w:r>
            <w:proofErr w:type="spellStart"/>
            <w:r w:rsidRPr="00AA5F3C">
              <w:rPr>
                <w:rFonts w:ascii="Arial" w:hAnsi="Arial" w:cs="Arial"/>
              </w:rPr>
              <w:t>L&amp;A</w:t>
            </w:r>
            <w:proofErr w:type="spellEnd"/>
            <w:r w:rsidRPr="00AA5F3C">
              <w:rPr>
                <w:rFonts w:ascii="Arial" w:hAnsi="Arial" w:cs="Arial"/>
              </w:rPr>
              <w:t>) plans for both Stage I and Stage 2 students</w:t>
            </w:r>
            <w:r w:rsidR="006E508E">
              <w:rPr>
                <w:rFonts w:ascii="Arial" w:hAnsi="Arial" w:cs="Arial"/>
              </w:rPr>
              <w:t>.</w:t>
            </w:r>
          </w:p>
          <w:p w:rsidR="003702A5" w:rsidRPr="00AA5F3C" w:rsidRDefault="003702A5" w:rsidP="0040521B">
            <w:pPr>
              <w:pStyle w:val="ListParagraph"/>
              <w:numPr>
                <w:ilvl w:val="0"/>
                <w:numId w:val="7"/>
              </w:numPr>
              <w:spacing w:after="120" w:line="240" w:lineRule="auto"/>
              <w:rPr>
                <w:rFonts w:ascii="Arial" w:hAnsi="Arial" w:cs="Arial"/>
              </w:rPr>
            </w:pPr>
            <w:r w:rsidRPr="00AA5F3C">
              <w:rPr>
                <w:rFonts w:ascii="Arial" w:hAnsi="Arial" w:cs="Arial"/>
              </w:rPr>
              <w:t>Opportunities for increased engagement of parents/caregivers of Aboriginal students and community involvement in educational decision-making.</w:t>
            </w:r>
          </w:p>
        </w:tc>
      </w:tr>
      <w:tr w:rsidR="003702A5" w:rsidRPr="00AA5F3C" w:rsidTr="00CC12F9">
        <w:tc>
          <w:tcPr>
            <w:tcW w:w="1809" w:type="dxa"/>
            <w:tcBorders>
              <w:top w:val="nil"/>
              <w:bottom w:val="nil"/>
            </w:tcBorders>
          </w:tcPr>
          <w:p w:rsidR="003702A5" w:rsidRPr="00AA5F3C" w:rsidRDefault="003702A5" w:rsidP="00E619A9">
            <w:pPr>
              <w:spacing w:after="120" w:line="240" w:lineRule="auto"/>
              <w:rPr>
                <w:rFonts w:ascii="Arial" w:hAnsi="Arial" w:cs="Arial"/>
              </w:rPr>
            </w:pPr>
            <w:r w:rsidRPr="00AA5F3C">
              <w:rPr>
                <w:rFonts w:ascii="Arial" w:hAnsi="Arial" w:cs="Arial"/>
              </w:rPr>
              <w:t>Cumulative Progress</w:t>
            </w:r>
          </w:p>
        </w:tc>
        <w:tc>
          <w:tcPr>
            <w:tcW w:w="8080" w:type="dxa"/>
            <w:tcBorders>
              <w:top w:val="nil"/>
              <w:bottom w:val="nil"/>
            </w:tcBorders>
          </w:tcPr>
          <w:p w:rsidR="003702A5" w:rsidRPr="00AA5F3C" w:rsidRDefault="003702A5" w:rsidP="0040521B">
            <w:pPr>
              <w:pStyle w:val="ListParagraph"/>
              <w:numPr>
                <w:ilvl w:val="0"/>
                <w:numId w:val="7"/>
              </w:numPr>
              <w:spacing w:after="120" w:line="240" w:lineRule="auto"/>
              <w:rPr>
                <w:rFonts w:ascii="Arial" w:hAnsi="Arial" w:cs="Arial"/>
              </w:rPr>
            </w:pPr>
            <w:r w:rsidRPr="00AA5F3C">
              <w:rPr>
                <w:rFonts w:ascii="Arial" w:hAnsi="Arial" w:cs="Arial"/>
              </w:rPr>
              <w:t>A growing cultural proficiency and professional learning for those working with Aboriginal students, their families and community.</w:t>
            </w:r>
          </w:p>
          <w:p w:rsidR="003702A5" w:rsidRPr="00AA5F3C" w:rsidRDefault="003702A5" w:rsidP="0040521B">
            <w:pPr>
              <w:pStyle w:val="ListParagraph"/>
              <w:numPr>
                <w:ilvl w:val="0"/>
                <w:numId w:val="7"/>
              </w:numPr>
              <w:spacing w:after="120" w:line="240" w:lineRule="auto"/>
              <w:rPr>
                <w:rFonts w:ascii="Arial" w:hAnsi="Arial" w:cs="Arial"/>
              </w:rPr>
            </w:pPr>
            <w:r w:rsidRPr="00AA5F3C">
              <w:rPr>
                <w:rFonts w:ascii="Arial" w:hAnsi="Arial" w:cs="Arial"/>
              </w:rPr>
              <w:t>Increased understanding of the parental role in successful student transition</w:t>
            </w:r>
          </w:p>
          <w:p w:rsidR="003702A5" w:rsidRPr="00AA5F3C" w:rsidRDefault="003702A5" w:rsidP="0040521B">
            <w:pPr>
              <w:pStyle w:val="ListParagraph"/>
              <w:numPr>
                <w:ilvl w:val="0"/>
                <w:numId w:val="7"/>
              </w:numPr>
              <w:spacing w:after="120" w:line="240" w:lineRule="auto"/>
              <w:rPr>
                <w:rFonts w:ascii="Arial" w:hAnsi="Arial" w:cs="Arial"/>
              </w:rPr>
            </w:pPr>
            <w:r w:rsidRPr="00AA5F3C">
              <w:rPr>
                <w:rFonts w:ascii="Arial" w:hAnsi="Arial" w:cs="Arial"/>
              </w:rPr>
              <w:t>An increased awarene</w:t>
            </w:r>
            <w:r w:rsidR="00D8178D">
              <w:rPr>
                <w:rFonts w:ascii="Arial" w:hAnsi="Arial" w:cs="Arial"/>
              </w:rPr>
              <w:t>ss of the role key teachers has in assisted</w:t>
            </w:r>
            <w:r w:rsidRPr="00AA5F3C">
              <w:rPr>
                <w:rFonts w:ascii="Arial" w:hAnsi="Arial" w:cs="Arial"/>
              </w:rPr>
              <w:t xml:space="preserve"> students to successfully transition into meaningful post school pathways.</w:t>
            </w:r>
          </w:p>
        </w:tc>
      </w:tr>
      <w:tr w:rsidR="00CC12F9" w:rsidRPr="00AA5F3C" w:rsidTr="00556879">
        <w:tc>
          <w:tcPr>
            <w:tcW w:w="1809" w:type="dxa"/>
            <w:tcBorders>
              <w:top w:val="nil"/>
              <w:bottom w:val="single" w:sz="4" w:space="0" w:color="auto"/>
            </w:tcBorders>
          </w:tcPr>
          <w:p w:rsidR="00CC12F9" w:rsidRPr="00AA5F3C" w:rsidRDefault="00CC12F9" w:rsidP="00E619A9">
            <w:pPr>
              <w:spacing w:after="120" w:line="240" w:lineRule="auto"/>
              <w:rPr>
                <w:rFonts w:ascii="Arial" w:hAnsi="Arial" w:cs="Arial"/>
              </w:rPr>
            </w:pPr>
          </w:p>
        </w:tc>
        <w:tc>
          <w:tcPr>
            <w:tcW w:w="8080" w:type="dxa"/>
            <w:tcBorders>
              <w:top w:val="nil"/>
              <w:bottom w:val="single" w:sz="4" w:space="0" w:color="auto"/>
            </w:tcBorders>
          </w:tcPr>
          <w:p w:rsidR="00CC12F9" w:rsidRPr="00CC12F9" w:rsidRDefault="00CC12F9" w:rsidP="00CC12F9">
            <w:pPr>
              <w:spacing w:after="120" w:line="240" w:lineRule="auto"/>
              <w:rPr>
                <w:rFonts w:ascii="Arial" w:hAnsi="Arial" w:cs="Arial"/>
              </w:rPr>
            </w:pPr>
          </w:p>
        </w:tc>
      </w:tr>
    </w:tbl>
    <w:p w:rsidR="003702A5" w:rsidRPr="00AA5F3C" w:rsidRDefault="003702A5" w:rsidP="00E619A9">
      <w:pPr>
        <w:rPr>
          <w:rFonts w:ascii="Arial" w:hAnsi="Arial" w:cs="Arial"/>
        </w:rPr>
      </w:pPr>
    </w:p>
    <w:tbl>
      <w:tblPr>
        <w:tblW w:w="0" w:type="auto"/>
        <w:tblLook w:val="00A0" w:firstRow="1" w:lastRow="0" w:firstColumn="1" w:lastColumn="0" w:noHBand="0" w:noVBand="0"/>
      </w:tblPr>
      <w:tblGrid>
        <w:gridCol w:w="1809"/>
        <w:gridCol w:w="8080"/>
      </w:tblGrid>
      <w:tr w:rsidR="00AA5F3C" w:rsidRPr="00AA5F3C" w:rsidTr="00556879">
        <w:tc>
          <w:tcPr>
            <w:tcW w:w="1809" w:type="dxa"/>
          </w:tcPr>
          <w:p w:rsidR="003702A5" w:rsidRPr="00AA5F3C" w:rsidRDefault="003702A5" w:rsidP="00E619A9">
            <w:pPr>
              <w:spacing w:after="120" w:line="240" w:lineRule="auto"/>
              <w:rPr>
                <w:rFonts w:ascii="Arial" w:hAnsi="Arial" w:cs="Arial"/>
              </w:rPr>
            </w:pPr>
            <w:r w:rsidRPr="00AA5F3C">
              <w:rPr>
                <w:rFonts w:ascii="Arial" w:hAnsi="Arial" w:cs="Arial"/>
              </w:rPr>
              <w:t>Initiative</w:t>
            </w:r>
          </w:p>
        </w:tc>
        <w:tc>
          <w:tcPr>
            <w:tcW w:w="8080" w:type="dxa"/>
          </w:tcPr>
          <w:p w:rsidR="003702A5" w:rsidRPr="00AA5F3C" w:rsidRDefault="003702A5" w:rsidP="00E619A9">
            <w:pPr>
              <w:spacing w:after="120" w:line="240" w:lineRule="auto"/>
              <w:rPr>
                <w:rFonts w:ascii="Arial" w:hAnsi="Arial" w:cs="Arial"/>
              </w:rPr>
            </w:pPr>
            <w:r w:rsidRPr="00AA5F3C">
              <w:rPr>
                <w:rFonts w:ascii="Arial" w:hAnsi="Arial" w:cs="Arial"/>
                <w:b/>
                <w:bCs/>
              </w:rPr>
              <w:t>Southern</w:t>
            </w:r>
            <w:r w:rsidR="005B23E2" w:rsidRPr="00AA5F3C">
              <w:rPr>
                <w:rFonts w:ascii="Arial" w:hAnsi="Arial" w:cs="Arial"/>
                <w:b/>
                <w:bCs/>
              </w:rPr>
              <w:t>, Eastern and Western</w:t>
            </w:r>
            <w:r w:rsidRPr="00AA5F3C">
              <w:rPr>
                <w:rFonts w:ascii="Arial" w:hAnsi="Arial" w:cs="Arial"/>
                <w:b/>
                <w:bCs/>
              </w:rPr>
              <w:t xml:space="preserve"> Suburbs Transitions Research Project</w:t>
            </w:r>
            <w:r w:rsidR="005B23E2" w:rsidRPr="00AA5F3C">
              <w:rPr>
                <w:rFonts w:ascii="Arial" w:hAnsi="Arial" w:cs="Arial"/>
                <w:b/>
                <w:bCs/>
              </w:rPr>
              <w:t>s</w:t>
            </w:r>
          </w:p>
        </w:tc>
      </w:tr>
      <w:tr w:rsidR="00AA5F3C" w:rsidRPr="00AA5F3C" w:rsidTr="00556879">
        <w:tc>
          <w:tcPr>
            <w:tcW w:w="1809" w:type="dxa"/>
          </w:tcPr>
          <w:p w:rsidR="003702A5" w:rsidRPr="00AA5F3C" w:rsidRDefault="003702A5" w:rsidP="00E619A9">
            <w:pPr>
              <w:spacing w:after="120" w:line="240" w:lineRule="auto"/>
              <w:rPr>
                <w:rFonts w:ascii="Arial" w:hAnsi="Arial" w:cs="Arial"/>
              </w:rPr>
            </w:pPr>
            <w:r w:rsidRPr="00AA5F3C">
              <w:rPr>
                <w:rFonts w:ascii="Arial" w:hAnsi="Arial" w:cs="Arial"/>
              </w:rPr>
              <w:lastRenderedPageBreak/>
              <w:t>Purpose and target cohort</w:t>
            </w:r>
          </w:p>
        </w:tc>
        <w:tc>
          <w:tcPr>
            <w:tcW w:w="8080" w:type="dxa"/>
          </w:tcPr>
          <w:p w:rsidR="003702A5" w:rsidRPr="00AA5F3C" w:rsidRDefault="003702A5" w:rsidP="00E619A9">
            <w:pPr>
              <w:spacing w:after="120" w:line="240" w:lineRule="auto"/>
              <w:rPr>
                <w:rFonts w:ascii="Arial" w:hAnsi="Arial" w:cs="Arial"/>
              </w:rPr>
            </w:pPr>
            <w:r w:rsidRPr="00AA5F3C">
              <w:rPr>
                <w:rFonts w:ascii="Arial" w:hAnsi="Arial" w:cs="Arial"/>
              </w:rPr>
              <w:t>Improving Transitions – obtaining quantitative and qualitative data about factors which impact upon student participation, attainment and transitions which can be used by schools in planning curriculum, programs and services.</w:t>
            </w:r>
          </w:p>
        </w:tc>
      </w:tr>
      <w:tr w:rsidR="00AA5F3C" w:rsidRPr="00AA5F3C" w:rsidTr="00556879">
        <w:tc>
          <w:tcPr>
            <w:tcW w:w="1809" w:type="dxa"/>
          </w:tcPr>
          <w:p w:rsidR="003702A5" w:rsidRPr="00AA5F3C" w:rsidRDefault="003702A5" w:rsidP="00E619A9">
            <w:pPr>
              <w:spacing w:after="120" w:line="240" w:lineRule="auto"/>
              <w:rPr>
                <w:rFonts w:ascii="Arial" w:hAnsi="Arial" w:cs="Arial"/>
              </w:rPr>
            </w:pPr>
            <w:r w:rsidRPr="00AA5F3C">
              <w:rPr>
                <w:rFonts w:ascii="Arial" w:hAnsi="Arial" w:cs="Arial"/>
              </w:rPr>
              <w:t>Action &amp; Timing</w:t>
            </w:r>
          </w:p>
        </w:tc>
        <w:tc>
          <w:tcPr>
            <w:tcW w:w="8080" w:type="dxa"/>
          </w:tcPr>
          <w:p w:rsidR="003702A5" w:rsidRPr="00AA5F3C" w:rsidRDefault="005B23E2" w:rsidP="0040521B">
            <w:pPr>
              <w:pStyle w:val="ListParagraph"/>
              <w:numPr>
                <w:ilvl w:val="0"/>
                <w:numId w:val="14"/>
              </w:numPr>
              <w:spacing w:after="120" w:line="240" w:lineRule="auto"/>
              <w:rPr>
                <w:rFonts w:ascii="Arial" w:hAnsi="Arial" w:cs="Arial"/>
              </w:rPr>
            </w:pPr>
            <w:r w:rsidRPr="00AA5F3C">
              <w:rPr>
                <w:rFonts w:ascii="Arial" w:hAnsi="Arial" w:cs="Arial"/>
              </w:rPr>
              <w:t>In collaboration with two</w:t>
            </w:r>
            <w:r w:rsidR="003702A5" w:rsidRPr="00AA5F3C">
              <w:rPr>
                <w:rFonts w:ascii="Arial" w:hAnsi="Arial" w:cs="Arial"/>
              </w:rPr>
              <w:t xml:space="preserve"> professional research compan</w:t>
            </w:r>
            <w:r w:rsidRPr="00AA5F3C">
              <w:rPr>
                <w:rFonts w:ascii="Arial" w:hAnsi="Arial" w:cs="Arial"/>
              </w:rPr>
              <w:t>ies</w:t>
            </w:r>
            <w:r w:rsidR="003702A5" w:rsidRPr="00AA5F3C">
              <w:rPr>
                <w:rFonts w:ascii="Arial" w:hAnsi="Arial" w:cs="Arial"/>
              </w:rPr>
              <w:t>, schools interviewed a sample of</w:t>
            </w:r>
            <w:r w:rsidR="00084AA6" w:rsidRPr="00AA5F3C">
              <w:rPr>
                <w:rFonts w:ascii="Arial" w:hAnsi="Arial" w:cs="Arial"/>
              </w:rPr>
              <w:t xml:space="preserve"> </w:t>
            </w:r>
            <w:r w:rsidR="006365DA" w:rsidRPr="00AA5F3C">
              <w:rPr>
                <w:rFonts w:ascii="Arial" w:hAnsi="Arial" w:cs="Arial"/>
              </w:rPr>
              <w:t>2215</w:t>
            </w:r>
            <w:r w:rsidR="00084AA6" w:rsidRPr="00AA5F3C">
              <w:rPr>
                <w:rFonts w:ascii="Arial" w:hAnsi="Arial" w:cs="Arial"/>
              </w:rPr>
              <w:t xml:space="preserve"> </w:t>
            </w:r>
            <w:r w:rsidR="003702A5" w:rsidRPr="00AA5F3C">
              <w:rPr>
                <w:rFonts w:ascii="Arial" w:hAnsi="Arial" w:cs="Arial"/>
              </w:rPr>
              <w:t xml:space="preserve">young people from </w:t>
            </w:r>
            <w:r w:rsidR="006365DA" w:rsidRPr="00AA5F3C">
              <w:rPr>
                <w:rFonts w:ascii="Arial" w:hAnsi="Arial" w:cs="Arial"/>
              </w:rPr>
              <w:t>29</w:t>
            </w:r>
            <w:r w:rsidR="003702A5" w:rsidRPr="00AA5F3C">
              <w:rPr>
                <w:rFonts w:ascii="Arial" w:hAnsi="Arial" w:cs="Arial"/>
              </w:rPr>
              <w:t xml:space="preserve"> schools, from the </w:t>
            </w:r>
            <w:r w:rsidR="006365DA" w:rsidRPr="00AA5F3C">
              <w:rPr>
                <w:rFonts w:ascii="Arial" w:hAnsi="Arial" w:cs="Arial"/>
              </w:rPr>
              <w:t>southern, eastern and western</w:t>
            </w:r>
            <w:r w:rsidR="003702A5" w:rsidRPr="00AA5F3C">
              <w:rPr>
                <w:rFonts w:ascii="Arial" w:hAnsi="Arial" w:cs="Arial"/>
              </w:rPr>
              <w:t xml:space="preserve"> suburbs of Adelaide, in the year after they left school, using a computer-assisted telephone interview (</w:t>
            </w:r>
            <w:proofErr w:type="spellStart"/>
            <w:r w:rsidR="003702A5" w:rsidRPr="00AA5F3C">
              <w:rPr>
                <w:rFonts w:ascii="Arial" w:hAnsi="Arial" w:cs="Arial"/>
              </w:rPr>
              <w:t>CATI</w:t>
            </w:r>
            <w:proofErr w:type="spellEnd"/>
            <w:r w:rsidR="003702A5" w:rsidRPr="00AA5F3C">
              <w:rPr>
                <w:rFonts w:ascii="Arial" w:hAnsi="Arial" w:cs="Arial"/>
              </w:rPr>
              <w:t xml:space="preserve">) system.  </w:t>
            </w:r>
          </w:p>
        </w:tc>
      </w:tr>
      <w:tr w:rsidR="00AA5F3C" w:rsidRPr="00AA5F3C" w:rsidTr="00556879">
        <w:tc>
          <w:tcPr>
            <w:tcW w:w="1809" w:type="dxa"/>
          </w:tcPr>
          <w:p w:rsidR="003702A5" w:rsidRPr="00AA5F3C" w:rsidRDefault="003702A5" w:rsidP="00E619A9">
            <w:pPr>
              <w:spacing w:after="120" w:line="240" w:lineRule="auto"/>
              <w:rPr>
                <w:rFonts w:ascii="Arial" w:hAnsi="Arial" w:cs="Arial"/>
              </w:rPr>
            </w:pPr>
            <w:r w:rsidRPr="00AA5F3C">
              <w:rPr>
                <w:rFonts w:ascii="Arial" w:hAnsi="Arial" w:cs="Arial"/>
              </w:rPr>
              <w:t>Outcomes</w:t>
            </w:r>
          </w:p>
        </w:tc>
        <w:tc>
          <w:tcPr>
            <w:tcW w:w="8080" w:type="dxa"/>
          </w:tcPr>
          <w:p w:rsidR="003702A5" w:rsidRPr="00AA5F3C" w:rsidRDefault="003702A5" w:rsidP="0040521B">
            <w:pPr>
              <w:pStyle w:val="ListParagraph"/>
              <w:numPr>
                <w:ilvl w:val="0"/>
                <w:numId w:val="14"/>
              </w:numPr>
              <w:spacing w:after="120" w:line="240" w:lineRule="auto"/>
              <w:rPr>
                <w:rFonts w:ascii="Arial" w:hAnsi="Arial" w:cs="Arial"/>
              </w:rPr>
            </w:pPr>
            <w:r w:rsidRPr="00AA5F3C">
              <w:rPr>
                <w:rFonts w:ascii="Arial" w:hAnsi="Arial" w:cs="Arial"/>
              </w:rPr>
              <w:t>Reports were provided on a regional as well as a school by school basis. Reports are being used by participating schools to evaluate their work and build upon their curriculum, programs and services to improve outcomes for their students.</w:t>
            </w:r>
          </w:p>
        </w:tc>
      </w:tr>
      <w:tr w:rsidR="00162673" w:rsidRPr="00AA5F3C" w:rsidTr="00CC12F9">
        <w:tc>
          <w:tcPr>
            <w:tcW w:w="1809" w:type="dxa"/>
          </w:tcPr>
          <w:p w:rsidR="003702A5" w:rsidRPr="00AA5F3C" w:rsidRDefault="003702A5" w:rsidP="00E619A9">
            <w:pPr>
              <w:spacing w:after="120" w:line="240" w:lineRule="auto"/>
              <w:rPr>
                <w:rFonts w:ascii="Arial" w:hAnsi="Arial" w:cs="Arial"/>
              </w:rPr>
            </w:pPr>
            <w:r w:rsidRPr="00AA5F3C">
              <w:rPr>
                <w:rFonts w:ascii="Arial" w:hAnsi="Arial" w:cs="Arial"/>
              </w:rPr>
              <w:t>Adjustments</w:t>
            </w:r>
          </w:p>
        </w:tc>
        <w:tc>
          <w:tcPr>
            <w:tcW w:w="8080" w:type="dxa"/>
          </w:tcPr>
          <w:p w:rsidR="003702A5" w:rsidRPr="00AA5F3C" w:rsidRDefault="003702A5" w:rsidP="0040521B">
            <w:pPr>
              <w:pStyle w:val="ListParagraph"/>
              <w:numPr>
                <w:ilvl w:val="0"/>
                <w:numId w:val="14"/>
              </w:numPr>
              <w:spacing w:after="120" w:line="240" w:lineRule="auto"/>
              <w:rPr>
                <w:rFonts w:ascii="Arial" w:hAnsi="Arial" w:cs="Arial"/>
              </w:rPr>
            </w:pPr>
            <w:r w:rsidRPr="00AA5F3C">
              <w:rPr>
                <w:rFonts w:ascii="Arial" w:hAnsi="Arial" w:cs="Arial"/>
              </w:rPr>
              <w:t xml:space="preserve">SA Implementation Plan </w:t>
            </w:r>
            <w:r w:rsidR="006365DA" w:rsidRPr="00AA5F3C">
              <w:rPr>
                <w:rFonts w:ascii="Arial" w:hAnsi="Arial" w:cs="Arial"/>
              </w:rPr>
              <w:t>was</w:t>
            </w:r>
            <w:r w:rsidRPr="00AA5F3C">
              <w:rPr>
                <w:rFonts w:ascii="Arial" w:hAnsi="Arial" w:cs="Arial"/>
              </w:rPr>
              <w:t xml:space="preserve"> amended, to allow for expansion of the project in 2012 to incorporate the Eastern and Western suburbs of Adelaide in order to gather data from a broader demographic.</w:t>
            </w:r>
          </w:p>
        </w:tc>
      </w:tr>
      <w:tr w:rsidR="00CC12F9" w:rsidRPr="00AA5F3C" w:rsidTr="00556879">
        <w:tc>
          <w:tcPr>
            <w:tcW w:w="1809" w:type="dxa"/>
            <w:tcBorders>
              <w:bottom w:val="single" w:sz="4" w:space="0" w:color="auto"/>
            </w:tcBorders>
          </w:tcPr>
          <w:p w:rsidR="00CC12F9" w:rsidRPr="00CC12F9" w:rsidRDefault="00CC12F9" w:rsidP="00CC12F9">
            <w:pPr>
              <w:spacing w:after="120" w:line="240" w:lineRule="auto"/>
              <w:rPr>
                <w:rFonts w:ascii="Arial" w:hAnsi="Arial" w:cs="Arial"/>
              </w:rPr>
            </w:pPr>
          </w:p>
        </w:tc>
        <w:tc>
          <w:tcPr>
            <w:tcW w:w="8080" w:type="dxa"/>
            <w:tcBorders>
              <w:bottom w:val="single" w:sz="4" w:space="0" w:color="auto"/>
            </w:tcBorders>
          </w:tcPr>
          <w:p w:rsidR="00CC12F9" w:rsidRPr="00CC12F9" w:rsidRDefault="00CC12F9" w:rsidP="00CC12F9">
            <w:pPr>
              <w:spacing w:after="120" w:line="240" w:lineRule="auto"/>
              <w:rPr>
                <w:rFonts w:ascii="Arial" w:hAnsi="Arial" w:cs="Arial"/>
              </w:rPr>
            </w:pPr>
          </w:p>
        </w:tc>
      </w:tr>
    </w:tbl>
    <w:p w:rsidR="003702A5" w:rsidRPr="00AA5F3C" w:rsidRDefault="003702A5" w:rsidP="00E619A9">
      <w:pPr>
        <w:spacing w:line="240" w:lineRule="auto"/>
        <w:rPr>
          <w:rFonts w:ascii="Arial" w:hAnsi="Arial" w:cs="Arial"/>
          <w:b/>
        </w:rPr>
      </w:pPr>
    </w:p>
    <w:tbl>
      <w:tblPr>
        <w:tblW w:w="10031" w:type="dxa"/>
        <w:tblBorders>
          <w:top w:val="single" w:sz="4" w:space="0" w:color="auto"/>
        </w:tblBorders>
        <w:tblLook w:val="00A0" w:firstRow="1" w:lastRow="0" w:firstColumn="1" w:lastColumn="0" w:noHBand="0" w:noVBand="0"/>
      </w:tblPr>
      <w:tblGrid>
        <w:gridCol w:w="1809"/>
        <w:gridCol w:w="8222"/>
      </w:tblGrid>
      <w:tr w:rsidR="00162673" w:rsidRPr="00AA5F3C" w:rsidTr="00556879">
        <w:tc>
          <w:tcPr>
            <w:tcW w:w="1809" w:type="dxa"/>
            <w:tcBorders>
              <w:top w:val="nil"/>
            </w:tcBorders>
          </w:tcPr>
          <w:p w:rsidR="003702A5" w:rsidRPr="00AA5F3C" w:rsidRDefault="003702A5" w:rsidP="00E619A9">
            <w:pPr>
              <w:spacing w:after="120" w:line="240" w:lineRule="auto"/>
              <w:rPr>
                <w:rFonts w:ascii="Arial" w:hAnsi="Arial" w:cs="Arial"/>
              </w:rPr>
            </w:pPr>
            <w:r w:rsidRPr="00AA5F3C">
              <w:rPr>
                <w:rFonts w:ascii="Arial" w:hAnsi="Arial" w:cs="Arial"/>
              </w:rPr>
              <w:t>Initiative</w:t>
            </w:r>
          </w:p>
        </w:tc>
        <w:tc>
          <w:tcPr>
            <w:tcW w:w="8222" w:type="dxa"/>
            <w:tcBorders>
              <w:top w:val="nil"/>
            </w:tcBorders>
          </w:tcPr>
          <w:p w:rsidR="003702A5" w:rsidRPr="00AA5F3C" w:rsidRDefault="00B06E19" w:rsidP="00E619A9">
            <w:pPr>
              <w:spacing w:after="120" w:line="240" w:lineRule="auto"/>
              <w:rPr>
                <w:rFonts w:ascii="Arial" w:hAnsi="Arial" w:cs="Arial"/>
              </w:rPr>
            </w:pPr>
            <w:r w:rsidRPr="00AA5F3C">
              <w:rPr>
                <w:rFonts w:ascii="Arial" w:hAnsi="Arial" w:cs="Arial"/>
                <w:b/>
                <w:bCs/>
              </w:rPr>
              <w:t>Review and Update of SA Workplace Learning Guidelines</w:t>
            </w:r>
          </w:p>
        </w:tc>
      </w:tr>
      <w:tr w:rsidR="00162673" w:rsidRPr="00AA5F3C" w:rsidTr="00556879">
        <w:tc>
          <w:tcPr>
            <w:tcW w:w="1809" w:type="dxa"/>
          </w:tcPr>
          <w:p w:rsidR="003702A5" w:rsidRPr="00AA5F3C" w:rsidRDefault="003702A5" w:rsidP="00E619A9">
            <w:pPr>
              <w:spacing w:after="240" w:line="240" w:lineRule="auto"/>
              <w:rPr>
                <w:rFonts w:ascii="Arial" w:hAnsi="Arial" w:cs="Arial"/>
              </w:rPr>
            </w:pPr>
            <w:r w:rsidRPr="00AA5F3C">
              <w:rPr>
                <w:rFonts w:ascii="Arial" w:hAnsi="Arial" w:cs="Arial"/>
              </w:rPr>
              <w:t>Purpose and target cohort</w:t>
            </w:r>
          </w:p>
        </w:tc>
        <w:tc>
          <w:tcPr>
            <w:tcW w:w="8222" w:type="dxa"/>
            <w:tcBorders>
              <w:bottom w:val="nil"/>
            </w:tcBorders>
          </w:tcPr>
          <w:p w:rsidR="00B06E19" w:rsidRPr="00AA5F3C" w:rsidRDefault="00B06E19" w:rsidP="0040521B">
            <w:pPr>
              <w:pStyle w:val="ListParagraph"/>
              <w:numPr>
                <w:ilvl w:val="0"/>
                <w:numId w:val="28"/>
              </w:numPr>
              <w:rPr>
                <w:rFonts w:ascii="Arial" w:hAnsi="Arial" w:cs="Arial"/>
              </w:rPr>
            </w:pPr>
            <w:r w:rsidRPr="00AA5F3C">
              <w:rPr>
                <w:rFonts w:ascii="Arial" w:hAnsi="Arial" w:cs="Arial"/>
              </w:rPr>
              <w:t>Cross-sectoral review and update of the SA Workplace Learning Guidelines to ensure currency</w:t>
            </w:r>
          </w:p>
          <w:p w:rsidR="00B06E19" w:rsidRPr="00AA5F3C" w:rsidRDefault="00B06E19" w:rsidP="0040521B">
            <w:pPr>
              <w:pStyle w:val="ListParagraph"/>
              <w:numPr>
                <w:ilvl w:val="0"/>
                <w:numId w:val="28"/>
              </w:numPr>
              <w:spacing w:after="120"/>
              <w:rPr>
                <w:rFonts w:ascii="Arial" w:hAnsi="Arial" w:cs="Arial"/>
              </w:rPr>
            </w:pPr>
            <w:r w:rsidRPr="00AA5F3C">
              <w:rPr>
                <w:rFonts w:ascii="Arial" w:hAnsi="Arial" w:cs="Arial"/>
              </w:rPr>
              <w:t>To support schools in the development and delivery of their Work Place programs (inclusive of work Experience and Structured Workplace Learning)</w:t>
            </w:r>
          </w:p>
          <w:p w:rsidR="003702A5" w:rsidRPr="00AA5F3C" w:rsidRDefault="00B06E19" w:rsidP="00E619A9">
            <w:pPr>
              <w:spacing w:after="120" w:line="240" w:lineRule="auto"/>
              <w:rPr>
                <w:rFonts w:ascii="Arial" w:hAnsi="Arial" w:cs="Arial"/>
                <w:i/>
              </w:rPr>
            </w:pPr>
            <w:r w:rsidRPr="00AA5F3C">
              <w:rPr>
                <w:rFonts w:ascii="Arial" w:hAnsi="Arial" w:cs="Arial"/>
                <w:i/>
              </w:rPr>
              <w:t>School personnel responsible for Work Placement in schools</w:t>
            </w:r>
          </w:p>
        </w:tc>
      </w:tr>
      <w:tr w:rsidR="00162673" w:rsidRPr="00AA5F3C" w:rsidTr="00556879">
        <w:trPr>
          <w:trHeight w:val="684"/>
        </w:trPr>
        <w:tc>
          <w:tcPr>
            <w:tcW w:w="1809" w:type="dxa"/>
            <w:tcBorders>
              <w:bottom w:val="nil"/>
            </w:tcBorders>
          </w:tcPr>
          <w:p w:rsidR="003702A5" w:rsidRPr="00AA5F3C" w:rsidRDefault="003702A5" w:rsidP="00E619A9">
            <w:pPr>
              <w:spacing w:after="240" w:line="240" w:lineRule="auto"/>
              <w:rPr>
                <w:rFonts w:ascii="Arial" w:hAnsi="Arial" w:cs="Arial"/>
              </w:rPr>
            </w:pPr>
            <w:r w:rsidRPr="00AA5F3C">
              <w:rPr>
                <w:rFonts w:ascii="Arial" w:hAnsi="Arial" w:cs="Arial"/>
              </w:rPr>
              <w:t>Action &amp; Timing</w:t>
            </w:r>
          </w:p>
        </w:tc>
        <w:tc>
          <w:tcPr>
            <w:tcW w:w="8222" w:type="dxa"/>
            <w:tcBorders>
              <w:top w:val="nil"/>
              <w:bottom w:val="nil"/>
            </w:tcBorders>
          </w:tcPr>
          <w:p w:rsidR="003702A5" w:rsidRPr="00AA5F3C" w:rsidRDefault="006A7471" w:rsidP="00E619A9">
            <w:pPr>
              <w:ind w:left="34"/>
              <w:rPr>
                <w:rFonts w:ascii="Arial" w:hAnsi="Arial" w:cs="Arial"/>
              </w:rPr>
            </w:pPr>
            <w:r w:rsidRPr="00AA5F3C">
              <w:rPr>
                <w:rFonts w:ascii="Arial" w:hAnsi="Arial" w:cs="Arial"/>
              </w:rPr>
              <w:t xml:space="preserve">Cross-sectoral review and update of the SA Workplace Learning Guidelines </w:t>
            </w:r>
            <w:proofErr w:type="gramStart"/>
            <w:r w:rsidRPr="00AA5F3C">
              <w:rPr>
                <w:rFonts w:ascii="Arial" w:hAnsi="Arial" w:cs="Arial"/>
              </w:rPr>
              <w:t>to  meet</w:t>
            </w:r>
            <w:proofErr w:type="gramEnd"/>
            <w:r w:rsidRPr="00AA5F3C">
              <w:rPr>
                <w:rFonts w:ascii="Arial" w:hAnsi="Arial" w:cs="Arial"/>
              </w:rPr>
              <w:t xml:space="preserve"> current changes to SA Workplace Health and Safety legislation</w:t>
            </w:r>
            <w:r w:rsidR="00D8178D">
              <w:rPr>
                <w:rFonts w:ascii="Arial" w:hAnsi="Arial" w:cs="Arial"/>
              </w:rPr>
              <w:t>.</w:t>
            </w:r>
            <w:r w:rsidRPr="00AA5F3C">
              <w:rPr>
                <w:rFonts w:ascii="Arial" w:hAnsi="Arial" w:cs="Arial"/>
              </w:rPr>
              <w:t xml:space="preserve"> </w:t>
            </w:r>
          </w:p>
        </w:tc>
      </w:tr>
      <w:tr w:rsidR="00162673" w:rsidRPr="00AA5F3C" w:rsidTr="00556879">
        <w:tc>
          <w:tcPr>
            <w:tcW w:w="1809" w:type="dxa"/>
            <w:tcBorders>
              <w:bottom w:val="nil"/>
            </w:tcBorders>
          </w:tcPr>
          <w:p w:rsidR="006A7471" w:rsidRPr="00AA5F3C" w:rsidRDefault="006A7471" w:rsidP="00E619A9">
            <w:pPr>
              <w:spacing w:after="240" w:line="240" w:lineRule="auto"/>
              <w:rPr>
                <w:rFonts w:ascii="Arial" w:hAnsi="Arial" w:cs="Arial"/>
              </w:rPr>
            </w:pPr>
            <w:r w:rsidRPr="00AA5F3C">
              <w:rPr>
                <w:rFonts w:ascii="Arial" w:hAnsi="Arial" w:cs="Arial"/>
              </w:rPr>
              <w:t>Outcomes</w:t>
            </w:r>
          </w:p>
        </w:tc>
        <w:tc>
          <w:tcPr>
            <w:tcW w:w="8222" w:type="dxa"/>
            <w:tcBorders>
              <w:top w:val="nil"/>
              <w:bottom w:val="nil"/>
            </w:tcBorders>
          </w:tcPr>
          <w:p w:rsidR="006A7471" w:rsidRPr="00AA5F3C" w:rsidRDefault="006A7471" w:rsidP="0040521B">
            <w:pPr>
              <w:pStyle w:val="ListParagraph"/>
              <w:numPr>
                <w:ilvl w:val="0"/>
                <w:numId w:val="16"/>
              </w:numPr>
              <w:spacing w:after="120" w:line="240" w:lineRule="auto"/>
              <w:rPr>
                <w:rFonts w:ascii="Arial" w:hAnsi="Arial" w:cs="Arial"/>
              </w:rPr>
            </w:pPr>
            <w:r w:rsidRPr="00AA5F3C">
              <w:rPr>
                <w:rFonts w:ascii="Arial" w:hAnsi="Arial" w:cs="Arial"/>
              </w:rPr>
              <w:t>SA Workplace Learning Guidelines update, partially completed</w:t>
            </w:r>
            <w:r w:rsidR="00D8178D">
              <w:rPr>
                <w:rFonts w:ascii="Arial" w:hAnsi="Arial" w:cs="Arial"/>
              </w:rPr>
              <w:t>.</w:t>
            </w:r>
          </w:p>
        </w:tc>
      </w:tr>
      <w:tr w:rsidR="00162673" w:rsidRPr="00AA5F3C" w:rsidTr="00556879">
        <w:tc>
          <w:tcPr>
            <w:tcW w:w="1809" w:type="dxa"/>
            <w:tcBorders>
              <w:top w:val="nil"/>
              <w:bottom w:val="single" w:sz="4" w:space="0" w:color="auto"/>
            </w:tcBorders>
          </w:tcPr>
          <w:p w:rsidR="003702A5" w:rsidRPr="00AA5F3C" w:rsidRDefault="003702A5" w:rsidP="00E619A9">
            <w:pPr>
              <w:spacing w:after="240" w:line="240" w:lineRule="auto"/>
              <w:rPr>
                <w:rFonts w:ascii="Arial" w:hAnsi="Arial" w:cs="Arial"/>
              </w:rPr>
            </w:pPr>
            <w:r w:rsidRPr="00AA5F3C">
              <w:rPr>
                <w:rFonts w:ascii="Arial" w:hAnsi="Arial" w:cs="Arial"/>
              </w:rPr>
              <w:t>Cumulative Progress</w:t>
            </w:r>
          </w:p>
        </w:tc>
        <w:tc>
          <w:tcPr>
            <w:tcW w:w="8222" w:type="dxa"/>
            <w:tcBorders>
              <w:top w:val="nil"/>
              <w:bottom w:val="single" w:sz="4" w:space="0" w:color="auto"/>
            </w:tcBorders>
          </w:tcPr>
          <w:p w:rsidR="003702A5" w:rsidRPr="00AA5F3C" w:rsidRDefault="00AA45F9" w:rsidP="0040521B">
            <w:pPr>
              <w:pStyle w:val="ListParagraph"/>
              <w:numPr>
                <w:ilvl w:val="0"/>
                <w:numId w:val="11"/>
              </w:numPr>
              <w:spacing w:after="120" w:line="240" w:lineRule="auto"/>
              <w:rPr>
                <w:rFonts w:ascii="Arial" w:hAnsi="Arial" w:cs="Arial"/>
              </w:rPr>
            </w:pPr>
            <w:r w:rsidRPr="00AA5F3C">
              <w:rPr>
                <w:rFonts w:ascii="Arial" w:hAnsi="Arial" w:cs="Arial"/>
              </w:rPr>
              <w:t>The update and review of the SA Workplace Learning Guidelines has strengthened the framework for all students undertaking workplace learning activities. It builds capacity in schools to support students to understand their roles, rights and responsibilities in engaging in work placement, preparing them for future employment.</w:t>
            </w:r>
          </w:p>
        </w:tc>
      </w:tr>
      <w:tr w:rsidR="00974C58" w:rsidRPr="00AA5F3C" w:rsidTr="00556879">
        <w:tblPrEx>
          <w:tblBorders>
            <w:top w:val="none" w:sz="0" w:space="0" w:color="auto"/>
            <w:bottom w:val="single" w:sz="4" w:space="0" w:color="auto"/>
          </w:tblBorders>
        </w:tblPrEx>
        <w:tc>
          <w:tcPr>
            <w:tcW w:w="1809" w:type="dxa"/>
            <w:tcBorders>
              <w:top w:val="nil"/>
              <w:bottom w:val="nil"/>
            </w:tcBorders>
          </w:tcPr>
          <w:p w:rsidR="00974C58" w:rsidRPr="00AA5F3C" w:rsidRDefault="00974C58" w:rsidP="00E619A9">
            <w:pPr>
              <w:spacing w:after="120" w:line="240" w:lineRule="auto"/>
              <w:rPr>
                <w:rFonts w:ascii="Arial" w:hAnsi="Arial" w:cs="Arial"/>
              </w:rPr>
            </w:pPr>
            <w:r w:rsidRPr="00AA5F3C">
              <w:rPr>
                <w:rFonts w:ascii="Arial" w:hAnsi="Arial" w:cs="Arial"/>
              </w:rPr>
              <w:t>Initiative</w:t>
            </w:r>
          </w:p>
        </w:tc>
        <w:tc>
          <w:tcPr>
            <w:tcW w:w="8222" w:type="dxa"/>
            <w:tcBorders>
              <w:top w:val="nil"/>
              <w:bottom w:val="nil"/>
            </w:tcBorders>
          </w:tcPr>
          <w:p w:rsidR="00974C58" w:rsidRPr="00AA5F3C" w:rsidRDefault="00974C58" w:rsidP="00E619A9">
            <w:pPr>
              <w:spacing w:after="120" w:line="240" w:lineRule="auto"/>
              <w:rPr>
                <w:rFonts w:ascii="Arial" w:hAnsi="Arial" w:cs="Arial"/>
              </w:rPr>
            </w:pPr>
            <w:r w:rsidRPr="00AA5F3C">
              <w:rPr>
                <w:rFonts w:ascii="Arial" w:hAnsi="Arial" w:cs="Arial"/>
                <w:b/>
                <w:bCs/>
              </w:rPr>
              <w:t xml:space="preserve">Trade Training Centre Training Resource Development Grants </w:t>
            </w:r>
          </w:p>
        </w:tc>
      </w:tr>
      <w:tr w:rsidR="00974C58" w:rsidRPr="00AA5F3C" w:rsidTr="00556879">
        <w:tblPrEx>
          <w:tblBorders>
            <w:top w:val="none" w:sz="0" w:space="0" w:color="auto"/>
            <w:bottom w:val="single" w:sz="4" w:space="0" w:color="auto"/>
          </w:tblBorders>
        </w:tblPrEx>
        <w:tc>
          <w:tcPr>
            <w:tcW w:w="1809" w:type="dxa"/>
            <w:tcBorders>
              <w:top w:val="nil"/>
            </w:tcBorders>
          </w:tcPr>
          <w:p w:rsidR="00974C58" w:rsidRPr="00AA5F3C" w:rsidRDefault="00974C58" w:rsidP="00E619A9">
            <w:pPr>
              <w:spacing w:after="120" w:line="240" w:lineRule="auto"/>
              <w:rPr>
                <w:rFonts w:ascii="Arial" w:hAnsi="Arial" w:cs="Arial"/>
              </w:rPr>
            </w:pPr>
            <w:r w:rsidRPr="00AA5F3C">
              <w:rPr>
                <w:rFonts w:ascii="Arial" w:hAnsi="Arial" w:cs="Arial"/>
              </w:rPr>
              <w:t>Purpose and target cohort</w:t>
            </w:r>
          </w:p>
        </w:tc>
        <w:tc>
          <w:tcPr>
            <w:tcW w:w="8222" w:type="dxa"/>
            <w:tcBorders>
              <w:top w:val="nil"/>
            </w:tcBorders>
          </w:tcPr>
          <w:p w:rsidR="00974C58" w:rsidRPr="00AA5F3C" w:rsidRDefault="00974C58" w:rsidP="00E619A9">
            <w:pPr>
              <w:spacing w:after="120" w:line="240" w:lineRule="auto"/>
              <w:rPr>
                <w:rFonts w:ascii="Arial" w:hAnsi="Arial" w:cs="Arial"/>
              </w:rPr>
            </w:pPr>
            <w:r w:rsidRPr="00AA5F3C">
              <w:rPr>
                <w:rFonts w:ascii="Arial" w:hAnsi="Arial" w:cs="Arial"/>
              </w:rPr>
              <w:t xml:space="preserve">To support schools to establish trade training resources which meet current industry standards and </w:t>
            </w:r>
            <w:proofErr w:type="gramStart"/>
            <w:r>
              <w:rPr>
                <w:rFonts w:ascii="Arial" w:hAnsi="Arial" w:cs="Arial"/>
              </w:rPr>
              <w:t>practices.</w:t>
            </w:r>
            <w:proofErr w:type="gramEnd"/>
          </w:p>
          <w:p w:rsidR="00974C58" w:rsidRPr="00AA5F3C" w:rsidRDefault="00974C58" w:rsidP="00E619A9">
            <w:pPr>
              <w:spacing w:after="120" w:line="240" w:lineRule="auto"/>
              <w:rPr>
                <w:rFonts w:ascii="Arial" w:hAnsi="Arial" w:cs="Arial"/>
                <w:i/>
              </w:rPr>
            </w:pPr>
            <w:r w:rsidRPr="00AA5F3C">
              <w:rPr>
                <w:rFonts w:ascii="Arial" w:hAnsi="Arial" w:cs="Arial"/>
                <w:i/>
              </w:rPr>
              <w:t>Scho</w:t>
            </w:r>
            <w:r>
              <w:rPr>
                <w:rFonts w:ascii="Arial" w:hAnsi="Arial" w:cs="Arial"/>
                <w:i/>
              </w:rPr>
              <w:t>ols with Trade Training Centres</w:t>
            </w:r>
          </w:p>
        </w:tc>
      </w:tr>
      <w:tr w:rsidR="00974C58" w:rsidRPr="00AA5F3C" w:rsidTr="00556879">
        <w:tblPrEx>
          <w:tblBorders>
            <w:top w:val="none" w:sz="0" w:space="0" w:color="auto"/>
            <w:bottom w:val="single" w:sz="4" w:space="0" w:color="auto"/>
          </w:tblBorders>
        </w:tblPrEx>
        <w:tc>
          <w:tcPr>
            <w:tcW w:w="1809" w:type="dxa"/>
          </w:tcPr>
          <w:p w:rsidR="00974C58" w:rsidRPr="00AA5F3C" w:rsidRDefault="00974C58" w:rsidP="00E619A9">
            <w:pPr>
              <w:spacing w:after="120" w:line="240" w:lineRule="auto"/>
              <w:rPr>
                <w:rFonts w:ascii="Arial" w:hAnsi="Arial" w:cs="Arial"/>
              </w:rPr>
            </w:pPr>
            <w:r w:rsidRPr="00AA5F3C">
              <w:rPr>
                <w:rFonts w:ascii="Arial" w:hAnsi="Arial" w:cs="Arial"/>
              </w:rPr>
              <w:t>Action &amp; Timing</w:t>
            </w:r>
          </w:p>
        </w:tc>
        <w:tc>
          <w:tcPr>
            <w:tcW w:w="8222" w:type="dxa"/>
          </w:tcPr>
          <w:p w:rsidR="00974C58" w:rsidRPr="00AA5F3C" w:rsidRDefault="00974C58" w:rsidP="0040521B">
            <w:pPr>
              <w:pStyle w:val="ListParagraph"/>
              <w:numPr>
                <w:ilvl w:val="0"/>
                <w:numId w:val="12"/>
              </w:numPr>
              <w:spacing w:after="120" w:line="240" w:lineRule="auto"/>
              <w:rPr>
                <w:rFonts w:ascii="Arial" w:hAnsi="Arial" w:cs="Arial"/>
              </w:rPr>
            </w:pPr>
            <w:r w:rsidRPr="00AA5F3C">
              <w:rPr>
                <w:rFonts w:ascii="Arial" w:hAnsi="Arial" w:cs="Arial"/>
              </w:rPr>
              <w:t>Funding and advisory support to schools to access the Commonwealth’s Trade Training Centre program</w:t>
            </w:r>
            <w:r>
              <w:rPr>
                <w:rFonts w:ascii="Arial" w:hAnsi="Arial" w:cs="Arial"/>
              </w:rPr>
              <w:t xml:space="preserve"> and implement appropriate programs.</w:t>
            </w:r>
          </w:p>
        </w:tc>
      </w:tr>
      <w:tr w:rsidR="00974C58" w:rsidRPr="00AA5F3C" w:rsidTr="00556879">
        <w:tblPrEx>
          <w:tblBorders>
            <w:top w:val="none" w:sz="0" w:space="0" w:color="auto"/>
            <w:bottom w:val="single" w:sz="4" w:space="0" w:color="auto"/>
          </w:tblBorders>
        </w:tblPrEx>
        <w:tc>
          <w:tcPr>
            <w:tcW w:w="1809" w:type="dxa"/>
            <w:tcBorders>
              <w:bottom w:val="nil"/>
            </w:tcBorders>
          </w:tcPr>
          <w:p w:rsidR="00974C58" w:rsidRPr="00AA5F3C" w:rsidRDefault="00974C58" w:rsidP="00E619A9">
            <w:pPr>
              <w:spacing w:after="120" w:line="240" w:lineRule="auto"/>
              <w:rPr>
                <w:rFonts w:ascii="Arial" w:hAnsi="Arial" w:cs="Arial"/>
              </w:rPr>
            </w:pPr>
            <w:r w:rsidRPr="00AA5F3C">
              <w:rPr>
                <w:rFonts w:ascii="Arial" w:hAnsi="Arial" w:cs="Arial"/>
              </w:rPr>
              <w:t>Outcomes</w:t>
            </w:r>
          </w:p>
        </w:tc>
        <w:tc>
          <w:tcPr>
            <w:tcW w:w="8222" w:type="dxa"/>
            <w:tcBorders>
              <w:bottom w:val="nil"/>
            </w:tcBorders>
          </w:tcPr>
          <w:p w:rsidR="00974C58" w:rsidRPr="00AA5F3C" w:rsidRDefault="00974C58" w:rsidP="0040521B">
            <w:pPr>
              <w:pStyle w:val="ListParagraph"/>
              <w:numPr>
                <w:ilvl w:val="0"/>
                <w:numId w:val="12"/>
              </w:numPr>
              <w:spacing w:after="120" w:line="240" w:lineRule="auto"/>
              <w:rPr>
                <w:rFonts w:ascii="Arial" w:hAnsi="Arial" w:cs="Arial"/>
              </w:rPr>
            </w:pPr>
            <w:r>
              <w:rPr>
                <w:rFonts w:ascii="Arial" w:hAnsi="Arial" w:cs="Arial"/>
              </w:rPr>
              <w:t>T</w:t>
            </w:r>
            <w:r w:rsidRPr="00AA5F3C">
              <w:rPr>
                <w:rFonts w:ascii="Arial" w:hAnsi="Arial" w:cs="Arial"/>
              </w:rPr>
              <w:t>raining resources that align to current industry standards</w:t>
            </w:r>
            <w:r>
              <w:rPr>
                <w:rFonts w:ascii="Arial" w:hAnsi="Arial" w:cs="Arial"/>
              </w:rPr>
              <w:t xml:space="preserve"> have been developed. These are being used to support professional development of personnel involved and to enhance delivery of programs for young people.</w:t>
            </w:r>
          </w:p>
        </w:tc>
      </w:tr>
      <w:tr w:rsidR="00974C58" w:rsidRPr="001A58CB" w:rsidTr="00556879">
        <w:tblPrEx>
          <w:tblBorders>
            <w:top w:val="none" w:sz="0" w:space="0" w:color="auto"/>
            <w:bottom w:val="single" w:sz="4" w:space="0" w:color="auto"/>
          </w:tblBorders>
        </w:tblPrEx>
        <w:tc>
          <w:tcPr>
            <w:tcW w:w="1809" w:type="dxa"/>
            <w:tcBorders>
              <w:bottom w:val="single" w:sz="4" w:space="0" w:color="auto"/>
            </w:tcBorders>
          </w:tcPr>
          <w:p w:rsidR="00974C58" w:rsidRPr="00AA5F3C" w:rsidRDefault="00974C58" w:rsidP="00E619A9">
            <w:pPr>
              <w:spacing w:after="120" w:line="240" w:lineRule="auto"/>
              <w:rPr>
                <w:rFonts w:ascii="Arial" w:hAnsi="Arial" w:cs="Arial"/>
              </w:rPr>
            </w:pPr>
            <w:r w:rsidRPr="00AA5F3C">
              <w:rPr>
                <w:rFonts w:ascii="Arial" w:hAnsi="Arial" w:cs="Arial"/>
              </w:rPr>
              <w:t>Cumulative Progress</w:t>
            </w:r>
          </w:p>
        </w:tc>
        <w:tc>
          <w:tcPr>
            <w:tcW w:w="8222" w:type="dxa"/>
            <w:tcBorders>
              <w:bottom w:val="single" w:sz="4" w:space="0" w:color="auto"/>
            </w:tcBorders>
          </w:tcPr>
          <w:p w:rsidR="00974C58" w:rsidRPr="00AA5F3C" w:rsidRDefault="00974C58" w:rsidP="0040521B">
            <w:pPr>
              <w:pStyle w:val="ListParagraph"/>
              <w:numPr>
                <w:ilvl w:val="0"/>
                <w:numId w:val="12"/>
              </w:numPr>
              <w:spacing w:after="120" w:line="240" w:lineRule="auto"/>
              <w:rPr>
                <w:rFonts w:ascii="Arial" w:hAnsi="Arial" w:cs="Arial"/>
              </w:rPr>
            </w:pPr>
            <w:r>
              <w:rPr>
                <w:rFonts w:ascii="Arial" w:hAnsi="Arial" w:cs="Arial"/>
              </w:rPr>
              <w:t>L</w:t>
            </w:r>
            <w:r w:rsidRPr="00AA5F3C">
              <w:rPr>
                <w:rFonts w:ascii="Arial" w:hAnsi="Arial" w:cs="Arial"/>
              </w:rPr>
              <w:t>inks and partnerships between Trade Training Centres and Industry</w:t>
            </w:r>
            <w:r>
              <w:rPr>
                <w:rFonts w:ascii="Arial" w:hAnsi="Arial" w:cs="Arial"/>
              </w:rPr>
              <w:t xml:space="preserve"> </w:t>
            </w:r>
            <w:proofErr w:type="gramStart"/>
            <w:r>
              <w:rPr>
                <w:rFonts w:ascii="Arial" w:hAnsi="Arial" w:cs="Arial"/>
              </w:rPr>
              <w:t>has</w:t>
            </w:r>
            <w:proofErr w:type="gramEnd"/>
            <w:r>
              <w:rPr>
                <w:rFonts w:ascii="Arial" w:hAnsi="Arial" w:cs="Arial"/>
              </w:rPr>
              <w:t xml:space="preserve"> been strengthened.</w:t>
            </w:r>
          </w:p>
          <w:p w:rsidR="00974C58" w:rsidRDefault="00974C58" w:rsidP="0040521B">
            <w:pPr>
              <w:pStyle w:val="ListParagraph"/>
              <w:numPr>
                <w:ilvl w:val="0"/>
                <w:numId w:val="12"/>
              </w:numPr>
              <w:spacing w:after="120" w:line="240" w:lineRule="auto"/>
              <w:rPr>
                <w:rFonts w:ascii="Arial" w:hAnsi="Arial" w:cs="Arial"/>
              </w:rPr>
            </w:pPr>
            <w:r>
              <w:rPr>
                <w:rFonts w:ascii="Arial" w:hAnsi="Arial" w:cs="Arial"/>
              </w:rPr>
              <w:t>D</w:t>
            </w:r>
            <w:r w:rsidRPr="00AA5F3C">
              <w:rPr>
                <w:rFonts w:ascii="Arial" w:hAnsi="Arial" w:cs="Arial"/>
              </w:rPr>
              <w:t>emand for acce</w:t>
            </w:r>
            <w:r>
              <w:rPr>
                <w:rFonts w:ascii="Arial" w:hAnsi="Arial" w:cs="Arial"/>
              </w:rPr>
              <w:t>ss to the accredited training aligned</w:t>
            </w:r>
            <w:r w:rsidRPr="00AA5F3C">
              <w:rPr>
                <w:rFonts w:ascii="Arial" w:hAnsi="Arial" w:cs="Arial"/>
              </w:rPr>
              <w:t xml:space="preserve"> to current industry standards</w:t>
            </w:r>
            <w:r>
              <w:rPr>
                <w:rFonts w:ascii="Arial" w:hAnsi="Arial" w:cs="Arial"/>
              </w:rPr>
              <w:t xml:space="preserve"> has grown.</w:t>
            </w:r>
          </w:p>
          <w:p w:rsidR="00974C58" w:rsidRPr="001A58CB" w:rsidRDefault="00974C58" w:rsidP="0040521B">
            <w:pPr>
              <w:pStyle w:val="ListParagraph"/>
              <w:numPr>
                <w:ilvl w:val="0"/>
                <w:numId w:val="12"/>
              </w:numPr>
              <w:spacing w:after="120" w:line="240" w:lineRule="auto"/>
              <w:rPr>
                <w:rFonts w:ascii="Arial" w:hAnsi="Arial" w:cs="Arial"/>
              </w:rPr>
            </w:pPr>
            <w:r>
              <w:rPr>
                <w:rFonts w:ascii="Arial" w:hAnsi="Arial" w:cs="Arial"/>
              </w:rPr>
              <w:t>T</w:t>
            </w:r>
            <w:r w:rsidRPr="00070D8F">
              <w:rPr>
                <w:rFonts w:ascii="Arial" w:hAnsi="Arial" w:cs="Arial"/>
              </w:rPr>
              <w:t xml:space="preserve">hose providing training in Trade Training Centre programs </w:t>
            </w:r>
            <w:r>
              <w:rPr>
                <w:rFonts w:ascii="Arial" w:hAnsi="Arial" w:cs="Arial"/>
              </w:rPr>
              <w:t xml:space="preserve">are doing so with current and enhanced </w:t>
            </w:r>
            <w:r w:rsidRPr="00AA5F3C">
              <w:rPr>
                <w:rFonts w:ascii="Arial" w:hAnsi="Arial" w:cs="Arial"/>
              </w:rPr>
              <w:t>professional learning</w:t>
            </w:r>
            <w:r>
              <w:rPr>
                <w:rFonts w:ascii="Arial" w:hAnsi="Arial" w:cs="Arial"/>
              </w:rPr>
              <w:t>,</w:t>
            </w:r>
            <w:r w:rsidRPr="00AA5F3C">
              <w:rPr>
                <w:rFonts w:ascii="Arial" w:hAnsi="Arial" w:cs="Arial"/>
              </w:rPr>
              <w:t xml:space="preserve"> </w:t>
            </w:r>
            <w:r>
              <w:rPr>
                <w:rFonts w:ascii="Arial" w:hAnsi="Arial" w:cs="Arial"/>
              </w:rPr>
              <w:t>knowledge and skill.</w:t>
            </w:r>
          </w:p>
        </w:tc>
      </w:tr>
    </w:tbl>
    <w:p w:rsidR="003702A5" w:rsidRPr="00AA5F3C" w:rsidRDefault="003702A5" w:rsidP="00E619A9">
      <w:pPr>
        <w:spacing w:line="240" w:lineRule="auto"/>
        <w:rPr>
          <w:rFonts w:ascii="Arial" w:hAnsi="Arial" w:cs="Arial"/>
          <w:b/>
        </w:rPr>
      </w:pPr>
    </w:p>
    <w:tbl>
      <w:tblPr>
        <w:tblW w:w="10031" w:type="dxa"/>
        <w:tblBorders>
          <w:bottom w:val="single" w:sz="4" w:space="0" w:color="auto"/>
        </w:tblBorders>
        <w:tblLook w:val="00A0" w:firstRow="1" w:lastRow="0" w:firstColumn="1" w:lastColumn="0" w:noHBand="0" w:noVBand="0"/>
      </w:tblPr>
      <w:tblGrid>
        <w:gridCol w:w="1809"/>
        <w:gridCol w:w="8222"/>
      </w:tblGrid>
      <w:tr w:rsidR="00AA5F3C" w:rsidRPr="00AA5F3C" w:rsidTr="00556879">
        <w:tc>
          <w:tcPr>
            <w:tcW w:w="1809" w:type="dxa"/>
            <w:tcBorders>
              <w:top w:val="nil"/>
              <w:bottom w:val="nil"/>
            </w:tcBorders>
          </w:tcPr>
          <w:p w:rsidR="003702A5" w:rsidRPr="00AA5F3C" w:rsidRDefault="003702A5" w:rsidP="00E619A9">
            <w:pPr>
              <w:spacing w:after="120" w:line="240" w:lineRule="auto"/>
              <w:rPr>
                <w:rFonts w:ascii="Arial" w:hAnsi="Arial" w:cs="Arial"/>
              </w:rPr>
            </w:pPr>
            <w:r w:rsidRPr="00AA5F3C">
              <w:rPr>
                <w:rFonts w:ascii="Arial" w:hAnsi="Arial" w:cs="Arial"/>
              </w:rPr>
              <w:t>Initiative</w:t>
            </w:r>
          </w:p>
        </w:tc>
        <w:tc>
          <w:tcPr>
            <w:tcW w:w="8222" w:type="dxa"/>
            <w:tcBorders>
              <w:top w:val="nil"/>
              <w:bottom w:val="nil"/>
            </w:tcBorders>
          </w:tcPr>
          <w:p w:rsidR="003702A5" w:rsidRPr="00AA5F3C" w:rsidRDefault="003702A5" w:rsidP="00E619A9">
            <w:pPr>
              <w:spacing w:after="120" w:line="240" w:lineRule="auto"/>
              <w:rPr>
                <w:rFonts w:ascii="Arial" w:hAnsi="Arial" w:cs="Arial"/>
              </w:rPr>
            </w:pPr>
            <w:r w:rsidRPr="00AA5F3C">
              <w:rPr>
                <w:rFonts w:ascii="Arial" w:hAnsi="Arial" w:cs="Arial"/>
                <w:b/>
                <w:bCs/>
              </w:rPr>
              <w:t>School To Work Transition Student Mentoring Program</w:t>
            </w:r>
          </w:p>
        </w:tc>
      </w:tr>
      <w:tr w:rsidR="00AA5F3C" w:rsidRPr="00AA5F3C" w:rsidTr="00556879">
        <w:tc>
          <w:tcPr>
            <w:tcW w:w="1809" w:type="dxa"/>
            <w:tcBorders>
              <w:top w:val="nil"/>
            </w:tcBorders>
          </w:tcPr>
          <w:p w:rsidR="003702A5" w:rsidRPr="00AA5F3C" w:rsidRDefault="003702A5" w:rsidP="00E619A9">
            <w:pPr>
              <w:spacing w:after="120" w:line="240" w:lineRule="auto"/>
              <w:rPr>
                <w:rFonts w:ascii="Arial" w:hAnsi="Arial" w:cs="Arial"/>
              </w:rPr>
            </w:pPr>
            <w:r w:rsidRPr="00AA5F3C">
              <w:rPr>
                <w:rFonts w:ascii="Arial" w:hAnsi="Arial" w:cs="Arial"/>
              </w:rPr>
              <w:t xml:space="preserve">Purpose and </w:t>
            </w:r>
            <w:r w:rsidRPr="00AA5F3C">
              <w:rPr>
                <w:rFonts w:ascii="Arial" w:hAnsi="Arial" w:cs="Arial"/>
              </w:rPr>
              <w:lastRenderedPageBreak/>
              <w:t>target cohort</w:t>
            </w:r>
          </w:p>
        </w:tc>
        <w:tc>
          <w:tcPr>
            <w:tcW w:w="8222" w:type="dxa"/>
            <w:tcBorders>
              <w:top w:val="nil"/>
            </w:tcBorders>
          </w:tcPr>
          <w:p w:rsidR="003702A5" w:rsidRPr="00AA5F3C" w:rsidRDefault="003702A5" w:rsidP="00E619A9">
            <w:pPr>
              <w:spacing w:after="120" w:line="240" w:lineRule="auto"/>
              <w:rPr>
                <w:rFonts w:ascii="Arial" w:hAnsi="Arial" w:cs="Arial"/>
              </w:rPr>
            </w:pPr>
            <w:r w:rsidRPr="00AA5F3C">
              <w:rPr>
                <w:rFonts w:ascii="Arial" w:hAnsi="Arial" w:cs="Arial"/>
              </w:rPr>
              <w:lastRenderedPageBreak/>
              <w:t xml:space="preserve">To support students with low level literacy and / or numeracy skills, through a </w:t>
            </w:r>
            <w:r w:rsidRPr="00AA5F3C">
              <w:rPr>
                <w:rFonts w:ascii="Arial" w:hAnsi="Arial" w:cs="Arial"/>
              </w:rPr>
              <w:lastRenderedPageBreak/>
              <w:t xml:space="preserve">student mentoring vocational preparation program. </w:t>
            </w:r>
          </w:p>
          <w:p w:rsidR="003702A5" w:rsidRPr="00AA5F3C" w:rsidRDefault="003702A5" w:rsidP="00E619A9">
            <w:pPr>
              <w:spacing w:after="120" w:line="240" w:lineRule="auto"/>
              <w:rPr>
                <w:rFonts w:ascii="Arial" w:hAnsi="Arial" w:cs="Arial"/>
                <w:i/>
              </w:rPr>
            </w:pPr>
            <w:r w:rsidRPr="00AA5F3C">
              <w:rPr>
                <w:rFonts w:ascii="Arial" w:hAnsi="Arial" w:cs="Arial"/>
                <w:i/>
              </w:rPr>
              <w:t>Students aged 16+ years, exhibiting signs of disengagement from learning and school.</w:t>
            </w:r>
          </w:p>
        </w:tc>
      </w:tr>
      <w:tr w:rsidR="00AA5F3C" w:rsidRPr="00AA5F3C" w:rsidTr="00556879">
        <w:tc>
          <w:tcPr>
            <w:tcW w:w="1809" w:type="dxa"/>
          </w:tcPr>
          <w:p w:rsidR="003702A5" w:rsidRPr="00AA5F3C" w:rsidRDefault="003702A5" w:rsidP="00E619A9">
            <w:pPr>
              <w:spacing w:after="120" w:line="240" w:lineRule="auto"/>
              <w:rPr>
                <w:rFonts w:ascii="Arial" w:hAnsi="Arial" w:cs="Arial"/>
              </w:rPr>
            </w:pPr>
            <w:r w:rsidRPr="00AA5F3C">
              <w:rPr>
                <w:rFonts w:ascii="Arial" w:hAnsi="Arial" w:cs="Arial"/>
              </w:rPr>
              <w:lastRenderedPageBreak/>
              <w:t>Action &amp; Timing</w:t>
            </w:r>
          </w:p>
        </w:tc>
        <w:tc>
          <w:tcPr>
            <w:tcW w:w="8222" w:type="dxa"/>
          </w:tcPr>
          <w:p w:rsidR="003702A5" w:rsidRPr="00AA5F3C" w:rsidRDefault="003702A5" w:rsidP="0040521B">
            <w:pPr>
              <w:pStyle w:val="ListParagraph"/>
              <w:numPr>
                <w:ilvl w:val="0"/>
                <w:numId w:val="12"/>
              </w:numPr>
              <w:spacing w:after="120" w:line="240" w:lineRule="auto"/>
              <w:rPr>
                <w:rFonts w:ascii="Arial" w:hAnsi="Arial" w:cs="Arial"/>
              </w:rPr>
            </w:pPr>
            <w:r w:rsidRPr="00AA5F3C">
              <w:rPr>
                <w:rFonts w:ascii="Arial" w:hAnsi="Arial" w:cs="Arial"/>
              </w:rPr>
              <w:t>Funding to enable a mentored program which segued into other programs with a career development focus including ‘On-the-Job’ Workplace Learning program.</w:t>
            </w:r>
          </w:p>
        </w:tc>
      </w:tr>
      <w:tr w:rsidR="00AA5F3C" w:rsidRPr="00AA5F3C" w:rsidTr="00556879">
        <w:tc>
          <w:tcPr>
            <w:tcW w:w="1809" w:type="dxa"/>
          </w:tcPr>
          <w:p w:rsidR="003702A5" w:rsidRPr="00AA5F3C" w:rsidRDefault="003702A5" w:rsidP="00E619A9">
            <w:pPr>
              <w:spacing w:after="120" w:line="240" w:lineRule="auto"/>
              <w:rPr>
                <w:rFonts w:ascii="Arial" w:hAnsi="Arial" w:cs="Arial"/>
              </w:rPr>
            </w:pPr>
            <w:r w:rsidRPr="00AA5F3C">
              <w:rPr>
                <w:rFonts w:ascii="Arial" w:hAnsi="Arial" w:cs="Arial"/>
              </w:rPr>
              <w:t>Outcomes</w:t>
            </w:r>
          </w:p>
        </w:tc>
        <w:tc>
          <w:tcPr>
            <w:tcW w:w="8222" w:type="dxa"/>
          </w:tcPr>
          <w:p w:rsidR="003702A5" w:rsidRPr="00AA5F3C" w:rsidRDefault="003702A5" w:rsidP="0040521B">
            <w:pPr>
              <w:pStyle w:val="ListParagraph"/>
              <w:numPr>
                <w:ilvl w:val="0"/>
                <w:numId w:val="12"/>
              </w:numPr>
              <w:spacing w:after="120" w:line="240" w:lineRule="auto"/>
              <w:rPr>
                <w:rFonts w:ascii="Arial" w:hAnsi="Arial" w:cs="Arial"/>
              </w:rPr>
            </w:pPr>
            <w:r w:rsidRPr="00AA5F3C">
              <w:rPr>
                <w:rFonts w:ascii="Arial" w:hAnsi="Arial" w:cs="Arial"/>
              </w:rPr>
              <w:t>Opportunities to engage in contextual workplace literacy and numeracy.</w:t>
            </w:r>
          </w:p>
          <w:p w:rsidR="003702A5" w:rsidRPr="00AA5F3C" w:rsidRDefault="003702A5" w:rsidP="0040521B">
            <w:pPr>
              <w:pStyle w:val="ListParagraph"/>
              <w:numPr>
                <w:ilvl w:val="0"/>
                <w:numId w:val="12"/>
              </w:numPr>
              <w:spacing w:after="120" w:line="240" w:lineRule="auto"/>
              <w:rPr>
                <w:rFonts w:ascii="Arial" w:hAnsi="Arial" w:cs="Arial"/>
              </w:rPr>
            </w:pPr>
            <w:r w:rsidRPr="00AA5F3C">
              <w:rPr>
                <w:rFonts w:ascii="Arial" w:hAnsi="Arial" w:cs="Arial"/>
              </w:rPr>
              <w:t xml:space="preserve">Participating students achieved recognition of learning for </w:t>
            </w:r>
            <w:proofErr w:type="spellStart"/>
            <w:r w:rsidRPr="00AA5F3C">
              <w:rPr>
                <w:rFonts w:ascii="Arial" w:hAnsi="Arial" w:cs="Arial"/>
              </w:rPr>
              <w:t>SACE</w:t>
            </w:r>
            <w:proofErr w:type="spellEnd"/>
            <w:r w:rsidRPr="00AA5F3C">
              <w:rPr>
                <w:rFonts w:ascii="Arial" w:hAnsi="Arial" w:cs="Arial"/>
              </w:rPr>
              <w:t xml:space="preserve"> accreditation.</w:t>
            </w:r>
          </w:p>
        </w:tc>
      </w:tr>
      <w:tr w:rsidR="003702A5" w:rsidRPr="00AA5F3C" w:rsidTr="00556879">
        <w:tc>
          <w:tcPr>
            <w:tcW w:w="1809" w:type="dxa"/>
            <w:tcBorders>
              <w:bottom w:val="single" w:sz="4" w:space="0" w:color="auto"/>
            </w:tcBorders>
          </w:tcPr>
          <w:p w:rsidR="003702A5" w:rsidRPr="00AA5F3C" w:rsidRDefault="003702A5" w:rsidP="00E619A9">
            <w:pPr>
              <w:spacing w:after="120" w:line="240" w:lineRule="auto"/>
              <w:rPr>
                <w:rFonts w:ascii="Arial" w:hAnsi="Arial" w:cs="Arial"/>
              </w:rPr>
            </w:pPr>
            <w:r w:rsidRPr="00AA5F3C">
              <w:rPr>
                <w:rFonts w:ascii="Arial" w:hAnsi="Arial" w:cs="Arial"/>
              </w:rPr>
              <w:t>Cumulative Progress</w:t>
            </w:r>
          </w:p>
        </w:tc>
        <w:tc>
          <w:tcPr>
            <w:tcW w:w="8222" w:type="dxa"/>
            <w:tcBorders>
              <w:bottom w:val="single" w:sz="4" w:space="0" w:color="auto"/>
            </w:tcBorders>
          </w:tcPr>
          <w:p w:rsidR="003702A5" w:rsidRPr="00AA5F3C" w:rsidRDefault="003702A5" w:rsidP="0040521B">
            <w:pPr>
              <w:pStyle w:val="ListParagraph"/>
              <w:numPr>
                <w:ilvl w:val="0"/>
                <w:numId w:val="12"/>
              </w:numPr>
              <w:spacing w:after="120" w:line="240" w:lineRule="auto"/>
              <w:rPr>
                <w:rFonts w:ascii="Arial" w:hAnsi="Arial" w:cs="Arial"/>
              </w:rPr>
            </w:pPr>
            <w:r w:rsidRPr="00AA5F3C">
              <w:rPr>
                <w:rFonts w:ascii="Arial" w:hAnsi="Arial" w:cs="Arial"/>
              </w:rPr>
              <w:t xml:space="preserve">Participants’ improved attendance at school and subsequent completion of the </w:t>
            </w:r>
            <w:proofErr w:type="spellStart"/>
            <w:r w:rsidRPr="00AA5F3C">
              <w:rPr>
                <w:rFonts w:ascii="Arial" w:hAnsi="Arial" w:cs="Arial"/>
              </w:rPr>
              <w:t>SACE</w:t>
            </w:r>
            <w:proofErr w:type="spellEnd"/>
          </w:p>
          <w:p w:rsidR="003702A5" w:rsidRPr="00AA5F3C" w:rsidRDefault="003702A5" w:rsidP="0040521B">
            <w:pPr>
              <w:pStyle w:val="ListParagraph"/>
              <w:numPr>
                <w:ilvl w:val="0"/>
                <w:numId w:val="12"/>
              </w:numPr>
              <w:spacing w:after="120" w:line="240" w:lineRule="auto"/>
              <w:rPr>
                <w:rFonts w:ascii="Arial" w:hAnsi="Arial" w:cs="Arial"/>
              </w:rPr>
            </w:pPr>
            <w:r w:rsidRPr="00AA5F3C">
              <w:rPr>
                <w:rFonts w:ascii="Arial" w:hAnsi="Arial" w:cs="Arial"/>
              </w:rPr>
              <w:t>Increased appreciation</w:t>
            </w:r>
            <w:r w:rsidR="002828C3" w:rsidRPr="00AA5F3C">
              <w:rPr>
                <w:rFonts w:ascii="Arial" w:hAnsi="Arial" w:cs="Arial"/>
              </w:rPr>
              <w:t xml:space="preserve"> by schools and young people</w:t>
            </w:r>
            <w:r w:rsidRPr="00AA5F3C">
              <w:rPr>
                <w:rFonts w:ascii="Arial" w:hAnsi="Arial" w:cs="Arial"/>
              </w:rPr>
              <w:t xml:space="preserve"> </w:t>
            </w:r>
            <w:r w:rsidR="002828C3" w:rsidRPr="00AA5F3C">
              <w:rPr>
                <w:rFonts w:ascii="Arial" w:hAnsi="Arial" w:cs="Arial"/>
              </w:rPr>
              <w:t>of the need for</w:t>
            </w:r>
            <w:r w:rsidRPr="00AA5F3C">
              <w:rPr>
                <w:rFonts w:ascii="Arial" w:hAnsi="Arial" w:cs="Arial"/>
              </w:rPr>
              <w:t xml:space="preserve"> strong literacy and numeracy as key employability skills</w:t>
            </w:r>
          </w:p>
          <w:p w:rsidR="003702A5" w:rsidRPr="00AA5F3C" w:rsidRDefault="003702A5" w:rsidP="0040521B">
            <w:pPr>
              <w:pStyle w:val="ListParagraph"/>
              <w:numPr>
                <w:ilvl w:val="0"/>
                <w:numId w:val="12"/>
              </w:numPr>
              <w:spacing w:after="120" w:line="240" w:lineRule="auto"/>
              <w:rPr>
                <w:rFonts w:ascii="Arial" w:hAnsi="Arial" w:cs="Arial"/>
              </w:rPr>
            </w:pPr>
            <w:r w:rsidRPr="00AA5F3C">
              <w:rPr>
                <w:rFonts w:ascii="Arial" w:hAnsi="Arial" w:cs="Arial"/>
              </w:rPr>
              <w:t>A greater capacity amongst students who felt empowered to make key transition pathway decisions.</w:t>
            </w:r>
          </w:p>
        </w:tc>
      </w:tr>
    </w:tbl>
    <w:p w:rsidR="003702A5" w:rsidRPr="00AA5F3C" w:rsidRDefault="003702A5" w:rsidP="00E619A9">
      <w:pPr>
        <w:spacing w:line="240" w:lineRule="auto"/>
        <w:rPr>
          <w:rFonts w:ascii="Arial" w:hAnsi="Arial" w:cs="Arial"/>
          <w:b/>
        </w:rPr>
      </w:pPr>
    </w:p>
    <w:tbl>
      <w:tblPr>
        <w:tblW w:w="10031" w:type="dxa"/>
        <w:tblBorders>
          <w:bottom w:val="single" w:sz="4" w:space="0" w:color="auto"/>
        </w:tblBorders>
        <w:tblLook w:val="00A0" w:firstRow="1" w:lastRow="0" w:firstColumn="1" w:lastColumn="0" w:noHBand="0" w:noVBand="0"/>
      </w:tblPr>
      <w:tblGrid>
        <w:gridCol w:w="1809"/>
        <w:gridCol w:w="8222"/>
      </w:tblGrid>
      <w:tr w:rsidR="00AA5F3C" w:rsidRPr="00AA5F3C" w:rsidTr="00556879">
        <w:tc>
          <w:tcPr>
            <w:tcW w:w="1809" w:type="dxa"/>
            <w:tcBorders>
              <w:top w:val="nil"/>
              <w:bottom w:val="nil"/>
            </w:tcBorders>
          </w:tcPr>
          <w:p w:rsidR="003702A5" w:rsidRPr="00AA5F3C" w:rsidRDefault="003702A5" w:rsidP="00E619A9">
            <w:pPr>
              <w:spacing w:after="120" w:line="240" w:lineRule="auto"/>
              <w:rPr>
                <w:rFonts w:ascii="Arial" w:hAnsi="Arial" w:cs="Arial"/>
              </w:rPr>
            </w:pPr>
            <w:r w:rsidRPr="00AA5F3C">
              <w:rPr>
                <w:rFonts w:ascii="Arial" w:hAnsi="Arial" w:cs="Arial"/>
              </w:rPr>
              <w:t>Initiative</w:t>
            </w:r>
          </w:p>
        </w:tc>
        <w:tc>
          <w:tcPr>
            <w:tcW w:w="8222" w:type="dxa"/>
            <w:tcBorders>
              <w:top w:val="nil"/>
              <w:bottom w:val="nil"/>
            </w:tcBorders>
          </w:tcPr>
          <w:p w:rsidR="003702A5" w:rsidRPr="00AA5F3C" w:rsidRDefault="006365DA" w:rsidP="00E619A9">
            <w:pPr>
              <w:spacing w:after="120" w:line="240" w:lineRule="auto"/>
              <w:rPr>
                <w:rFonts w:ascii="Arial" w:hAnsi="Arial" w:cs="Arial"/>
              </w:rPr>
            </w:pPr>
            <w:r w:rsidRPr="00AA5F3C">
              <w:rPr>
                <w:rFonts w:ascii="Arial" w:hAnsi="Arial" w:cs="Arial"/>
                <w:b/>
                <w:bCs/>
              </w:rPr>
              <w:t xml:space="preserve">School Based Apprenticeship/Traineeship </w:t>
            </w:r>
            <w:r w:rsidR="003702A5" w:rsidRPr="00AA5F3C">
              <w:rPr>
                <w:rFonts w:ascii="Arial" w:hAnsi="Arial" w:cs="Arial"/>
                <w:b/>
                <w:bCs/>
              </w:rPr>
              <w:t>– Capacity building</w:t>
            </w:r>
          </w:p>
        </w:tc>
      </w:tr>
      <w:tr w:rsidR="00AA5F3C" w:rsidRPr="00AA5F3C" w:rsidTr="00556879">
        <w:tc>
          <w:tcPr>
            <w:tcW w:w="1809" w:type="dxa"/>
            <w:tcBorders>
              <w:top w:val="nil"/>
            </w:tcBorders>
          </w:tcPr>
          <w:p w:rsidR="003702A5" w:rsidRPr="00AA5F3C" w:rsidRDefault="003702A5" w:rsidP="00E619A9">
            <w:pPr>
              <w:spacing w:after="120" w:line="240" w:lineRule="auto"/>
              <w:rPr>
                <w:rFonts w:ascii="Arial" w:hAnsi="Arial" w:cs="Arial"/>
              </w:rPr>
            </w:pPr>
            <w:r w:rsidRPr="00AA5F3C">
              <w:rPr>
                <w:rFonts w:ascii="Arial" w:hAnsi="Arial" w:cs="Arial"/>
              </w:rPr>
              <w:t>Purpose and target cohort</w:t>
            </w:r>
          </w:p>
        </w:tc>
        <w:tc>
          <w:tcPr>
            <w:tcW w:w="8222" w:type="dxa"/>
            <w:tcBorders>
              <w:top w:val="nil"/>
            </w:tcBorders>
          </w:tcPr>
          <w:p w:rsidR="003702A5" w:rsidRPr="00AA5F3C" w:rsidRDefault="003702A5" w:rsidP="0040521B">
            <w:pPr>
              <w:pStyle w:val="ListParagraph"/>
              <w:numPr>
                <w:ilvl w:val="0"/>
                <w:numId w:val="12"/>
              </w:numPr>
              <w:spacing w:after="120" w:line="240" w:lineRule="auto"/>
              <w:rPr>
                <w:rFonts w:ascii="Arial" w:hAnsi="Arial" w:cs="Arial"/>
              </w:rPr>
            </w:pPr>
            <w:r w:rsidRPr="00AA5F3C">
              <w:rPr>
                <w:rFonts w:ascii="Arial" w:hAnsi="Arial" w:cs="Arial"/>
              </w:rPr>
              <w:t>To support the establishment, management and inclusion</w:t>
            </w:r>
            <w:r w:rsidR="006365DA" w:rsidRPr="00AA5F3C">
              <w:rPr>
                <w:rFonts w:ascii="Arial" w:hAnsi="Arial" w:cs="Arial"/>
              </w:rPr>
              <w:t xml:space="preserve"> of school-based apprenticeship/</w:t>
            </w:r>
            <w:r w:rsidRPr="00AA5F3C">
              <w:rPr>
                <w:rFonts w:ascii="Arial" w:hAnsi="Arial" w:cs="Arial"/>
              </w:rPr>
              <w:t>trainee</w:t>
            </w:r>
            <w:r w:rsidR="006365DA" w:rsidRPr="00AA5F3C">
              <w:rPr>
                <w:rFonts w:ascii="Arial" w:hAnsi="Arial" w:cs="Arial"/>
              </w:rPr>
              <w:t>ship (</w:t>
            </w:r>
            <w:proofErr w:type="spellStart"/>
            <w:r w:rsidR="006365DA" w:rsidRPr="00AA5F3C">
              <w:rPr>
                <w:rFonts w:ascii="Arial" w:hAnsi="Arial" w:cs="Arial"/>
              </w:rPr>
              <w:t>SBAT</w:t>
            </w:r>
            <w:proofErr w:type="spellEnd"/>
            <w:r w:rsidR="006365DA" w:rsidRPr="00AA5F3C">
              <w:rPr>
                <w:rFonts w:ascii="Arial" w:hAnsi="Arial" w:cs="Arial"/>
              </w:rPr>
              <w:t>)</w:t>
            </w:r>
            <w:r w:rsidRPr="00AA5F3C">
              <w:rPr>
                <w:rFonts w:ascii="Arial" w:hAnsi="Arial" w:cs="Arial"/>
              </w:rPr>
              <w:t xml:space="preserve"> arrangements into recognised school curriculum options for students.</w:t>
            </w:r>
          </w:p>
          <w:p w:rsidR="002D1319" w:rsidRPr="002D1319" w:rsidRDefault="002D1319" w:rsidP="0040521B">
            <w:pPr>
              <w:pStyle w:val="ListParagraph"/>
              <w:numPr>
                <w:ilvl w:val="0"/>
                <w:numId w:val="12"/>
              </w:numPr>
              <w:spacing w:after="120" w:line="240" w:lineRule="auto"/>
              <w:rPr>
                <w:rFonts w:ascii="Arial" w:eastAsia="Calibri" w:hAnsi="Arial" w:cs="Arial"/>
              </w:rPr>
            </w:pPr>
            <w:r w:rsidRPr="002D1319">
              <w:rPr>
                <w:rFonts w:ascii="Arial" w:eastAsia="Calibri" w:hAnsi="Arial" w:cs="Arial"/>
              </w:rPr>
              <w:t xml:space="preserve">To build capacity within schools to support students’ decision making in entering sustainable </w:t>
            </w:r>
            <w:proofErr w:type="spellStart"/>
            <w:r w:rsidRPr="002D1319">
              <w:rPr>
                <w:rFonts w:ascii="Arial" w:eastAsia="Calibri" w:hAnsi="Arial" w:cs="Arial"/>
              </w:rPr>
              <w:t>SBATs</w:t>
            </w:r>
            <w:proofErr w:type="spellEnd"/>
            <w:r w:rsidRPr="002D1319">
              <w:rPr>
                <w:rFonts w:ascii="Arial" w:eastAsia="Calibri" w:hAnsi="Arial" w:cs="Arial"/>
              </w:rPr>
              <w:t xml:space="preserve"> that also encourage achievement of their </w:t>
            </w:r>
            <w:proofErr w:type="spellStart"/>
            <w:r w:rsidRPr="002D1319">
              <w:rPr>
                <w:rFonts w:ascii="Arial" w:eastAsia="Calibri" w:hAnsi="Arial" w:cs="Arial"/>
              </w:rPr>
              <w:t>SACE</w:t>
            </w:r>
            <w:proofErr w:type="spellEnd"/>
          </w:p>
          <w:p w:rsidR="003702A5" w:rsidRPr="00AA5F3C" w:rsidRDefault="003702A5" w:rsidP="00E619A9">
            <w:pPr>
              <w:spacing w:after="120" w:line="240" w:lineRule="auto"/>
              <w:rPr>
                <w:rFonts w:ascii="Arial" w:hAnsi="Arial" w:cs="Arial"/>
                <w:i/>
              </w:rPr>
            </w:pPr>
            <w:r w:rsidRPr="00AA5F3C">
              <w:rPr>
                <w:rFonts w:ascii="Arial" w:hAnsi="Arial" w:cs="Arial"/>
                <w:i/>
              </w:rPr>
              <w:t xml:space="preserve">School personnel responsible for </w:t>
            </w:r>
            <w:proofErr w:type="spellStart"/>
            <w:r w:rsidR="002D1319" w:rsidRPr="00AA5F3C">
              <w:rPr>
                <w:rFonts w:ascii="Arial" w:hAnsi="Arial" w:cs="Arial"/>
                <w:i/>
              </w:rPr>
              <w:t>SBATs</w:t>
            </w:r>
            <w:proofErr w:type="spellEnd"/>
            <w:r w:rsidRPr="00AA5F3C">
              <w:rPr>
                <w:rFonts w:ascii="Arial" w:hAnsi="Arial" w:cs="Arial"/>
                <w:i/>
              </w:rPr>
              <w:t xml:space="preserve"> in schools</w:t>
            </w:r>
          </w:p>
        </w:tc>
      </w:tr>
      <w:tr w:rsidR="00AA5F3C" w:rsidRPr="00AA5F3C" w:rsidTr="00556879">
        <w:tc>
          <w:tcPr>
            <w:tcW w:w="1809" w:type="dxa"/>
          </w:tcPr>
          <w:p w:rsidR="003702A5" w:rsidRPr="00AA5F3C" w:rsidRDefault="003702A5" w:rsidP="00E619A9">
            <w:pPr>
              <w:spacing w:after="120" w:line="240" w:lineRule="auto"/>
              <w:rPr>
                <w:rFonts w:ascii="Arial" w:hAnsi="Arial" w:cs="Arial"/>
              </w:rPr>
            </w:pPr>
            <w:r w:rsidRPr="00AA5F3C">
              <w:rPr>
                <w:rFonts w:ascii="Arial" w:hAnsi="Arial" w:cs="Arial"/>
              </w:rPr>
              <w:t>Action &amp; Timing</w:t>
            </w:r>
          </w:p>
        </w:tc>
        <w:tc>
          <w:tcPr>
            <w:tcW w:w="8222" w:type="dxa"/>
          </w:tcPr>
          <w:p w:rsidR="003702A5" w:rsidRPr="00AA5F3C" w:rsidRDefault="003702A5" w:rsidP="00E619A9">
            <w:pPr>
              <w:pStyle w:val="ListParagraph"/>
              <w:spacing w:after="120" w:line="240" w:lineRule="auto"/>
              <w:ind w:left="0"/>
              <w:rPr>
                <w:rFonts w:ascii="Arial" w:hAnsi="Arial" w:cs="Arial"/>
              </w:rPr>
            </w:pPr>
            <w:r w:rsidRPr="00AA5F3C">
              <w:rPr>
                <w:rFonts w:ascii="Arial" w:hAnsi="Arial" w:cs="Arial"/>
              </w:rPr>
              <w:t xml:space="preserve">Creation of a </w:t>
            </w:r>
            <w:proofErr w:type="spellStart"/>
            <w:r w:rsidR="00074664" w:rsidRPr="00AA5F3C">
              <w:rPr>
                <w:rFonts w:ascii="Arial" w:hAnsi="Arial" w:cs="Arial"/>
              </w:rPr>
              <w:t>SBAT</w:t>
            </w:r>
            <w:proofErr w:type="spellEnd"/>
            <w:r w:rsidRPr="00AA5F3C">
              <w:rPr>
                <w:rFonts w:ascii="Arial" w:hAnsi="Arial" w:cs="Arial"/>
              </w:rPr>
              <w:t xml:space="preserve"> resource through ongoing cross-sectoral collaboration</w:t>
            </w:r>
            <w:r w:rsidR="00074664" w:rsidRPr="00AA5F3C">
              <w:rPr>
                <w:rFonts w:ascii="Arial" w:hAnsi="Arial" w:cs="Arial"/>
              </w:rPr>
              <w:t>. D</w:t>
            </w:r>
            <w:r w:rsidRPr="00AA5F3C">
              <w:rPr>
                <w:rFonts w:ascii="Arial" w:hAnsi="Arial" w:cs="Arial"/>
              </w:rPr>
              <w:t>uring 2012:</w:t>
            </w:r>
          </w:p>
          <w:p w:rsidR="003702A5" w:rsidRPr="00AA5F3C" w:rsidRDefault="00074664" w:rsidP="0040521B">
            <w:pPr>
              <w:pStyle w:val="ListParagraph"/>
              <w:numPr>
                <w:ilvl w:val="0"/>
                <w:numId w:val="12"/>
              </w:numPr>
              <w:spacing w:after="120" w:line="240" w:lineRule="auto"/>
              <w:rPr>
                <w:rFonts w:ascii="Arial" w:hAnsi="Arial" w:cs="Arial"/>
              </w:rPr>
            </w:pPr>
            <w:r w:rsidRPr="00AA5F3C">
              <w:rPr>
                <w:rFonts w:ascii="Arial" w:hAnsi="Arial" w:cs="Arial"/>
              </w:rPr>
              <w:t>Ongoing c</w:t>
            </w:r>
            <w:r w:rsidR="003702A5" w:rsidRPr="00AA5F3C">
              <w:rPr>
                <w:rFonts w:ascii="Arial" w:hAnsi="Arial" w:cs="Arial"/>
              </w:rPr>
              <w:t xml:space="preserve">onsultancy for the development of the </w:t>
            </w:r>
            <w:proofErr w:type="spellStart"/>
            <w:r w:rsidRPr="00AA5F3C">
              <w:rPr>
                <w:rFonts w:ascii="Arial" w:hAnsi="Arial" w:cs="Arial"/>
              </w:rPr>
              <w:t>SBAT</w:t>
            </w:r>
            <w:proofErr w:type="spellEnd"/>
            <w:r w:rsidRPr="00AA5F3C">
              <w:rPr>
                <w:rFonts w:ascii="Arial" w:hAnsi="Arial" w:cs="Arial"/>
              </w:rPr>
              <w:t xml:space="preserve"> </w:t>
            </w:r>
            <w:r w:rsidR="003702A5" w:rsidRPr="00AA5F3C">
              <w:rPr>
                <w:rFonts w:ascii="Arial" w:hAnsi="Arial" w:cs="Arial"/>
              </w:rPr>
              <w:t>resource</w:t>
            </w:r>
          </w:p>
          <w:p w:rsidR="00074664" w:rsidRPr="00AA5F3C" w:rsidRDefault="00074664" w:rsidP="0040521B">
            <w:pPr>
              <w:pStyle w:val="ListParagraph"/>
              <w:numPr>
                <w:ilvl w:val="0"/>
                <w:numId w:val="12"/>
              </w:numPr>
              <w:rPr>
                <w:rFonts w:ascii="Arial" w:hAnsi="Arial" w:cs="Arial"/>
              </w:rPr>
            </w:pPr>
            <w:r w:rsidRPr="00AA5F3C">
              <w:rPr>
                <w:rFonts w:ascii="Arial" w:hAnsi="Arial" w:cs="Arial"/>
              </w:rPr>
              <w:t xml:space="preserve">Establishment of a reference group to review and provide feedback of the </w:t>
            </w:r>
            <w:proofErr w:type="spellStart"/>
            <w:r w:rsidRPr="00AA5F3C">
              <w:rPr>
                <w:rFonts w:ascii="Arial" w:hAnsi="Arial" w:cs="Arial"/>
              </w:rPr>
              <w:t>SBAT</w:t>
            </w:r>
            <w:proofErr w:type="spellEnd"/>
            <w:r w:rsidRPr="00AA5F3C">
              <w:rPr>
                <w:rFonts w:ascii="Arial" w:hAnsi="Arial" w:cs="Arial"/>
              </w:rPr>
              <w:t xml:space="preserve"> resource</w:t>
            </w:r>
          </w:p>
          <w:p w:rsidR="003702A5" w:rsidRPr="00AA5F3C" w:rsidRDefault="003702A5" w:rsidP="0040521B">
            <w:pPr>
              <w:pStyle w:val="ListParagraph"/>
              <w:numPr>
                <w:ilvl w:val="0"/>
                <w:numId w:val="13"/>
              </w:numPr>
              <w:spacing w:after="120" w:line="240" w:lineRule="auto"/>
              <w:rPr>
                <w:rFonts w:ascii="Arial" w:hAnsi="Arial" w:cs="Arial"/>
              </w:rPr>
            </w:pPr>
            <w:r w:rsidRPr="00AA5F3C">
              <w:rPr>
                <w:rFonts w:ascii="Arial" w:hAnsi="Arial" w:cs="Arial"/>
              </w:rPr>
              <w:t xml:space="preserve">Funding to schools to enable teacher release for professional development </w:t>
            </w:r>
          </w:p>
          <w:p w:rsidR="00074664" w:rsidRPr="00AA5F3C" w:rsidRDefault="00074664" w:rsidP="0040521B">
            <w:pPr>
              <w:pStyle w:val="ListParagraph"/>
              <w:numPr>
                <w:ilvl w:val="0"/>
                <w:numId w:val="13"/>
              </w:numPr>
              <w:spacing w:after="120" w:line="240" w:lineRule="auto"/>
              <w:rPr>
                <w:rFonts w:ascii="Arial" w:hAnsi="Arial" w:cs="Arial"/>
              </w:rPr>
            </w:pPr>
            <w:proofErr w:type="spellStart"/>
            <w:r w:rsidRPr="00AA5F3C">
              <w:rPr>
                <w:rFonts w:ascii="Arial" w:eastAsia="Calibri" w:hAnsi="Arial" w:cs="Arial"/>
              </w:rPr>
              <w:t>SBAT</w:t>
            </w:r>
            <w:proofErr w:type="spellEnd"/>
            <w:r w:rsidRPr="00AA5F3C">
              <w:rPr>
                <w:rFonts w:ascii="Arial" w:eastAsia="Calibri" w:hAnsi="Arial" w:cs="Arial"/>
              </w:rPr>
              <w:t xml:space="preserve"> resource finalised, produced and distributed in 2013</w:t>
            </w:r>
          </w:p>
        </w:tc>
      </w:tr>
      <w:tr w:rsidR="00AA5F3C" w:rsidRPr="00AA5F3C" w:rsidTr="00556879">
        <w:tc>
          <w:tcPr>
            <w:tcW w:w="1809" w:type="dxa"/>
          </w:tcPr>
          <w:p w:rsidR="003702A5" w:rsidRPr="00AA5F3C" w:rsidRDefault="003702A5" w:rsidP="00E619A9">
            <w:pPr>
              <w:spacing w:after="240" w:line="240" w:lineRule="auto"/>
              <w:rPr>
                <w:rFonts w:ascii="Arial" w:hAnsi="Arial" w:cs="Arial"/>
              </w:rPr>
            </w:pPr>
            <w:r w:rsidRPr="00AA5F3C">
              <w:rPr>
                <w:rFonts w:ascii="Arial" w:hAnsi="Arial" w:cs="Arial"/>
              </w:rPr>
              <w:t>Outcomes</w:t>
            </w:r>
          </w:p>
        </w:tc>
        <w:tc>
          <w:tcPr>
            <w:tcW w:w="8222" w:type="dxa"/>
          </w:tcPr>
          <w:p w:rsidR="003702A5" w:rsidRPr="00AA5F3C" w:rsidRDefault="00074664" w:rsidP="0040521B">
            <w:pPr>
              <w:pStyle w:val="ListParagraph"/>
              <w:numPr>
                <w:ilvl w:val="0"/>
                <w:numId w:val="13"/>
              </w:numPr>
              <w:spacing w:after="120" w:line="240" w:lineRule="auto"/>
              <w:rPr>
                <w:rFonts w:ascii="Arial" w:eastAsia="Calibri" w:hAnsi="Arial" w:cs="Arial"/>
              </w:rPr>
            </w:pPr>
            <w:r w:rsidRPr="00857502">
              <w:rPr>
                <w:rFonts w:ascii="Arial" w:hAnsi="Arial" w:cs="Arial"/>
              </w:rPr>
              <w:t>Development</w:t>
            </w:r>
            <w:r w:rsidRPr="00AA5F3C">
              <w:rPr>
                <w:rFonts w:ascii="Arial" w:eastAsia="Calibri" w:hAnsi="Arial" w:cs="Arial"/>
              </w:rPr>
              <w:t xml:space="preserve"> and production of framework and draft </w:t>
            </w:r>
            <w:proofErr w:type="spellStart"/>
            <w:r w:rsidRPr="00AA5F3C">
              <w:rPr>
                <w:rFonts w:ascii="Arial" w:eastAsia="Calibri" w:hAnsi="Arial" w:cs="Arial"/>
              </w:rPr>
              <w:t>SBAT</w:t>
            </w:r>
            <w:proofErr w:type="spellEnd"/>
            <w:r w:rsidRPr="00AA5F3C">
              <w:rPr>
                <w:rFonts w:ascii="Arial" w:eastAsia="Calibri" w:hAnsi="Arial" w:cs="Arial"/>
              </w:rPr>
              <w:t xml:space="preserve"> resource ready for wider consultation with schools in 2013</w:t>
            </w:r>
          </w:p>
          <w:p w:rsidR="00074664" w:rsidRPr="00AA5F3C" w:rsidRDefault="00074664" w:rsidP="0040521B">
            <w:pPr>
              <w:pStyle w:val="ListParagraph"/>
              <w:numPr>
                <w:ilvl w:val="0"/>
                <w:numId w:val="13"/>
              </w:numPr>
              <w:spacing w:after="120" w:line="240" w:lineRule="auto"/>
              <w:rPr>
                <w:rFonts w:ascii="Arial" w:hAnsi="Arial" w:cs="Arial"/>
              </w:rPr>
            </w:pPr>
            <w:r w:rsidRPr="00AA5F3C">
              <w:rPr>
                <w:rFonts w:ascii="Arial" w:eastAsia="Calibri" w:hAnsi="Arial" w:cs="Arial"/>
              </w:rPr>
              <w:t>Expanded capacity within schools to more effectively support student career pathway decisions</w:t>
            </w:r>
          </w:p>
        </w:tc>
      </w:tr>
      <w:tr w:rsidR="003702A5" w:rsidRPr="00AA5F3C" w:rsidTr="00556879">
        <w:tc>
          <w:tcPr>
            <w:tcW w:w="1809" w:type="dxa"/>
            <w:tcBorders>
              <w:bottom w:val="single" w:sz="4" w:space="0" w:color="auto"/>
            </w:tcBorders>
          </w:tcPr>
          <w:p w:rsidR="003702A5" w:rsidRPr="00AA5F3C" w:rsidRDefault="003702A5" w:rsidP="00E619A9">
            <w:pPr>
              <w:spacing w:after="240" w:line="240" w:lineRule="auto"/>
              <w:rPr>
                <w:rFonts w:ascii="Arial" w:hAnsi="Arial" w:cs="Arial"/>
              </w:rPr>
            </w:pPr>
            <w:r w:rsidRPr="00AA5F3C">
              <w:rPr>
                <w:rFonts w:ascii="Arial" w:hAnsi="Arial" w:cs="Arial"/>
              </w:rPr>
              <w:t>Cumulative Progress</w:t>
            </w:r>
          </w:p>
        </w:tc>
        <w:tc>
          <w:tcPr>
            <w:tcW w:w="8222" w:type="dxa"/>
            <w:tcBorders>
              <w:bottom w:val="single" w:sz="4" w:space="0" w:color="auto"/>
            </w:tcBorders>
          </w:tcPr>
          <w:p w:rsidR="003702A5" w:rsidRPr="00AA5F3C" w:rsidRDefault="003702A5" w:rsidP="00E619A9">
            <w:pPr>
              <w:spacing w:line="240" w:lineRule="auto"/>
              <w:rPr>
                <w:rFonts w:ascii="Arial" w:hAnsi="Arial" w:cs="Arial"/>
              </w:rPr>
            </w:pPr>
            <w:r w:rsidRPr="00AA5F3C">
              <w:rPr>
                <w:rFonts w:ascii="Arial" w:hAnsi="Arial" w:cs="Arial"/>
              </w:rPr>
              <w:t>Initial consultation has shown great support for the resource providing valuable comment for consideration.</w:t>
            </w:r>
          </w:p>
        </w:tc>
      </w:tr>
    </w:tbl>
    <w:p w:rsidR="003702A5" w:rsidRPr="00AA5F3C" w:rsidRDefault="003702A5" w:rsidP="00202C25">
      <w:pPr>
        <w:pStyle w:val="Heading3"/>
      </w:pPr>
      <w:r w:rsidRPr="00AA5F3C">
        <w:t>Career Development:</w:t>
      </w:r>
    </w:p>
    <w:tbl>
      <w:tblPr>
        <w:tblW w:w="10031" w:type="dxa"/>
        <w:tblLook w:val="06A0" w:firstRow="1" w:lastRow="0" w:firstColumn="1" w:lastColumn="0" w:noHBand="1" w:noVBand="1"/>
      </w:tblPr>
      <w:tblGrid>
        <w:gridCol w:w="1809"/>
        <w:gridCol w:w="8222"/>
      </w:tblGrid>
      <w:tr w:rsidR="00AA5F3C" w:rsidRPr="00AA5F3C" w:rsidTr="00556879">
        <w:tc>
          <w:tcPr>
            <w:tcW w:w="1809" w:type="dxa"/>
            <w:tcBorders>
              <w:top w:val="single" w:sz="4" w:space="0" w:color="auto"/>
            </w:tcBorders>
          </w:tcPr>
          <w:p w:rsidR="003702A5" w:rsidRPr="00AA5F3C" w:rsidRDefault="003702A5" w:rsidP="00E619A9">
            <w:pPr>
              <w:spacing w:before="120" w:after="120" w:line="240" w:lineRule="auto"/>
              <w:rPr>
                <w:rFonts w:ascii="Arial" w:hAnsi="Arial" w:cs="Arial"/>
              </w:rPr>
            </w:pPr>
            <w:r w:rsidRPr="00AA5F3C">
              <w:rPr>
                <w:rFonts w:ascii="Arial" w:hAnsi="Arial" w:cs="Arial"/>
              </w:rPr>
              <w:t>Initiative</w:t>
            </w:r>
          </w:p>
        </w:tc>
        <w:tc>
          <w:tcPr>
            <w:tcW w:w="8222" w:type="dxa"/>
            <w:tcBorders>
              <w:top w:val="single" w:sz="4" w:space="0" w:color="auto"/>
            </w:tcBorders>
          </w:tcPr>
          <w:p w:rsidR="003702A5" w:rsidRPr="00AA5F3C" w:rsidRDefault="003702A5" w:rsidP="00E619A9">
            <w:pPr>
              <w:spacing w:before="120" w:after="120" w:line="240" w:lineRule="auto"/>
              <w:rPr>
                <w:rFonts w:ascii="Arial" w:hAnsi="Arial" w:cs="Arial"/>
                <w:b/>
                <w:bCs/>
              </w:rPr>
            </w:pPr>
            <w:r w:rsidRPr="00AA5F3C">
              <w:rPr>
                <w:rFonts w:ascii="Arial" w:hAnsi="Arial" w:cs="Arial"/>
                <w:b/>
                <w:bCs/>
              </w:rPr>
              <w:t xml:space="preserve">Professional Learning in Career Development </w:t>
            </w:r>
          </w:p>
        </w:tc>
      </w:tr>
      <w:tr w:rsidR="00AA5F3C" w:rsidRPr="00AA5F3C" w:rsidTr="00556879">
        <w:tc>
          <w:tcPr>
            <w:tcW w:w="1809" w:type="dxa"/>
          </w:tcPr>
          <w:p w:rsidR="003702A5" w:rsidRPr="00AA5F3C" w:rsidRDefault="003702A5" w:rsidP="00E619A9">
            <w:pPr>
              <w:spacing w:after="120" w:line="240" w:lineRule="auto"/>
              <w:rPr>
                <w:rFonts w:ascii="Arial" w:hAnsi="Arial" w:cs="Arial"/>
              </w:rPr>
            </w:pPr>
            <w:r w:rsidRPr="00AA5F3C">
              <w:rPr>
                <w:rFonts w:ascii="Arial" w:hAnsi="Arial" w:cs="Arial"/>
              </w:rPr>
              <w:t>Purpose and target cohort</w:t>
            </w:r>
          </w:p>
        </w:tc>
        <w:tc>
          <w:tcPr>
            <w:tcW w:w="8222" w:type="dxa"/>
          </w:tcPr>
          <w:p w:rsidR="003702A5" w:rsidRPr="00AA5F3C" w:rsidRDefault="003702A5" w:rsidP="00E619A9">
            <w:pPr>
              <w:spacing w:after="120" w:line="240" w:lineRule="auto"/>
              <w:rPr>
                <w:rFonts w:ascii="Arial" w:hAnsi="Arial" w:cs="Arial"/>
              </w:rPr>
            </w:pPr>
            <w:r w:rsidRPr="00AA5F3C">
              <w:rPr>
                <w:rFonts w:ascii="Arial" w:hAnsi="Arial" w:cs="Arial"/>
              </w:rPr>
              <w:t>Improving quality of careers counselling consistent with current industry practice in Career Development</w:t>
            </w:r>
          </w:p>
          <w:p w:rsidR="003702A5" w:rsidRPr="00AA5F3C" w:rsidRDefault="003702A5" w:rsidP="00E619A9">
            <w:pPr>
              <w:spacing w:after="120" w:line="240" w:lineRule="auto"/>
              <w:rPr>
                <w:rFonts w:ascii="Arial" w:hAnsi="Arial" w:cs="Arial"/>
                <w:i/>
              </w:rPr>
            </w:pPr>
            <w:r w:rsidRPr="00AA5F3C">
              <w:rPr>
                <w:rFonts w:ascii="Arial" w:hAnsi="Arial" w:cs="Arial"/>
                <w:i/>
              </w:rPr>
              <w:t xml:space="preserve">School Leadership, Careers advisers, teachers who hold a role in providing career guidance to students </w:t>
            </w:r>
          </w:p>
        </w:tc>
      </w:tr>
      <w:tr w:rsidR="003702A5" w:rsidRPr="00AA5F3C" w:rsidTr="00556879">
        <w:tc>
          <w:tcPr>
            <w:tcW w:w="1809" w:type="dxa"/>
          </w:tcPr>
          <w:p w:rsidR="003702A5" w:rsidRPr="00AA5F3C" w:rsidRDefault="003702A5" w:rsidP="00E619A9">
            <w:pPr>
              <w:spacing w:after="120" w:line="240" w:lineRule="auto"/>
              <w:rPr>
                <w:rFonts w:ascii="Arial" w:hAnsi="Arial" w:cs="Arial"/>
              </w:rPr>
            </w:pPr>
            <w:r w:rsidRPr="00AA5F3C">
              <w:rPr>
                <w:rFonts w:ascii="Arial" w:hAnsi="Arial" w:cs="Arial"/>
              </w:rPr>
              <w:t>Action &amp; Timing</w:t>
            </w:r>
          </w:p>
        </w:tc>
        <w:tc>
          <w:tcPr>
            <w:tcW w:w="8222" w:type="dxa"/>
          </w:tcPr>
          <w:p w:rsidR="00FD10E7" w:rsidRPr="00AA5F3C" w:rsidRDefault="00FD10E7" w:rsidP="0040521B">
            <w:pPr>
              <w:pStyle w:val="ListParagraph"/>
              <w:numPr>
                <w:ilvl w:val="0"/>
                <w:numId w:val="9"/>
              </w:numPr>
              <w:spacing w:after="120" w:line="240" w:lineRule="auto"/>
              <w:rPr>
                <w:rFonts w:ascii="Arial" w:hAnsi="Arial" w:cs="Arial"/>
              </w:rPr>
            </w:pPr>
            <w:r w:rsidRPr="00AA5F3C">
              <w:rPr>
                <w:rFonts w:ascii="Arial" w:hAnsi="Arial" w:cs="Arial"/>
              </w:rPr>
              <w:t>Establishment of partnership service agreements to facilitate and fund the delivery of:</w:t>
            </w:r>
          </w:p>
          <w:p w:rsidR="00FD10E7" w:rsidRPr="00AA5F3C" w:rsidRDefault="00FD10E7" w:rsidP="0040521B">
            <w:pPr>
              <w:pStyle w:val="ListParagraph"/>
              <w:numPr>
                <w:ilvl w:val="0"/>
                <w:numId w:val="18"/>
              </w:numPr>
              <w:spacing w:after="120" w:line="240" w:lineRule="auto"/>
              <w:ind w:left="885"/>
              <w:rPr>
                <w:rFonts w:ascii="Arial" w:hAnsi="Arial" w:cs="Arial"/>
              </w:rPr>
            </w:pPr>
            <w:r w:rsidRPr="00AA5F3C">
              <w:rPr>
                <w:rFonts w:ascii="Arial" w:hAnsi="Arial" w:cs="Arial"/>
              </w:rPr>
              <w:t>a three-day course in Career Counselling, Coaching and Assessment</w:t>
            </w:r>
          </w:p>
          <w:p w:rsidR="00FD10E7" w:rsidRPr="00AA5F3C" w:rsidRDefault="00FD10E7" w:rsidP="0040521B">
            <w:pPr>
              <w:pStyle w:val="ListParagraph"/>
              <w:numPr>
                <w:ilvl w:val="0"/>
                <w:numId w:val="18"/>
              </w:numPr>
              <w:spacing w:after="120" w:line="240" w:lineRule="auto"/>
              <w:ind w:left="885"/>
              <w:rPr>
                <w:rFonts w:ascii="Arial" w:hAnsi="Arial" w:cs="Arial"/>
              </w:rPr>
            </w:pPr>
            <w:r w:rsidRPr="00AA5F3C">
              <w:rPr>
                <w:rFonts w:ascii="Arial" w:hAnsi="Arial" w:cs="Arial"/>
              </w:rPr>
              <w:t xml:space="preserve">the Postgraduate Certificate in Education (Career Development) </w:t>
            </w:r>
          </w:p>
          <w:p w:rsidR="00FD10E7" w:rsidRPr="00AA5F3C" w:rsidRDefault="003702A5" w:rsidP="0040521B">
            <w:pPr>
              <w:pStyle w:val="ListParagraph"/>
              <w:numPr>
                <w:ilvl w:val="0"/>
                <w:numId w:val="9"/>
              </w:numPr>
              <w:spacing w:after="120" w:line="240" w:lineRule="auto"/>
              <w:rPr>
                <w:rFonts w:ascii="Arial" w:hAnsi="Arial" w:cs="Arial"/>
              </w:rPr>
            </w:pPr>
            <w:r w:rsidRPr="00AA5F3C">
              <w:rPr>
                <w:rFonts w:ascii="Arial" w:hAnsi="Arial" w:cs="Arial"/>
              </w:rPr>
              <w:t xml:space="preserve">Facilitation and funding of staff professional development including </w:t>
            </w:r>
          </w:p>
          <w:p w:rsidR="00FD10E7" w:rsidRPr="00AA5F3C" w:rsidRDefault="003702A5" w:rsidP="0040521B">
            <w:pPr>
              <w:pStyle w:val="ListParagraph"/>
              <w:numPr>
                <w:ilvl w:val="0"/>
                <w:numId w:val="19"/>
              </w:numPr>
              <w:spacing w:after="120" w:line="240" w:lineRule="auto"/>
              <w:ind w:left="885"/>
              <w:rPr>
                <w:rFonts w:ascii="Arial" w:hAnsi="Arial" w:cs="Arial"/>
              </w:rPr>
            </w:pPr>
            <w:r w:rsidRPr="00AA5F3C">
              <w:rPr>
                <w:rFonts w:ascii="Arial" w:hAnsi="Arial" w:cs="Arial"/>
              </w:rPr>
              <w:t>the Postgraduate Certificate in Education (Career Development) through Australian Catholic University (</w:t>
            </w:r>
            <w:proofErr w:type="spellStart"/>
            <w:r w:rsidRPr="00AA5F3C">
              <w:rPr>
                <w:rFonts w:ascii="Arial" w:hAnsi="Arial" w:cs="Arial"/>
              </w:rPr>
              <w:t>ACU</w:t>
            </w:r>
            <w:proofErr w:type="spellEnd"/>
            <w:r w:rsidRPr="00AA5F3C">
              <w:rPr>
                <w:rFonts w:ascii="Arial" w:hAnsi="Arial" w:cs="Arial"/>
              </w:rPr>
              <w:t xml:space="preserve">) </w:t>
            </w:r>
          </w:p>
          <w:p w:rsidR="003702A5" w:rsidRPr="00AA5F3C" w:rsidRDefault="003702A5" w:rsidP="0040521B">
            <w:pPr>
              <w:pStyle w:val="ListParagraph"/>
              <w:numPr>
                <w:ilvl w:val="0"/>
                <w:numId w:val="19"/>
              </w:numPr>
              <w:spacing w:after="120" w:line="240" w:lineRule="auto"/>
              <w:ind w:left="885"/>
              <w:rPr>
                <w:rFonts w:ascii="Arial" w:hAnsi="Arial" w:cs="Arial"/>
              </w:rPr>
            </w:pPr>
            <w:r w:rsidRPr="00AA5F3C">
              <w:rPr>
                <w:rFonts w:ascii="Arial" w:hAnsi="Arial" w:cs="Arial"/>
              </w:rPr>
              <w:t>Certificate IV in Career Development through TAFE SA</w:t>
            </w:r>
            <w:r w:rsidR="00FD10E7" w:rsidRPr="00AA5F3C">
              <w:rPr>
                <w:rFonts w:ascii="Arial" w:hAnsi="Arial" w:cs="Arial"/>
              </w:rPr>
              <w:t xml:space="preserve"> and</w:t>
            </w:r>
          </w:p>
          <w:p w:rsidR="00FD10E7" w:rsidRPr="00AA5F3C" w:rsidRDefault="00FD10E7" w:rsidP="0040521B">
            <w:pPr>
              <w:pStyle w:val="ListParagraph"/>
              <w:numPr>
                <w:ilvl w:val="0"/>
                <w:numId w:val="19"/>
              </w:numPr>
              <w:spacing w:after="120" w:line="240" w:lineRule="auto"/>
              <w:ind w:left="885"/>
              <w:rPr>
                <w:rFonts w:ascii="Arial" w:hAnsi="Arial" w:cs="Arial"/>
              </w:rPr>
            </w:pPr>
            <w:r w:rsidRPr="00AA5F3C">
              <w:rPr>
                <w:rFonts w:ascii="Arial" w:hAnsi="Arial" w:cs="Arial"/>
              </w:rPr>
              <w:lastRenderedPageBreak/>
              <w:t>Career Counselling, Coaching and Assessment (3 day course) through Bright &amp; Associates</w:t>
            </w:r>
          </w:p>
          <w:p w:rsidR="003702A5" w:rsidRPr="00AA5F3C" w:rsidRDefault="003702A5" w:rsidP="0040521B">
            <w:pPr>
              <w:pStyle w:val="ListParagraph"/>
              <w:numPr>
                <w:ilvl w:val="0"/>
                <w:numId w:val="9"/>
              </w:numPr>
              <w:spacing w:after="120" w:line="240" w:lineRule="auto"/>
              <w:rPr>
                <w:rFonts w:ascii="Arial" w:hAnsi="Arial" w:cs="Arial"/>
              </w:rPr>
            </w:pPr>
            <w:r w:rsidRPr="00AA5F3C">
              <w:rPr>
                <w:rFonts w:ascii="Arial" w:hAnsi="Arial" w:cs="Arial"/>
              </w:rPr>
              <w:t>Funding support to enable teacher study release</w:t>
            </w:r>
          </w:p>
          <w:p w:rsidR="003702A5" w:rsidRPr="00AA5F3C" w:rsidRDefault="003702A5" w:rsidP="0040521B">
            <w:pPr>
              <w:pStyle w:val="ListParagraph"/>
              <w:numPr>
                <w:ilvl w:val="0"/>
                <w:numId w:val="9"/>
              </w:numPr>
              <w:spacing w:after="120" w:line="240" w:lineRule="auto"/>
              <w:rPr>
                <w:rFonts w:ascii="Arial" w:hAnsi="Arial" w:cs="Arial"/>
              </w:rPr>
            </w:pPr>
            <w:r w:rsidRPr="00AA5F3C">
              <w:rPr>
                <w:rFonts w:ascii="Arial" w:hAnsi="Arial" w:cs="Arial"/>
              </w:rPr>
              <w:t>Teacher Work-placement in Industry Program</w:t>
            </w:r>
          </w:p>
          <w:p w:rsidR="003702A5" w:rsidRPr="00AA5F3C" w:rsidRDefault="003702A5" w:rsidP="0040521B">
            <w:pPr>
              <w:pStyle w:val="ListParagraph"/>
              <w:numPr>
                <w:ilvl w:val="0"/>
                <w:numId w:val="9"/>
              </w:numPr>
              <w:spacing w:after="120" w:line="240" w:lineRule="auto"/>
              <w:rPr>
                <w:rFonts w:ascii="Arial" w:hAnsi="Arial" w:cs="Arial"/>
              </w:rPr>
            </w:pPr>
            <w:r w:rsidRPr="00AA5F3C">
              <w:rPr>
                <w:rFonts w:ascii="Arial" w:hAnsi="Arial" w:cs="Arial"/>
              </w:rPr>
              <w:t xml:space="preserve">Facilitation of workshops on career exploration tools; </w:t>
            </w:r>
            <w:proofErr w:type="spellStart"/>
            <w:r w:rsidRPr="00AA5F3C">
              <w:rPr>
                <w:rFonts w:ascii="Arial" w:hAnsi="Arial" w:cs="Arial"/>
              </w:rPr>
              <w:t>eg</w:t>
            </w:r>
            <w:proofErr w:type="spellEnd"/>
            <w:r w:rsidRPr="00AA5F3C">
              <w:rPr>
                <w:rFonts w:ascii="Arial" w:hAnsi="Arial" w:cs="Arial"/>
              </w:rPr>
              <w:t xml:space="preserve">: </w:t>
            </w:r>
            <w:proofErr w:type="spellStart"/>
            <w:r w:rsidRPr="00AA5F3C">
              <w:rPr>
                <w:rFonts w:ascii="Arial" w:hAnsi="Arial" w:cs="Arial"/>
                <w:i/>
              </w:rPr>
              <w:t>Myfuture</w:t>
            </w:r>
            <w:proofErr w:type="spellEnd"/>
          </w:p>
          <w:p w:rsidR="003702A5" w:rsidRPr="00AA5F3C" w:rsidRDefault="003702A5" w:rsidP="0040521B">
            <w:pPr>
              <w:pStyle w:val="ListParagraph"/>
              <w:numPr>
                <w:ilvl w:val="0"/>
                <w:numId w:val="9"/>
              </w:numPr>
              <w:spacing w:after="120" w:line="240" w:lineRule="auto"/>
              <w:rPr>
                <w:rFonts w:ascii="Arial" w:hAnsi="Arial" w:cs="Arial"/>
              </w:rPr>
            </w:pPr>
            <w:r w:rsidRPr="00AA5F3C">
              <w:rPr>
                <w:rFonts w:ascii="Arial" w:hAnsi="Arial" w:cs="Arial"/>
              </w:rPr>
              <w:t xml:space="preserve">Workshops that incorporate career development into </w:t>
            </w:r>
            <w:proofErr w:type="spellStart"/>
            <w:r w:rsidRPr="00AA5F3C">
              <w:rPr>
                <w:rFonts w:ascii="Arial" w:hAnsi="Arial" w:cs="Arial"/>
              </w:rPr>
              <w:t>SACE</w:t>
            </w:r>
            <w:proofErr w:type="spellEnd"/>
            <w:r w:rsidRPr="00AA5F3C">
              <w:rPr>
                <w:rFonts w:ascii="Arial" w:hAnsi="Arial" w:cs="Arial"/>
              </w:rPr>
              <w:t xml:space="preserve"> subjects; </w:t>
            </w:r>
            <w:proofErr w:type="spellStart"/>
            <w:r w:rsidRPr="00AA5F3C">
              <w:rPr>
                <w:rFonts w:ascii="Arial" w:hAnsi="Arial" w:cs="Arial"/>
              </w:rPr>
              <w:t>eg</w:t>
            </w:r>
            <w:proofErr w:type="spellEnd"/>
            <w:r w:rsidRPr="00AA5F3C">
              <w:rPr>
                <w:rFonts w:ascii="Arial" w:hAnsi="Arial" w:cs="Arial"/>
              </w:rPr>
              <w:t xml:space="preserve"> </w:t>
            </w:r>
            <w:r w:rsidRPr="00AA5F3C">
              <w:rPr>
                <w:rFonts w:ascii="Arial" w:hAnsi="Arial" w:cs="Arial"/>
                <w:i/>
              </w:rPr>
              <w:t>Personal Learning Plan</w:t>
            </w:r>
          </w:p>
          <w:p w:rsidR="003702A5" w:rsidRPr="00AA5F3C" w:rsidRDefault="003702A5" w:rsidP="0040521B">
            <w:pPr>
              <w:pStyle w:val="ListParagraph"/>
              <w:numPr>
                <w:ilvl w:val="0"/>
                <w:numId w:val="9"/>
              </w:numPr>
              <w:spacing w:after="120" w:line="240" w:lineRule="auto"/>
              <w:rPr>
                <w:rFonts w:ascii="Arial" w:hAnsi="Arial" w:cs="Arial"/>
              </w:rPr>
            </w:pPr>
            <w:r w:rsidRPr="00AA5F3C">
              <w:rPr>
                <w:rFonts w:ascii="Arial" w:hAnsi="Arial" w:cs="Arial"/>
              </w:rPr>
              <w:t xml:space="preserve">Exploration of the logistics of facilitating training workshops in </w:t>
            </w:r>
            <w:r w:rsidRPr="00AA5F3C">
              <w:rPr>
                <w:rFonts w:ascii="Arial" w:hAnsi="Arial" w:cs="Arial"/>
                <w:i/>
              </w:rPr>
              <w:t>The Real Game</w:t>
            </w:r>
            <w:r w:rsidRPr="00AA5F3C">
              <w:rPr>
                <w:rFonts w:ascii="Arial" w:hAnsi="Arial" w:cs="Arial"/>
              </w:rPr>
              <w:t xml:space="preserve"> </w:t>
            </w:r>
            <w:r w:rsidRPr="00AA5F3C">
              <w:rPr>
                <w:rFonts w:ascii="Arial" w:hAnsi="Arial" w:cs="Arial"/>
                <w:i/>
              </w:rPr>
              <w:t>Digital Edition</w:t>
            </w:r>
            <w:r w:rsidRPr="00AA5F3C">
              <w:rPr>
                <w:rFonts w:ascii="Arial" w:hAnsi="Arial" w:cs="Arial"/>
              </w:rPr>
              <w:t xml:space="preserve"> for relevant teaching staff</w:t>
            </w:r>
          </w:p>
          <w:p w:rsidR="003702A5" w:rsidRPr="00AA5F3C" w:rsidRDefault="003702A5" w:rsidP="00E619A9">
            <w:pPr>
              <w:pStyle w:val="ListParagraph"/>
              <w:spacing w:after="120" w:line="240" w:lineRule="auto"/>
              <w:ind w:left="360"/>
              <w:rPr>
                <w:rFonts w:ascii="Arial" w:hAnsi="Arial" w:cs="Arial"/>
              </w:rPr>
            </w:pPr>
          </w:p>
        </w:tc>
      </w:tr>
      <w:tr w:rsidR="00AA5F3C" w:rsidRPr="00AA5F3C" w:rsidTr="00556879">
        <w:tc>
          <w:tcPr>
            <w:tcW w:w="1809" w:type="dxa"/>
          </w:tcPr>
          <w:p w:rsidR="003702A5" w:rsidRPr="00AA5F3C" w:rsidRDefault="003702A5" w:rsidP="00E619A9">
            <w:pPr>
              <w:spacing w:after="120" w:line="240" w:lineRule="auto"/>
              <w:rPr>
                <w:rFonts w:ascii="Arial" w:hAnsi="Arial" w:cs="Arial"/>
              </w:rPr>
            </w:pPr>
            <w:r w:rsidRPr="00AA5F3C">
              <w:rPr>
                <w:rFonts w:ascii="Arial" w:hAnsi="Arial" w:cs="Arial"/>
              </w:rPr>
              <w:lastRenderedPageBreak/>
              <w:t>Outcomes</w:t>
            </w:r>
          </w:p>
        </w:tc>
        <w:tc>
          <w:tcPr>
            <w:tcW w:w="8222" w:type="dxa"/>
          </w:tcPr>
          <w:p w:rsidR="003702A5" w:rsidRPr="00AA5F3C" w:rsidRDefault="003702A5" w:rsidP="0040521B">
            <w:pPr>
              <w:pStyle w:val="ListParagraph"/>
              <w:numPr>
                <w:ilvl w:val="0"/>
                <w:numId w:val="10"/>
              </w:numPr>
              <w:spacing w:after="120" w:line="240" w:lineRule="auto"/>
              <w:rPr>
                <w:rFonts w:ascii="Arial" w:hAnsi="Arial" w:cs="Arial"/>
              </w:rPr>
            </w:pPr>
            <w:r w:rsidRPr="00AA5F3C">
              <w:rPr>
                <w:rFonts w:ascii="Arial" w:hAnsi="Arial" w:cs="Arial"/>
              </w:rPr>
              <w:t xml:space="preserve">Increased awareness </w:t>
            </w:r>
            <w:r w:rsidR="00FD10E7" w:rsidRPr="00AA5F3C">
              <w:rPr>
                <w:rFonts w:ascii="Arial" w:hAnsi="Arial" w:cs="Arial"/>
              </w:rPr>
              <w:t xml:space="preserve">within schools </w:t>
            </w:r>
            <w:r w:rsidRPr="00AA5F3C">
              <w:rPr>
                <w:rFonts w:ascii="Arial" w:hAnsi="Arial" w:cs="Arial"/>
              </w:rPr>
              <w:t>of the importance of accurate, current, and the timely delivery and sourcing of career guidance information</w:t>
            </w:r>
          </w:p>
          <w:p w:rsidR="003702A5" w:rsidRPr="00AA5F3C" w:rsidRDefault="00FD10E7" w:rsidP="0040521B">
            <w:pPr>
              <w:pStyle w:val="ListParagraph"/>
              <w:numPr>
                <w:ilvl w:val="0"/>
                <w:numId w:val="10"/>
              </w:numPr>
              <w:spacing w:after="120" w:line="240" w:lineRule="auto"/>
              <w:rPr>
                <w:rFonts w:ascii="Arial" w:hAnsi="Arial" w:cs="Arial"/>
              </w:rPr>
            </w:pPr>
            <w:r w:rsidRPr="00AA5F3C">
              <w:rPr>
                <w:rFonts w:ascii="Arial" w:hAnsi="Arial" w:cs="Arial"/>
              </w:rPr>
              <w:t>Accreditation of school-based personnel in</w:t>
            </w:r>
            <w:r w:rsidR="003702A5" w:rsidRPr="00AA5F3C">
              <w:rPr>
                <w:rFonts w:ascii="Arial" w:hAnsi="Arial" w:cs="Arial"/>
              </w:rPr>
              <w:t xml:space="preserve"> nationally recognised qualifications </w:t>
            </w:r>
          </w:p>
          <w:p w:rsidR="00FD10E7" w:rsidRPr="00AA5F3C" w:rsidRDefault="00FD10E7" w:rsidP="0040521B">
            <w:pPr>
              <w:pStyle w:val="ListParagraph"/>
              <w:numPr>
                <w:ilvl w:val="0"/>
                <w:numId w:val="10"/>
              </w:numPr>
              <w:rPr>
                <w:rFonts w:ascii="Arial" w:hAnsi="Arial" w:cs="Arial"/>
              </w:rPr>
            </w:pPr>
            <w:r w:rsidRPr="00AA5F3C">
              <w:rPr>
                <w:rFonts w:ascii="Arial" w:hAnsi="Arial" w:cs="Arial"/>
              </w:rPr>
              <w:t>An improvement in the provision of career development and guidance services within schools</w:t>
            </w:r>
          </w:p>
          <w:p w:rsidR="003702A5" w:rsidRPr="00AA5F3C" w:rsidRDefault="003702A5" w:rsidP="0040521B">
            <w:pPr>
              <w:pStyle w:val="ListParagraph"/>
              <w:numPr>
                <w:ilvl w:val="0"/>
                <w:numId w:val="10"/>
              </w:numPr>
              <w:spacing w:after="120" w:line="240" w:lineRule="auto"/>
              <w:rPr>
                <w:rFonts w:ascii="Arial" w:hAnsi="Arial" w:cs="Arial"/>
              </w:rPr>
            </w:pPr>
            <w:r w:rsidRPr="00AA5F3C">
              <w:rPr>
                <w:rFonts w:ascii="Arial" w:hAnsi="Arial" w:cs="Arial"/>
              </w:rPr>
              <w:t xml:space="preserve">Opportunity for teachers in school to become immersed in industry, enhancing the </w:t>
            </w:r>
            <w:r w:rsidR="00FD10E7" w:rsidRPr="00AA5F3C">
              <w:rPr>
                <w:rFonts w:ascii="Arial" w:hAnsi="Arial" w:cs="Arial"/>
              </w:rPr>
              <w:t>connections</w:t>
            </w:r>
            <w:r w:rsidRPr="00AA5F3C">
              <w:rPr>
                <w:rFonts w:ascii="Arial" w:hAnsi="Arial" w:cs="Arial"/>
              </w:rPr>
              <w:t xml:space="preserve"> between curriculum and </w:t>
            </w:r>
            <w:r w:rsidR="00FD10E7" w:rsidRPr="00AA5F3C">
              <w:rPr>
                <w:rFonts w:ascii="Arial" w:hAnsi="Arial" w:cs="Arial"/>
              </w:rPr>
              <w:t>career pathways</w:t>
            </w:r>
            <w:r w:rsidRPr="00AA5F3C">
              <w:rPr>
                <w:rFonts w:ascii="Arial" w:hAnsi="Arial" w:cs="Arial"/>
              </w:rPr>
              <w:t>.</w:t>
            </w:r>
          </w:p>
          <w:p w:rsidR="00FD10E7" w:rsidRPr="00AA5F3C" w:rsidRDefault="00FD10E7" w:rsidP="0040521B">
            <w:pPr>
              <w:pStyle w:val="ListParagraph"/>
              <w:numPr>
                <w:ilvl w:val="0"/>
                <w:numId w:val="10"/>
              </w:numPr>
              <w:spacing w:after="120" w:line="240" w:lineRule="auto"/>
              <w:rPr>
                <w:rFonts w:ascii="Arial" w:hAnsi="Arial" w:cs="Arial"/>
              </w:rPr>
            </w:pPr>
            <w:r w:rsidRPr="00AA5F3C">
              <w:rPr>
                <w:rFonts w:ascii="Arial" w:hAnsi="Arial" w:cs="Arial"/>
              </w:rPr>
              <w:t>Professional learning opportunities were accessed by SA individuals working with students/clients in the area of career development. These included:</w:t>
            </w:r>
          </w:p>
          <w:p w:rsidR="00FD10E7" w:rsidRPr="00AA5F3C" w:rsidRDefault="00FD10E7" w:rsidP="0040521B">
            <w:pPr>
              <w:pStyle w:val="ListParagraph"/>
              <w:numPr>
                <w:ilvl w:val="0"/>
                <w:numId w:val="20"/>
              </w:numPr>
              <w:spacing w:after="120" w:line="240" w:lineRule="auto"/>
              <w:ind w:left="743"/>
              <w:rPr>
                <w:rFonts w:ascii="Arial" w:hAnsi="Arial" w:cs="Arial"/>
              </w:rPr>
            </w:pPr>
            <w:r w:rsidRPr="00AA5F3C">
              <w:rPr>
                <w:rFonts w:ascii="Arial" w:hAnsi="Arial" w:cs="Arial"/>
              </w:rPr>
              <w:t>Private practitioners</w:t>
            </w:r>
          </w:p>
          <w:p w:rsidR="00FD10E7" w:rsidRPr="00AA5F3C" w:rsidRDefault="00FD10E7" w:rsidP="0040521B">
            <w:pPr>
              <w:pStyle w:val="ListParagraph"/>
              <w:numPr>
                <w:ilvl w:val="0"/>
                <w:numId w:val="20"/>
              </w:numPr>
              <w:spacing w:after="120" w:line="240" w:lineRule="auto"/>
              <w:ind w:left="743"/>
              <w:rPr>
                <w:rFonts w:ascii="Arial" w:hAnsi="Arial" w:cs="Arial"/>
              </w:rPr>
            </w:pPr>
            <w:r w:rsidRPr="00AA5F3C">
              <w:rPr>
                <w:rFonts w:ascii="Arial" w:hAnsi="Arial" w:cs="Arial"/>
              </w:rPr>
              <w:t>Personnel working in SA Career Development centres</w:t>
            </w:r>
          </w:p>
          <w:p w:rsidR="00FD10E7" w:rsidRPr="00AA5F3C" w:rsidRDefault="00FD10E7" w:rsidP="0040521B">
            <w:pPr>
              <w:pStyle w:val="ListParagraph"/>
              <w:numPr>
                <w:ilvl w:val="0"/>
                <w:numId w:val="20"/>
              </w:numPr>
              <w:spacing w:after="120" w:line="240" w:lineRule="auto"/>
              <w:ind w:left="743"/>
              <w:rPr>
                <w:rFonts w:ascii="Arial" w:hAnsi="Arial" w:cs="Arial"/>
              </w:rPr>
            </w:pPr>
            <w:r w:rsidRPr="00AA5F3C">
              <w:rPr>
                <w:rFonts w:ascii="Arial" w:hAnsi="Arial" w:cs="Arial"/>
              </w:rPr>
              <w:t>Youth Connection and School Business Community Partnership Brokers</w:t>
            </w:r>
          </w:p>
          <w:p w:rsidR="00FD10E7" w:rsidRPr="00AA5F3C" w:rsidRDefault="00FD10E7" w:rsidP="0040521B">
            <w:pPr>
              <w:pStyle w:val="ListParagraph"/>
              <w:numPr>
                <w:ilvl w:val="0"/>
                <w:numId w:val="20"/>
              </w:numPr>
              <w:spacing w:after="120" w:line="240" w:lineRule="auto"/>
              <w:ind w:left="743"/>
              <w:rPr>
                <w:rFonts w:ascii="Arial" w:hAnsi="Arial" w:cs="Arial"/>
              </w:rPr>
            </w:pPr>
            <w:r w:rsidRPr="00AA5F3C">
              <w:rPr>
                <w:rFonts w:ascii="Arial" w:hAnsi="Arial" w:cs="Arial"/>
              </w:rPr>
              <w:t>Personnel in career service divisions of tertiary institutes</w:t>
            </w:r>
          </w:p>
          <w:p w:rsidR="003702A5" w:rsidRPr="00AA5F3C" w:rsidRDefault="003702A5" w:rsidP="0040521B">
            <w:pPr>
              <w:pStyle w:val="ListParagraph"/>
              <w:numPr>
                <w:ilvl w:val="0"/>
                <w:numId w:val="10"/>
              </w:numPr>
              <w:spacing w:after="120" w:line="240" w:lineRule="auto"/>
              <w:rPr>
                <w:rFonts w:ascii="Arial" w:hAnsi="Arial" w:cs="Arial"/>
              </w:rPr>
            </w:pPr>
            <w:r w:rsidRPr="00AA5F3C">
              <w:rPr>
                <w:rFonts w:ascii="Arial" w:hAnsi="Arial" w:cs="Arial"/>
              </w:rPr>
              <w:t>Strengthened partnerships between school and industry, including the development of industry/mentor relationships</w:t>
            </w:r>
          </w:p>
          <w:p w:rsidR="003702A5" w:rsidRPr="00AA5F3C" w:rsidRDefault="003702A5" w:rsidP="0040521B">
            <w:pPr>
              <w:pStyle w:val="ListParagraph"/>
              <w:numPr>
                <w:ilvl w:val="0"/>
                <w:numId w:val="10"/>
              </w:numPr>
              <w:spacing w:after="120" w:line="240" w:lineRule="auto"/>
              <w:ind w:left="357" w:hanging="357"/>
              <w:contextualSpacing w:val="0"/>
              <w:rPr>
                <w:rFonts w:ascii="Arial" w:hAnsi="Arial" w:cs="Arial"/>
              </w:rPr>
            </w:pPr>
            <w:r w:rsidRPr="00AA5F3C">
              <w:rPr>
                <w:rFonts w:ascii="Arial" w:hAnsi="Arial" w:cs="Arial"/>
              </w:rPr>
              <w:t>Development of networks for shared learning and professional development</w:t>
            </w:r>
          </w:p>
        </w:tc>
      </w:tr>
      <w:tr w:rsidR="003702A5" w:rsidRPr="00AA5F3C" w:rsidTr="00556879">
        <w:tc>
          <w:tcPr>
            <w:tcW w:w="1809" w:type="dxa"/>
            <w:tcBorders>
              <w:bottom w:val="single" w:sz="4" w:space="0" w:color="auto"/>
            </w:tcBorders>
          </w:tcPr>
          <w:p w:rsidR="003702A5" w:rsidRPr="00AA5F3C" w:rsidRDefault="003702A5" w:rsidP="00E619A9">
            <w:pPr>
              <w:spacing w:after="120" w:line="240" w:lineRule="auto"/>
              <w:rPr>
                <w:rFonts w:ascii="Arial" w:hAnsi="Arial" w:cs="Arial"/>
              </w:rPr>
            </w:pPr>
            <w:r w:rsidRPr="00AA5F3C">
              <w:rPr>
                <w:rFonts w:ascii="Arial" w:hAnsi="Arial" w:cs="Arial"/>
              </w:rPr>
              <w:t>Cumulative Progress</w:t>
            </w:r>
          </w:p>
        </w:tc>
        <w:tc>
          <w:tcPr>
            <w:tcW w:w="8222" w:type="dxa"/>
            <w:tcBorders>
              <w:bottom w:val="single" w:sz="4" w:space="0" w:color="auto"/>
            </w:tcBorders>
          </w:tcPr>
          <w:p w:rsidR="003702A5" w:rsidRPr="00AA5F3C" w:rsidRDefault="003702A5" w:rsidP="0040521B">
            <w:pPr>
              <w:pStyle w:val="ListParagraph"/>
              <w:numPr>
                <w:ilvl w:val="0"/>
                <w:numId w:val="10"/>
              </w:numPr>
              <w:spacing w:after="120" w:line="240" w:lineRule="auto"/>
              <w:rPr>
                <w:rFonts w:ascii="Arial" w:hAnsi="Arial" w:cs="Arial"/>
              </w:rPr>
            </w:pPr>
            <w:r w:rsidRPr="00AA5F3C">
              <w:rPr>
                <w:rFonts w:ascii="Arial" w:hAnsi="Arial" w:cs="Arial"/>
              </w:rPr>
              <w:t xml:space="preserve">An increasing demand by schools for opportunities to access accredited training </w:t>
            </w:r>
            <w:r w:rsidR="00442752" w:rsidRPr="00AA5F3C">
              <w:rPr>
                <w:rFonts w:ascii="Arial" w:hAnsi="Arial" w:cs="Arial"/>
              </w:rPr>
              <w:t>in career development for target cohort</w:t>
            </w:r>
          </w:p>
          <w:p w:rsidR="003702A5" w:rsidRPr="00AA5F3C" w:rsidRDefault="003702A5" w:rsidP="0040521B">
            <w:pPr>
              <w:pStyle w:val="ListParagraph"/>
              <w:numPr>
                <w:ilvl w:val="0"/>
                <w:numId w:val="10"/>
              </w:numPr>
              <w:spacing w:after="120" w:line="240" w:lineRule="auto"/>
              <w:rPr>
                <w:rFonts w:ascii="Arial" w:hAnsi="Arial" w:cs="Arial"/>
              </w:rPr>
            </w:pPr>
            <w:r w:rsidRPr="00AA5F3C">
              <w:rPr>
                <w:rFonts w:ascii="Arial" w:hAnsi="Arial" w:cs="Arial"/>
              </w:rPr>
              <w:t>A growth in the capacity of schools to provide credible transition support for students</w:t>
            </w:r>
          </w:p>
          <w:p w:rsidR="003702A5" w:rsidRPr="00AA5F3C" w:rsidRDefault="003702A5" w:rsidP="0040521B">
            <w:pPr>
              <w:pStyle w:val="ListParagraph"/>
              <w:numPr>
                <w:ilvl w:val="0"/>
                <w:numId w:val="10"/>
              </w:numPr>
              <w:spacing w:after="120" w:line="240" w:lineRule="auto"/>
              <w:rPr>
                <w:rFonts w:ascii="Arial" w:hAnsi="Arial" w:cs="Arial"/>
              </w:rPr>
            </w:pPr>
            <w:r w:rsidRPr="00AA5F3C">
              <w:rPr>
                <w:rFonts w:ascii="Arial" w:hAnsi="Arial" w:cs="Arial"/>
              </w:rPr>
              <w:t xml:space="preserve">Ongoing strengthening </w:t>
            </w:r>
            <w:r w:rsidR="00912804" w:rsidRPr="00AA5F3C">
              <w:rPr>
                <w:rFonts w:ascii="Arial" w:hAnsi="Arial" w:cs="Arial"/>
              </w:rPr>
              <w:t xml:space="preserve">and expansion </w:t>
            </w:r>
            <w:r w:rsidRPr="00AA5F3C">
              <w:rPr>
                <w:rFonts w:ascii="Arial" w:hAnsi="Arial" w:cs="Arial"/>
              </w:rPr>
              <w:t>of Industry / School partnerships and an appreciation of their contribution to students’ learning and transition pathways into further education, training and / or employment</w:t>
            </w:r>
          </w:p>
        </w:tc>
      </w:tr>
    </w:tbl>
    <w:p w:rsidR="003702A5" w:rsidRPr="00AA5F3C" w:rsidRDefault="003702A5" w:rsidP="00202C25">
      <w:pPr>
        <w:pStyle w:val="Heading3"/>
      </w:pPr>
      <w:r w:rsidRPr="00AA5F3C">
        <w:t>Mentoring:</w:t>
      </w:r>
    </w:p>
    <w:tbl>
      <w:tblPr>
        <w:tblW w:w="10031" w:type="dxa"/>
        <w:tblLook w:val="06A0" w:firstRow="1" w:lastRow="0" w:firstColumn="1" w:lastColumn="0" w:noHBand="1" w:noVBand="1"/>
      </w:tblPr>
      <w:tblGrid>
        <w:gridCol w:w="2066"/>
        <w:gridCol w:w="7965"/>
      </w:tblGrid>
      <w:tr w:rsidR="00AA5F3C" w:rsidRPr="00AA5F3C" w:rsidTr="00556879">
        <w:tc>
          <w:tcPr>
            <w:tcW w:w="2066" w:type="dxa"/>
            <w:tcBorders>
              <w:top w:val="single" w:sz="4" w:space="0" w:color="auto"/>
            </w:tcBorders>
          </w:tcPr>
          <w:p w:rsidR="003702A5" w:rsidRPr="00AA5F3C" w:rsidRDefault="003702A5" w:rsidP="00E619A9">
            <w:pPr>
              <w:spacing w:before="240" w:after="120" w:line="240" w:lineRule="auto"/>
              <w:rPr>
                <w:rFonts w:ascii="Arial" w:hAnsi="Arial" w:cs="Arial"/>
              </w:rPr>
            </w:pPr>
            <w:r w:rsidRPr="00AA5F3C">
              <w:rPr>
                <w:rFonts w:ascii="Arial" w:hAnsi="Arial" w:cs="Arial"/>
              </w:rPr>
              <w:t>Initiative</w:t>
            </w:r>
          </w:p>
        </w:tc>
        <w:tc>
          <w:tcPr>
            <w:tcW w:w="7965" w:type="dxa"/>
            <w:tcBorders>
              <w:top w:val="single" w:sz="4" w:space="0" w:color="auto"/>
            </w:tcBorders>
          </w:tcPr>
          <w:p w:rsidR="003702A5" w:rsidRPr="00AA5F3C" w:rsidRDefault="003702A5" w:rsidP="00E619A9">
            <w:pPr>
              <w:spacing w:before="240" w:after="120" w:line="240" w:lineRule="auto"/>
              <w:rPr>
                <w:rFonts w:ascii="Arial" w:hAnsi="Arial" w:cs="Arial"/>
                <w:b/>
              </w:rPr>
            </w:pPr>
            <w:r w:rsidRPr="00AA5F3C">
              <w:rPr>
                <w:rFonts w:ascii="Arial" w:hAnsi="Arial" w:cs="Arial"/>
                <w:b/>
              </w:rPr>
              <w:t xml:space="preserve">Building Effective Mentoring Programs </w:t>
            </w:r>
          </w:p>
        </w:tc>
      </w:tr>
      <w:tr w:rsidR="00AA5F3C" w:rsidRPr="00AA5F3C" w:rsidTr="00556879">
        <w:tc>
          <w:tcPr>
            <w:tcW w:w="2066" w:type="dxa"/>
          </w:tcPr>
          <w:p w:rsidR="003702A5" w:rsidRPr="00AA5F3C" w:rsidRDefault="003702A5" w:rsidP="00E619A9">
            <w:pPr>
              <w:spacing w:before="240" w:after="240" w:line="240" w:lineRule="auto"/>
              <w:rPr>
                <w:rFonts w:ascii="Arial" w:hAnsi="Arial" w:cs="Arial"/>
              </w:rPr>
            </w:pPr>
            <w:r w:rsidRPr="00AA5F3C">
              <w:rPr>
                <w:rFonts w:ascii="Arial" w:hAnsi="Arial" w:cs="Arial"/>
              </w:rPr>
              <w:t>Purpose and target cohort</w:t>
            </w:r>
          </w:p>
        </w:tc>
        <w:tc>
          <w:tcPr>
            <w:tcW w:w="7965" w:type="dxa"/>
          </w:tcPr>
          <w:p w:rsidR="003702A5" w:rsidRPr="00AA5F3C" w:rsidRDefault="003702A5" w:rsidP="0040521B">
            <w:pPr>
              <w:pStyle w:val="ListParagraph"/>
              <w:numPr>
                <w:ilvl w:val="0"/>
                <w:numId w:val="31"/>
              </w:numPr>
              <w:spacing w:after="120" w:line="240" w:lineRule="auto"/>
              <w:rPr>
                <w:rFonts w:ascii="Arial" w:hAnsi="Arial" w:cs="Arial"/>
              </w:rPr>
            </w:pPr>
            <w:r w:rsidRPr="00AA5F3C">
              <w:rPr>
                <w:rFonts w:ascii="Arial" w:hAnsi="Arial" w:cs="Arial"/>
              </w:rPr>
              <w:t>To build awareness and capacity within schools to develop and effectively manage transition pathway mentoring programs, for students</w:t>
            </w:r>
            <w:r w:rsidR="002828C3" w:rsidRPr="00AA5F3C">
              <w:rPr>
                <w:rFonts w:ascii="Arial" w:hAnsi="Arial" w:cs="Arial"/>
              </w:rPr>
              <w:t xml:space="preserve"> </w:t>
            </w:r>
            <w:r w:rsidR="00F34F6F" w:rsidRPr="00AA5F3C">
              <w:rPr>
                <w:rFonts w:ascii="Arial" w:hAnsi="Arial" w:cs="Arial"/>
              </w:rPr>
              <w:t xml:space="preserve">including those </w:t>
            </w:r>
            <w:r w:rsidRPr="00AA5F3C">
              <w:rPr>
                <w:rFonts w:ascii="Arial" w:hAnsi="Arial" w:cs="Arial"/>
              </w:rPr>
              <w:t xml:space="preserve">at risk of not completing </w:t>
            </w:r>
            <w:proofErr w:type="spellStart"/>
            <w:r w:rsidRPr="00AA5F3C">
              <w:rPr>
                <w:rFonts w:ascii="Arial" w:hAnsi="Arial" w:cs="Arial"/>
              </w:rPr>
              <w:t>SACE</w:t>
            </w:r>
            <w:proofErr w:type="spellEnd"/>
            <w:r w:rsidRPr="00AA5F3C">
              <w:rPr>
                <w:rFonts w:ascii="Arial" w:hAnsi="Arial" w:cs="Arial"/>
              </w:rPr>
              <w:t xml:space="preserve"> or </w:t>
            </w:r>
            <w:r w:rsidR="002828C3" w:rsidRPr="00AA5F3C">
              <w:rPr>
                <w:rFonts w:ascii="Arial" w:hAnsi="Arial" w:cs="Arial"/>
              </w:rPr>
              <w:t xml:space="preserve">making a successful </w:t>
            </w:r>
            <w:r w:rsidRPr="00AA5F3C">
              <w:rPr>
                <w:rFonts w:ascii="Arial" w:hAnsi="Arial" w:cs="Arial"/>
              </w:rPr>
              <w:t xml:space="preserve">transition </w:t>
            </w:r>
          </w:p>
          <w:p w:rsidR="003702A5" w:rsidRPr="00AA5F3C" w:rsidRDefault="003702A5" w:rsidP="0040521B">
            <w:pPr>
              <w:pStyle w:val="ListParagraph"/>
              <w:numPr>
                <w:ilvl w:val="0"/>
                <w:numId w:val="31"/>
              </w:numPr>
              <w:spacing w:after="120" w:line="240" w:lineRule="auto"/>
              <w:rPr>
                <w:rFonts w:ascii="Arial" w:hAnsi="Arial" w:cs="Arial"/>
              </w:rPr>
            </w:pPr>
            <w:r w:rsidRPr="00AA5F3C">
              <w:rPr>
                <w:rFonts w:ascii="Arial" w:hAnsi="Arial" w:cs="Arial"/>
              </w:rPr>
              <w:t xml:space="preserve">To provide knowledge and </w:t>
            </w:r>
            <w:r w:rsidR="002828C3" w:rsidRPr="00AA5F3C">
              <w:rPr>
                <w:rFonts w:ascii="Arial" w:hAnsi="Arial" w:cs="Arial"/>
              </w:rPr>
              <w:t xml:space="preserve">to </w:t>
            </w:r>
            <w:r w:rsidRPr="00AA5F3C">
              <w:rPr>
                <w:rFonts w:ascii="Arial" w:hAnsi="Arial" w:cs="Arial"/>
              </w:rPr>
              <w:t>deve</w:t>
            </w:r>
            <w:r w:rsidR="002828C3" w:rsidRPr="00AA5F3C">
              <w:rPr>
                <w:rFonts w:ascii="Arial" w:hAnsi="Arial" w:cs="Arial"/>
              </w:rPr>
              <w:t>lop understanding and skills among</w:t>
            </w:r>
            <w:r w:rsidRPr="00AA5F3C">
              <w:rPr>
                <w:rFonts w:ascii="Arial" w:hAnsi="Arial" w:cs="Arial"/>
              </w:rPr>
              <w:t xml:space="preserve"> Mentors </w:t>
            </w:r>
            <w:r w:rsidR="00761F3A" w:rsidRPr="00AA5F3C">
              <w:rPr>
                <w:rFonts w:ascii="Arial" w:hAnsi="Arial" w:cs="Arial"/>
              </w:rPr>
              <w:t xml:space="preserve">and </w:t>
            </w:r>
            <w:r w:rsidRPr="00AA5F3C">
              <w:rPr>
                <w:rFonts w:ascii="Arial" w:hAnsi="Arial" w:cs="Arial"/>
              </w:rPr>
              <w:t>support mentoring programs for students.</w:t>
            </w:r>
          </w:p>
          <w:p w:rsidR="003702A5" w:rsidRPr="00AA5F3C" w:rsidRDefault="003702A5" w:rsidP="00E619A9">
            <w:pPr>
              <w:spacing w:after="120" w:line="240" w:lineRule="auto"/>
              <w:rPr>
                <w:rFonts w:ascii="Arial" w:hAnsi="Arial" w:cs="Arial"/>
                <w:i/>
              </w:rPr>
            </w:pPr>
            <w:r w:rsidRPr="00AA5F3C">
              <w:rPr>
                <w:rFonts w:ascii="Arial" w:hAnsi="Arial" w:cs="Arial"/>
                <w:i/>
              </w:rPr>
              <w:t xml:space="preserve">Schools offering mentoring programs, Mentors </w:t>
            </w:r>
          </w:p>
        </w:tc>
      </w:tr>
      <w:tr w:rsidR="00AA5F3C" w:rsidRPr="00AA5F3C" w:rsidTr="00556879">
        <w:tc>
          <w:tcPr>
            <w:tcW w:w="2066" w:type="dxa"/>
          </w:tcPr>
          <w:p w:rsidR="003702A5" w:rsidRPr="00AA5F3C" w:rsidRDefault="003702A5" w:rsidP="00E619A9">
            <w:pPr>
              <w:spacing w:after="240" w:line="240" w:lineRule="auto"/>
              <w:rPr>
                <w:rFonts w:ascii="Arial" w:hAnsi="Arial" w:cs="Arial"/>
              </w:rPr>
            </w:pPr>
            <w:r w:rsidRPr="00AA5F3C">
              <w:rPr>
                <w:rFonts w:ascii="Arial" w:hAnsi="Arial" w:cs="Arial"/>
              </w:rPr>
              <w:t>Action &amp; Timing</w:t>
            </w:r>
          </w:p>
        </w:tc>
        <w:tc>
          <w:tcPr>
            <w:tcW w:w="7965" w:type="dxa"/>
          </w:tcPr>
          <w:p w:rsidR="003702A5" w:rsidRPr="00AA5F3C" w:rsidRDefault="003702A5" w:rsidP="0040521B">
            <w:pPr>
              <w:pStyle w:val="ListParagraph"/>
              <w:numPr>
                <w:ilvl w:val="0"/>
                <w:numId w:val="15"/>
              </w:numPr>
              <w:spacing w:after="120" w:line="240" w:lineRule="auto"/>
              <w:rPr>
                <w:rFonts w:ascii="Arial" w:hAnsi="Arial" w:cs="Arial"/>
              </w:rPr>
            </w:pPr>
            <w:r w:rsidRPr="00AA5F3C">
              <w:rPr>
                <w:rFonts w:ascii="Arial" w:hAnsi="Arial" w:cs="Arial"/>
              </w:rPr>
              <w:t>A series of workshops to inform, develop, share, review and evaluate mentoring programs and practices aligned to national benchmarks</w:t>
            </w:r>
          </w:p>
          <w:p w:rsidR="003702A5" w:rsidRPr="00AA5F3C" w:rsidRDefault="003702A5" w:rsidP="0040521B">
            <w:pPr>
              <w:pStyle w:val="ListParagraph"/>
              <w:numPr>
                <w:ilvl w:val="1"/>
                <w:numId w:val="24"/>
              </w:numPr>
              <w:spacing w:after="120" w:line="240" w:lineRule="auto"/>
              <w:rPr>
                <w:rFonts w:ascii="Arial" w:hAnsi="Arial" w:cs="Arial"/>
              </w:rPr>
            </w:pPr>
            <w:r w:rsidRPr="00AA5F3C">
              <w:rPr>
                <w:rFonts w:ascii="Arial" w:hAnsi="Arial" w:cs="Arial"/>
              </w:rPr>
              <w:t>Schools providing mentoring programs</w:t>
            </w:r>
          </w:p>
          <w:p w:rsidR="003702A5" w:rsidRPr="00AA5F3C" w:rsidRDefault="003702A5" w:rsidP="0040521B">
            <w:pPr>
              <w:pStyle w:val="ListParagraph"/>
              <w:numPr>
                <w:ilvl w:val="1"/>
                <w:numId w:val="24"/>
              </w:numPr>
              <w:spacing w:after="120" w:line="240" w:lineRule="auto"/>
              <w:rPr>
                <w:rFonts w:ascii="Arial" w:hAnsi="Arial" w:cs="Arial"/>
              </w:rPr>
            </w:pPr>
            <w:r w:rsidRPr="00AA5F3C">
              <w:rPr>
                <w:rFonts w:ascii="Arial" w:hAnsi="Arial" w:cs="Arial"/>
              </w:rPr>
              <w:t>Mentors engaged in programs</w:t>
            </w:r>
          </w:p>
          <w:p w:rsidR="003702A5" w:rsidRPr="00AA5F3C" w:rsidRDefault="003702A5" w:rsidP="0040521B">
            <w:pPr>
              <w:pStyle w:val="ListParagraph"/>
              <w:numPr>
                <w:ilvl w:val="0"/>
                <w:numId w:val="15"/>
              </w:numPr>
              <w:spacing w:after="120" w:line="240" w:lineRule="auto"/>
              <w:rPr>
                <w:rFonts w:ascii="Arial" w:hAnsi="Arial" w:cs="Arial"/>
              </w:rPr>
            </w:pPr>
            <w:r w:rsidRPr="00AA5F3C">
              <w:rPr>
                <w:rFonts w:ascii="Arial" w:hAnsi="Arial" w:cs="Arial"/>
              </w:rPr>
              <w:t>Consultancy to provide in-school support for schools and mentors</w:t>
            </w:r>
          </w:p>
          <w:p w:rsidR="003702A5" w:rsidRPr="00AA5F3C" w:rsidRDefault="003702A5" w:rsidP="0040521B">
            <w:pPr>
              <w:pStyle w:val="ListParagraph"/>
              <w:numPr>
                <w:ilvl w:val="0"/>
                <w:numId w:val="15"/>
              </w:numPr>
              <w:spacing w:after="120" w:line="240" w:lineRule="auto"/>
              <w:rPr>
                <w:rFonts w:ascii="Arial" w:hAnsi="Arial" w:cs="Arial"/>
              </w:rPr>
            </w:pPr>
            <w:r w:rsidRPr="00AA5F3C">
              <w:rPr>
                <w:rFonts w:ascii="Arial" w:hAnsi="Arial" w:cs="Arial"/>
              </w:rPr>
              <w:t>Support for attending local and national conferences (Australian Youth Mentoring Network)</w:t>
            </w:r>
          </w:p>
        </w:tc>
      </w:tr>
      <w:tr w:rsidR="003702A5" w:rsidRPr="00AA5F3C" w:rsidTr="00556879">
        <w:tc>
          <w:tcPr>
            <w:tcW w:w="2066" w:type="dxa"/>
            <w:tcBorders>
              <w:bottom w:val="single" w:sz="4" w:space="0" w:color="auto"/>
            </w:tcBorders>
          </w:tcPr>
          <w:p w:rsidR="003702A5" w:rsidRPr="00AA5F3C" w:rsidRDefault="003702A5" w:rsidP="00E619A9">
            <w:pPr>
              <w:spacing w:after="240" w:line="240" w:lineRule="auto"/>
              <w:rPr>
                <w:rFonts w:ascii="Arial" w:hAnsi="Arial" w:cs="Arial"/>
              </w:rPr>
            </w:pPr>
            <w:r w:rsidRPr="00AA5F3C">
              <w:rPr>
                <w:rFonts w:ascii="Arial" w:hAnsi="Arial" w:cs="Arial"/>
              </w:rPr>
              <w:t>Outcomes</w:t>
            </w:r>
          </w:p>
        </w:tc>
        <w:tc>
          <w:tcPr>
            <w:tcW w:w="7965" w:type="dxa"/>
            <w:tcBorders>
              <w:bottom w:val="single" w:sz="4" w:space="0" w:color="auto"/>
            </w:tcBorders>
          </w:tcPr>
          <w:p w:rsidR="003702A5" w:rsidRPr="00AA5F3C" w:rsidRDefault="003702A5" w:rsidP="0040521B">
            <w:pPr>
              <w:pStyle w:val="ListParagraph"/>
              <w:numPr>
                <w:ilvl w:val="0"/>
                <w:numId w:val="15"/>
              </w:numPr>
              <w:spacing w:after="120" w:line="240" w:lineRule="auto"/>
              <w:rPr>
                <w:rFonts w:ascii="Arial" w:hAnsi="Arial" w:cs="Arial"/>
              </w:rPr>
            </w:pPr>
            <w:r w:rsidRPr="00AA5F3C">
              <w:rPr>
                <w:rFonts w:ascii="Arial" w:hAnsi="Arial" w:cs="Arial"/>
              </w:rPr>
              <w:t>Strong attendance and engagement in workshops by Mentors</w:t>
            </w:r>
          </w:p>
          <w:p w:rsidR="003702A5" w:rsidRPr="00AA5F3C" w:rsidRDefault="003702A5" w:rsidP="0040521B">
            <w:pPr>
              <w:pStyle w:val="ListParagraph"/>
              <w:numPr>
                <w:ilvl w:val="0"/>
                <w:numId w:val="15"/>
              </w:numPr>
              <w:spacing w:after="120" w:line="240" w:lineRule="auto"/>
              <w:rPr>
                <w:rFonts w:ascii="Arial" w:hAnsi="Arial" w:cs="Arial"/>
              </w:rPr>
            </w:pPr>
            <w:r w:rsidRPr="00AA5F3C">
              <w:rPr>
                <w:rFonts w:ascii="Arial" w:hAnsi="Arial" w:cs="Arial"/>
              </w:rPr>
              <w:t xml:space="preserve">Increased levels of effective engagement by students involved in initiatives supported by mentoring </w:t>
            </w:r>
          </w:p>
        </w:tc>
      </w:tr>
    </w:tbl>
    <w:p w:rsidR="003702A5" w:rsidRPr="00AA5F3C" w:rsidRDefault="003702A5" w:rsidP="00E619A9">
      <w:pPr>
        <w:rPr>
          <w:rFonts w:ascii="Arial" w:hAnsi="Arial" w:cs="Arial"/>
        </w:rPr>
      </w:pPr>
    </w:p>
    <w:tbl>
      <w:tblPr>
        <w:tblW w:w="10031" w:type="dxa"/>
        <w:tblLook w:val="06A0" w:firstRow="1" w:lastRow="0" w:firstColumn="1" w:lastColumn="0" w:noHBand="1" w:noVBand="1"/>
      </w:tblPr>
      <w:tblGrid>
        <w:gridCol w:w="2066"/>
        <w:gridCol w:w="7965"/>
      </w:tblGrid>
      <w:tr w:rsidR="00AA5F3C" w:rsidRPr="00AA5F3C" w:rsidTr="00556879">
        <w:tc>
          <w:tcPr>
            <w:tcW w:w="2066" w:type="dxa"/>
          </w:tcPr>
          <w:p w:rsidR="003702A5" w:rsidRPr="00AA5F3C" w:rsidRDefault="003702A5" w:rsidP="00E619A9">
            <w:pPr>
              <w:spacing w:after="120" w:line="240" w:lineRule="auto"/>
              <w:rPr>
                <w:rFonts w:ascii="Arial" w:hAnsi="Arial" w:cs="Arial"/>
              </w:rPr>
            </w:pPr>
            <w:r w:rsidRPr="00AA5F3C">
              <w:rPr>
                <w:rFonts w:ascii="Arial" w:hAnsi="Arial" w:cs="Arial"/>
              </w:rPr>
              <w:t>Initiative</w:t>
            </w:r>
          </w:p>
        </w:tc>
        <w:tc>
          <w:tcPr>
            <w:tcW w:w="7965" w:type="dxa"/>
          </w:tcPr>
          <w:p w:rsidR="003702A5" w:rsidRPr="00AA5F3C" w:rsidRDefault="003702A5" w:rsidP="00E619A9">
            <w:pPr>
              <w:spacing w:after="120" w:line="240" w:lineRule="auto"/>
              <w:rPr>
                <w:rFonts w:ascii="Arial" w:hAnsi="Arial" w:cs="Arial"/>
                <w:b/>
              </w:rPr>
            </w:pPr>
            <w:r w:rsidRPr="00AA5F3C">
              <w:rPr>
                <w:rFonts w:ascii="Arial" w:hAnsi="Arial" w:cs="Arial"/>
                <w:b/>
              </w:rPr>
              <w:t xml:space="preserve">Teacher in Training Mentoring Program (Getting Started) </w:t>
            </w:r>
          </w:p>
        </w:tc>
      </w:tr>
      <w:tr w:rsidR="00AA5F3C" w:rsidRPr="00AA5F3C" w:rsidTr="00556879">
        <w:tc>
          <w:tcPr>
            <w:tcW w:w="2066" w:type="dxa"/>
          </w:tcPr>
          <w:p w:rsidR="003702A5" w:rsidRPr="00AA5F3C" w:rsidRDefault="003702A5" w:rsidP="00E619A9">
            <w:pPr>
              <w:spacing w:after="240" w:line="240" w:lineRule="auto"/>
              <w:rPr>
                <w:rFonts w:ascii="Arial" w:hAnsi="Arial" w:cs="Arial"/>
              </w:rPr>
            </w:pPr>
            <w:r w:rsidRPr="00AA5F3C">
              <w:rPr>
                <w:rFonts w:ascii="Arial" w:hAnsi="Arial" w:cs="Arial"/>
              </w:rPr>
              <w:t>Purpose and target cohort</w:t>
            </w:r>
          </w:p>
        </w:tc>
        <w:tc>
          <w:tcPr>
            <w:tcW w:w="7965" w:type="dxa"/>
          </w:tcPr>
          <w:p w:rsidR="003702A5" w:rsidRPr="00AA5F3C" w:rsidRDefault="003702A5" w:rsidP="0040521B">
            <w:pPr>
              <w:pStyle w:val="ListParagraph"/>
              <w:numPr>
                <w:ilvl w:val="0"/>
                <w:numId w:val="32"/>
              </w:numPr>
              <w:spacing w:after="120" w:line="240" w:lineRule="auto"/>
              <w:rPr>
                <w:rFonts w:ascii="Arial" w:hAnsi="Arial" w:cs="Arial"/>
              </w:rPr>
            </w:pPr>
            <w:r w:rsidRPr="00AA5F3C">
              <w:rPr>
                <w:rFonts w:ascii="Arial" w:hAnsi="Arial" w:cs="Arial"/>
              </w:rPr>
              <w:t>To provide mentoring support for Aboriginal and Torres Strait Islander teachers in training, to enhance teaching capacity to respond to needs of Aboriginal school students</w:t>
            </w:r>
          </w:p>
        </w:tc>
      </w:tr>
      <w:tr w:rsidR="00AA5F3C" w:rsidRPr="00AA5F3C" w:rsidTr="00556879">
        <w:tc>
          <w:tcPr>
            <w:tcW w:w="2066" w:type="dxa"/>
          </w:tcPr>
          <w:p w:rsidR="003702A5" w:rsidRPr="00AA5F3C" w:rsidRDefault="003702A5" w:rsidP="00E619A9">
            <w:pPr>
              <w:spacing w:after="240" w:line="240" w:lineRule="auto"/>
              <w:rPr>
                <w:rFonts w:ascii="Arial" w:hAnsi="Arial" w:cs="Arial"/>
              </w:rPr>
            </w:pPr>
            <w:r w:rsidRPr="00AA5F3C">
              <w:rPr>
                <w:rFonts w:ascii="Arial" w:hAnsi="Arial" w:cs="Arial"/>
              </w:rPr>
              <w:t>Action &amp; Timing</w:t>
            </w:r>
          </w:p>
        </w:tc>
        <w:tc>
          <w:tcPr>
            <w:tcW w:w="7965" w:type="dxa"/>
          </w:tcPr>
          <w:p w:rsidR="003702A5" w:rsidRPr="00AA5F3C" w:rsidRDefault="003702A5" w:rsidP="0040521B">
            <w:pPr>
              <w:pStyle w:val="ListParagraph"/>
              <w:numPr>
                <w:ilvl w:val="0"/>
                <w:numId w:val="15"/>
              </w:numPr>
              <w:spacing w:after="120" w:line="240" w:lineRule="auto"/>
              <w:rPr>
                <w:rFonts w:ascii="Arial" w:hAnsi="Arial" w:cs="Arial"/>
              </w:rPr>
            </w:pPr>
            <w:r w:rsidRPr="00AA5F3C">
              <w:rPr>
                <w:rFonts w:ascii="Arial" w:hAnsi="Arial" w:cs="Arial"/>
              </w:rPr>
              <w:t xml:space="preserve">Information sessions for teacher training organisations </w:t>
            </w:r>
          </w:p>
          <w:p w:rsidR="003702A5" w:rsidRPr="00AA5F3C" w:rsidRDefault="003702A5" w:rsidP="0040521B">
            <w:pPr>
              <w:pStyle w:val="ListParagraph"/>
              <w:numPr>
                <w:ilvl w:val="0"/>
                <w:numId w:val="15"/>
              </w:numPr>
              <w:spacing w:after="120" w:line="240" w:lineRule="auto"/>
              <w:rPr>
                <w:rFonts w:ascii="Arial" w:hAnsi="Arial" w:cs="Arial"/>
              </w:rPr>
            </w:pPr>
            <w:r w:rsidRPr="00AA5F3C">
              <w:rPr>
                <w:rFonts w:ascii="Arial" w:hAnsi="Arial" w:cs="Arial"/>
              </w:rPr>
              <w:t>Development of promotional material</w:t>
            </w:r>
          </w:p>
        </w:tc>
      </w:tr>
      <w:tr w:rsidR="00AA5F3C" w:rsidRPr="00AA5F3C" w:rsidTr="00556879">
        <w:tc>
          <w:tcPr>
            <w:tcW w:w="2066" w:type="dxa"/>
          </w:tcPr>
          <w:p w:rsidR="003702A5" w:rsidRPr="00AA5F3C" w:rsidRDefault="003702A5" w:rsidP="00E619A9">
            <w:pPr>
              <w:spacing w:after="240" w:line="240" w:lineRule="auto"/>
              <w:rPr>
                <w:rFonts w:ascii="Arial" w:hAnsi="Arial" w:cs="Arial"/>
              </w:rPr>
            </w:pPr>
            <w:r w:rsidRPr="00AA5F3C">
              <w:rPr>
                <w:rFonts w:ascii="Arial" w:hAnsi="Arial" w:cs="Arial"/>
              </w:rPr>
              <w:t>Outcomes</w:t>
            </w:r>
          </w:p>
        </w:tc>
        <w:tc>
          <w:tcPr>
            <w:tcW w:w="7965" w:type="dxa"/>
          </w:tcPr>
          <w:p w:rsidR="003702A5" w:rsidRPr="00AA5F3C" w:rsidRDefault="003702A5" w:rsidP="0040521B">
            <w:pPr>
              <w:pStyle w:val="ListParagraph"/>
              <w:numPr>
                <w:ilvl w:val="0"/>
                <w:numId w:val="15"/>
              </w:numPr>
              <w:spacing w:after="120" w:line="240" w:lineRule="auto"/>
              <w:rPr>
                <w:rFonts w:ascii="Arial" w:hAnsi="Arial" w:cs="Arial"/>
              </w:rPr>
            </w:pPr>
            <w:r w:rsidRPr="00AA5F3C">
              <w:rPr>
                <w:rFonts w:ascii="Arial" w:hAnsi="Arial" w:cs="Arial"/>
              </w:rPr>
              <w:t>Established partnership links with teacher training organisations</w:t>
            </w:r>
          </w:p>
          <w:p w:rsidR="003702A5" w:rsidRPr="00AA5F3C" w:rsidRDefault="003702A5" w:rsidP="0040521B">
            <w:pPr>
              <w:pStyle w:val="ListParagraph"/>
              <w:numPr>
                <w:ilvl w:val="0"/>
                <w:numId w:val="15"/>
              </w:numPr>
              <w:spacing w:after="120" w:line="240" w:lineRule="auto"/>
              <w:rPr>
                <w:rFonts w:ascii="Arial" w:hAnsi="Arial" w:cs="Arial"/>
              </w:rPr>
            </w:pPr>
            <w:r w:rsidRPr="00AA5F3C">
              <w:rPr>
                <w:rFonts w:ascii="Arial" w:hAnsi="Arial" w:cs="Arial"/>
              </w:rPr>
              <w:t>Secured registration of interest from schools with Aboriginal students to provide mentor opportunities for teachers in training.</w:t>
            </w:r>
          </w:p>
        </w:tc>
      </w:tr>
      <w:tr w:rsidR="00AA5F3C" w:rsidRPr="00AA5F3C" w:rsidTr="00556879">
        <w:tc>
          <w:tcPr>
            <w:tcW w:w="2066" w:type="dxa"/>
            <w:tcBorders>
              <w:bottom w:val="single" w:sz="4" w:space="0" w:color="auto"/>
            </w:tcBorders>
          </w:tcPr>
          <w:p w:rsidR="003702A5" w:rsidRPr="00AA5F3C" w:rsidRDefault="003702A5" w:rsidP="00E619A9">
            <w:pPr>
              <w:spacing w:after="120" w:line="240" w:lineRule="auto"/>
              <w:rPr>
                <w:rFonts w:ascii="Arial" w:hAnsi="Arial" w:cs="Arial"/>
              </w:rPr>
            </w:pPr>
            <w:r w:rsidRPr="00AA5F3C">
              <w:rPr>
                <w:rFonts w:ascii="Arial" w:hAnsi="Arial" w:cs="Arial"/>
              </w:rPr>
              <w:t>Cumulative progress</w:t>
            </w:r>
          </w:p>
        </w:tc>
        <w:tc>
          <w:tcPr>
            <w:tcW w:w="7965" w:type="dxa"/>
            <w:tcBorders>
              <w:bottom w:val="single" w:sz="4" w:space="0" w:color="auto"/>
            </w:tcBorders>
          </w:tcPr>
          <w:p w:rsidR="003702A5" w:rsidRPr="00AA5F3C" w:rsidRDefault="00857502" w:rsidP="0040521B">
            <w:pPr>
              <w:pStyle w:val="ListParagraph"/>
              <w:numPr>
                <w:ilvl w:val="0"/>
                <w:numId w:val="15"/>
              </w:numPr>
              <w:spacing w:after="120" w:line="240" w:lineRule="auto"/>
              <w:rPr>
                <w:rFonts w:ascii="Arial" w:hAnsi="Arial" w:cs="Arial"/>
              </w:rPr>
            </w:pPr>
            <w:r>
              <w:rPr>
                <w:rFonts w:ascii="Arial" w:hAnsi="Arial" w:cs="Arial"/>
              </w:rPr>
              <w:t>Those who commenced</w:t>
            </w:r>
            <w:r w:rsidR="003702A5" w:rsidRPr="00AA5F3C">
              <w:rPr>
                <w:rFonts w:ascii="Arial" w:hAnsi="Arial" w:cs="Arial"/>
              </w:rPr>
              <w:t xml:space="preserve"> the program continue to be engaged</w:t>
            </w:r>
            <w:r>
              <w:rPr>
                <w:rFonts w:ascii="Arial" w:hAnsi="Arial" w:cs="Arial"/>
              </w:rPr>
              <w:t xml:space="preserve"> and are</w:t>
            </w:r>
            <w:r w:rsidR="003702A5" w:rsidRPr="00AA5F3C">
              <w:rPr>
                <w:rFonts w:ascii="Arial" w:hAnsi="Arial" w:cs="Arial"/>
              </w:rPr>
              <w:t xml:space="preserve"> becoming role models for other Aboriginal and Torres Strait Islander teachers in training.</w:t>
            </w:r>
          </w:p>
        </w:tc>
      </w:tr>
    </w:tbl>
    <w:p w:rsidR="002E69CF" w:rsidRPr="00AA5F3C" w:rsidRDefault="009E0A28" w:rsidP="00556879">
      <w:pPr>
        <w:pStyle w:val="Heading2"/>
        <w:rPr>
          <w:sz w:val="16"/>
          <w:szCs w:val="16"/>
        </w:rPr>
      </w:pPr>
      <w:bookmarkStart w:id="21" w:name="_Toc384038223"/>
      <w:r w:rsidRPr="00AA5F3C">
        <w:t>Indigenous</w:t>
      </w:r>
      <w:bookmarkEnd w:id="19"/>
      <w:r w:rsidR="0029015A" w:rsidRPr="00AA5F3C">
        <w:t xml:space="preserve"> Reporting</w:t>
      </w:r>
      <w:bookmarkEnd w:id="20"/>
      <w:bookmarkEnd w:id="21"/>
      <w:r w:rsidR="002E69CF" w:rsidRPr="00AA5F3C">
        <w:rPr>
          <w:sz w:val="16"/>
          <w:szCs w:val="16"/>
        </w:rPr>
        <w:t xml:space="preserve"> </w:t>
      </w:r>
    </w:p>
    <w:p w:rsidR="00421714" w:rsidRPr="00AA5F3C" w:rsidRDefault="00A06B32" w:rsidP="00E619A9">
      <w:pPr>
        <w:rPr>
          <w:rFonts w:ascii="Arial" w:hAnsi="Arial" w:cs="Arial"/>
        </w:rPr>
      </w:pPr>
      <w:r w:rsidRPr="00AA5F3C">
        <w:rPr>
          <w:rFonts w:ascii="Arial" w:hAnsi="Arial" w:cs="Arial"/>
        </w:rPr>
        <w:t>South Australian schooling and training sectors are</w:t>
      </w:r>
      <w:r w:rsidR="00581117" w:rsidRPr="00AA5F3C">
        <w:rPr>
          <w:rFonts w:ascii="Arial" w:hAnsi="Arial" w:cs="Arial"/>
        </w:rPr>
        <w:t xml:space="preserve"> committed </w:t>
      </w:r>
      <w:r w:rsidRPr="00AA5F3C">
        <w:rPr>
          <w:rFonts w:ascii="Arial" w:hAnsi="Arial" w:cs="Arial"/>
        </w:rPr>
        <w:t xml:space="preserve">to improving attainment and transitions for </w:t>
      </w:r>
      <w:r w:rsidR="00581117" w:rsidRPr="00AA5F3C">
        <w:rPr>
          <w:rFonts w:ascii="Arial" w:hAnsi="Arial" w:cs="Arial"/>
        </w:rPr>
        <w:t>Aboriginal</w:t>
      </w:r>
      <w:r w:rsidRPr="00AA5F3C">
        <w:rPr>
          <w:rFonts w:ascii="Arial" w:hAnsi="Arial" w:cs="Arial"/>
        </w:rPr>
        <w:t xml:space="preserve"> young people.  </w:t>
      </w:r>
      <w:r w:rsidR="00581117" w:rsidRPr="00AA5F3C">
        <w:rPr>
          <w:rFonts w:ascii="Arial" w:hAnsi="Arial" w:cs="Arial"/>
        </w:rPr>
        <w:t>Their p</w:t>
      </w:r>
      <w:r w:rsidRPr="00AA5F3C">
        <w:rPr>
          <w:rFonts w:ascii="Arial" w:hAnsi="Arial" w:cs="Arial"/>
        </w:rPr>
        <w:t xml:space="preserve">olicies and strategies complement the national </w:t>
      </w:r>
      <w:r w:rsidRPr="00AA5F3C">
        <w:rPr>
          <w:rFonts w:ascii="Arial" w:hAnsi="Arial" w:cs="Arial"/>
          <w:i/>
        </w:rPr>
        <w:t>Aboriginal and Torres Strait Islander Education Action Plan, 2010-2014</w:t>
      </w:r>
      <w:r w:rsidR="00581117" w:rsidRPr="00AA5F3C">
        <w:rPr>
          <w:rFonts w:ascii="Arial" w:hAnsi="Arial" w:cs="Arial"/>
        </w:rPr>
        <w:t xml:space="preserve"> and address the range of structures required to engage with the Aboriginal community and coordinate a cohesive range of services to ensure improved educational outcomes.</w:t>
      </w:r>
    </w:p>
    <w:p w:rsidR="00581117" w:rsidRPr="00AA5F3C" w:rsidRDefault="00581117" w:rsidP="00E619A9">
      <w:pPr>
        <w:rPr>
          <w:rFonts w:ascii="Arial" w:hAnsi="Arial" w:cs="Arial"/>
        </w:rPr>
      </w:pPr>
    </w:p>
    <w:p w:rsidR="00D92503" w:rsidRPr="00AA5F3C" w:rsidRDefault="00581117" w:rsidP="00E619A9">
      <w:pPr>
        <w:rPr>
          <w:rFonts w:ascii="Arial" w:hAnsi="Arial" w:cs="Arial"/>
        </w:rPr>
      </w:pPr>
      <w:r w:rsidRPr="00AA5F3C">
        <w:rPr>
          <w:rFonts w:ascii="Arial" w:hAnsi="Arial" w:cs="Arial"/>
        </w:rPr>
        <w:t xml:space="preserve">The SA Aboriginal Education and Training Consultative Body, with representation from the tertiary education and training sectors, secondary education sectors, parents and community,  was established to enable the voices of Aboriginal parents and community to be heard in the planning and delivery of policy and </w:t>
      </w:r>
      <w:r w:rsidR="00D92503" w:rsidRPr="00AA5F3C">
        <w:rPr>
          <w:rFonts w:ascii="Arial" w:hAnsi="Arial" w:cs="Arial"/>
        </w:rPr>
        <w:t xml:space="preserve">development of culturally appropriate curriculum and practices. </w:t>
      </w:r>
    </w:p>
    <w:p w:rsidR="00D92503" w:rsidRPr="00AA5F3C" w:rsidRDefault="00D92503" w:rsidP="00E619A9">
      <w:pPr>
        <w:rPr>
          <w:rFonts w:ascii="Arial" w:hAnsi="Arial" w:cs="Arial"/>
        </w:rPr>
      </w:pPr>
    </w:p>
    <w:p w:rsidR="00581117" w:rsidRPr="00AA5F3C" w:rsidRDefault="00D92503" w:rsidP="00E619A9">
      <w:pPr>
        <w:rPr>
          <w:rFonts w:ascii="Arial" w:hAnsi="Arial" w:cs="Arial"/>
        </w:rPr>
      </w:pPr>
      <w:r w:rsidRPr="00AA5F3C">
        <w:rPr>
          <w:rFonts w:ascii="Arial" w:hAnsi="Arial" w:cs="Arial"/>
        </w:rPr>
        <w:t>The newly formed education</w:t>
      </w:r>
      <w:r w:rsidR="00E8127C">
        <w:rPr>
          <w:rFonts w:ascii="Arial" w:hAnsi="Arial" w:cs="Arial"/>
        </w:rPr>
        <w:t xml:space="preserve"> portfolio, which incorporates the Department of Family and Community </w:t>
      </w:r>
      <w:proofErr w:type="gramStart"/>
      <w:r w:rsidR="00E8127C">
        <w:rPr>
          <w:rFonts w:ascii="Arial" w:hAnsi="Arial" w:cs="Arial"/>
        </w:rPr>
        <w:t>S</w:t>
      </w:r>
      <w:r w:rsidRPr="00AA5F3C">
        <w:rPr>
          <w:rFonts w:ascii="Arial" w:hAnsi="Arial" w:cs="Arial"/>
        </w:rPr>
        <w:t>ervices</w:t>
      </w:r>
      <w:proofErr w:type="gramEnd"/>
      <w:r w:rsidRPr="00AA5F3C">
        <w:rPr>
          <w:rFonts w:ascii="Arial" w:hAnsi="Arial" w:cs="Arial"/>
        </w:rPr>
        <w:t xml:space="preserve"> supports the alignment and coordination of services to foster greater engagement and attainment by Aboriginal young people taking account of their </w:t>
      </w:r>
      <w:r w:rsidR="00B94A02" w:rsidRPr="00AA5F3C">
        <w:rPr>
          <w:rFonts w:ascii="Arial" w:hAnsi="Arial" w:cs="Arial"/>
        </w:rPr>
        <w:t xml:space="preserve">individual </w:t>
      </w:r>
      <w:r w:rsidRPr="00AA5F3C">
        <w:rPr>
          <w:rFonts w:ascii="Arial" w:hAnsi="Arial" w:cs="Arial"/>
        </w:rPr>
        <w:t>circumstances.</w:t>
      </w:r>
    </w:p>
    <w:p w:rsidR="00B94A02" w:rsidRPr="00AA5F3C" w:rsidRDefault="00B94A02" w:rsidP="00E619A9">
      <w:pPr>
        <w:rPr>
          <w:rFonts w:ascii="Arial" w:hAnsi="Arial" w:cs="Arial"/>
        </w:rPr>
      </w:pPr>
    </w:p>
    <w:p w:rsidR="00B94A02" w:rsidRPr="00AA5F3C" w:rsidRDefault="00EF3DD6" w:rsidP="00E619A9">
      <w:pPr>
        <w:rPr>
          <w:rFonts w:ascii="Arial" w:hAnsi="Arial" w:cs="Arial"/>
        </w:rPr>
      </w:pPr>
      <w:r w:rsidRPr="00AA5F3C">
        <w:rPr>
          <w:rFonts w:ascii="Arial" w:hAnsi="Arial" w:cs="Arial"/>
        </w:rPr>
        <w:t>In addition to the DECD Keep</w:t>
      </w:r>
      <w:r w:rsidR="000C5717" w:rsidRPr="00AA5F3C">
        <w:rPr>
          <w:rFonts w:ascii="Arial" w:hAnsi="Arial" w:cs="Arial"/>
        </w:rPr>
        <w:t xml:space="preserve">ing Them on Track initiative which monitors and supports participation and engagement, </w:t>
      </w:r>
      <w:r w:rsidRPr="00AA5F3C">
        <w:rPr>
          <w:rFonts w:ascii="Arial" w:hAnsi="Arial" w:cs="Arial"/>
        </w:rPr>
        <w:t>school level s</w:t>
      </w:r>
      <w:r w:rsidR="00B94A02" w:rsidRPr="00AA5F3C">
        <w:rPr>
          <w:rFonts w:ascii="Arial" w:hAnsi="Arial" w:cs="Arial"/>
        </w:rPr>
        <w:t>trategies include:</w:t>
      </w:r>
    </w:p>
    <w:p w:rsidR="00B94A02" w:rsidRPr="00AA5F3C" w:rsidRDefault="00B94A02" w:rsidP="0040521B">
      <w:pPr>
        <w:pStyle w:val="ListParagraph"/>
        <w:numPr>
          <w:ilvl w:val="0"/>
          <w:numId w:val="4"/>
        </w:numPr>
        <w:ind w:left="426"/>
        <w:rPr>
          <w:rFonts w:ascii="Arial" w:hAnsi="Arial" w:cs="Arial"/>
        </w:rPr>
      </w:pPr>
      <w:r w:rsidRPr="00AA5F3C">
        <w:rPr>
          <w:rFonts w:ascii="Arial" w:hAnsi="Arial" w:cs="Arial"/>
        </w:rPr>
        <w:t>Ensuring that each young person has an individual learning plan developed following consultation with family, Aboriginal Education Teachers and, where available, Aboriginal Secondary Education and Transitions Officer</w:t>
      </w:r>
      <w:r w:rsidR="000C5717" w:rsidRPr="00AA5F3C">
        <w:rPr>
          <w:rFonts w:ascii="Arial" w:hAnsi="Arial" w:cs="Arial"/>
        </w:rPr>
        <w:t>. This plan is focused on achieving the best possible health, wellbeing and learning outcome</w:t>
      </w:r>
      <w:r w:rsidRPr="00AA5F3C">
        <w:rPr>
          <w:rFonts w:ascii="Arial" w:hAnsi="Arial" w:cs="Arial"/>
        </w:rPr>
        <w:t>s.</w:t>
      </w:r>
    </w:p>
    <w:p w:rsidR="00B94A02" w:rsidRPr="00AA5F3C" w:rsidRDefault="00A7440C" w:rsidP="0040521B">
      <w:pPr>
        <w:pStyle w:val="ListParagraph"/>
        <w:numPr>
          <w:ilvl w:val="0"/>
          <w:numId w:val="4"/>
        </w:numPr>
        <w:ind w:left="426"/>
        <w:rPr>
          <w:rFonts w:ascii="Arial" w:hAnsi="Arial" w:cs="Arial"/>
        </w:rPr>
      </w:pPr>
      <w:r w:rsidRPr="00AA5F3C">
        <w:rPr>
          <w:rFonts w:ascii="Arial" w:hAnsi="Arial" w:cs="Arial"/>
        </w:rPr>
        <w:t>Flexible timetable</w:t>
      </w:r>
      <w:r w:rsidR="00EE3D20" w:rsidRPr="00AA5F3C">
        <w:rPr>
          <w:rFonts w:ascii="Arial" w:hAnsi="Arial" w:cs="Arial"/>
        </w:rPr>
        <w:t>s</w:t>
      </w:r>
      <w:r w:rsidRPr="00AA5F3C">
        <w:rPr>
          <w:rFonts w:ascii="Arial" w:hAnsi="Arial" w:cs="Arial"/>
        </w:rPr>
        <w:t xml:space="preserve"> to enable a range of accredited and modified programs</w:t>
      </w:r>
    </w:p>
    <w:p w:rsidR="00A7440C" w:rsidRPr="00AA5F3C" w:rsidRDefault="00A7440C" w:rsidP="0040521B">
      <w:pPr>
        <w:pStyle w:val="ListParagraph"/>
        <w:numPr>
          <w:ilvl w:val="0"/>
          <w:numId w:val="4"/>
        </w:numPr>
        <w:ind w:left="426"/>
        <w:rPr>
          <w:rFonts w:ascii="Arial" w:hAnsi="Arial" w:cs="Arial"/>
        </w:rPr>
      </w:pPr>
      <w:r w:rsidRPr="00AA5F3C">
        <w:rPr>
          <w:rFonts w:ascii="Arial" w:hAnsi="Arial" w:cs="Arial"/>
        </w:rPr>
        <w:t xml:space="preserve">Aboriginal </w:t>
      </w:r>
      <w:r w:rsidR="00674C1B" w:rsidRPr="00AA5F3C">
        <w:rPr>
          <w:rFonts w:ascii="Arial" w:hAnsi="Arial" w:cs="Arial"/>
        </w:rPr>
        <w:t>mentoring program</w:t>
      </w:r>
      <w:r w:rsidR="00EE3D20" w:rsidRPr="00AA5F3C">
        <w:rPr>
          <w:rFonts w:ascii="Arial" w:hAnsi="Arial" w:cs="Arial"/>
        </w:rPr>
        <w:t>s which provide</w:t>
      </w:r>
      <w:r w:rsidRPr="00AA5F3C">
        <w:rPr>
          <w:rFonts w:ascii="Arial" w:hAnsi="Arial" w:cs="Arial"/>
        </w:rPr>
        <w:t xml:space="preserve"> support, in school and out of hours, to encourage student attendance, learning and feelings of belonging and identity, including the Aboriginal Program Assistance Scheme (</w:t>
      </w:r>
      <w:proofErr w:type="spellStart"/>
      <w:r w:rsidRPr="00AA5F3C">
        <w:rPr>
          <w:rFonts w:ascii="Arial" w:hAnsi="Arial" w:cs="Arial"/>
        </w:rPr>
        <w:t>APAS</w:t>
      </w:r>
      <w:proofErr w:type="spellEnd"/>
      <w:r w:rsidRPr="00AA5F3C">
        <w:rPr>
          <w:rFonts w:ascii="Arial" w:hAnsi="Arial" w:cs="Arial"/>
        </w:rPr>
        <w:t xml:space="preserve">) which provides </w:t>
      </w:r>
      <w:r w:rsidR="00EE3D20" w:rsidRPr="00AA5F3C">
        <w:rPr>
          <w:rFonts w:ascii="Arial" w:hAnsi="Arial" w:cs="Arial"/>
        </w:rPr>
        <w:t xml:space="preserve">funding to schools to support </w:t>
      </w:r>
      <w:proofErr w:type="spellStart"/>
      <w:r w:rsidR="00EE3D20" w:rsidRPr="00AA5F3C">
        <w:rPr>
          <w:rFonts w:ascii="Arial" w:hAnsi="Arial" w:cs="Arial"/>
        </w:rPr>
        <w:t>ATSI</w:t>
      </w:r>
      <w:proofErr w:type="spellEnd"/>
      <w:r w:rsidR="00EE3D20" w:rsidRPr="00AA5F3C">
        <w:rPr>
          <w:rFonts w:ascii="Arial" w:hAnsi="Arial" w:cs="Arial"/>
        </w:rPr>
        <w:t xml:space="preserve"> academic achievement and which funds provision of </w:t>
      </w:r>
      <w:r w:rsidRPr="00AA5F3C">
        <w:rPr>
          <w:rFonts w:ascii="Arial" w:hAnsi="Arial" w:cs="Arial"/>
        </w:rPr>
        <w:t>tutors</w:t>
      </w:r>
      <w:r w:rsidR="00EE3D20" w:rsidRPr="00AA5F3C">
        <w:rPr>
          <w:rFonts w:ascii="Arial" w:hAnsi="Arial" w:cs="Arial"/>
        </w:rPr>
        <w:t xml:space="preserve">, mentoring, coaching, counselling and support for Aboriginal student wellbeing </w:t>
      </w:r>
      <w:r w:rsidRPr="00AA5F3C">
        <w:rPr>
          <w:rFonts w:ascii="Arial" w:hAnsi="Arial" w:cs="Arial"/>
        </w:rPr>
        <w:t xml:space="preserve"> </w:t>
      </w:r>
    </w:p>
    <w:p w:rsidR="00EF3DD6" w:rsidRPr="00AA5F3C" w:rsidRDefault="00EF3DD6" w:rsidP="0040521B">
      <w:pPr>
        <w:pStyle w:val="ListParagraph"/>
        <w:numPr>
          <w:ilvl w:val="0"/>
          <w:numId w:val="4"/>
        </w:numPr>
        <w:ind w:left="426"/>
        <w:rPr>
          <w:rFonts w:ascii="Arial" w:hAnsi="Arial" w:cs="Arial"/>
        </w:rPr>
      </w:pPr>
      <w:r w:rsidRPr="00AA5F3C">
        <w:rPr>
          <w:rFonts w:ascii="Arial" w:hAnsi="Arial" w:cs="Arial"/>
        </w:rPr>
        <w:t>Next Steps Plan</w:t>
      </w:r>
      <w:r w:rsidR="00EE3D20" w:rsidRPr="00AA5F3C">
        <w:rPr>
          <w:rFonts w:ascii="Arial" w:hAnsi="Arial" w:cs="Arial"/>
        </w:rPr>
        <w:t>s which enable</w:t>
      </w:r>
      <w:r w:rsidRPr="00AA5F3C">
        <w:rPr>
          <w:rFonts w:ascii="Arial" w:hAnsi="Arial" w:cs="Arial"/>
        </w:rPr>
        <w:t xml:space="preserve"> delivery of responsive learning approaches and greater engagement with </w:t>
      </w:r>
      <w:proofErr w:type="spellStart"/>
      <w:r w:rsidRPr="00AA5F3C">
        <w:rPr>
          <w:rFonts w:ascii="Arial" w:hAnsi="Arial" w:cs="Arial"/>
        </w:rPr>
        <w:t>ATSI</w:t>
      </w:r>
      <w:proofErr w:type="spellEnd"/>
      <w:r w:rsidRPr="00AA5F3C">
        <w:rPr>
          <w:rFonts w:ascii="Arial" w:hAnsi="Arial" w:cs="Arial"/>
        </w:rPr>
        <w:t xml:space="preserve"> community</w:t>
      </w:r>
    </w:p>
    <w:p w:rsidR="00A7440C" w:rsidRPr="00AA5F3C" w:rsidRDefault="00A7440C" w:rsidP="0040521B">
      <w:pPr>
        <w:pStyle w:val="ListParagraph"/>
        <w:numPr>
          <w:ilvl w:val="0"/>
          <w:numId w:val="4"/>
        </w:numPr>
        <w:ind w:left="426"/>
        <w:rPr>
          <w:rFonts w:ascii="Arial" w:hAnsi="Arial" w:cs="Arial"/>
        </w:rPr>
      </w:pPr>
      <w:r w:rsidRPr="00AA5F3C">
        <w:rPr>
          <w:rFonts w:ascii="Arial" w:hAnsi="Arial" w:cs="Arial"/>
        </w:rPr>
        <w:t xml:space="preserve">Close links with Aboriginal health and support organizations such as </w:t>
      </w:r>
      <w:proofErr w:type="spellStart"/>
      <w:r w:rsidRPr="00AA5F3C">
        <w:rPr>
          <w:rFonts w:ascii="Arial" w:hAnsi="Arial" w:cs="Arial"/>
        </w:rPr>
        <w:t>Nukuwarrin</w:t>
      </w:r>
      <w:proofErr w:type="spellEnd"/>
      <w:r w:rsidRPr="00AA5F3C">
        <w:rPr>
          <w:rFonts w:ascii="Arial" w:hAnsi="Arial" w:cs="Arial"/>
        </w:rPr>
        <w:t xml:space="preserve"> </w:t>
      </w:r>
      <w:proofErr w:type="spellStart"/>
      <w:r w:rsidRPr="00AA5F3C">
        <w:rPr>
          <w:rFonts w:ascii="Arial" w:hAnsi="Arial" w:cs="Arial"/>
        </w:rPr>
        <w:t>Yunti</w:t>
      </w:r>
      <w:proofErr w:type="spellEnd"/>
      <w:r w:rsidRPr="00AA5F3C">
        <w:rPr>
          <w:rFonts w:ascii="Arial" w:hAnsi="Arial" w:cs="Arial"/>
        </w:rPr>
        <w:t xml:space="preserve">, Shine, </w:t>
      </w:r>
      <w:proofErr w:type="spellStart"/>
      <w:r w:rsidRPr="00AA5F3C">
        <w:rPr>
          <w:rFonts w:ascii="Arial" w:hAnsi="Arial" w:cs="Arial"/>
        </w:rPr>
        <w:t>Kumangka</w:t>
      </w:r>
      <w:proofErr w:type="spellEnd"/>
      <w:r w:rsidRPr="00AA5F3C">
        <w:rPr>
          <w:rFonts w:ascii="Arial" w:hAnsi="Arial" w:cs="Arial"/>
        </w:rPr>
        <w:t xml:space="preserve"> and Second Story</w:t>
      </w:r>
    </w:p>
    <w:p w:rsidR="00A7440C" w:rsidRPr="00AA5F3C" w:rsidRDefault="00A7440C" w:rsidP="0040521B">
      <w:pPr>
        <w:pStyle w:val="ListParagraph"/>
        <w:numPr>
          <w:ilvl w:val="0"/>
          <w:numId w:val="4"/>
        </w:numPr>
        <w:ind w:left="426"/>
        <w:rPr>
          <w:rFonts w:ascii="Arial" w:hAnsi="Arial" w:cs="Arial"/>
        </w:rPr>
      </w:pPr>
      <w:r w:rsidRPr="00AA5F3C">
        <w:rPr>
          <w:rFonts w:ascii="Arial" w:hAnsi="Arial" w:cs="Arial"/>
        </w:rPr>
        <w:t xml:space="preserve">Specialized Aboriginal sports programs delivered with outside providers </w:t>
      </w:r>
      <w:proofErr w:type="spellStart"/>
      <w:r w:rsidRPr="00AA5F3C">
        <w:rPr>
          <w:rFonts w:ascii="Arial" w:hAnsi="Arial" w:cs="Arial"/>
        </w:rPr>
        <w:t>eg</w:t>
      </w:r>
      <w:proofErr w:type="spellEnd"/>
      <w:r w:rsidRPr="00AA5F3C">
        <w:rPr>
          <w:rFonts w:ascii="Arial" w:hAnsi="Arial" w:cs="Arial"/>
        </w:rPr>
        <w:t xml:space="preserve"> Aboriginal Power cup, SA Aboriginal Sports Training Academy (</w:t>
      </w:r>
      <w:proofErr w:type="spellStart"/>
      <w:r w:rsidRPr="00AA5F3C">
        <w:rPr>
          <w:rFonts w:ascii="Arial" w:hAnsi="Arial" w:cs="Arial"/>
        </w:rPr>
        <w:t>SAASTA</w:t>
      </w:r>
      <w:proofErr w:type="spellEnd"/>
      <w:r w:rsidRPr="00AA5F3C">
        <w:rPr>
          <w:rFonts w:ascii="Arial" w:hAnsi="Arial" w:cs="Arial"/>
        </w:rPr>
        <w:t xml:space="preserve">) and </w:t>
      </w:r>
      <w:proofErr w:type="spellStart"/>
      <w:r w:rsidRPr="00AA5F3C">
        <w:rPr>
          <w:rFonts w:ascii="Arial" w:hAnsi="Arial" w:cs="Arial"/>
        </w:rPr>
        <w:t>SANFL</w:t>
      </w:r>
      <w:proofErr w:type="spellEnd"/>
      <w:r w:rsidRPr="00AA5F3C">
        <w:rPr>
          <w:rFonts w:ascii="Arial" w:hAnsi="Arial" w:cs="Arial"/>
        </w:rPr>
        <w:t xml:space="preserve">/AFL Program  </w:t>
      </w:r>
    </w:p>
    <w:p w:rsidR="00632BCA" w:rsidRPr="00AA5F3C" w:rsidRDefault="00996D57" w:rsidP="0040521B">
      <w:pPr>
        <w:pStyle w:val="ListParagraph"/>
        <w:numPr>
          <w:ilvl w:val="0"/>
          <w:numId w:val="4"/>
        </w:numPr>
        <w:ind w:left="426"/>
        <w:rPr>
          <w:rFonts w:ascii="Arial" w:hAnsi="Arial" w:cs="Arial"/>
        </w:rPr>
      </w:pPr>
      <w:r w:rsidRPr="00AA5F3C">
        <w:rPr>
          <w:rFonts w:ascii="Arial" w:hAnsi="Arial" w:cs="Arial"/>
        </w:rPr>
        <w:t>Training for all staff focusing on Aboriginal cultural competency</w:t>
      </w:r>
      <w:r w:rsidR="00632BCA" w:rsidRPr="00AA5F3C">
        <w:rPr>
          <w:rFonts w:ascii="Arial" w:hAnsi="Arial" w:cs="Arial"/>
        </w:rPr>
        <w:t xml:space="preserve"> </w:t>
      </w:r>
    </w:p>
    <w:p w:rsidR="00632BCA" w:rsidRPr="00AA5F3C" w:rsidRDefault="00996D57" w:rsidP="0040521B">
      <w:pPr>
        <w:pStyle w:val="ListParagraph"/>
        <w:numPr>
          <w:ilvl w:val="0"/>
          <w:numId w:val="4"/>
        </w:numPr>
        <w:ind w:left="426"/>
        <w:rPr>
          <w:rFonts w:ascii="Arial" w:hAnsi="Arial" w:cs="Arial"/>
        </w:rPr>
      </w:pPr>
      <w:r w:rsidRPr="00AA5F3C">
        <w:rPr>
          <w:rFonts w:ascii="Arial" w:hAnsi="Arial" w:cs="Arial"/>
        </w:rPr>
        <w:lastRenderedPageBreak/>
        <w:t>Indigenous Ranger Cadetship program</w:t>
      </w:r>
      <w:r w:rsidR="00632BCA" w:rsidRPr="00AA5F3C">
        <w:rPr>
          <w:rFonts w:ascii="Arial" w:hAnsi="Arial" w:cs="Arial"/>
          <w:bCs/>
        </w:rPr>
        <w:t xml:space="preserve"> supporting Aboriginal young people to </w:t>
      </w:r>
      <w:r w:rsidR="00632BCA" w:rsidRPr="00AA5F3C">
        <w:rPr>
          <w:rFonts w:ascii="Arial" w:hAnsi="Arial" w:cs="Arial"/>
        </w:rPr>
        <w:t>complete school and train for careers in land, sea and natural resource management</w:t>
      </w:r>
    </w:p>
    <w:p w:rsidR="00632BCA" w:rsidRPr="00AA5F3C" w:rsidRDefault="00674C1B" w:rsidP="0040521B">
      <w:pPr>
        <w:pStyle w:val="ListParagraph"/>
        <w:numPr>
          <w:ilvl w:val="0"/>
          <w:numId w:val="4"/>
        </w:numPr>
        <w:ind w:left="426"/>
        <w:rPr>
          <w:rFonts w:ascii="Arial" w:hAnsi="Arial" w:cs="Arial"/>
        </w:rPr>
      </w:pPr>
      <w:r w:rsidRPr="00AA5F3C">
        <w:rPr>
          <w:rFonts w:ascii="Arial" w:hAnsi="Arial" w:cs="Arial"/>
        </w:rPr>
        <w:t xml:space="preserve">Awards available to support Aboriginal participation and attainment including: </w:t>
      </w:r>
      <w:r w:rsidR="00EF3DD6" w:rsidRPr="00AA5F3C">
        <w:rPr>
          <w:rFonts w:ascii="Arial" w:hAnsi="Arial" w:cs="Arial"/>
        </w:rPr>
        <w:t xml:space="preserve">Just Too Deadly Learning Achievement Awards recognizing completion of Year 7 and Year 12/13 milestones, </w:t>
      </w:r>
      <w:r w:rsidR="00EE3D20" w:rsidRPr="00AA5F3C">
        <w:rPr>
          <w:rFonts w:ascii="Arial" w:hAnsi="Arial" w:cs="Arial"/>
        </w:rPr>
        <w:t>Dame Roma Mitch</w:t>
      </w:r>
      <w:r w:rsidRPr="00AA5F3C">
        <w:rPr>
          <w:rFonts w:ascii="Arial" w:hAnsi="Arial" w:cs="Arial"/>
        </w:rPr>
        <w:t xml:space="preserve">ell Scholarship providing financial support for </w:t>
      </w:r>
      <w:proofErr w:type="spellStart"/>
      <w:r w:rsidRPr="00AA5F3C">
        <w:rPr>
          <w:rFonts w:ascii="Arial" w:hAnsi="Arial" w:cs="Arial"/>
        </w:rPr>
        <w:t>SACE</w:t>
      </w:r>
      <w:proofErr w:type="spellEnd"/>
      <w:r w:rsidRPr="00AA5F3C">
        <w:rPr>
          <w:rFonts w:ascii="Arial" w:hAnsi="Arial" w:cs="Arial"/>
        </w:rPr>
        <w:t xml:space="preserve"> completion, </w:t>
      </w:r>
      <w:proofErr w:type="spellStart"/>
      <w:r w:rsidR="00632BCA" w:rsidRPr="00AA5F3C">
        <w:rPr>
          <w:rFonts w:ascii="Arial" w:hAnsi="Arial" w:cs="Arial"/>
        </w:rPr>
        <w:t>Walpaara</w:t>
      </w:r>
      <w:proofErr w:type="spellEnd"/>
      <w:r w:rsidR="00632BCA" w:rsidRPr="00AA5F3C">
        <w:rPr>
          <w:rFonts w:ascii="Arial" w:hAnsi="Arial" w:cs="Arial"/>
        </w:rPr>
        <w:t xml:space="preserve"> </w:t>
      </w:r>
      <w:proofErr w:type="spellStart"/>
      <w:r w:rsidR="00632BCA" w:rsidRPr="00AA5F3C">
        <w:rPr>
          <w:rFonts w:ascii="Arial" w:hAnsi="Arial" w:cs="Arial"/>
        </w:rPr>
        <w:t>Anpa</w:t>
      </w:r>
      <w:proofErr w:type="spellEnd"/>
      <w:r w:rsidR="00632BCA" w:rsidRPr="00AA5F3C">
        <w:rPr>
          <w:rFonts w:ascii="Arial" w:hAnsi="Arial" w:cs="Arial"/>
        </w:rPr>
        <w:t xml:space="preserve"> Award (a laptop computer) to </w:t>
      </w:r>
      <w:r w:rsidRPr="00AA5F3C">
        <w:rPr>
          <w:rFonts w:ascii="Arial" w:hAnsi="Arial" w:cs="Arial"/>
        </w:rPr>
        <w:t xml:space="preserve">selected </w:t>
      </w:r>
      <w:r w:rsidR="00632BCA" w:rsidRPr="00AA5F3C">
        <w:rPr>
          <w:rFonts w:ascii="Arial" w:hAnsi="Arial" w:cs="Arial"/>
        </w:rPr>
        <w:t xml:space="preserve">Aboriginal student completing Year 10, enrolled to complete </w:t>
      </w:r>
      <w:proofErr w:type="spellStart"/>
      <w:r w:rsidR="00632BCA" w:rsidRPr="00AA5F3C">
        <w:rPr>
          <w:rFonts w:ascii="Arial" w:hAnsi="Arial" w:cs="Arial"/>
        </w:rPr>
        <w:t>SACE</w:t>
      </w:r>
      <w:proofErr w:type="spellEnd"/>
      <w:r w:rsidR="00632BCA" w:rsidRPr="00AA5F3C">
        <w:rPr>
          <w:rFonts w:ascii="Arial" w:hAnsi="Arial" w:cs="Arial"/>
        </w:rPr>
        <w:t>, attending school regularly and achieving consistent satisfactory results</w:t>
      </w:r>
    </w:p>
    <w:p w:rsidR="00674C1B" w:rsidRPr="00AA5F3C" w:rsidRDefault="00674C1B" w:rsidP="0040521B">
      <w:pPr>
        <w:pStyle w:val="ListParagraph"/>
        <w:numPr>
          <w:ilvl w:val="0"/>
          <w:numId w:val="4"/>
        </w:numPr>
        <w:ind w:left="426"/>
        <w:rPr>
          <w:rFonts w:ascii="Arial" w:hAnsi="Arial" w:cs="Arial"/>
        </w:rPr>
      </w:pPr>
      <w:r w:rsidRPr="00AA5F3C">
        <w:rPr>
          <w:rFonts w:ascii="Arial" w:hAnsi="Arial" w:cs="Arial"/>
        </w:rPr>
        <w:t xml:space="preserve">Support for post-school transitions to work, training or tertiary education via: </w:t>
      </w:r>
      <w:r w:rsidR="00EE3D20" w:rsidRPr="00AA5F3C">
        <w:rPr>
          <w:rFonts w:ascii="Arial" w:hAnsi="Arial" w:cs="Arial"/>
        </w:rPr>
        <w:t xml:space="preserve">Aboriginal </w:t>
      </w:r>
      <w:proofErr w:type="spellStart"/>
      <w:r w:rsidRPr="00AA5F3C">
        <w:rPr>
          <w:rFonts w:ascii="Arial" w:hAnsi="Arial" w:cs="Arial"/>
        </w:rPr>
        <w:t>Workabou</w:t>
      </w:r>
      <w:r w:rsidR="00EE3D20" w:rsidRPr="00AA5F3C">
        <w:rPr>
          <w:rFonts w:ascii="Arial" w:hAnsi="Arial" w:cs="Arial"/>
        </w:rPr>
        <w:t>t</w:t>
      </w:r>
      <w:proofErr w:type="spellEnd"/>
      <w:r w:rsidR="00EE3D20" w:rsidRPr="00AA5F3C">
        <w:rPr>
          <w:rFonts w:ascii="Arial" w:hAnsi="Arial" w:cs="Arial"/>
        </w:rPr>
        <w:t xml:space="preserve"> Centres which provide a broad range of industry-based learning with the aim of improving school retention, </w:t>
      </w:r>
      <w:proofErr w:type="spellStart"/>
      <w:r w:rsidR="00EE3D20" w:rsidRPr="00AA5F3C">
        <w:rPr>
          <w:rFonts w:ascii="Arial" w:hAnsi="Arial" w:cs="Arial"/>
        </w:rPr>
        <w:t>SACE</w:t>
      </w:r>
      <w:proofErr w:type="spellEnd"/>
      <w:r w:rsidR="00EE3D20" w:rsidRPr="00AA5F3C">
        <w:rPr>
          <w:rFonts w:ascii="Arial" w:hAnsi="Arial" w:cs="Arial"/>
        </w:rPr>
        <w:t xml:space="preserve"> completion and provision of </w:t>
      </w:r>
      <w:r w:rsidRPr="00AA5F3C">
        <w:rPr>
          <w:rFonts w:ascii="Arial" w:hAnsi="Arial" w:cs="Arial"/>
        </w:rPr>
        <w:t>work readiness program</w:t>
      </w:r>
      <w:r w:rsidR="00EE3D20" w:rsidRPr="00AA5F3C">
        <w:rPr>
          <w:rFonts w:ascii="Arial" w:hAnsi="Arial" w:cs="Arial"/>
        </w:rPr>
        <w:t>s</w:t>
      </w:r>
      <w:r w:rsidRPr="00AA5F3C">
        <w:rPr>
          <w:rFonts w:ascii="Arial" w:hAnsi="Arial" w:cs="Arial"/>
        </w:rPr>
        <w:t xml:space="preserve">, Industry Pathways Programs tailored for Aboriginal students aimed at apprenticeships/traineeships or training pathways, Goal Setting and Pathways Workshops delivered by </w:t>
      </w:r>
      <w:proofErr w:type="spellStart"/>
      <w:r w:rsidRPr="00AA5F3C">
        <w:rPr>
          <w:rFonts w:ascii="Arial" w:hAnsi="Arial" w:cs="Arial"/>
        </w:rPr>
        <w:t>ATSI</w:t>
      </w:r>
      <w:proofErr w:type="spellEnd"/>
      <w:r w:rsidRPr="00AA5F3C">
        <w:rPr>
          <w:rFonts w:ascii="Arial" w:hAnsi="Arial" w:cs="Arial"/>
        </w:rPr>
        <w:t xml:space="preserve"> role models, University and TAFE Open Days and speakers focusing on Aboriginal pathways and support, First Generation Program</w:t>
      </w:r>
      <w:r w:rsidR="00EF3DD6" w:rsidRPr="00AA5F3C">
        <w:rPr>
          <w:rFonts w:ascii="Arial" w:hAnsi="Arial" w:cs="Arial"/>
        </w:rPr>
        <w:t xml:space="preserve">  aimed to help young </w:t>
      </w:r>
      <w:proofErr w:type="spellStart"/>
      <w:r w:rsidR="00EF3DD6" w:rsidRPr="00AA5F3C">
        <w:rPr>
          <w:rFonts w:ascii="Arial" w:hAnsi="Arial" w:cs="Arial"/>
        </w:rPr>
        <w:t>ATSI</w:t>
      </w:r>
      <w:proofErr w:type="spellEnd"/>
      <w:r w:rsidR="00EF3DD6" w:rsidRPr="00AA5F3C">
        <w:rPr>
          <w:rFonts w:ascii="Arial" w:hAnsi="Arial" w:cs="Arial"/>
        </w:rPr>
        <w:t xml:space="preserve"> students become the first in their family to go to University – delivered </w:t>
      </w:r>
      <w:r w:rsidRPr="00AA5F3C">
        <w:rPr>
          <w:rFonts w:ascii="Arial" w:hAnsi="Arial" w:cs="Arial"/>
        </w:rPr>
        <w:t>in partnership with</w:t>
      </w:r>
      <w:r w:rsidR="00EF3DD6" w:rsidRPr="00AA5F3C">
        <w:rPr>
          <w:rFonts w:ascii="Arial" w:hAnsi="Arial" w:cs="Arial"/>
        </w:rPr>
        <w:t xml:space="preserve"> </w:t>
      </w:r>
      <w:r w:rsidRPr="00AA5F3C">
        <w:rPr>
          <w:rFonts w:ascii="Arial" w:hAnsi="Arial" w:cs="Arial"/>
        </w:rPr>
        <w:t xml:space="preserve"> </w:t>
      </w:r>
      <w:r w:rsidR="00EF3DD6" w:rsidRPr="00AA5F3C">
        <w:rPr>
          <w:rFonts w:ascii="Arial" w:hAnsi="Arial" w:cs="Arial"/>
        </w:rPr>
        <w:t xml:space="preserve">University of Adelaide, </w:t>
      </w:r>
      <w:proofErr w:type="spellStart"/>
      <w:r w:rsidR="00EF3DD6" w:rsidRPr="00AA5F3C">
        <w:rPr>
          <w:rFonts w:ascii="Arial" w:hAnsi="Arial" w:cs="Arial"/>
        </w:rPr>
        <w:t>Wilto</w:t>
      </w:r>
      <w:proofErr w:type="spellEnd"/>
      <w:r w:rsidR="00EF3DD6" w:rsidRPr="00AA5F3C">
        <w:rPr>
          <w:rFonts w:ascii="Arial" w:hAnsi="Arial" w:cs="Arial"/>
        </w:rPr>
        <w:t xml:space="preserve"> </w:t>
      </w:r>
      <w:proofErr w:type="spellStart"/>
      <w:r w:rsidR="00EF3DD6" w:rsidRPr="00AA5F3C">
        <w:rPr>
          <w:rFonts w:ascii="Arial" w:hAnsi="Arial" w:cs="Arial"/>
        </w:rPr>
        <w:t>Yerlo</w:t>
      </w:r>
      <w:proofErr w:type="spellEnd"/>
      <w:r w:rsidR="00EF3DD6" w:rsidRPr="00AA5F3C">
        <w:rPr>
          <w:rFonts w:ascii="Arial" w:hAnsi="Arial" w:cs="Arial"/>
        </w:rPr>
        <w:t xml:space="preserve"> and DECD, partnerships with local agencies focused on Aboriginal recruitment and delivery of nationally accredited training.</w:t>
      </w:r>
    </w:p>
    <w:p w:rsidR="00421714" w:rsidRPr="00AA5F3C" w:rsidRDefault="00421714" w:rsidP="00E619A9">
      <w:pPr>
        <w:rPr>
          <w:rFonts w:ascii="Arial" w:hAnsi="Arial" w:cs="Arial"/>
        </w:rPr>
      </w:pPr>
    </w:p>
    <w:p w:rsidR="00EF3DD6" w:rsidRPr="00AA5F3C" w:rsidRDefault="00EF3DD6" w:rsidP="00556879">
      <w:pPr>
        <w:pStyle w:val="Heading3"/>
      </w:pPr>
      <w:r w:rsidRPr="00AA5F3C">
        <w:t>Aboriginal enrolment, retention and attainment data:</w:t>
      </w:r>
    </w:p>
    <w:p w:rsidR="00056F49" w:rsidRPr="00AA5F3C" w:rsidRDefault="00056F49" w:rsidP="00E619A9">
      <w:pPr>
        <w:spacing w:line="240" w:lineRule="auto"/>
        <w:ind w:left="93"/>
        <w:rPr>
          <w:rFonts w:ascii="Arial" w:eastAsia="Times New Roman" w:hAnsi="Arial" w:cs="Arial"/>
          <w:b/>
          <w:bCs/>
          <w:lang w:eastAsia="en-AU"/>
        </w:rPr>
      </w:pPr>
      <w:bookmarkStart w:id="22" w:name="_Toc320003800"/>
      <w:r w:rsidRPr="00AA5F3C">
        <w:rPr>
          <w:rFonts w:ascii="Arial" w:eastAsia="Times New Roman" w:hAnsi="Arial" w:cs="Arial"/>
          <w:b/>
          <w:bCs/>
          <w:lang w:eastAsia="en-AU"/>
        </w:rPr>
        <w:t>Table 4:</w:t>
      </w:r>
      <w:r w:rsidRPr="00AA5F3C">
        <w:rPr>
          <w:rFonts w:ascii="Arial" w:eastAsia="Times New Roman" w:hAnsi="Arial" w:cs="Arial"/>
          <w:lang w:eastAsia="en-AU"/>
        </w:rPr>
        <w:t xml:space="preserve"> DECD total enrolment of Aboriginal student enrolments in Years 11 and 12</w:t>
      </w:r>
    </w:p>
    <w:p w:rsidR="00056F49" w:rsidRPr="00AA5F3C" w:rsidRDefault="00056F49" w:rsidP="00E619A9">
      <w:pPr>
        <w:tabs>
          <w:tab w:val="left" w:pos="2272"/>
          <w:tab w:val="left" w:pos="3629"/>
          <w:tab w:val="left" w:pos="4986"/>
        </w:tabs>
        <w:spacing w:line="240" w:lineRule="auto"/>
        <w:ind w:left="93"/>
        <w:rPr>
          <w:rFonts w:ascii="Arial" w:eastAsia="Times New Roman" w:hAnsi="Arial" w:cs="Arial"/>
          <w:lang w:eastAsia="en-AU"/>
        </w:rPr>
      </w:pPr>
    </w:p>
    <w:tbl>
      <w:tblPr>
        <w:tblStyle w:val="TableGrid1"/>
        <w:tblW w:w="0" w:type="auto"/>
        <w:tblInd w:w="91" w:type="dxa"/>
        <w:tblLook w:val="04A0" w:firstRow="1" w:lastRow="0" w:firstColumn="1" w:lastColumn="0" w:noHBand="0" w:noVBand="1"/>
        <w:tblDescription w:val="Table showing total enrolment of Aboriginal students in Years 11 and 12 in 2012"/>
      </w:tblPr>
      <w:tblGrid>
        <w:gridCol w:w="2248"/>
        <w:gridCol w:w="1348"/>
        <w:gridCol w:w="1348"/>
        <w:gridCol w:w="1169"/>
      </w:tblGrid>
      <w:tr w:rsidR="00AA5F3C" w:rsidRPr="009502AE" w:rsidTr="0058742A">
        <w:trPr>
          <w:tblHeader/>
        </w:trPr>
        <w:tc>
          <w:tcPr>
            <w:tcW w:w="2248" w:type="dxa"/>
            <w:vAlign w:val="bottom"/>
          </w:tcPr>
          <w:p w:rsidR="00493B6F" w:rsidRPr="009502AE" w:rsidRDefault="00493B6F" w:rsidP="00E619A9">
            <w:pPr>
              <w:rPr>
                <w:rFonts w:ascii="Arial" w:eastAsia="Times New Roman" w:hAnsi="Arial" w:cs="Arial"/>
                <w:b/>
                <w:lang w:eastAsia="en-AU"/>
              </w:rPr>
            </w:pPr>
            <w:r w:rsidRPr="009502AE">
              <w:rPr>
                <w:rFonts w:ascii="Arial" w:eastAsia="Times New Roman" w:hAnsi="Arial" w:cs="Arial"/>
                <w:b/>
                <w:lang w:eastAsia="en-AU"/>
              </w:rPr>
              <w:t>2012</w:t>
            </w:r>
          </w:p>
        </w:tc>
        <w:tc>
          <w:tcPr>
            <w:tcW w:w="1348" w:type="dxa"/>
            <w:vAlign w:val="bottom"/>
          </w:tcPr>
          <w:p w:rsidR="00493B6F" w:rsidRPr="009502AE" w:rsidRDefault="00493B6F" w:rsidP="00E619A9">
            <w:pPr>
              <w:rPr>
                <w:rFonts w:ascii="Arial" w:eastAsia="Times New Roman" w:hAnsi="Arial" w:cs="Arial"/>
                <w:b/>
                <w:lang w:eastAsia="en-AU"/>
              </w:rPr>
            </w:pPr>
            <w:r w:rsidRPr="009502AE">
              <w:rPr>
                <w:rFonts w:ascii="Arial" w:eastAsia="Times New Roman" w:hAnsi="Arial" w:cs="Arial"/>
                <w:b/>
                <w:lang w:eastAsia="en-AU"/>
              </w:rPr>
              <w:t>Year 11</w:t>
            </w:r>
          </w:p>
        </w:tc>
        <w:tc>
          <w:tcPr>
            <w:tcW w:w="1348" w:type="dxa"/>
            <w:vAlign w:val="bottom"/>
          </w:tcPr>
          <w:p w:rsidR="00493B6F" w:rsidRPr="009502AE" w:rsidRDefault="00493B6F" w:rsidP="00E619A9">
            <w:pPr>
              <w:rPr>
                <w:rFonts w:ascii="Arial" w:eastAsia="Times New Roman" w:hAnsi="Arial" w:cs="Arial"/>
                <w:b/>
                <w:lang w:eastAsia="en-AU"/>
              </w:rPr>
            </w:pPr>
            <w:r w:rsidRPr="009502AE">
              <w:rPr>
                <w:rFonts w:ascii="Arial" w:eastAsia="Times New Roman" w:hAnsi="Arial" w:cs="Arial"/>
                <w:b/>
                <w:lang w:eastAsia="en-AU"/>
              </w:rPr>
              <w:t>Year 12</w:t>
            </w:r>
          </w:p>
        </w:tc>
        <w:tc>
          <w:tcPr>
            <w:tcW w:w="1169" w:type="dxa"/>
            <w:vAlign w:val="bottom"/>
          </w:tcPr>
          <w:p w:rsidR="00493B6F" w:rsidRPr="009502AE" w:rsidRDefault="00493B6F" w:rsidP="00E619A9">
            <w:pPr>
              <w:rPr>
                <w:rFonts w:ascii="Arial" w:eastAsia="Times New Roman" w:hAnsi="Arial" w:cs="Arial"/>
                <w:b/>
                <w:lang w:eastAsia="en-AU"/>
              </w:rPr>
            </w:pPr>
            <w:r w:rsidRPr="009502AE">
              <w:rPr>
                <w:rFonts w:ascii="Arial" w:eastAsia="Times New Roman" w:hAnsi="Arial" w:cs="Arial"/>
                <w:b/>
                <w:lang w:eastAsia="en-AU"/>
              </w:rPr>
              <w:t>Total</w:t>
            </w:r>
          </w:p>
        </w:tc>
      </w:tr>
      <w:tr w:rsidR="00AA5F3C" w:rsidRPr="00AA5F3C" w:rsidTr="00056F49">
        <w:tc>
          <w:tcPr>
            <w:tcW w:w="2248" w:type="dxa"/>
          </w:tcPr>
          <w:p w:rsidR="00056F49" w:rsidRPr="00AA5F3C" w:rsidRDefault="00056F49" w:rsidP="00E619A9">
            <w:pPr>
              <w:rPr>
                <w:rFonts w:ascii="Arial" w:hAnsi="Arial" w:cs="Arial"/>
              </w:rPr>
            </w:pPr>
            <w:r w:rsidRPr="00AA5F3C">
              <w:rPr>
                <w:rFonts w:ascii="Arial" w:hAnsi="Arial" w:cs="Arial"/>
              </w:rPr>
              <w:t>FTE</w:t>
            </w:r>
          </w:p>
        </w:tc>
        <w:tc>
          <w:tcPr>
            <w:tcW w:w="1348" w:type="dxa"/>
          </w:tcPr>
          <w:p w:rsidR="00056F49" w:rsidRPr="00AA5F3C" w:rsidRDefault="00056F49" w:rsidP="00E619A9">
            <w:pPr>
              <w:rPr>
                <w:rFonts w:ascii="Arial" w:hAnsi="Arial" w:cs="Arial"/>
              </w:rPr>
            </w:pPr>
            <w:r w:rsidRPr="00AA5F3C">
              <w:rPr>
                <w:rFonts w:ascii="Arial" w:hAnsi="Arial" w:cs="Arial"/>
              </w:rPr>
              <w:t>631.2</w:t>
            </w:r>
          </w:p>
        </w:tc>
        <w:tc>
          <w:tcPr>
            <w:tcW w:w="1348" w:type="dxa"/>
          </w:tcPr>
          <w:p w:rsidR="00056F49" w:rsidRPr="00AA5F3C" w:rsidRDefault="00056F49" w:rsidP="00E619A9">
            <w:pPr>
              <w:rPr>
                <w:rFonts w:ascii="Arial" w:hAnsi="Arial" w:cs="Arial"/>
              </w:rPr>
            </w:pPr>
            <w:r w:rsidRPr="00AA5F3C">
              <w:rPr>
                <w:rFonts w:ascii="Arial" w:hAnsi="Arial" w:cs="Arial"/>
              </w:rPr>
              <w:t>450.2</w:t>
            </w:r>
          </w:p>
        </w:tc>
        <w:tc>
          <w:tcPr>
            <w:tcW w:w="1169" w:type="dxa"/>
          </w:tcPr>
          <w:p w:rsidR="00056F49" w:rsidRPr="00AA5F3C" w:rsidRDefault="00056F49" w:rsidP="00E619A9">
            <w:pPr>
              <w:rPr>
                <w:rFonts w:ascii="Arial" w:hAnsi="Arial" w:cs="Arial"/>
              </w:rPr>
            </w:pPr>
            <w:r w:rsidRPr="00AA5F3C">
              <w:rPr>
                <w:rFonts w:ascii="Arial" w:hAnsi="Arial" w:cs="Arial"/>
              </w:rPr>
              <w:t>1081.4</w:t>
            </w:r>
          </w:p>
        </w:tc>
      </w:tr>
      <w:tr w:rsidR="00056F49" w:rsidRPr="00AA5F3C" w:rsidTr="00056F49">
        <w:tc>
          <w:tcPr>
            <w:tcW w:w="2248" w:type="dxa"/>
          </w:tcPr>
          <w:p w:rsidR="00056F49" w:rsidRPr="00AA5F3C" w:rsidRDefault="00056F49" w:rsidP="00E619A9">
            <w:pPr>
              <w:rPr>
                <w:rFonts w:ascii="Arial" w:hAnsi="Arial" w:cs="Arial"/>
              </w:rPr>
            </w:pPr>
            <w:r w:rsidRPr="00AA5F3C">
              <w:rPr>
                <w:rFonts w:ascii="Arial" w:hAnsi="Arial" w:cs="Arial"/>
              </w:rPr>
              <w:t xml:space="preserve">Full Time </w:t>
            </w:r>
          </w:p>
        </w:tc>
        <w:tc>
          <w:tcPr>
            <w:tcW w:w="1348" w:type="dxa"/>
          </w:tcPr>
          <w:p w:rsidR="00056F49" w:rsidRPr="00AA5F3C" w:rsidRDefault="00056F49" w:rsidP="00E619A9">
            <w:pPr>
              <w:rPr>
                <w:rFonts w:ascii="Arial" w:hAnsi="Arial" w:cs="Arial"/>
              </w:rPr>
            </w:pPr>
            <w:r w:rsidRPr="00AA5F3C">
              <w:rPr>
                <w:rFonts w:ascii="Arial" w:hAnsi="Arial" w:cs="Arial"/>
              </w:rPr>
              <w:t>616</w:t>
            </w:r>
          </w:p>
        </w:tc>
        <w:tc>
          <w:tcPr>
            <w:tcW w:w="1348" w:type="dxa"/>
          </w:tcPr>
          <w:p w:rsidR="00056F49" w:rsidRPr="00AA5F3C" w:rsidRDefault="00056F49" w:rsidP="00E619A9">
            <w:pPr>
              <w:rPr>
                <w:rFonts w:ascii="Arial" w:hAnsi="Arial" w:cs="Arial"/>
              </w:rPr>
            </w:pPr>
            <w:r w:rsidRPr="00AA5F3C">
              <w:rPr>
                <w:rFonts w:ascii="Arial" w:hAnsi="Arial" w:cs="Arial"/>
              </w:rPr>
              <w:t>439</w:t>
            </w:r>
          </w:p>
        </w:tc>
        <w:tc>
          <w:tcPr>
            <w:tcW w:w="1169" w:type="dxa"/>
          </w:tcPr>
          <w:p w:rsidR="00056F49" w:rsidRPr="00AA5F3C" w:rsidRDefault="00056F49" w:rsidP="00E619A9">
            <w:pPr>
              <w:rPr>
                <w:rFonts w:ascii="Arial" w:hAnsi="Arial" w:cs="Arial"/>
              </w:rPr>
            </w:pPr>
            <w:r w:rsidRPr="00AA5F3C">
              <w:rPr>
                <w:rFonts w:ascii="Arial" w:hAnsi="Arial" w:cs="Arial"/>
              </w:rPr>
              <w:t>1055</w:t>
            </w:r>
          </w:p>
        </w:tc>
      </w:tr>
    </w:tbl>
    <w:p w:rsidR="00056F49" w:rsidRPr="00AA5F3C" w:rsidRDefault="00056F49" w:rsidP="00E619A9">
      <w:pPr>
        <w:spacing w:line="240" w:lineRule="auto"/>
        <w:ind w:left="93"/>
        <w:rPr>
          <w:rFonts w:ascii="Arial" w:eastAsia="Times New Roman" w:hAnsi="Arial" w:cs="Arial"/>
          <w:i/>
          <w:iCs/>
          <w:lang w:eastAsia="en-AU"/>
        </w:rPr>
      </w:pPr>
      <w:r w:rsidRPr="00AA5F3C">
        <w:rPr>
          <w:rFonts w:ascii="Arial" w:eastAsia="Times New Roman" w:hAnsi="Arial" w:cs="Arial"/>
          <w:i/>
          <w:iCs/>
          <w:lang w:eastAsia="en-AU"/>
        </w:rPr>
        <w:t xml:space="preserve">Source: 2012 Term 3 DECD School Enrolment </w:t>
      </w:r>
      <w:proofErr w:type="gramStart"/>
      <w:r w:rsidRPr="00AA5F3C">
        <w:rPr>
          <w:rFonts w:ascii="Arial" w:eastAsia="Times New Roman" w:hAnsi="Arial" w:cs="Arial"/>
          <w:i/>
          <w:iCs/>
          <w:lang w:eastAsia="en-AU"/>
        </w:rPr>
        <w:t>Census</w:t>
      </w:r>
      <w:proofErr w:type="gramEnd"/>
    </w:p>
    <w:p w:rsidR="00056F49" w:rsidRPr="00AA5F3C" w:rsidRDefault="00056F49" w:rsidP="00E619A9">
      <w:pPr>
        <w:spacing w:line="240" w:lineRule="auto"/>
        <w:ind w:left="93"/>
        <w:rPr>
          <w:rFonts w:ascii="Arial" w:eastAsia="Times New Roman" w:hAnsi="Arial" w:cs="Arial"/>
          <w:i/>
          <w:iCs/>
          <w:lang w:eastAsia="en-AU"/>
        </w:rPr>
      </w:pPr>
    </w:p>
    <w:p w:rsidR="00056F49" w:rsidRPr="00AA5F3C" w:rsidRDefault="00DA6260" w:rsidP="00E619A9">
      <w:pPr>
        <w:spacing w:after="200"/>
        <w:rPr>
          <w:rFonts w:ascii="Arial" w:eastAsia="Calibri" w:hAnsi="Arial" w:cs="Arial"/>
        </w:rPr>
      </w:pPr>
      <w:r>
        <w:rPr>
          <w:rFonts w:ascii="Arial" w:eastAsia="Times New Roman" w:hAnsi="Arial" w:cs="Arial"/>
          <w:b/>
          <w:bCs/>
          <w:lang w:eastAsia="en-AU"/>
        </w:rPr>
        <w:t>Table 5</w:t>
      </w:r>
      <w:r w:rsidR="00056F49" w:rsidRPr="00AA5F3C">
        <w:rPr>
          <w:rFonts w:ascii="Arial" w:eastAsia="Times New Roman" w:hAnsi="Arial" w:cs="Arial"/>
          <w:b/>
          <w:bCs/>
          <w:lang w:eastAsia="en-AU"/>
        </w:rPr>
        <w:t xml:space="preserve">: </w:t>
      </w:r>
      <w:r w:rsidR="00056F49" w:rsidRPr="00AA5F3C">
        <w:rPr>
          <w:rFonts w:ascii="Arial" w:eastAsia="Times New Roman" w:hAnsi="Arial" w:cs="Arial"/>
          <w:lang w:eastAsia="en-AU"/>
        </w:rPr>
        <w:t>DECD total enrolment of Aboriginal student enrolments in Years 9 and 10</w:t>
      </w:r>
    </w:p>
    <w:tbl>
      <w:tblPr>
        <w:tblStyle w:val="TableGrid1"/>
        <w:tblW w:w="0" w:type="auto"/>
        <w:tblInd w:w="93" w:type="dxa"/>
        <w:tblLook w:val="04A0" w:firstRow="1" w:lastRow="0" w:firstColumn="1" w:lastColumn="0" w:noHBand="0" w:noVBand="1"/>
        <w:tblDescription w:val="Table showing total entorlment of Aboriginal students in Years 9 and 10 in 2012."/>
      </w:tblPr>
      <w:tblGrid>
        <w:gridCol w:w="2303"/>
        <w:gridCol w:w="1256"/>
        <w:gridCol w:w="1418"/>
        <w:gridCol w:w="1149"/>
      </w:tblGrid>
      <w:tr w:rsidR="00AA5F3C" w:rsidRPr="009502AE" w:rsidTr="0058742A">
        <w:trPr>
          <w:tblHeader/>
        </w:trPr>
        <w:tc>
          <w:tcPr>
            <w:tcW w:w="2303" w:type="dxa"/>
            <w:vAlign w:val="bottom"/>
          </w:tcPr>
          <w:p w:rsidR="00056F49" w:rsidRPr="009502AE" w:rsidRDefault="00056F49" w:rsidP="00E619A9">
            <w:pPr>
              <w:rPr>
                <w:rFonts w:ascii="Arial" w:hAnsi="Arial" w:cs="Arial"/>
                <w:b/>
              </w:rPr>
            </w:pPr>
            <w:r w:rsidRPr="009502AE">
              <w:rPr>
                <w:rFonts w:ascii="Arial" w:hAnsi="Arial" w:cs="Arial"/>
                <w:b/>
              </w:rPr>
              <w:t>2012</w:t>
            </w:r>
          </w:p>
        </w:tc>
        <w:tc>
          <w:tcPr>
            <w:tcW w:w="1256" w:type="dxa"/>
            <w:vAlign w:val="bottom"/>
          </w:tcPr>
          <w:p w:rsidR="00056F49" w:rsidRPr="009502AE" w:rsidRDefault="00056F49" w:rsidP="00E619A9">
            <w:pPr>
              <w:rPr>
                <w:rFonts w:ascii="Arial" w:hAnsi="Arial" w:cs="Arial"/>
                <w:b/>
              </w:rPr>
            </w:pPr>
            <w:r w:rsidRPr="009502AE">
              <w:rPr>
                <w:rFonts w:ascii="Arial" w:hAnsi="Arial" w:cs="Arial"/>
                <w:b/>
              </w:rPr>
              <w:t>Year 9</w:t>
            </w:r>
          </w:p>
        </w:tc>
        <w:tc>
          <w:tcPr>
            <w:tcW w:w="1418" w:type="dxa"/>
            <w:vAlign w:val="bottom"/>
          </w:tcPr>
          <w:p w:rsidR="00056F49" w:rsidRPr="009502AE" w:rsidRDefault="00056F49" w:rsidP="00E619A9">
            <w:pPr>
              <w:rPr>
                <w:rFonts w:ascii="Arial" w:hAnsi="Arial" w:cs="Arial"/>
                <w:b/>
              </w:rPr>
            </w:pPr>
            <w:r w:rsidRPr="009502AE">
              <w:rPr>
                <w:rFonts w:ascii="Arial" w:hAnsi="Arial" w:cs="Arial"/>
                <w:b/>
              </w:rPr>
              <w:t>Year 10</w:t>
            </w:r>
          </w:p>
        </w:tc>
        <w:tc>
          <w:tcPr>
            <w:tcW w:w="1149" w:type="dxa"/>
            <w:vAlign w:val="bottom"/>
          </w:tcPr>
          <w:p w:rsidR="00056F49" w:rsidRPr="009502AE" w:rsidRDefault="00056F49" w:rsidP="00E619A9">
            <w:pPr>
              <w:rPr>
                <w:rFonts w:ascii="Arial" w:hAnsi="Arial" w:cs="Arial"/>
                <w:b/>
              </w:rPr>
            </w:pPr>
            <w:r w:rsidRPr="009502AE">
              <w:rPr>
                <w:rFonts w:ascii="Arial" w:hAnsi="Arial" w:cs="Arial"/>
                <w:b/>
              </w:rPr>
              <w:t>Total</w:t>
            </w:r>
          </w:p>
        </w:tc>
      </w:tr>
      <w:tr w:rsidR="00AA5F3C" w:rsidRPr="00AA5F3C" w:rsidTr="00056F49">
        <w:tc>
          <w:tcPr>
            <w:tcW w:w="2303" w:type="dxa"/>
          </w:tcPr>
          <w:p w:rsidR="00056F49" w:rsidRPr="00AA5F3C" w:rsidRDefault="00056F49" w:rsidP="00E619A9">
            <w:pPr>
              <w:rPr>
                <w:rFonts w:ascii="Arial" w:hAnsi="Arial" w:cs="Arial"/>
              </w:rPr>
            </w:pPr>
            <w:r w:rsidRPr="00AA5F3C">
              <w:rPr>
                <w:rFonts w:ascii="Arial" w:hAnsi="Arial" w:cs="Arial"/>
              </w:rPr>
              <w:t>FTE</w:t>
            </w:r>
          </w:p>
        </w:tc>
        <w:tc>
          <w:tcPr>
            <w:tcW w:w="1256" w:type="dxa"/>
          </w:tcPr>
          <w:p w:rsidR="00056F49" w:rsidRPr="00AA5F3C" w:rsidRDefault="00056F49" w:rsidP="00E619A9">
            <w:pPr>
              <w:rPr>
                <w:rFonts w:ascii="Arial" w:hAnsi="Arial" w:cs="Arial"/>
              </w:rPr>
            </w:pPr>
            <w:r w:rsidRPr="00AA5F3C">
              <w:rPr>
                <w:rFonts w:ascii="Arial" w:hAnsi="Arial" w:cs="Arial"/>
              </w:rPr>
              <w:t>660.9</w:t>
            </w:r>
          </w:p>
        </w:tc>
        <w:tc>
          <w:tcPr>
            <w:tcW w:w="1418" w:type="dxa"/>
          </w:tcPr>
          <w:p w:rsidR="00056F49" w:rsidRPr="00AA5F3C" w:rsidRDefault="00056F49" w:rsidP="00E619A9">
            <w:pPr>
              <w:rPr>
                <w:rFonts w:ascii="Arial" w:hAnsi="Arial" w:cs="Arial"/>
              </w:rPr>
            </w:pPr>
            <w:r w:rsidRPr="00AA5F3C">
              <w:rPr>
                <w:rFonts w:ascii="Arial" w:hAnsi="Arial" w:cs="Arial"/>
              </w:rPr>
              <w:t>637.2</w:t>
            </w:r>
          </w:p>
        </w:tc>
        <w:tc>
          <w:tcPr>
            <w:tcW w:w="1149" w:type="dxa"/>
          </w:tcPr>
          <w:p w:rsidR="00056F49" w:rsidRPr="00AA5F3C" w:rsidRDefault="00056F49" w:rsidP="00E619A9">
            <w:pPr>
              <w:rPr>
                <w:rFonts w:ascii="Arial" w:hAnsi="Arial" w:cs="Arial"/>
              </w:rPr>
            </w:pPr>
            <w:r w:rsidRPr="00AA5F3C">
              <w:rPr>
                <w:rFonts w:ascii="Arial" w:hAnsi="Arial" w:cs="Arial"/>
              </w:rPr>
              <w:t>1298.1</w:t>
            </w:r>
          </w:p>
        </w:tc>
      </w:tr>
      <w:tr w:rsidR="00056F49" w:rsidRPr="00AA5F3C" w:rsidTr="00056F49">
        <w:tc>
          <w:tcPr>
            <w:tcW w:w="2303" w:type="dxa"/>
          </w:tcPr>
          <w:p w:rsidR="00056F49" w:rsidRPr="00AA5F3C" w:rsidRDefault="00056F49" w:rsidP="00E619A9">
            <w:pPr>
              <w:rPr>
                <w:rFonts w:ascii="Arial" w:hAnsi="Arial" w:cs="Arial"/>
              </w:rPr>
            </w:pPr>
            <w:r w:rsidRPr="00AA5F3C">
              <w:rPr>
                <w:rFonts w:ascii="Arial" w:hAnsi="Arial" w:cs="Arial"/>
              </w:rPr>
              <w:t xml:space="preserve">Full Time </w:t>
            </w:r>
          </w:p>
        </w:tc>
        <w:tc>
          <w:tcPr>
            <w:tcW w:w="1256" w:type="dxa"/>
          </w:tcPr>
          <w:p w:rsidR="00056F49" w:rsidRPr="00AA5F3C" w:rsidRDefault="00056F49" w:rsidP="00E619A9">
            <w:pPr>
              <w:rPr>
                <w:rFonts w:ascii="Arial" w:hAnsi="Arial" w:cs="Arial"/>
              </w:rPr>
            </w:pPr>
            <w:r w:rsidRPr="00AA5F3C">
              <w:rPr>
                <w:rFonts w:ascii="Arial" w:hAnsi="Arial" w:cs="Arial"/>
              </w:rPr>
              <w:t>660</w:t>
            </w:r>
          </w:p>
        </w:tc>
        <w:tc>
          <w:tcPr>
            <w:tcW w:w="1418" w:type="dxa"/>
          </w:tcPr>
          <w:p w:rsidR="00056F49" w:rsidRPr="00AA5F3C" w:rsidRDefault="00056F49" w:rsidP="00E619A9">
            <w:pPr>
              <w:rPr>
                <w:rFonts w:ascii="Arial" w:hAnsi="Arial" w:cs="Arial"/>
              </w:rPr>
            </w:pPr>
            <w:r w:rsidRPr="00AA5F3C">
              <w:rPr>
                <w:rFonts w:ascii="Arial" w:hAnsi="Arial" w:cs="Arial"/>
              </w:rPr>
              <w:t>637</w:t>
            </w:r>
          </w:p>
        </w:tc>
        <w:tc>
          <w:tcPr>
            <w:tcW w:w="1149" w:type="dxa"/>
          </w:tcPr>
          <w:p w:rsidR="00056F49" w:rsidRPr="00AA5F3C" w:rsidRDefault="00056F49" w:rsidP="00E619A9">
            <w:pPr>
              <w:rPr>
                <w:rFonts w:ascii="Arial" w:hAnsi="Arial" w:cs="Arial"/>
              </w:rPr>
            </w:pPr>
            <w:r w:rsidRPr="00AA5F3C">
              <w:rPr>
                <w:rFonts w:ascii="Arial" w:hAnsi="Arial" w:cs="Arial"/>
              </w:rPr>
              <w:t>1297</w:t>
            </w:r>
          </w:p>
        </w:tc>
      </w:tr>
    </w:tbl>
    <w:p w:rsidR="00056F49" w:rsidRPr="00AA5F3C" w:rsidRDefault="00056F49" w:rsidP="00E619A9">
      <w:pPr>
        <w:spacing w:after="200"/>
        <w:rPr>
          <w:rFonts w:ascii="Arial" w:eastAsia="Calibri" w:hAnsi="Arial" w:cs="Arial"/>
        </w:rPr>
      </w:pPr>
      <w:r w:rsidRPr="00AA5F3C">
        <w:rPr>
          <w:rFonts w:ascii="Arial" w:eastAsia="Times New Roman" w:hAnsi="Arial" w:cs="Arial"/>
          <w:i/>
          <w:iCs/>
          <w:lang w:eastAsia="en-AU"/>
        </w:rPr>
        <w:t xml:space="preserve">Source: 2012 Term 3 DECD School Enrolment </w:t>
      </w:r>
      <w:proofErr w:type="gramStart"/>
      <w:r w:rsidRPr="00AA5F3C">
        <w:rPr>
          <w:rFonts w:ascii="Arial" w:eastAsia="Times New Roman" w:hAnsi="Arial" w:cs="Arial"/>
          <w:i/>
          <w:iCs/>
          <w:lang w:eastAsia="en-AU"/>
        </w:rPr>
        <w:t>Census</w:t>
      </w:r>
      <w:proofErr w:type="gramEnd"/>
    </w:p>
    <w:p w:rsidR="00056F49" w:rsidRPr="00AA5F3C" w:rsidRDefault="00056F49" w:rsidP="00E619A9">
      <w:pPr>
        <w:spacing w:after="200"/>
        <w:rPr>
          <w:rFonts w:ascii="Arial" w:eastAsia="Times New Roman" w:hAnsi="Arial" w:cs="Arial"/>
          <w:lang w:eastAsia="en-AU"/>
        </w:rPr>
      </w:pPr>
      <w:r w:rsidRPr="00AA5F3C">
        <w:rPr>
          <w:rFonts w:ascii="Arial" w:eastAsia="Times New Roman" w:hAnsi="Arial" w:cs="Arial"/>
          <w:b/>
          <w:bCs/>
          <w:lang w:eastAsia="en-AU"/>
        </w:rPr>
        <w:t xml:space="preserve">Table </w:t>
      </w:r>
      <w:r w:rsidR="00DA6260">
        <w:rPr>
          <w:rFonts w:ascii="Arial" w:eastAsia="Times New Roman" w:hAnsi="Arial" w:cs="Arial"/>
          <w:b/>
          <w:bCs/>
          <w:lang w:eastAsia="en-AU"/>
        </w:rPr>
        <w:t>6</w:t>
      </w:r>
      <w:r w:rsidRPr="00AA5F3C">
        <w:rPr>
          <w:rFonts w:ascii="Arial" w:eastAsia="Times New Roman" w:hAnsi="Arial" w:cs="Arial"/>
          <w:b/>
          <w:bCs/>
          <w:lang w:eastAsia="en-AU"/>
        </w:rPr>
        <w:t xml:space="preserve">: </w:t>
      </w:r>
      <w:r w:rsidRPr="00AA5F3C">
        <w:rPr>
          <w:rFonts w:ascii="Arial" w:eastAsia="Times New Roman" w:hAnsi="Arial" w:cs="Arial"/>
          <w:lang w:eastAsia="en-AU"/>
        </w:rPr>
        <w:t>SA Government schools apparent retention for Aboriginal students (201</w:t>
      </w:r>
      <w:r w:rsidR="00AA5F3C">
        <w:rPr>
          <w:rFonts w:ascii="Arial" w:eastAsia="Times New Roman" w:hAnsi="Arial" w:cs="Arial"/>
          <w:lang w:eastAsia="en-AU"/>
        </w:rPr>
        <w:t>2</w:t>
      </w:r>
      <w:r w:rsidRPr="00AA5F3C">
        <w:rPr>
          <w:rFonts w:ascii="Arial" w:eastAsia="Times New Roman" w:hAnsi="Arial" w:cs="Arial"/>
          <w:lang w:eastAsia="en-AU"/>
        </w:rPr>
        <w:t>)</w:t>
      </w:r>
    </w:p>
    <w:tbl>
      <w:tblPr>
        <w:tblW w:w="7637" w:type="dxa"/>
        <w:tblInd w:w="109" w:type="dxa"/>
        <w:tblCellMar>
          <w:left w:w="0" w:type="dxa"/>
          <w:right w:w="0" w:type="dxa"/>
        </w:tblCellMar>
        <w:tblLook w:val="04A0" w:firstRow="1" w:lastRow="0" w:firstColumn="1" w:lastColumn="0" w:noHBand="0" w:noVBand="1"/>
        <w:tblDescription w:val="Table showing apparent retention of Aboriginal students in SA government schools in 2012."/>
      </w:tblPr>
      <w:tblGrid>
        <w:gridCol w:w="3473"/>
        <w:gridCol w:w="4164"/>
      </w:tblGrid>
      <w:tr w:rsidR="00AA5F3C" w:rsidRPr="00CC12F9" w:rsidTr="00AA5F3C">
        <w:trPr>
          <w:trHeight w:val="291"/>
        </w:trPr>
        <w:tc>
          <w:tcPr>
            <w:tcW w:w="3473" w:type="dxa"/>
            <w:tcBorders>
              <w:top w:val="single" w:sz="2" w:space="0" w:color="auto"/>
              <w:left w:val="single" w:sz="8" w:space="0" w:color="auto"/>
              <w:bottom w:val="single" w:sz="8" w:space="0" w:color="auto"/>
              <w:right w:val="single" w:sz="8" w:space="0" w:color="000000"/>
            </w:tcBorders>
            <w:shd w:val="clear" w:color="auto" w:fill="auto"/>
            <w:noWrap/>
            <w:tcMar>
              <w:top w:w="0" w:type="dxa"/>
              <w:left w:w="108" w:type="dxa"/>
              <w:bottom w:w="0" w:type="dxa"/>
              <w:right w:w="108" w:type="dxa"/>
            </w:tcMar>
            <w:vAlign w:val="bottom"/>
            <w:hideMark/>
          </w:tcPr>
          <w:p w:rsidR="009119DD" w:rsidRPr="00CC12F9" w:rsidRDefault="009119DD" w:rsidP="00E619A9">
            <w:pPr>
              <w:spacing w:line="240" w:lineRule="auto"/>
              <w:rPr>
                <w:rFonts w:ascii="Arial" w:eastAsia="Calibri" w:hAnsi="Arial" w:cs="Arial"/>
                <w:b/>
                <w:lang w:eastAsia="en-AU"/>
              </w:rPr>
            </w:pPr>
            <w:r w:rsidRPr="00CC12F9">
              <w:rPr>
                <w:rFonts w:ascii="Arial" w:eastAsia="Calibri" w:hAnsi="Arial" w:cs="Arial"/>
                <w:b/>
                <w:lang w:eastAsia="en-AU"/>
              </w:rPr>
              <w:t>Years 7/8 to Year 10</w:t>
            </w:r>
          </w:p>
        </w:tc>
        <w:tc>
          <w:tcPr>
            <w:tcW w:w="4164" w:type="dxa"/>
            <w:tcBorders>
              <w:top w:val="single" w:sz="2" w:space="0" w:color="auto"/>
              <w:left w:val="nil"/>
              <w:bottom w:val="single" w:sz="8" w:space="0" w:color="auto"/>
              <w:right w:val="single" w:sz="8" w:space="0" w:color="000000"/>
            </w:tcBorders>
            <w:shd w:val="clear" w:color="auto" w:fill="auto"/>
            <w:noWrap/>
            <w:tcMar>
              <w:top w:w="0" w:type="dxa"/>
              <w:left w:w="108" w:type="dxa"/>
              <w:bottom w:w="0" w:type="dxa"/>
              <w:right w:w="108" w:type="dxa"/>
            </w:tcMar>
            <w:vAlign w:val="bottom"/>
            <w:hideMark/>
          </w:tcPr>
          <w:p w:rsidR="009119DD" w:rsidRPr="00CC12F9" w:rsidRDefault="009119DD" w:rsidP="00E619A9">
            <w:pPr>
              <w:spacing w:line="240" w:lineRule="auto"/>
              <w:rPr>
                <w:rFonts w:ascii="Arial" w:eastAsia="Calibri" w:hAnsi="Arial" w:cs="Arial"/>
                <w:b/>
                <w:lang w:eastAsia="en-AU"/>
              </w:rPr>
            </w:pPr>
            <w:r w:rsidRPr="00CC12F9">
              <w:rPr>
                <w:rFonts w:ascii="Arial" w:eastAsia="Calibri" w:hAnsi="Arial" w:cs="Arial"/>
                <w:b/>
                <w:lang w:eastAsia="en-AU"/>
              </w:rPr>
              <w:t>Years 7/8 to Year 12</w:t>
            </w:r>
          </w:p>
        </w:tc>
      </w:tr>
      <w:tr w:rsidR="00AA5F3C" w:rsidRPr="00AA5F3C" w:rsidTr="009119DD">
        <w:trPr>
          <w:trHeight w:val="291"/>
        </w:trPr>
        <w:tc>
          <w:tcPr>
            <w:tcW w:w="3473"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9119DD" w:rsidRPr="00AA5F3C" w:rsidRDefault="009119DD" w:rsidP="00E619A9">
            <w:pPr>
              <w:spacing w:line="240" w:lineRule="auto"/>
              <w:rPr>
                <w:rFonts w:ascii="Arial" w:eastAsia="Calibri" w:hAnsi="Arial" w:cs="Arial"/>
                <w:lang w:eastAsia="en-AU"/>
              </w:rPr>
            </w:pPr>
            <w:r w:rsidRPr="00AA5F3C">
              <w:rPr>
                <w:rFonts w:ascii="Arial" w:eastAsia="Calibri" w:hAnsi="Arial" w:cs="Arial"/>
                <w:lang w:eastAsia="en-AU"/>
              </w:rPr>
              <w:t>100.8%</w:t>
            </w:r>
          </w:p>
        </w:tc>
        <w:tc>
          <w:tcPr>
            <w:tcW w:w="4164" w:type="dxa"/>
            <w:tcBorders>
              <w:top w:val="nil"/>
              <w:left w:val="nil"/>
              <w:bottom w:val="single" w:sz="8" w:space="0" w:color="auto"/>
              <w:right w:val="single" w:sz="8" w:space="0" w:color="000000"/>
            </w:tcBorders>
            <w:noWrap/>
            <w:tcMar>
              <w:top w:w="0" w:type="dxa"/>
              <w:left w:w="108" w:type="dxa"/>
              <w:bottom w:w="0" w:type="dxa"/>
              <w:right w:w="108" w:type="dxa"/>
            </w:tcMar>
            <w:vAlign w:val="bottom"/>
            <w:hideMark/>
          </w:tcPr>
          <w:p w:rsidR="009119DD" w:rsidRPr="00AA5F3C" w:rsidRDefault="009119DD" w:rsidP="00E619A9">
            <w:pPr>
              <w:spacing w:line="240" w:lineRule="auto"/>
              <w:rPr>
                <w:rFonts w:ascii="Arial" w:eastAsia="Calibri" w:hAnsi="Arial" w:cs="Arial"/>
                <w:lang w:eastAsia="en-AU"/>
              </w:rPr>
            </w:pPr>
            <w:r w:rsidRPr="00AA5F3C">
              <w:rPr>
                <w:rFonts w:ascii="Arial" w:eastAsia="Calibri" w:hAnsi="Arial" w:cs="Arial"/>
                <w:lang w:eastAsia="en-AU"/>
              </w:rPr>
              <w:t>67.4%</w:t>
            </w:r>
          </w:p>
        </w:tc>
      </w:tr>
    </w:tbl>
    <w:p w:rsidR="009119DD" w:rsidRPr="00AA5F3C" w:rsidRDefault="009119DD" w:rsidP="00E619A9">
      <w:pPr>
        <w:spacing w:after="200"/>
        <w:rPr>
          <w:rFonts w:ascii="Arial" w:eastAsia="Times New Roman" w:hAnsi="Arial" w:cs="Arial"/>
          <w:b/>
          <w:bCs/>
          <w:lang w:eastAsia="en-AU"/>
        </w:rPr>
      </w:pPr>
      <w:r w:rsidRPr="00AA5F3C">
        <w:rPr>
          <w:rFonts w:ascii="Arial" w:eastAsia="Calibri" w:hAnsi="Arial" w:cs="Arial"/>
          <w:i/>
          <w:iCs/>
          <w:lang w:eastAsia="en-AU"/>
        </w:rPr>
        <w:t xml:space="preserve">Source: National Schools Statistics Collection (ABS) table </w:t>
      </w:r>
      <w:proofErr w:type="spellStart"/>
      <w:r w:rsidRPr="00AA5F3C">
        <w:rPr>
          <w:rFonts w:ascii="Arial" w:eastAsia="Calibri" w:hAnsi="Arial" w:cs="Arial"/>
          <w:i/>
          <w:iCs/>
          <w:lang w:eastAsia="en-AU"/>
        </w:rPr>
        <w:t>64a</w:t>
      </w:r>
      <w:proofErr w:type="spellEnd"/>
      <w:r w:rsidRPr="00AA5F3C">
        <w:rPr>
          <w:rFonts w:ascii="Arial" w:eastAsia="Calibri" w:hAnsi="Arial" w:cs="Arial"/>
          <w:i/>
          <w:iCs/>
          <w:lang w:eastAsia="en-AU"/>
        </w:rPr>
        <w:t xml:space="preserve"> March 2012</w:t>
      </w:r>
    </w:p>
    <w:p w:rsidR="00056F49" w:rsidRDefault="00DA6260" w:rsidP="00E619A9">
      <w:pPr>
        <w:spacing w:after="200"/>
        <w:rPr>
          <w:rFonts w:ascii="Arial" w:eastAsia="Times New Roman" w:hAnsi="Arial" w:cs="Arial"/>
          <w:lang w:eastAsia="en-AU"/>
        </w:rPr>
      </w:pPr>
      <w:r>
        <w:rPr>
          <w:rFonts w:ascii="Arial" w:eastAsia="Times New Roman" w:hAnsi="Arial" w:cs="Arial"/>
          <w:b/>
          <w:bCs/>
          <w:lang w:eastAsia="en-AU"/>
        </w:rPr>
        <w:t>Table 7</w:t>
      </w:r>
      <w:r w:rsidR="00056F49" w:rsidRPr="00AA5F3C">
        <w:rPr>
          <w:rFonts w:ascii="Arial" w:eastAsia="Times New Roman" w:hAnsi="Arial" w:cs="Arial"/>
          <w:b/>
          <w:bCs/>
          <w:lang w:eastAsia="en-AU"/>
        </w:rPr>
        <w:t xml:space="preserve">: </w:t>
      </w:r>
      <w:r w:rsidR="00056F49" w:rsidRPr="00AA5F3C">
        <w:rPr>
          <w:rFonts w:ascii="Arial" w:eastAsia="Times New Roman" w:hAnsi="Arial" w:cs="Arial"/>
          <w:lang w:eastAsia="en-AU"/>
        </w:rPr>
        <w:t xml:space="preserve">SA </w:t>
      </w:r>
      <w:proofErr w:type="spellStart"/>
      <w:r w:rsidR="00056F49" w:rsidRPr="00AA5F3C">
        <w:rPr>
          <w:rFonts w:ascii="Arial" w:eastAsia="Times New Roman" w:hAnsi="Arial" w:cs="Arial"/>
          <w:lang w:eastAsia="en-AU"/>
        </w:rPr>
        <w:t>SACE</w:t>
      </w:r>
      <w:proofErr w:type="spellEnd"/>
      <w:r w:rsidR="00056F49" w:rsidRPr="00AA5F3C">
        <w:rPr>
          <w:rFonts w:ascii="Arial" w:eastAsia="Times New Roman" w:hAnsi="Arial" w:cs="Arial"/>
          <w:lang w:eastAsia="en-AU"/>
        </w:rPr>
        <w:t xml:space="preserve"> Completion rate for Aboriginal Students</w:t>
      </w:r>
    </w:p>
    <w:tbl>
      <w:tblPr>
        <w:tblStyle w:val="TableGrid11"/>
        <w:tblW w:w="0" w:type="auto"/>
        <w:tblInd w:w="93" w:type="dxa"/>
        <w:tblLook w:val="06A0" w:firstRow="1" w:lastRow="0" w:firstColumn="1" w:lastColumn="0" w:noHBand="1" w:noVBand="1"/>
        <w:tblDescription w:val="SA Certificate of Education completion rate percentage for Aboriginal students  from 2008 to 2012."/>
      </w:tblPr>
      <w:tblGrid>
        <w:gridCol w:w="2283"/>
        <w:gridCol w:w="1129"/>
        <w:gridCol w:w="1129"/>
        <w:gridCol w:w="1133"/>
        <w:gridCol w:w="1129"/>
        <w:gridCol w:w="1129"/>
      </w:tblGrid>
      <w:tr w:rsidR="00DA6260" w:rsidRPr="00202C25" w:rsidTr="0058742A">
        <w:trPr>
          <w:tblHeader/>
        </w:trPr>
        <w:tc>
          <w:tcPr>
            <w:tcW w:w="2283" w:type="dxa"/>
          </w:tcPr>
          <w:p w:rsidR="00DA6260" w:rsidRPr="00202C25" w:rsidRDefault="00202C25" w:rsidP="00E619A9">
            <w:pPr>
              <w:rPr>
                <w:rFonts w:ascii="Arial" w:hAnsi="Arial" w:cs="Arial"/>
                <w:b/>
              </w:rPr>
            </w:pPr>
            <w:r w:rsidRPr="00202C25">
              <w:rPr>
                <w:rFonts w:ascii="Arial" w:hAnsi="Arial" w:cs="Arial"/>
                <w:b/>
              </w:rPr>
              <w:t>Student type</w:t>
            </w:r>
          </w:p>
        </w:tc>
        <w:tc>
          <w:tcPr>
            <w:tcW w:w="1129" w:type="dxa"/>
          </w:tcPr>
          <w:p w:rsidR="00DA6260" w:rsidRPr="00202C25" w:rsidRDefault="00DA6260" w:rsidP="00E619A9">
            <w:pPr>
              <w:rPr>
                <w:rFonts w:ascii="Arial" w:hAnsi="Arial" w:cs="Arial"/>
                <w:b/>
              </w:rPr>
            </w:pPr>
            <w:r w:rsidRPr="00202C25">
              <w:rPr>
                <w:rFonts w:ascii="Arial" w:hAnsi="Arial" w:cs="Arial"/>
                <w:b/>
              </w:rPr>
              <w:t>2008</w:t>
            </w:r>
          </w:p>
        </w:tc>
        <w:tc>
          <w:tcPr>
            <w:tcW w:w="1129" w:type="dxa"/>
          </w:tcPr>
          <w:p w:rsidR="00DA6260" w:rsidRPr="00202C25" w:rsidRDefault="00DA6260" w:rsidP="00E619A9">
            <w:pPr>
              <w:rPr>
                <w:rFonts w:ascii="Arial" w:hAnsi="Arial" w:cs="Arial"/>
                <w:b/>
              </w:rPr>
            </w:pPr>
            <w:r w:rsidRPr="00202C25">
              <w:rPr>
                <w:rFonts w:ascii="Arial" w:hAnsi="Arial" w:cs="Arial"/>
                <w:b/>
              </w:rPr>
              <w:t>2009</w:t>
            </w:r>
          </w:p>
        </w:tc>
        <w:tc>
          <w:tcPr>
            <w:tcW w:w="1133" w:type="dxa"/>
          </w:tcPr>
          <w:p w:rsidR="00DA6260" w:rsidRPr="00202C25" w:rsidRDefault="00DA6260" w:rsidP="00E619A9">
            <w:pPr>
              <w:rPr>
                <w:rFonts w:ascii="Arial" w:hAnsi="Arial" w:cs="Arial"/>
                <w:b/>
              </w:rPr>
            </w:pPr>
            <w:r w:rsidRPr="00202C25">
              <w:rPr>
                <w:rFonts w:ascii="Arial" w:hAnsi="Arial" w:cs="Arial"/>
                <w:b/>
              </w:rPr>
              <w:t>2010</w:t>
            </w:r>
          </w:p>
        </w:tc>
        <w:tc>
          <w:tcPr>
            <w:tcW w:w="1129" w:type="dxa"/>
          </w:tcPr>
          <w:p w:rsidR="00DA6260" w:rsidRPr="00202C25" w:rsidRDefault="00DA6260" w:rsidP="00E619A9">
            <w:pPr>
              <w:rPr>
                <w:rFonts w:ascii="Arial" w:hAnsi="Arial" w:cs="Arial"/>
                <w:b/>
              </w:rPr>
            </w:pPr>
            <w:r w:rsidRPr="00202C25">
              <w:rPr>
                <w:rFonts w:ascii="Arial" w:hAnsi="Arial" w:cs="Arial"/>
                <w:b/>
              </w:rPr>
              <w:t>2011</w:t>
            </w:r>
          </w:p>
        </w:tc>
        <w:tc>
          <w:tcPr>
            <w:tcW w:w="1129" w:type="dxa"/>
          </w:tcPr>
          <w:p w:rsidR="00DA6260" w:rsidRPr="00202C25" w:rsidRDefault="00DA6260" w:rsidP="00E619A9">
            <w:pPr>
              <w:rPr>
                <w:rFonts w:ascii="Arial" w:hAnsi="Arial" w:cs="Arial"/>
                <w:b/>
              </w:rPr>
            </w:pPr>
            <w:r w:rsidRPr="00202C25">
              <w:rPr>
                <w:rFonts w:ascii="Arial" w:hAnsi="Arial" w:cs="Arial"/>
                <w:b/>
              </w:rPr>
              <w:t>2012</w:t>
            </w:r>
          </w:p>
        </w:tc>
      </w:tr>
      <w:tr w:rsidR="00DA6260" w:rsidRPr="00AA5F3C" w:rsidTr="00202C25">
        <w:tc>
          <w:tcPr>
            <w:tcW w:w="2283" w:type="dxa"/>
          </w:tcPr>
          <w:p w:rsidR="00DA6260" w:rsidRPr="00AA5F3C" w:rsidRDefault="00DA6260" w:rsidP="00E619A9">
            <w:pPr>
              <w:rPr>
                <w:rFonts w:ascii="Arial" w:eastAsia="Times New Roman" w:hAnsi="Arial" w:cs="Arial"/>
                <w:lang w:eastAsia="en-AU"/>
              </w:rPr>
            </w:pPr>
            <w:r w:rsidRPr="00AA5F3C">
              <w:rPr>
                <w:rFonts w:ascii="Arial" w:eastAsia="Times New Roman" w:hAnsi="Arial" w:cs="Arial"/>
                <w:lang w:eastAsia="en-AU"/>
              </w:rPr>
              <w:t>Aboriginal Students</w:t>
            </w:r>
          </w:p>
        </w:tc>
        <w:tc>
          <w:tcPr>
            <w:tcW w:w="1129" w:type="dxa"/>
          </w:tcPr>
          <w:p w:rsidR="00DA6260" w:rsidRPr="00AA5F3C" w:rsidRDefault="00DA6260" w:rsidP="00E619A9">
            <w:pPr>
              <w:rPr>
                <w:rFonts w:ascii="Arial" w:eastAsia="Times New Roman" w:hAnsi="Arial" w:cs="Arial"/>
                <w:lang w:eastAsia="en-AU"/>
              </w:rPr>
            </w:pPr>
            <w:r w:rsidRPr="00AA5F3C">
              <w:rPr>
                <w:rFonts w:ascii="Arial" w:eastAsia="Times New Roman" w:hAnsi="Arial" w:cs="Arial"/>
                <w:lang w:eastAsia="en-AU"/>
              </w:rPr>
              <w:t>76.8%</w:t>
            </w:r>
          </w:p>
        </w:tc>
        <w:tc>
          <w:tcPr>
            <w:tcW w:w="1129" w:type="dxa"/>
          </w:tcPr>
          <w:p w:rsidR="00DA6260" w:rsidRPr="00AA5F3C" w:rsidRDefault="00DA6260" w:rsidP="00E619A9">
            <w:pPr>
              <w:rPr>
                <w:rFonts w:ascii="Arial" w:eastAsia="Times New Roman" w:hAnsi="Arial" w:cs="Arial"/>
                <w:lang w:eastAsia="en-AU"/>
              </w:rPr>
            </w:pPr>
            <w:r w:rsidRPr="00AA5F3C">
              <w:rPr>
                <w:rFonts w:ascii="Arial" w:eastAsia="Times New Roman" w:hAnsi="Arial" w:cs="Arial"/>
                <w:lang w:eastAsia="en-AU"/>
              </w:rPr>
              <w:t>81.3%</w:t>
            </w:r>
          </w:p>
        </w:tc>
        <w:tc>
          <w:tcPr>
            <w:tcW w:w="1133" w:type="dxa"/>
          </w:tcPr>
          <w:p w:rsidR="00DA6260" w:rsidRPr="00AA5F3C" w:rsidRDefault="00DA6260" w:rsidP="00E619A9">
            <w:pPr>
              <w:rPr>
                <w:rFonts w:ascii="Arial" w:eastAsia="Times New Roman" w:hAnsi="Arial" w:cs="Arial"/>
                <w:lang w:eastAsia="en-AU"/>
              </w:rPr>
            </w:pPr>
            <w:r w:rsidRPr="00AA5F3C">
              <w:rPr>
                <w:rFonts w:ascii="Arial" w:eastAsia="Times New Roman" w:hAnsi="Arial" w:cs="Arial"/>
                <w:lang w:eastAsia="en-AU"/>
              </w:rPr>
              <w:t>78.4%</w:t>
            </w:r>
          </w:p>
        </w:tc>
        <w:tc>
          <w:tcPr>
            <w:tcW w:w="1129" w:type="dxa"/>
          </w:tcPr>
          <w:p w:rsidR="00DA6260" w:rsidRPr="00AA5F3C" w:rsidRDefault="00DA6260" w:rsidP="00E619A9">
            <w:pPr>
              <w:rPr>
                <w:rFonts w:ascii="Arial" w:eastAsia="Times New Roman" w:hAnsi="Arial" w:cs="Arial"/>
                <w:lang w:eastAsia="en-AU"/>
              </w:rPr>
            </w:pPr>
            <w:r w:rsidRPr="00AA5F3C">
              <w:rPr>
                <w:rFonts w:ascii="Arial" w:eastAsia="Times New Roman" w:hAnsi="Arial" w:cs="Arial"/>
                <w:lang w:eastAsia="en-AU"/>
              </w:rPr>
              <w:t>83.2%</w:t>
            </w:r>
          </w:p>
        </w:tc>
        <w:tc>
          <w:tcPr>
            <w:tcW w:w="1129" w:type="dxa"/>
          </w:tcPr>
          <w:p w:rsidR="00DA6260" w:rsidRPr="00AA5F3C" w:rsidRDefault="00DA6260" w:rsidP="00E619A9">
            <w:pPr>
              <w:rPr>
                <w:rFonts w:ascii="Arial" w:eastAsia="Times New Roman" w:hAnsi="Arial" w:cs="Arial"/>
                <w:lang w:eastAsia="en-AU"/>
              </w:rPr>
            </w:pPr>
            <w:r>
              <w:rPr>
                <w:rFonts w:ascii="Arial" w:eastAsia="Times New Roman" w:hAnsi="Arial" w:cs="Arial"/>
                <w:lang w:eastAsia="en-AU"/>
              </w:rPr>
              <w:t>85.3</w:t>
            </w:r>
          </w:p>
        </w:tc>
      </w:tr>
      <w:tr w:rsidR="00DA6260" w:rsidRPr="00AA5F3C" w:rsidTr="00202C25">
        <w:tc>
          <w:tcPr>
            <w:tcW w:w="2283" w:type="dxa"/>
          </w:tcPr>
          <w:p w:rsidR="00DA6260" w:rsidRPr="00AA5F3C" w:rsidRDefault="00DA6260" w:rsidP="00E619A9">
            <w:pPr>
              <w:rPr>
                <w:rFonts w:ascii="Arial" w:eastAsia="Times New Roman" w:hAnsi="Arial" w:cs="Arial"/>
                <w:lang w:eastAsia="en-AU"/>
              </w:rPr>
            </w:pPr>
            <w:r w:rsidRPr="00AA5F3C">
              <w:rPr>
                <w:rFonts w:ascii="Arial" w:eastAsia="Times New Roman" w:hAnsi="Arial" w:cs="Arial"/>
                <w:lang w:eastAsia="en-AU"/>
              </w:rPr>
              <w:t>All Students</w:t>
            </w:r>
          </w:p>
        </w:tc>
        <w:tc>
          <w:tcPr>
            <w:tcW w:w="1129" w:type="dxa"/>
          </w:tcPr>
          <w:p w:rsidR="00DA6260" w:rsidRPr="00AA5F3C" w:rsidRDefault="00DA6260" w:rsidP="00E619A9">
            <w:pPr>
              <w:rPr>
                <w:rFonts w:ascii="Arial" w:eastAsia="Times New Roman" w:hAnsi="Arial" w:cs="Arial"/>
                <w:lang w:eastAsia="en-AU"/>
              </w:rPr>
            </w:pPr>
            <w:r w:rsidRPr="00AA5F3C">
              <w:rPr>
                <w:rFonts w:ascii="Arial" w:eastAsia="Times New Roman" w:hAnsi="Arial" w:cs="Arial"/>
                <w:lang w:eastAsia="en-AU"/>
              </w:rPr>
              <w:t>89.5%</w:t>
            </w:r>
          </w:p>
        </w:tc>
        <w:tc>
          <w:tcPr>
            <w:tcW w:w="1129" w:type="dxa"/>
          </w:tcPr>
          <w:p w:rsidR="00DA6260" w:rsidRPr="00AA5F3C" w:rsidRDefault="00DA6260" w:rsidP="00E619A9">
            <w:pPr>
              <w:rPr>
                <w:rFonts w:ascii="Arial" w:eastAsia="Times New Roman" w:hAnsi="Arial" w:cs="Arial"/>
                <w:lang w:eastAsia="en-AU"/>
              </w:rPr>
            </w:pPr>
            <w:r w:rsidRPr="00AA5F3C">
              <w:rPr>
                <w:rFonts w:ascii="Arial" w:eastAsia="Times New Roman" w:hAnsi="Arial" w:cs="Arial"/>
                <w:lang w:eastAsia="en-AU"/>
              </w:rPr>
              <w:t>90.7%</w:t>
            </w:r>
          </w:p>
        </w:tc>
        <w:tc>
          <w:tcPr>
            <w:tcW w:w="1133" w:type="dxa"/>
          </w:tcPr>
          <w:p w:rsidR="00DA6260" w:rsidRPr="00AA5F3C" w:rsidRDefault="00DA6260" w:rsidP="00E619A9">
            <w:pPr>
              <w:rPr>
                <w:rFonts w:ascii="Arial" w:eastAsia="Times New Roman" w:hAnsi="Arial" w:cs="Arial"/>
                <w:lang w:eastAsia="en-AU"/>
              </w:rPr>
            </w:pPr>
            <w:r w:rsidRPr="00AA5F3C">
              <w:rPr>
                <w:rFonts w:ascii="Arial" w:eastAsia="Times New Roman" w:hAnsi="Arial" w:cs="Arial"/>
                <w:lang w:eastAsia="en-AU"/>
              </w:rPr>
              <w:t>89.8%</w:t>
            </w:r>
          </w:p>
        </w:tc>
        <w:tc>
          <w:tcPr>
            <w:tcW w:w="1129" w:type="dxa"/>
          </w:tcPr>
          <w:p w:rsidR="00DA6260" w:rsidRPr="00AA5F3C" w:rsidRDefault="00DA6260" w:rsidP="00E619A9">
            <w:pPr>
              <w:rPr>
                <w:rFonts w:ascii="Arial" w:eastAsia="Times New Roman" w:hAnsi="Arial" w:cs="Arial"/>
                <w:lang w:eastAsia="en-AU"/>
              </w:rPr>
            </w:pPr>
            <w:r w:rsidRPr="00AA5F3C">
              <w:rPr>
                <w:rFonts w:ascii="Arial" w:eastAsia="Times New Roman" w:hAnsi="Arial" w:cs="Arial"/>
                <w:lang w:eastAsia="en-AU"/>
              </w:rPr>
              <w:t>91.7%</w:t>
            </w:r>
          </w:p>
        </w:tc>
        <w:tc>
          <w:tcPr>
            <w:tcW w:w="1129" w:type="dxa"/>
          </w:tcPr>
          <w:p w:rsidR="00DA6260" w:rsidRPr="00AA5F3C" w:rsidRDefault="00DA6260" w:rsidP="00E619A9">
            <w:pPr>
              <w:rPr>
                <w:rFonts w:ascii="Arial" w:eastAsia="Times New Roman" w:hAnsi="Arial" w:cs="Arial"/>
                <w:lang w:eastAsia="en-AU"/>
              </w:rPr>
            </w:pPr>
            <w:r>
              <w:rPr>
                <w:rFonts w:ascii="Arial" w:eastAsia="Times New Roman" w:hAnsi="Arial" w:cs="Arial"/>
                <w:lang w:eastAsia="en-AU"/>
              </w:rPr>
              <w:t>92.4</w:t>
            </w:r>
          </w:p>
        </w:tc>
      </w:tr>
    </w:tbl>
    <w:p w:rsidR="000A09D1" w:rsidRDefault="00056F49" w:rsidP="00E619A9">
      <w:pPr>
        <w:spacing w:line="240" w:lineRule="auto"/>
        <w:rPr>
          <w:rFonts w:ascii="Arial" w:eastAsia="Times New Roman" w:hAnsi="Arial" w:cs="Arial"/>
          <w:i/>
          <w:iCs/>
          <w:lang w:eastAsia="en-AU"/>
        </w:rPr>
      </w:pPr>
      <w:r w:rsidRPr="00AA5F3C">
        <w:rPr>
          <w:rFonts w:ascii="Arial" w:eastAsia="Times New Roman" w:hAnsi="Arial" w:cs="Arial"/>
          <w:i/>
          <w:iCs/>
          <w:lang w:eastAsia="en-AU"/>
        </w:rPr>
        <w:t xml:space="preserve">Source: </w:t>
      </w:r>
      <w:proofErr w:type="spellStart"/>
      <w:r w:rsidRPr="00AA5F3C">
        <w:rPr>
          <w:rFonts w:ascii="Arial" w:eastAsia="Times New Roman" w:hAnsi="Arial" w:cs="Arial"/>
          <w:i/>
          <w:iCs/>
          <w:lang w:eastAsia="en-AU"/>
        </w:rPr>
        <w:t>SACE</w:t>
      </w:r>
      <w:proofErr w:type="spellEnd"/>
      <w:r w:rsidRPr="00AA5F3C">
        <w:rPr>
          <w:rFonts w:ascii="Arial" w:eastAsia="Times New Roman" w:hAnsi="Arial" w:cs="Arial"/>
          <w:i/>
          <w:iCs/>
          <w:lang w:eastAsia="en-AU"/>
        </w:rPr>
        <w:t xml:space="preserve"> Board of South Australia</w:t>
      </w:r>
      <w:r w:rsidR="000A09D1">
        <w:rPr>
          <w:rFonts w:ascii="Arial" w:eastAsia="Times New Roman" w:hAnsi="Arial" w:cs="Arial"/>
          <w:i/>
          <w:iCs/>
          <w:lang w:eastAsia="en-AU"/>
        </w:rPr>
        <w:t xml:space="preserve"> </w:t>
      </w:r>
    </w:p>
    <w:p w:rsidR="000A09D1" w:rsidRPr="000A09D1" w:rsidRDefault="000A09D1" w:rsidP="00E619A9">
      <w:pPr>
        <w:spacing w:line="240" w:lineRule="auto"/>
        <w:rPr>
          <w:rFonts w:ascii="Arial" w:eastAsia="Calibri" w:hAnsi="Arial" w:cs="Arial"/>
          <w:sz w:val="20"/>
          <w:szCs w:val="20"/>
        </w:rPr>
      </w:pPr>
      <w:r>
        <w:rPr>
          <w:rFonts w:ascii="Arial" w:eastAsia="Times New Roman" w:hAnsi="Arial" w:cs="Arial"/>
          <w:i/>
          <w:iCs/>
          <w:lang w:eastAsia="en-AU"/>
        </w:rPr>
        <w:t xml:space="preserve">(Note: </w:t>
      </w:r>
      <w:r w:rsidRPr="000A09D1">
        <w:rPr>
          <w:rFonts w:ascii="Arial" w:eastAsia="Calibri" w:hAnsi="Arial" w:cs="Arial"/>
          <w:sz w:val="20"/>
          <w:szCs w:val="20"/>
        </w:rPr>
        <w:t xml:space="preserve">This data cannot be used for National / cross-state comparability as the measures </w:t>
      </w:r>
      <w:proofErr w:type="gramStart"/>
      <w:r w:rsidRPr="000A09D1">
        <w:rPr>
          <w:rFonts w:ascii="Arial" w:eastAsia="Calibri" w:hAnsi="Arial" w:cs="Arial"/>
          <w:sz w:val="20"/>
          <w:szCs w:val="20"/>
        </w:rPr>
        <w:t>are</w:t>
      </w:r>
      <w:proofErr w:type="gramEnd"/>
      <w:r w:rsidRPr="000A09D1">
        <w:rPr>
          <w:rFonts w:ascii="Arial" w:eastAsia="Calibri" w:hAnsi="Arial" w:cs="Arial"/>
          <w:sz w:val="20"/>
          <w:szCs w:val="20"/>
        </w:rPr>
        <w:t xml:space="preserve"> defined by the </w:t>
      </w:r>
      <w:proofErr w:type="spellStart"/>
      <w:r w:rsidRPr="000A09D1">
        <w:rPr>
          <w:rFonts w:ascii="Arial" w:eastAsia="Calibri" w:hAnsi="Arial" w:cs="Arial"/>
          <w:sz w:val="20"/>
          <w:szCs w:val="20"/>
        </w:rPr>
        <w:t>SACE</w:t>
      </w:r>
      <w:proofErr w:type="spellEnd"/>
      <w:r w:rsidRPr="000A09D1">
        <w:rPr>
          <w:rFonts w:ascii="Arial" w:eastAsia="Calibri" w:hAnsi="Arial" w:cs="Arial"/>
          <w:sz w:val="20"/>
          <w:szCs w:val="20"/>
        </w:rPr>
        <w:t xml:space="preserve"> Board.</w:t>
      </w:r>
      <w:r>
        <w:rPr>
          <w:rFonts w:ascii="Arial" w:eastAsia="Calibri" w:hAnsi="Arial" w:cs="Arial"/>
          <w:sz w:val="20"/>
          <w:szCs w:val="20"/>
        </w:rPr>
        <w:t>)</w:t>
      </w:r>
    </w:p>
    <w:p w:rsidR="00056F49" w:rsidRPr="00AA5F3C" w:rsidRDefault="00056F49" w:rsidP="00E619A9">
      <w:pPr>
        <w:spacing w:after="200"/>
        <w:rPr>
          <w:rFonts w:ascii="Arial" w:eastAsia="Times New Roman" w:hAnsi="Arial" w:cs="Arial"/>
          <w:lang w:eastAsia="en-AU"/>
        </w:rPr>
      </w:pPr>
    </w:p>
    <w:p w:rsidR="00066253" w:rsidRDefault="00066253">
      <w:pPr>
        <w:spacing w:after="200"/>
        <w:rPr>
          <w:rFonts w:ascii="Arial" w:eastAsia="Times New Roman" w:hAnsi="Arial" w:cs="Arial"/>
          <w:b/>
          <w:bCs/>
          <w:lang w:eastAsia="en-AU"/>
        </w:rPr>
      </w:pPr>
      <w:r>
        <w:rPr>
          <w:rFonts w:ascii="Arial" w:eastAsia="Times New Roman" w:hAnsi="Arial" w:cs="Arial"/>
          <w:b/>
          <w:bCs/>
          <w:lang w:eastAsia="en-AU"/>
        </w:rPr>
        <w:br w:type="page"/>
      </w:r>
    </w:p>
    <w:p w:rsidR="00056F49" w:rsidRPr="00AA5F3C" w:rsidRDefault="00056F49" w:rsidP="00E619A9">
      <w:pPr>
        <w:spacing w:after="200"/>
        <w:rPr>
          <w:rFonts w:ascii="Arial" w:eastAsia="Times New Roman" w:hAnsi="Arial" w:cs="Arial"/>
          <w:lang w:eastAsia="en-AU"/>
        </w:rPr>
      </w:pPr>
      <w:r w:rsidRPr="00AA5F3C">
        <w:rPr>
          <w:rFonts w:ascii="Arial" w:eastAsia="Times New Roman" w:hAnsi="Arial" w:cs="Arial"/>
          <w:b/>
          <w:bCs/>
          <w:lang w:eastAsia="en-AU"/>
        </w:rPr>
        <w:lastRenderedPageBreak/>
        <w:t xml:space="preserve">Table </w:t>
      </w:r>
      <w:r w:rsidR="00DA6260">
        <w:rPr>
          <w:rFonts w:ascii="Arial" w:eastAsia="Times New Roman" w:hAnsi="Arial" w:cs="Arial"/>
          <w:b/>
          <w:bCs/>
          <w:lang w:eastAsia="en-AU"/>
        </w:rPr>
        <w:t>8</w:t>
      </w:r>
      <w:r w:rsidRPr="00AA5F3C">
        <w:rPr>
          <w:rFonts w:ascii="Arial" w:eastAsia="Times New Roman" w:hAnsi="Arial" w:cs="Arial"/>
          <w:lang w:eastAsia="en-AU"/>
        </w:rPr>
        <w:t>: DECD Schools with Aboriginal secondary enrolments greater than 30 Aboriginal students enrolled and above 10% of total enrolments</w:t>
      </w:r>
    </w:p>
    <w:tbl>
      <w:tblPr>
        <w:tblW w:w="8620" w:type="dxa"/>
        <w:tblInd w:w="93" w:type="dxa"/>
        <w:tblLook w:val="04A0" w:firstRow="1" w:lastRow="0" w:firstColumn="1" w:lastColumn="0" w:noHBand="0" w:noVBand="1"/>
        <w:tblDescription w:val="Government schools with Aboriginal secondary enrolments greater than 30 students"/>
      </w:tblPr>
      <w:tblGrid>
        <w:gridCol w:w="4924"/>
        <w:gridCol w:w="1268"/>
        <w:gridCol w:w="1150"/>
        <w:gridCol w:w="1327"/>
      </w:tblGrid>
      <w:tr w:rsidR="00AA5F3C" w:rsidRPr="00CC12F9" w:rsidTr="00056F49">
        <w:trPr>
          <w:trHeight w:val="300"/>
        </w:trPr>
        <w:tc>
          <w:tcPr>
            <w:tcW w:w="4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6F49" w:rsidRPr="00CC12F9" w:rsidRDefault="00056F49" w:rsidP="00E619A9">
            <w:pPr>
              <w:spacing w:line="240" w:lineRule="auto"/>
              <w:rPr>
                <w:rFonts w:ascii="Arial" w:eastAsia="Times New Roman" w:hAnsi="Arial" w:cs="Arial"/>
                <w:b/>
                <w:lang w:eastAsia="en-AU"/>
              </w:rPr>
            </w:pPr>
            <w:r w:rsidRPr="00CC12F9">
              <w:rPr>
                <w:rFonts w:ascii="Arial" w:eastAsia="Times New Roman" w:hAnsi="Arial" w:cs="Arial"/>
                <w:b/>
                <w:lang w:eastAsia="en-AU"/>
              </w:rPr>
              <w:t>School</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056F49" w:rsidRPr="00CC12F9" w:rsidRDefault="00056F49" w:rsidP="00E619A9">
            <w:pPr>
              <w:spacing w:line="240" w:lineRule="auto"/>
              <w:rPr>
                <w:rFonts w:ascii="Arial" w:eastAsia="Times New Roman" w:hAnsi="Arial" w:cs="Arial"/>
                <w:b/>
                <w:lang w:eastAsia="en-AU"/>
              </w:rPr>
            </w:pPr>
            <w:proofErr w:type="spellStart"/>
            <w:r w:rsidRPr="00CC12F9">
              <w:rPr>
                <w:rFonts w:ascii="Arial" w:eastAsia="Times New Roman" w:hAnsi="Arial" w:cs="Arial"/>
                <w:b/>
                <w:lang w:eastAsia="en-AU"/>
              </w:rPr>
              <w:t>ATSI</w:t>
            </w:r>
            <w:proofErr w:type="spellEnd"/>
            <w:r w:rsidRPr="00CC12F9">
              <w:rPr>
                <w:rFonts w:ascii="Arial" w:eastAsia="Times New Roman" w:hAnsi="Arial" w:cs="Arial"/>
                <w:b/>
                <w:lang w:eastAsia="en-AU"/>
              </w:rPr>
              <w:t xml:space="preserve"> FTE</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056F49" w:rsidRPr="00CC12F9" w:rsidRDefault="00056F49" w:rsidP="00E619A9">
            <w:pPr>
              <w:spacing w:line="240" w:lineRule="auto"/>
              <w:rPr>
                <w:rFonts w:ascii="Arial" w:eastAsia="Times New Roman" w:hAnsi="Arial" w:cs="Arial"/>
                <w:b/>
                <w:lang w:eastAsia="en-AU"/>
              </w:rPr>
            </w:pPr>
            <w:r w:rsidRPr="00CC12F9">
              <w:rPr>
                <w:rFonts w:ascii="Arial" w:eastAsia="Times New Roman" w:hAnsi="Arial" w:cs="Arial"/>
                <w:b/>
                <w:lang w:eastAsia="en-AU"/>
              </w:rPr>
              <w:t>All FTE</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056F49" w:rsidRPr="00CC12F9" w:rsidRDefault="00056F49" w:rsidP="00E619A9">
            <w:pPr>
              <w:spacing w:line="240" w:lineRule="auto"/>
              <w:rPr>
                <w:rFonts w:ascii="Arial" w:eastAsia="Times New Roman" w:hAnsi="Arial" w:cs="Arial"/>
                <w:b/>
                <w:lang w:eastAsia="en-AU"/>
              </w:rPr>
            </w:pPr>
            <w:r w:rsidRPr="00CC12F9">
              <w:rPr>
                <w:rFonts w:ascii="Arial" w:eastAsia="Times New Roman" w:hAnsi="Arial" w:cs="Arial"/>
                <w:b/>
                <w:lang w:eastAsia="en-AU"/>
              </w:rPr>
              <w:t xml:space="preserve">% </w:t>
            </w:r>
            <w:proofErr w:type="spellStart"/>
            <w:r w:rsidRPr="00CC12F9">
              <w:rPr>
                <w:rFonts w:ascii="Arial" w:eastAsia="Times New Roman" w:hAnsi="Arial" w:cs="Arial"/>
                <w:b/>
                <w:lang w:eastAsia="en-AU"/>
              </w:rPr>
              <w:t>ATSI</w:t>
            </w:r>
            <w:proofErr w:type="spellEnd"/>
          </w:p>
        </w:tc>
      </w:tr>
      <w:tr w:rsidR="00AA5F3C" w:rsidRPr="00AA5F3C" w:rsidTr="00056F49">
        <w:trPr>
          <w:trHeight w:val="300"/>
        </w:trPr>
        <w:tc>
          <w:tcPr>
            <w:tcW w:w="49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6F49" w:rsidRPr="00AA5F3C" w:rsidRDefault="00056F49" w:rsidP="00E619A9">
            <w:pPr>
              <w:spacing w:line="240" w:lineRule="auto"/>
              <w:rPr>
                <w:rFonts w:ascii="Arial" w:eastAsia="Times New Roman" w:hAnsi="Arial" w:cs="Arial"/>
                <w:lang w:eastAsia="en-AU"/>
              </w:rPr>
            </w:pPr>
            <w:proofErr w:type="spellStart"/>
            <w:r w:rsidRPr="00AA5F3C">
              <w:rPr>
                <w:rFonts w:ascii="Arial" w:eastAsia="Times New Roman" w:hAnsi="Arial" w:cs="Arial"/>
                <w:lang w:eastAsia="en-AU"/>
              </w:rPr>
              <w:t>Amata</w:t>
            </w:r>
            <w:proofErr w:type="spellEnd"/>
            <w:r w:rsidRPr="00AA5F3C">
              <w:rPr>
                <w:rFonts w:ascii="Arial" w:eastAsia="Times New Roman" w:hAnsi="Arial" w:cs="Arial"/>
                <w:lang w:eastAsia="en-AU"/>
              </w:rPr>
              <w:t xml:space="preserve"> </w:t>
            </w:r>
            <w:proofErr w:type="spellStart"/>
            <w:r w:rsidRPr="00AA5F3C">
              <w:rPr>
                <w:rFonts w:ascii="Arial" w:eastAsia="Times New Roman" w:hAnsi="Arial" w:cs="Arial"/>
                <w:lang w:eastAsia="en-AU"/>
              </w:rPr>
              <w:t>Anangu</w:t>
            </w:r>
            <w:proofErr w:type="spellEnd"/>
            <w:r w:rsidRPr="00AA5F3C">
              <w:rPr>
                <w:rFonts w:ascii="Arial" w:eastAsia="Times New Roman" w:hAnsi="Arial" w:cs="Arial"/>
                <w:lang w:eastAsia="en-AU"/>
              </w:rPr>
              <w:t xml:space="preserve"> School</w:t>
            </w:r>
          </w:p>
        </w:tc>
        <w:tc>
          <w:tcPr>
            <w:tcW w:w="126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32"/>
              <w:rPr>
                <w:rFonts w:ascii="Arial" w:eastAsia="Times New Roman" w:hAnsi="Arial" w:cs="Arial"/>
                <w:lang w:eastAsia="en-AU"/>
              </w:rPr>
            </w:pPr>
            <w:r w:rsidRPr="00AA5F3C">
              <w:rPr>
                <w:rFonts w:ascii="Arial" w:eastAsia="Times New Roman" w:hAnsi="Arial" w:cs="Arial"/>
                <w:lang w:eastAsia="en-AU"/>
              </w:rPr>
              <w:t>40</w:t>
            </w:r>
          </w:p>
        </w:tc>
        <w:tc>
          <w:tcPr>
            <w:tcW w:w="1150"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114"/>
              <w:rPr>
                <w:rFonts w:ascii="Arial" w:eastAsia="Times New Roman" w:hAnsi="Arial" w:cs="Arial"/>
                <w:lang w:eastAsia="en-AU"/>
              </w:rPr>
            </w:pPr>
            <w:r w:rsidRPr="00AA5F3C">
              <w:rPr>
                <w:rFonts w:ascii="Arial" w:eastAsia="Times New Roman" w:hAnsi="Arial" w:cs="Arial"/>
                <w:lang w:eastAsia="en-AU"/>
              </w:rPr>
              <w:t>41</w:t>
            </w:r>
          </w:p>
        </w:tc>
        <w:tc>
          <w:tcPr>
            <w:tcW w:w="127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42"/>
              <w:rPr>
                <w:rFonts w:ascii="Arial" w:eastAsia="Times New Roman" w:hAnsi="Arial" w:cs="Arial"/>
                <w:lang w:eastAsia="en-AU"/>
              </w:rPr>
            </w:pPr>
            <w:r w:rsidRPr="00AA5F3C">
              <w:rPr>
                <w:rFonts w:ascii="Arial" w:eastAsia="Times New Roman" w:hAnsi="Arial" w:cs="Arial"/>
                <w:lang w:eastAsia="en-AU"/>
              </w:rPr>
              <w:t>97.56%</w:t>
            </w:r>
          </w:p>
        </w:tc>
      </w:tr>
      <w:tr w:rsidR="00AA5F3C" w:rsidRPr="00AA5F3C" w:rsidTr="00056F49">
        <w:trPr>
          <w:trHeight w:val="300"/>
        </w:trPr>
        <w:tc>
          <w:tcPr>
            <w:tcW w:w="49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6F49" w:rsidRPr="00AA5F3C" w:rsidRDefault="00056F49" w:rsidP="00E619A9">
            <w:pPr>
              <w:spacing w:line="240" w:lineRule="auto"/>
              <w:rPr>
                <w:rFonts w:ascii="Arial" w:eastAsia="Times New Roman" w:hAnsi="Arial" w:cs="Arial"/>
                <w:lang w:eastAsia="en-AU"/>
              </w:rPr>
            </w:pPr>
            <w:r w:rsidRPr="00AA5F3C">
              <w:rPr>
                <w:rFonts w:ascii="Arial" w:eastAsia="Times New Roman" w:hAnsi="Arial" w:cs="Arial"/>
                <w:lang w:eastAsia="en-AU"/>
              </w:rPr>
              <w:t>Ceduna Area School</w:t>
            </w:r>
          </w:p>
        </w:tc>
        <w:tc>
          <w:tcPr>
            <w:tcW w:w="126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32"/>
              <w:rPr>
                <w:rFonts w:ascii="Arial" w:eastAsia="Times New Roman" w:hAnsi="Arial" w:cs="Arial"/>
                <w:lang w:eastAsia="en-AU"/>
              </w:rPr>
            </w:pPr>
            <w:r w:rsidRPr="00AA5F3C">
              <w:rPr>
                <w:rFonts w:ascii="Arial" w:eastAsia="Times New Roman" w:hAnsi="Arial" w:cs="Arial"/>
                <w:lang w:eastAsia="en-AU"/>
              </w:rPr>
              <w:t>71</w:t>
            </w:r>
          </w:p>
        </w:tc>
        <w:tc>
          <w:tcPr>
            <w:tcW w:w="1150"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114"/>
              <w:rPr>
                <w:rFonts w:ascii="Arial" w:eastAsia="Times New Roman" w:hAnsi="Arial" w:cs="Arial"/>
                <w:lang w:eastAsia="en-AU"/>
              </w:rPr>
            </w:pPr>
            <w:r w:rsidRPr="00AA5F3C">
              <w:rPr>
                <w:rFonts w:ascii="Arial" w:eastAsia="Times New Roman" w:hAnsi="Arial" w:cs="Arial"/>
                <w:lang w:eastAsia="en-AU"/>
              </w:rPr>
              <w:t>223.4</w:t>
            </w:r>
          </w:p>
        </w:tc>
        <w:tc>
          <w:tcPr>
            <w:tcW w:w="127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42"/>
              <w:rPr>
                <w:rFonts w:ascii="Arial" w:eastAsia="Times New Roman" w:hAnsi="Arial" w:cs="Arial"/>
                <w:lang w:eastAsia="en-AU"/>
              </w:rPr>
            </w:pPr>
            <w:r w:rsidRPr="00AA5F3C">
              <w:rPr>
                <w:rFonts w:ascii="Arial" w:eastAsia="Times New Roman" w:hAnsi="Arial" w:cs="Arial"/>
                <w:lang w:eastAsia="en-AU"/>
              </w:rPr>
              <w:t>31.78%</w:t>
            </w:r>
          </w:p>
        </w:tc>
      </w:tr>
      <w:tr w:rsidR="00AA5F3C" w:rsidRPr="00AA5F3C" w:rsidTr="00056F49">
        <w:trPr>
          <w:trHeight w:val="300"/>
        </w:trPr>
        <w:tc>
          <w:tcPr>
            <w:tcW w:w="49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6F49" w:rsidRPr="00AA5F3C" w:rsidRDefault="00056F49" w:rsidP="00E619A9">
            <w:pPr>
              <w:spacing w:line="240" w:lineRule="auto"/>
              <w:rPr>
                <w:rFonts w:ascii="Arial" w:eastAsia="Times New Roman" w:hAnsi="Arial" w:cs="Arial"/>
                <w:lang w:eastAsia="en-AU"/>
              </w:rPr>
            </w:pPr>
            <w:r w:rsidRPr="00AA5F3C">
              <w:rPr>
                <w:rFonts w:ascii="Arial" w:eastAsia="Times New Roman" w:hAnsi="Arial" w:cs="Arial"/>
                <w:lang w:eastAsia="en-AU"/>
              </w:rPr>
              <w:t>Coober Pedy Area School</w:t>
            </w:r>
          </w:p>
        </w:tc>
        <w:tc>
          <w:tcPr>
            <w:tcW w:w="126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32"/>
              <w:rPr>
                <w:rFonts w:ascii="Arial" w:eastAsia="Times New Roman" w:hAnsi="Arial" w:cs="Arial"/>
                <w:lang w:eastAsia="en-AU"/>
              </w:rPr>
            </w:pPr>
            <w:r w:rsidRPr="00AA5F3C">
              <w:rPr>
                <w:rFonts w:ascii="Arial" w:eastAsia="Times New Roman" w:hAnsi="Arial" w:cs="Arial"/>
                <w:lang w:eastAsia="en-AU"/>
              </w:rPr>
              <w:t>31.8</w:t>
            </w:r>
          </w:p>
        </w:tc>
        <w:tc>
          <w:tcPr>
            <w:tcW w:w="1150"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114"/>
              <w:rPr>
                <w:rFonts w:ascii="Arial" w:eastAsia="Times New Roman" w:hAnsi="Arial" w:cs="Arial"/>
                <w:lang w:eastAsia="en-AU"/>
              </w:rPr>
            </w:pPr>
            <w:r w:rsidRPr="00AA5F3C">
              <w:rPr>
                <w:rFonts w:ascii="Arial" w:eastAsia="Times New Roman" w:hAnsi="Arial" w:cs="Arial"/>
                <w:lang w:eastAsia="en-AU"/>
              </w:rPr>
              <w:t>82.4</w:t>
            </w:r>
          </w:p>
        </w:tc>
        <w:tc>
          <w:tcPr>
            <w:tcW w:w="127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42"/>
              <w:rPr>
                <w:rFonts w:ascii="Arial" w:eastAsia="Times New Roman" w:hAnsi="Arial" w:cs="Arial"/>
                <w:lang w:eastAsia="en-AU"/>
              </w:rPr>
            </w:pPr>
            <w:r w:rsidRPr="00AA5F3C">
              <w:rPr>
                <w:rFonts w:ascii="Arial" w:eastAsia="Times New Roman" w:hAnsi="Arial" w:cs="Arial"/>
                <w:lang w:eastAsia="en-AU"/>
              </w:rPr>
              <w:t>38.59%</w:t>
            </w:r>
          </w:p>
        </w:tc>
      </w:tr>
      <w:tr w:rsidR="00AA5F3C" w:rsidRPr="00AA5F3C" w:rsidTr="00056F49">
        <w:trPr>
          <w:trHeight w:val="300"/>
        </w:trPr>
        <w:tc>
          <w:tcPr>
            <w:tcW w:w="49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6F49" w:rsidRPr="00AA5F3C" w:rsidRDefault="00056F49" w:rsidP="00E619A9">
            <w:pPr>
              <w:spacing w:line="240" w:lineRule="auto"/>
              <w:rPr>
                <w:rFonts w:ascii="Arial" w:eastAsia="Times New Roman" w:hAnsi="Arial" w:cs="Arial"/>
                <w:lang w:eastAsia="en-AU"/>
              </w:rPr>
            </w:pPr>
            <w:r w:rsidRPr="00AA5F3C">
              <w:rPr>
                <w:rFonts w:ascii="Arial" w:eastAsia="Times New Roman" w:hAnsi="Arial" w:cs="Arial"/>
                <w:lang w:eastAsia="en-AU"/>
              </w:rPr>
              <w:t>Edward John Eyre High School</w:t>
            </w:r>
          </w:p>
        </w:tc>
        <w:tc>
          <w:tcPr>
            <w:tcW w:w="126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32"/>
              <w:rPr>
                <w:rFonts w:ascii="Arial" w:eastAsia="Times New Roman" w:hAnsi="Arial" w:cs="Arial"/>
                <w:lang w:eastAsia="en-AU"/>
              </w:rPr>
            </w:pPr>
            <w:r w:rsidRPr="00AA5F3C">
              <w:rPr>
                <w:rFonts w:ascii="Arial" w:eastAsia="Times New Roman" w:hAnsi="Arial" w:cs="Arial"/>
                <w:lang w:eastAsia="en-AU"/>
              </w:rPr>
              <w:t>45</w:t>
            </w:r>
          </w:p>
        </w:tc>
        <w:tc>
          <w:tcPr>
            <w:tcW w:w="1150"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114"/>
              <w:rPr>
                <w:rFonts w:ascii="Arial" w:eastAsia="Times New Roman" w:hAnsi="Arial" w:cs="Arial"/>
                <w:lang w:eastAsia="en-AU"/>
              </w:rPr>
            </w:pPr>
            <w:r w:rsidRPr="00AA5F3C">
              <w:rPr>
                <w:rFonts w:ascii="Arial" w:eastAsia="Times New Roman" w:hAnsi="Arial" w:cs="Arial"/>
                <w:lang w:eastAsia="en-AU"/>
              </w:rPr>
              <w:t>406.2</w:t>
            </w:r>
          </w:p>
        </w:tc>
        <w:tc>
          <w:tcPr>
            <w:tcW w:w="127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42"/>
              <w:rPr>
                <w:rFonts w:ascii="Arial" w:eastAsia="Times New Roman" w:hAnsi="Arial" w:cs="Arial"/>
                <w:lang w:eastAsia="en-AU"/>
              </w:rPr>
            </w:pPr>
            <w:r w:rsidRPr="00AA5F3C">
              <w:rPr>
                <w:rFonts w:ascii="Arial" w:eastAsia="Times New Roman" w:hAnsi="Arial" w:cs="Arial"/>
                <w:lang w:eastAsia="en-AU"/>
              </w:rPr>
              <w:t>11.08%</w:t>
            </w:r>
          </w:p>
        </w:tc>
      </w:tr>
      <w:tr w:rsidR="00AA5F3C" w:rsidRPr="00AA5F3C" w:rsidTr="00056F49">
        <w:trPr>
          <w:trHeight w:val="300"/>
        </w:trPr>
        <w:tc>
          <w:tcPr>
            <w:tcW w:w="49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6F49" w:rsidRPr="00AA5F3C" w:rsidRDefault="00056F49" w:rsidP="00E619A9">
            <w:pPr>
              <w:spacing w:line="240" w:lineRule="auto"/>
              <w:rPr>
                <w:rFonts w:ascii="Arial" w:eastAsia="Times New Roman" w:hAnsi="Arial" w:cs="Arial"/>
                <w:lang w:eastAsia="en-AU"/>
              </w:rPr>
            </w:pPr>
            <w:r w:rsidRPr="00AA5F3C">
              <w:rPr>
                <w:rFonts w:ascii="Arial" w:eastAsia="Times New Roman" w:hAnsi="Arial" w:cs="Arial"/>
                <w:lang w:eastAsia="en-AU"/>
              </w:rPr>
              <w:t xml:space="preserve">Ernabella </w:t>
            </w:r>
            <w:proofErr w:type="spellStart"/>
            <w:r w:rsidRPr="00AA5F3C">
              <w:rPr>
                <w:rFonts w:ascii="Arial" w:eastAsia="Times New Roman" w:hAnsi="Arial" w:cs="Arial"/>
                <w:lang w:eastAsia="en-AU"/>
              </w:rPr>
              <w:t>Anangu</w:t>
            </w:r>
            <w:proofErr w:type="spellEnd"/>
            <w:r w:rsidRPr="00AA5F3C">
              <w:rPr>
                <w:rFonts w:ascii="Arial" w:eastAsia="Times New Roman" w:hAnsi="Arial" w:cs="Arial"/>
                <w:lang w:eastAsia="en-AU"/>
              </w:rPr>
              <w:t xml:space="preserve"> School</w:t>
            </w:r>
          </w:p>
        </w:tc>
        <w:tc>
          <w:tcPr>
            <w:tcW w:w="126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32"/>
              <w:rPr>
                <w:rFonts w:ascii="Arial" w:eastAsia="Times New Roman" w:hAnsi="Arial" w:cs="Arial"/>
                <w:lang w:eastAsia="en-AU"/>
              </w:rPr>
            </w:pPr>
            <w:r w:rsidRPr="00AA5F3C">
              <w:rPr>
                <w:rFonts w:ascii="Arial" w:eastAsia="Times New Roman" w:hAnsi="Arial" w:cs="Arial"/>
                <w:lang w:eastAsia="en-AU"/>
              </w:rPr>
              <w:t>37</w:t>
            </w:r>
          </w:p>
        </w:tc>
        <w:tc>
          <w:tcPr>
            <w:tcW w:w="1150"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114"/>
              <w:rPr>
                <w:rFonts w:ascii="Arial" w:eastAsia="Times New Roman" w:hAnsi="Arial" w:cs="Arial"/>
                <w:lang w:eastAsia="en-AU"/>
              </w:rPr>
            </w:pPr>
            <w:r w:rsidRPr="00AA5F3C">
              <w:rPr>
                <w:rFonts w:ascii="Arial" w:eastAsia="Times New Roman" w:hAnsi="Arial" w:cs="Arial"/>
                <w:lang w:eastAsia="en-AU"/>
              </w:rPr>
              <w:t>37</w:t>
            </w:r>
          </w:p>
        </w:tc>
        <w:tc>
          <w:tcPr>
            <w:tcW w:w="127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42"/>
              <w:rPr>
                <w:rFonts w:ascii="Arial" w:eastAsia="Times New Roman" w:hAnsi="Arial" w:cs="Arial"/>
                <w:lang w:eastAsia="en-AU"/>
              </w:rPr>
            </w:pPr>
            <w:r w:rsidRPr="00AA5F3C">
              <w:rPr>
                <w:rFonts w:ascii="Arial" w:eastAsia="Times New Roman" w:hAnsi="Arial" w:cs="Arial"/>
                <w:lang w:eastAsia="en-AU"/>
              </w:rPr>
              <w:t>100.00%</w:t>
            </w:r>
          </w:p>
        </w:tc>
      </w:tr>
      <w:tr w:rsidR="00AA5F3C" w:rsidRPr="00AA5F3C" w:rsidTr="00056F49">
        <w:trPr>
          <w:trHeight w:val="300"/>
        </w:trPr>
        <w:tc>
          <w:tcPr>
            <w:tcW w:w="49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6F49" w:rsidRPr="00AA5F3C" w:rsidRDefault="00056F49" w:rsidP="00E619A9">
            <w:pPr>
              <w:spacing w:line="240" w:lineRule="auto"/>
              <w:rPr>
                <w:rFonts w:ascii="Arial" w:eastAsia="Times New Roman" w:hAnsi="Arial" w:cs="Arial"/>
                <w:lang w:eastAsia="en-AU"/>
              </w:rPr>
            </w:pPr>
            <w:proofErr w:type="spellStart"/>
            <w:r w:rsidRPr="00AA5F3C">
              <w:rPr>
                <w:rFonts w:ascii="Arial" w:eastAsia="Times New Roman" w:hAnsi="Arial" w:cs="Arial"/>
                <w:lang w:eastAsia="en-AU"/>
              </w:rPr>
              <w:t>Kaurna</w:t>
            </w:r>
            <w:proofErr w:type="spellEnd"/>
            <w:r w:rsidRPr="00AA5F3C">
              <w:rPr>
                <w:rFonts w:ascii="Arial" w:eastAsia="Times New Roman" w:hAnsi="Arial" w:cs="Arial"/>
                <w:lang w:eastAsia="en-AU"/>
              </w:rPr>
              <w:t xml:space="preserve"> Plains School</w:t>
            </w:r>
          </w:p>
        </w:tc>
        <w:tc>
          <w:tcPr>
            <w:tcW w:w="126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32"/>
              <w:rPr>
                <w:rFonts w:ascii="Arial" w:eastAsia="Times New Roman" w:hAnsi="Arial" w:cs="Arial"/>
                <w:lang w:eastAsia="en-AU"/>
              </w:rPr>
            </w:pPr>
            <w:r w:rsidRPr="00AA5F3C">
              <w:rPr>
                <w:rFonts w:ascii="Arial" w:eastAsia="Times New Roman" w:hAnsi="Arial" w:cs="Arial"/>
                <w:lang w:eastAsia="en-AU"/>
              </w:rPr>
              <w:t>31</w:t>
            </w:r>
          </w:p>
        </w:tc>
        <w:tc>
          <w:tcPr>
            <w:tcW w:w="1150"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114"/>
              <w:rPr>
                <w:rFonts w:ascii="Arial" w:eastAsia="Times New Roman" w:hAnsi="Arial" w:cs="Arial"/>
                <w:lang w:eastAsia="en-AU"/>
              </w:rPr>
            </w:pPr>
            <w:r w:rsidRPr="00AA5F3C">
              <w:rPr>
                <w:rFonts w:ascii="Arial" w:eastAsia="Times New Roman" w:hAnsi="Arial" w:cs="Arial"/>
                <w:lang w:eastAsia="en-AU"/>
              </w:rPr>
              <w:t>31</w:t>
            </w:r>
          </w:p>
        </w:tc>
        <w:tc>
          <w:tcPr>
            <w:tcW w:w="127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42"/>
              <w:rPr>
                <w:rFonts w:ascii="Arial" w:eastAsia="Times New Roman" w:hAnsi="Arial" w:cs="Arial"/>
                <w:lang w:eastAsia="en-AU"/>
              </w:rPr>
            </w:pPr>
            <w:r w:rsidRPr="00AA5F3C">
              <w:rPr>
                <w:rFonts w:ascii="Arial" w:eastAsia="Times New Roman" w:hAnsi="Arial" w:cs="Arial"/>
                <w:lang w:eastAsia="en-AU"/>
              </w:rPr>
              <w:t>100.00%</w:t>
            </w:r>
          </w:p>
        </w:tc>
      </w:tr>
      <w:tr w:rsidR="00AA5F3C" w:rsidRPr="00AA5F3C" w:rsidTr="00056F49">
        <w:trPr>
          <w:trHeight w:val="300"/>
        </w:trPr>
        <w:tc>
          <w:tcPr>
            <w:tcW w:w="49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6F49" w:rsidRPr="00AA5F3C" w:rsidRDefault="00056F49" w:rsidP="00E619A9">
            <w:pPr>
              <w:spacing w:line="240" w:lineRule="auto"/>
              <w:rPr>
                <w:rFonts w:ascii="Arial" w:eastAsia="Times New Roman" w:hAnsi="Arial" w:cs="Arial"/>
                <w:lang w:eastAsia="en-AU"/>
              </w:rPr>
            </w:pPr>
            <w:r w:rsidRPr="00AA5F3C">
              <w:rPr>
                <w:rFonts w:ascii="Arial" w:eastAsia="Times New Roman" w:hAnsi="Arial" w:cs="Arial"/>
                <w:lang w:eastAsia="en-AU"/>
              </w:rPr>
              <w:t xml:space="preserve">Le </w:t>
            </w:r>
            <w:proofErr w:type="spellStart"/>
            <w:r w:rsidRPr="00AA5F3C">
              <w:rPr>
                <w:rFonts w:ascii="Arial" w:eastAsia="Times New Roman" w:hAnsi="Arial" w:cs="Arial"/>
                <w:lang w:eastAsia="en-AU"/>
              </w:rPr>
              <w:t>Fevre</w:t>
            </w:r>
            <w:proofErr w:type="spellEnd"/>
            <w:r w:rsidRPr="00AA5F3C">
              <w:rPr>
                <w:rFonts w:ascii="Arial" w:eastAsia="Times New Roman" w:hAnsi="Arial" w:cs="Arial"/>
                <w:lang w:eastAsia="en-AU"/>
              </w:rPr>
              <w:t xml:space="preserve"> High School</w:t>
            </w:r>
          </w:p>
        </w:tc>
        <w:tc>
          <w:tcPr>
            <w:tcW w:w="126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32"/>
              <w:rPr>
                <w:rFonts w:ascii="Arial" w:eastAsia="Times New Roman" w:hAnsi="Arial" w:cs="Arial"/>
                <w:lang w:eastAsia="en-AU"/>
              </w:rPr>
            </w:pPr>
            <w:r w:rsidRPr="00AA5F3C">
              <w:rPr>
                <w:rFonts w:ascii="Arial" w:eastAsia="Times New Roman" w:hAnsi="Arial" w:cs="Arial"/>
                <w:lang w:eastAsia="en-AU"/>
              </w:rPr>
              <w:t>87.8</w:t>
            </w:r>
          </w:p>
        </w:tc>
        <w:tc>
          <w:tcPr>
            <w:tcW w:w="1150"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114"/>
              <w:rPr>
                <w:rFonts w:ascii="Arial" w:eastAsia="Times New Roman" w:hAnsi="Arial" w:cs="Arial"/>
                <w:lang w:eastAsia="en-AU"/>
              </w:rPr>
            </w:pPr>
            <w:r w:rsidRPr="00AA5F3C">
              <w:rPr>
                <w:rFonts w:ascii="Arial" w:eastAsia="Times New Roman" w:hAnsi="Arial" w:cs="Arial"/>
                <w:lang w:eastAsia="en-AU"/>
              </w:rPr>
              <w:t>609.5</w:t>
            </w:r>
          </w:p>
        </w:tc>
        <w:tc>
          <w:tcPr>
            <w:tcW w:w="127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42"/>
              <w:rPr>
                <w:rFonts w:ascii="Arial" w:eastAsia="Times New Roman" w:hAnsi="Arial" w:cs="Arial"/>
                <w:lang w:eastAsia="en-AU"/>
              </w:rPr>
            </w:pPr>
            <w:r w:rsidRPr="00AA5F3C">
              <w:rPr>
                <w:rFonts w:ascii="Arial" w:eastAsia="Times New Roman" w:hAnsi="Arial" w:cs="Arial"/>
                <w:lang w:eastAsia="en-AU"/>
              </w:rPr>
              <w:t>14.41%</w:t>
            </w:r>
          </w:p>
        </w:tc>
      </w:tr>
      <w:tr w:rsidR="00AA5F3C" w:rsidRPr="00AA5F3C" w:rsidTr="00056F49">
        <w:trPr>
          <w:trHeight w:val="300"/>
        </w:trPr>
        <w:tc>
          <w:tcPr>
            <w:tcW w:w="49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6F49" w:rsidRPr="00AA5F3C" w:rsidRDefault="00056F49" w:rsidP="00E619A9">
            <w:pPr>
              <w:spacing w:line="240" w:lineRule="auto"/>
              <w:rPr>
                <w:rFonts w:ascii="Arial" w:eastAsia="Times New Roman" w:hAnsi="Arial" w:cs="Arial"/>
                <w:lang w:eastAsia="en-AU"/>
              </w:rPr>
            </w:pPr>
            <w:r w:rsidRPr="00AA5F3C">
              <w:rPr>
                <w:rFonts w:ascii="Arial" w:eastAsia="Times New Roman" w:hAnsi="Arial" w:cs="Arial"/>
                <w:lang w:eastAsia="en-AU"/>
              </w:rPr>
              <w:t>Port Augusta Secondary School</w:t>
            </w:r>
          </w:p>
        </w:tc>
        <w:tc>
          <w:tcPr>
            <w:tcW w:w="126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32"/>
              <w:rPr>
                <w:rFonts w:ascii="Arial" w:eastAsia="Times New Roman" w:hAnsi="Arial" w:cs="Arial"/>
                <w:lang w:eastAsia="en-AU"/>
              </w:rPr>
            </w:pPr>
            <w:r w:rsidRPr="00AA5F3C">
              <w:rPr>
                <w:rFonts w:ascii="Arial" w:eastAsia="Times New Roman" w:hAnsi="Arial" w:cs="Arial"/>
                <w:lang w:eastAsia="en-AU"/>
              </w:rPr>
              <w:t>186.6</w:t>
            </w:r>
          </w:p>
        </w:tc>
        <w:tc>
          <w:tcPr>
            <w:tcW w:w="1150"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114"/>
              <w:rPr>
                <w:rFonts w:ascii="Arial" w:eastAsia="Times New Roman" w:hAnsi="Arial" w:cs="Arial"/>
                <w:lang w:eastAsia="en-AU"/>
              </w:rPr>
            </w:pPr>
            <w:r w:rsidRPr="00AA5F3C">
              <w:rPr>
                <w:rFonts w:ascii="Arial" w:eastAsia="Times New Roman" w:hAnsi="Arial" w:cs="Arial"/>
                <w:lang w:eastAsia="en-AU"/>
              </w:rPr>
              <w:t>539.4</w:t>
            </w:r>
          </w:p>
        </w:tc>
        <w:tc>
          <w:tcPr>
            <w:tcW w:w="127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42"/>
              <w:rPr>
                <w:rFonts w:ascii="Arial" w:eastAsia="Times New Roman" w:hAnsi="Arial" w:cs="Arial"/>
                <w:lang w:eastAsia="en-AU"/>
              </w:rPr>
            </w:pPr>
            <w:r w:rsidRPr="00AA5F3C">
              <w:rPr>
                <w:rFonts w:ascii="Arial" w:eastAsia="Times New Roman" w:hAnsi="Arial" w:cs="Arial"/>
                <w:lang w:eastAsia="en-AU"/>
              </w:rPr>
              <w:t>34.59%</w:t>
            </w:r>
          </w:p>
        </w:tc>
      </w:tr>
      <w:tr w:rsidR="00AA5F3C" w:rsidRPr="00AA5F3C" w:rsidTr="00056F49">
        <w:trPr>
          <w:trHeight w:val="300"/>
        </w:trPr>
        <w:tc>
          <w:tcPr>
            <w:tcW w:w="49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6F49" w:rsidRPr="00AA5F3C" w:rsidRDefault="00056F49" w:rsidP="00E619A9">
            <w:pPr>
              <w:spacing w:line="240" w:lineRule="auto"/>
              <w:rPr>
                <w:rFonts w:ascii="Arial" w:eastAsia="Times New Roman" w:hAnsi="Arial" w:cs="Arial"/>
                <w:lang w:eastAsia="en-AU"/>
              </w:rPr>
            </w:pPr>
            <w:r w:rsidRPr="00AA5F3C">
              <w:rPr>
                <w:rFonts w:ascii="Arial" w:eastAsia="Times New Roman" w:hAnsi="Arial" w:cs="Arial"/>
                <w:lang w:eastAsia="en-AU"/>
              </w:rPr>
              <w:t>Port Lincoln High School</w:t>
            </w:r>
          </w:p>
        </w:tc>
        <w:tc>
          <w:tcPr>
            <w:tcW w:w="126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32"/>
              <w:rPr>
                <w:rFonts w:ascii="Arial" w:eastAsia="Times New Roman" w:hAnsi="Arial" w:cs="Arial"/>
                <w:lang w:eastAsia="en-AU"/>
              </w:rPr>
            </w:pPr>
            <w:r w:rsidRPr="00AA5F3C">
              <w:rPr>
                <w:rFonts w:ascii="Arial" w:eastAsia="Times New Roman" w:hAnsi="Arial" w:cs="Arial"/>
                <w:lang w:eastAsia="en-AU"/>
              </w:rPr>
              <w:t>103.2</w:t>
            </w:r>
          </w:p>
        </w:tc>
        <w:tc>
          <w:tcPr>
            <w:tcW w:w="1150"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114"/>
              <w:rPr>
                <w:rFonts w:ascii="Arial" w:eastAsia="Times New Roman" w:hAnsi="Arial" w:cs="Arial"/>
                <w:lang w:eastAsia="en-AU"/>
              </w:rPr>
            </w:pPr>
            <w:r w:rsidRPr="00AA5F3C">
              <w:rPr>
                <w:rFonts w:ascii="Arial" w:eastAsia="Times New Roman" w:hAnsi="Arial" w:cs="Arial"/>
                <w:lang w:eastAsia="en-AU"/>
              </w:rPr>
              <w:t>720.5</w:t>
            </w:r>
          </w:p>
        </w:tc>
        <w:tc>
          <w:tcPr>
            <w:tcW w:w="127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42"/>
              <w:rPr>
                <w:rFonts w:ascii="Arial" w:eastAsia="Times New Roman" w:hAnsi="Arial" w:cs="Arial"/>
                <w:lang w:eastAsia="en-AU"/>
              </w:rPr>
            </w:pPr>
            <w:r w:rsidRPr="00AA5F3C">
              <w:rPr>
                <w:rFonts w:ascii="Arial" w:eastAsia="Times New Roman" w:hAnsi="Arial" w:cs="Arial"/>
                <w:lang w:eastAsia="en-AU"/>
              </w:rPr>
              <w:t>14.32%</w:t>
            </w:r>
          </w:p>
        </w:tc>
      </w:tr>
      <w:tr w:rsidR="00AA5F3C" w:rsidRPr="00AA5F3C" w:rsidTr="00056F49">
        <w:trPr>
          <w:trHeight w:val="300"/>
        </w:trPr>
        <w:tc>
          <w:tcPr>
            <w:tcW w:w="49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6F49" w:rsidRPr="00AA5F3C" w:rsidRDefault="00056F49" w:rsidP="00E619A9">
            <w:pPr>
              <w:spacing w:line="240" w:lineRule="auto"/>
              <w:rPr>
                <w:rFonts w:ascii="Arial" w:eastAsia="Times New Roman" w:hAnsi="Arial" w:cs="Arial"/>
                <w:lang w:eastAsia="en-AU"/>
              </w:rPr>
            </w:pPr>
            <w:r w:rsidRPr="00AA5F3C">
              <w:rPr>
                <w:rFonts w:ascii="Arial" w:eastAsia="Times New Roman" w:hAnsi="Arial" w:cs="Arial"/>
                <w:lang w:eastAsia="en-AU"/>
              </w:rPr>
              <w:t>Stuart High School</w:t>
            </w:r>
          </w:p>
        </w:tc>
        <w:tc>
          <w:tcPr>
            <w:tcW w:w="126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32"/>
              <w:rPr>
                <w:rFonts w:ascii="Arial" w:eastAsia="Times New Roman" w:hAnsi="Arial" w:cs="Arial"/>
                <w:lang w:eastAsia="en-AU"/>
              </w:rPr>
            </w:pPr>
            <w:r w:rsidRPr="00AA5F3C">
              <w:rPr>
                <w:rFonts w:ascii="Arial" w:eastAsia="Times New Roman" w:hAnsi="Arial" w:cs="Arial"/>
                <w:lang w:eastAsia="en-AU"/>
              </w:rPr>
              <w:t>36</w:t>
            </w:r>
          </w:p>
        </w:tc>
        <w:tc>
          <w:tcPr>
            <w:tcW w:w="1150"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114"/>
              <w:rPr>
                <w:rFonts w:ascii="Arial" w:eastAsia="Times New Roman" w:hAnsi="Arial" w:cs="Arial"/>
                <w:lang w:eastAsia="en-AU"/>
              </w:rPr>
            </w:pPr>
            <w:r w:rsidRPr="00AA5F3C">
              <w:rPr>
                <w:rFonts w:ascii="Arial" w:eastAsia="Times New Roman" w:hAnsi="Arial" w:cs="Arial"/>
                <w:lang w:eastAsia="en-AU"/>
              </w:rPr>
              <w:t>255</w:t>
            </w:r>
          </w:p>
        </w:tc>
        <w:tc>
          <w:tcPr>
            <w:tcW w:w="127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42"/>
              <w:rPr>
                <w:rFonts w:ascii="Arial" w:eastAsia="Times New Roman" w:hAnsi="Arial" w:cs="Arial"/>
                <w:lang w:eastAsia="en-AU"/>
              </w:rPr>
            </w:pPr>
            <w:r w:rsidRPr="00AA5F3C">
              <w:rPr>
                <w:rFonts w:ascii="Arial" w:eastAsia="Times New Roman" w:hAnsi="Arial" w:cs="Arial"/>
                <w:lang w:eastAsia="en-AU"/>
              </w:rPr>
              <w:t>14.12%</w:t>
            </w:r>
          </w:p>
        </w:tc>
      </w:tr>
      <w:tr w:rsidR="00AA5F3C" w:rsidRPr="00AA5F3C" w:rsidTr="00056F49">
        <w:trPr>
          <w:trHeight w:val="300"/>
        </w:trPr>
        <w:tc>
          <w:tcPr>
            <w:tcW w:w="49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6F49" w:rsidRPr="00AA5F3C" w:rsidRDefault="00056F49" w:rsidP="00E619A9">
            <w:pPr>
              <w:spacing w:line="240" w:lineRule="auto"/>
              <w:rPr>
                <w:rFonts w:ascii="Arial" w:eastAsia="Times New Roman" w:hAnsi="Arial" w:cs="Arial"/>
                <w:lang w:eastAsia="en-AU"/>
              </w:rPr>
            </w:pPr>
            <w:proofErr w:type="spellStart"/>
            <w:r w:rsidRPr="00AA5F3C">
              <w:rPr>
                <w:rFonts w:ascii="Arial" w:eastAsia="Times New Roman" w:hAnsi="Arial" w:cs="Arial"/>
                <w:lang w:eastAsia="en-AU"/>
              </w:rPr>
              <w:t>Warriappendi</w:t>
            </w:r>
            <w:proofErr w:type="spellEnd"/>
            <w:r w:rsidRPr="00AA5F3C">
              <w:rPr>
                <w:rFonts w:ascii="Arial" w:eastAsia="Times New Roman" w:hAnsi="Arial" w:cs="Arial"/>
                <w:lang w:eastAsia="en-AU"/>
              </w:rPr>
              <w:t xml:space="preserve"> School</w:t>
            </w:r>
          </w:p>
        </w:tc>
        <w:tc>
          <w:tcPr>
            <w:tcW w:w="126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32"/>
              <w:rPr>
                <w:rFonts w:ascii="Arial" w:eastAsia="Times New Roman" w:hAnsi="Arial" w:cs="Arial"/>
                <w:lang w:eastAsia="en-AU"/>
              </w:rPr>
            </w:pPr>
            <w:r w:rsidRPr="00AA5F3C">
              <w:rPr>
                <w:rFonts w:ascii="Arial" w:eastAsia="Times New Roman" w:hAnsi="Arial" w:cs="Arial"/>
                <w:lang w:eastAsia="en-AU"/>
              </w:rPr>
              <w:t>45.4</w:t>
            </w:r>
          </w:p>
        </w:tc>
        <w:tc>
          <w:tcPr>
            <w:tcW w:w="1150"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114"/>
              <w:rPr>
                <w:rFonts w:ascii="Arial" w:eastAsia="Times New Roman" w:hAnsi="Arial" w:cs="Arial"/>
                <w:lang w:eastAsia="en-AU"/>
              </w:rPr>
            </w:pPr>
            <w:r w:rsidRPr="00AA5F3C">
              <w:rPr>
                <w:rFonts w:ascii="Arial" w:eastAsia="Times New Roman" w:hAnsi="Arial" w:cs="Arial"/>
                <w:lang w:eastAsia="en-AU"/>
              </w:rPr>
              <w:t>45.4</w:t>
            </w:r>
          </w:p>
        </w:tc>
        <w:tc>
          <w:tcPr>
            <w:tcW w:w="127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42"/>
              <w:rPr>
                <w:rFonts w:ascii="Arial" w:eastAsia="Times New Roman" w:hAnsi="Arial" w:cs="Arial"/>
                <w:lang w:eastAsia="en-AU"/>
              </w:rPr>
            </w:pPr>
            <w:r w:rsidRPr="00AA5F3C">
              <w:rPr>
                <w:rFonts w:ascii="Arial" w:eastAsia="Times New Roman" w:hAnsi="Arial" w:cs="Arial"/>
                <w:lang w:eastAsia="en-AU"/>
              </w:rPr>
              <w:t>100.00%</w:t>
            </w:r>
          </w:p>
        </w:tc>
      </w:tr>
      <w:tr w:rsidR="00AA5F3C" w:rsidRPr="00AA5F3C" w:rsidTr="00056F49">
        <w:trPr>
          <w:trHeight w:val="300"/>
        </w:trPr>
        <w:tc>
          <w:tcPr>
            <w:tcW w:w="49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6F49" w:rsidRPr="00AA5F3C" w:rsidRDefault="00056F49" w:rsidP="00E619A9">
            <w:pPr>
              <w:spacing w:line="240" w:lineRule="auto"/>
              <w:rPr>
                <w:rFonts w:ascii="Arial" w:eastAsia="Times New Roman" w:hAnsi="Arial" w:cs="Arial"/>
                <w:lang w:eastAsia="en-AU"/>
              </w:rPr>
            </w:pPr>
            <w:r w:rsidRPr="00AA5F3C">
              <w:rPr>
                <w:rFonts w:ascii="Arial" w:eastAsia="Times New Roman" w:hAnsi="Arial" w:cs="Arial"/>
                <w:lang w:eastAsia="en-AU"/>
              </w:rPr>
              <w:t>Windsor Gardens Vocational College</w:t>
            </w:r>
          </w:p>
        </w:tc>
        <w:tc>
          <w:tcPr>
            <w:tcW w:w="126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32"/>
              <w:rPr>
                <w:rFonts w:ascii="Arial" w:eastAsia="Times New Roman" w:hAnsi="Arial" w:cs="Arial"/>
                <w:lang w:eastAsia="en-AU"/>
              </w:rPr>
            </w:pPr>
            <w:r w:rsidRPr="00AA5F3C">
              <w:rPr>
                <w:rFonts w:ascii="Arial" w:eastAsia="Times New Roman" w:hAnsi="Arial" w:cs="Arial"/>
                <w:lang w:eastAsia="en-AU"/>
              </w:rPr>
              <w:t>75</w:t>
            </w:r>
          </w:p>
        </w:tc>
        <w:tc>
          <w:tcPr>
            <w:tcW w:w="1150"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114"/>
              <w:rPr>
                <w:rFonts w:ascii="Arial" w:eastAsia="Times New Roman" w:hAnsi="Arial" w:cs="Arial"/>
                <w:lang w:eastAsia="en-AU"/>
              </w:rPr>
            </w:pPr>
            <w:r w:rsidRPr="00AA5F3C">
              <w:rPr>
                <w:rFonts w:ascii="Arial" w:eastAsia="Times New Roman" w:hAnsi="Arial" w:cs="Arial"/>
                <w:lang w:eastAsia="en-AU"/>
              </w:rPr>
              <w:t>538.3</w:t>
            </w:r>
          </w:p>
        </w:tc>
        <w:tc>
          <w:tcPr>
            <w:tcW w:w="127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42"/>
              <w:rPr>
                <w:rFonts w:ascii="Arial" w:eastAsia="Times New Roman" w:hAnsi="Arial" w:cs="Arial"/>
                <w:lang w:eastAsia="en-AU"/>
              </w:rPr>
            </w:pPr>
            <w:r w:rsidRPr="00AA5F3C">
              <w:rPr>
                <w:rFonts w:ascii="Arial" w:eastAsia="Times New Roman" w:hAnsi="Arial" w:cs="Arial"/>
                <w:lang w:eastAsia="en-AU"/>
              </w:rPr>
              <w:t>13.93%</w:t>
            </w:r>
          </w:p>
        </w:tc>
      </w:tr>
      <w:tr w:rsidR="00AA5F3C" w:rsidRPr="00AA5F3C" w:rsidTr="00056F49">
        <w:trPr>
          <w:trHeight w:val="300"/>
        </w:trPr>
        <w:tc>
          <w:tcPr>
            <w:tcW w:w="49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6F49" w:rsidRPr="00AA5F3C" w:rsidRDefault="00056F49" w:rsidP="00E619A9">
            <w:pPr>
              <w:spacing w:line="240" w:lineRule="auto"/>
              <w:rPr>
                <w:rFonts w:ascii="Arial" w:eastAsia="Times New Roman" w:hAnsi="Arial" w:cs="Arial"/>
                <w:lang w:eastAsia="en-AU"/>
              </w:rPr>
            </w:pPr>
            <w:r w:rsidRPr="00AA5F3C">
              <w:rPr>
                <w:rFonts w:ascii="Arial" w:eastAsia="Times New Roman" w:hAnsi="Arial" w:cs="Arial"/>
                <w:lang w:eastAsia="en-AU"/>
              </w:rPr>
              <w:t>Woodville High School</w:t>
            </w:r>
          </w:p>
        </w:tc>
        <w:tc>
          <w:tcPr>
            <w:tcW w:w="126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32"/>
              <w:rPr>
                <w:rFonts w:ascii="Arial" w:eastAsia="Times New Roman" w:hAnsi="Arial" w:cs="Arial"/>
                <w:lang w:eastAsia="en-AU"/>
              </w:rPr>
            </w:pPr>
            <w:r w:rsidRPr="00AA5F3C">
              <w:rPr>
                <w:rFonts w:ascii="Arial" w:eastAsia="Times New Roman" w:hAnsi="Arial" w:cs="Arial"/>
                <w:lang w:eastAsia="en-AU"/>
              </w:rPr>
              <w:t>122.8</w:t>
            </w:r>
          </w:p>
        </w:tc>
        <w:tc>
          <w:tcPr>
            <w:tcW w:w="1150"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114"/>
              <w:rPr>
                <w:rFonts w:ascii="Arial" w:eastAsia="Times New Roman" w:hAnsi="Arial" w:cs="Arial"/>
                <w:lang w:eastAsia="en-AU"/>
              </w:rPr>
            </w:pPr>
            <w:r w:rsidRPr="00AA5F3C">
              <w:rPr>
                <w:rFonts w:ascii="Arial" w:eastAsia="Times New Roman" w:hAnsi="Arial" w:cs="Arial"/>
                <w:lang w:eastAsia="en-AU"/>
              </w:rPr>
              <w:t>984</w:t>
            </w:r>
          </w:p>
        </w:tc>
        <w:tc>
          <w:tcPr>
            <w:tcW w:w="1278" w:type="dxa"/>
            <w:tcBorders>
              <w:top w:val="nil"/>
              <w:left w:val="nil"/>
              <w:bottom w:val="single" w:sz="4" w:space="0" w:color="auto"/>
              <w:right w:val="single" w:sz="4" w:space="0" w:color="auto"/>
            </w:tcBorders>
            <w:shd w:val="clear" w:color="auto" w:fill="auto"/>
            <w:vAlign w:val="bottom"/>
            <w:hideMark/>
          </w:tcPr>
          <w:p w:rsidR="00056F49" w:rsidRPr="00AA5F3C" w:rsidRDefault="00056F49" w:rsidP="00E619A9">
            <w:pPr>
              <w:spacing w:line="240" w:lineRule="auto"/>
              <w:ind w:right="242"/>
              <w:rPr>
                <w:rFonts w:ascii="Arial" w:eastAsia="Times New Roman" w:hAnsi="Arial" w:cs="Arial"/>
                <w:lang w:eastAsia="en-AU"/>
              </w:rPr>
            </w:pPr>
            <w:r w:rsidRPr="00AA5F3C">
              <w:rPr>
                <w:rFonts w:ascii="Arial" w:eastAsia="Times New Roman" w:hAnsi="Arial" w:cs="Arial"/>
                <w:lang w:eastAsia="en-AU"/>
              </w:rPr>
              <w:t>12.48%</w:t>
            </w:r>
          </w:p>
        </w:tc>
      </w:tr>
    </w:tbl>
    <w:p w:rsidR="00056F49" w:rsidRPr="00AA5F3C" w:rsidRDefault="00056F49" w:rsidP="00E619A9">
      <w:pPr>
        <w:spacing w:after="200"/>
        <w:rPr>
          <w:rFonts w:ascii="Arial" w:eastAsia="Times New Roman" w:hAnsi="Arial" w:cs="Arial"/>
          <w:i/>
          <w:iCs/>
          <w:lang w:eastAsia="en-AU"/>
        </w:rPr>
      </w:pPr>
      <w:r w:rsidRPr="00AA5F3C">
        <w:rPr>
          <w:rFonts w:ascii="Arial" w:eastAsia="Times New Roman" w:hAnsi="Arial" w:cs="Arial"/>
          <w:i/>
          <w:iCs/>
          <w:lang w:eastAsia="en-AU"/>
        </w:rPr>
        <w:t>Source: Term 3 DECD School Enrolment Census</w:t>
      </w:r>
    </w:p>
    <w:p w:rsidR="00056F49" w:rsidRPr="00AA5F3C" w:rsidRDefault="00056F49" w:rsidP="00E619A9">
      <w:pPr>
        <w:spacing w:after="200"/>
        <w:rPr>
          <w:rFonts w:ascii="Arial" w:eastAsia="Times New Roman" w:hAnsi="Arial" w:cs="Arial"/>
          <w:lang w:eastAsia="en-AU"/>
        </w:rPr>
      </w:pPr>
      <w:r w:rsidRPr="00AA5F3C">
        <w:rPr>
          <w:rFonts w:ascii="Arial" w:eastAsia="Times New Roman" w:hAnsi="Arial" w:cs="Arial"/>
          <w:b/>
          <w:lang w:eastAsia="en-AU"/>
        </w:rPr>
        <w:t xml:space="preserve">Table </w:t>
      </w:r>
      <w:r w:rsidR="00DA6260">
        <w:rPr>
          <w:rFonts w:ascii="Arial" w:eastAsia="Times New Roman" w:hAnsi="Arial" w:cs="Arial"/>
          <w:b/>
          <w:lang w:eastAsia="en-AU"/>
        </w:rPr>
        <w:t>9</w:t>
      </w:r>
      <w:r w:rsidRPr="00AA5F3C">
        <w:rPr>
          <w:rFonts w:ascii="Arial" w:eastAsia="Times New Roman" w:hAnsi="Arial" w:cs="Arial"/>
          <w:lang w:eastAsia="en-AU"/>
        </w:rPr>
        <w:t>: Semester 1 Attendance rates for DECD Schools with Aboriginal secondary enrolments greater than 30 Aboriginal students enrolled and above 10% of total enrolments</w:t>
      </w:r>
    </w:p>
    <w:tbl>
      <w:tblPr>
        <w:tblW w:w="5969" w:type="dxa"/>
        <w:tblInd w:w="93" w:type="dxa"/>
        <w:tblLook w:val="04A0" w:firstRow="1" w:lastRow="0" w:firstColumn="1" w:lastColumn="0" w:noHBand="0" w:noVBand="1"/>
        <w:tblDescription w:val="Semesnter 1 attendance for government schools with Aboriginal secondary enrolments greater than 30 Aboriginal students."/>
      </w:tblPr>
      <w:tblGrid>
        <w:gridCol w:w="2425"/>
        <w:gridCol w:w="1843"/>
        <w:gridCol w:w="1701"/>
      </w:tblGrid>
      <w:tr w:rsidR="00AA5F3C" w:rsidRPr="00CC12F9" w:rsidTr="00056F49">
        <w:trPr>
          <w:trHeight w:val="632"/>
        </w:trPr>
        <w:tc>
          <w:tcPr>
            <w:tcW w:w="2425" w:type="dxa"/>
            <w:tcBorders>
              <w:top w:val="single" w:sz="4" w:space="0" w:color="auto"/>
              <w:left w:val="single" w:sz="4" w:space="0" w:color="auto"/>
              <w:bottom w:val="nil"/>
              <w:right w:val="single" w:sz="4" w:space="0" w:color="auto"/>
            </w:tcBorders>
            <w:shd w:val="clear" w:color="auto" w:fill="auto"/>
            <w:vAlign w:val="center"/>
            <w:hideMark/>
          </w:tcPr>
          <w:p w:rsidR="00056F49" w:rsidRPr="00CC12F9" w:rsidRDefault="00056F49" w:rsidP="00E619A9">
            <w:pPr>
              <w:spacing w:line="240" w:lineRule="auto"/>
              <w:rPr>
                <w:rFonts w:ascii="Arial" w:eastAsia="Times New Roman" w:hAnsi="Arial" w:cs="Arial"/>
                <w:b/>
                <w:lang w:eastAsia="en-AU"/>
              </w:rPr>
            </w:pPr>
            <w:r w:rsidRPr="00CC12F9">
              <w:rPr>
                <w:rFonts w:ascii="Arial" w:eastAsia="Times New Roman" w:hAnsi="Arial" w:cs="Arial"/>
                <w:b/>
                <w:lang w:eastAsia="en-AU"/>
              </w:rPr>
              <w:t>Year Level</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6F49" w:rsidRPr="00CC12F9" w:rsidRDefault="00056F49" w:rsidP="00E619A9">
            <w:pPr>
              <w:spacing w:line="240" w:lineRule="auto"/>
              <w:rPr>
                <w:rFonts w:ascii="Arial" w:eastAsia="Times New Roman" w:hAnsi="Arial" w:cs="Arial"/>
                <w:b/>
                <w:lang w:eastAsia="en-AU"/>
              </w:rPr>
            </w:pPr>
            <w:r w:rsidRPr="00CC12F9">
              <w:rPr>
                <w:rFonts w:ascii="Arial" w:eastAsia="Times New Roman" w:hAnsi="Arial" w:cs="Arial"/>
                <w:b/>
                <w:lang w:eastAsia="en-AU"/>
              </w:rPr>
              <w:t>Aboriginal Students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56F49" w:rsidRPr="00CC12F9" w:rsidRDefault="00056F49" w:rsidP="00E619A9">
            <w:pPr>
              <w:spacing w:line="240" w:lineRule="auto"/>
              <w:rPr>
                <w:rFonts w:ascii="Arial" w:eastAsia="Times New Roman" w:hAnsi="Arial" w:cs="Arial"/>
                <w:b/>
                <w:lang w:eastAsia="en-AU"/>
              </w:rPr>
            </w:pPr>
            <w:r w:rsidRPr="00CC12F9">
              <w:rPr>
                <w:rFonts w:ascii="Arial" w:eastAsia="Times New Roman" w:hAnsi="Arial" w:cs="Arial"/>
                <w:b/>
                <w:lang w:eastAsia="en-AU"/>
              </w:rPr>
              <w:t>Non-Aboriginal Students</w:t>
            </w:r>
          </w:p>
        </w:tc>
      </w:tr>
      <w:tr w:rsidR="00AA5F3C" w:rsidRPr="008C09C9" w:rsidTr="00056F4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Year 1</w:t>
            </w:r>
          </w:p>
        </w:tc>
        <w:tc>
          <w:tcPr>
            <w:tcW w:w="1843"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63.8%</w:t>
            </w:r>
          </w:p>
        </w:tc>
        <w:tc>
          <w:tcPr>
            <w:tcW w:w="1701"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89.5%</w:t>
            </w:r>
          </w:p>
        </w:tc>
      </w:tr>
      <w:tr w:rsidR="00AA5F3C" w:rsidRPr="008C09C9" w:rsidTr="00056F49">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Year 2</w:t>
            </w:r>
          </w:p>
        </w:tc>
        <w:tc>
          <w:tcPr>
            <w:tcW w:w="1843"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63.4%</w:t>
            </w:r>
          </w:p>
        </w:tc>
        <w:tc>
          <w:tcPr>
            <w:tcW w:w="1701"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88.6%</w:t>
            </w:r>
          </w:p>
        </w:tc>
      </w:tr>
      <w:tr w:rsidR="00AA5F3C" w:rsidRPr="008C09C9" w:rsidTr="00056F49">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Year 3</w:t>
            </w:r>
          </w:p>
        </w:tc>
        <w:tc>
          <w:tcPr>
            <w:tcW w:w="1843"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63.3%</w:t>
            </w:r>
          </w:p>
        </w:tc>
        <w:tc>
          <w:tcPr>
            <w:tcW w:w="1701"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91.9%</w:t>
            </w:r>
          </w:p>
        </w:tc>
      </w:tr>
      <w:tr w:rsidR="00AA5F3C" w:rsidRPr="008C09C9" w:rsidTr="00056F49">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Year 4</w:t>
            </w:r>
          </w:p>
        </w:tc>
        <w:tc>
          <w:tcPr>
            <w:tcW w:w="1843"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61.6%</w:t>
            </w:r>
          </w:p>
        </w:tc>
        <w:tc>
          <w:tcPr>
            <w:tcW w:w="1701"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90.2%</w:t>
            </w:r>
          </w:p>
        </w:tc>
      </w:tr>
      <w:tr w:rsidR="00AA5F3C" w:rsidRPr="008C09C9" w:rsidTr="00056F49">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Year 5</w:t>
            </w:r>
          </w:p>
        </w:tc>
        <w:tc>
          <w:tcPr>
            <w:tcW w:w="1843"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64.7%</w:t>
            </w:r>
          </w:p>
        </w:tc>
        <w:tc>
          <w:tcPr>
            <w:tcW w:w="1701"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92.1%</w:t>
            </w:r>
          </w:p>
        </w:tc>
      </w:tr>
      <w:tr w:rsidR="00AA5F3C" w:rsidRPr="008C09C9" w:rsidTr="00056F49">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Year 6</w:t>
            </w:r>
          </w:p>
        </w:tc>
        <w:tc>
          <w:tcPr>
            <w:tcW w:w="1843"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60.8%</w:t>
            </w:r>
          </w:p>
        </w:tc>
        <w:tc>
          <w:tcPr>
            <w:tcW w:w="1701"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87.1%</w:t>
            </w:r>
          </w:p>
        </w:tc>
      </w:tr>
      <w:tr w:rsidR="00AA5F3C" w:rsidRPr="008C09C9" w:rsidTr="00056F49">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Year 7</w:t>
            </w:r>
          </w:p>
        </w:tc>
        <w:tc>
          <w:tcPr>
            <w:tcW w:w="1843"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64.4%</w:t>
            </w:r>
          </w:p>
        </w:tc>
        <w:tc>
          <w:tcPr>
            <w:tcW w:w="1701"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89.4%</w:t>
            </w:r>
          </w:p>
        </w:tc>
      </w:tr>
      <w:tr w:rsidR="00AA5F3C" w:rsidRPr="008C09C9" w:rsidTr="00056F49">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Year 8</w:t>
            </w:r>
          </w:p>
        </w:tc>
        <w:tc>
          <w:tcPr>
            <w:tcW w:w="1843"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72.1%</w:t>
            </w:r>
          </w:p>
        </w:tc>
        <w:tc>
          <w:tcPr>
            <w:tcW w:w="1701"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87.2%</w:t>
            </w:r>
          </w:p>
        </w:tc>
      </w:tr>
      <w:tr w:rsidR="00AA5F3C" w:rsidRPr="008C09C9" w:rsidTr="00056F49">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Year 9</w:t>
            </w:r>
          </w:p>
        </w:tc>
        <w:tc>
          <w:tcPr>
            <w:tcW w:w="1843"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66.2%</w:t>
            </w:r>
          </w:p>
        </w:tc>
        <w:tc>
          <w:tcPr>
            <w:tcW w:w="1701"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84.9%</w:t>
            </w:r>
          </w:p>
        </w:tc>
      </w:tr>
      <w:tr w:rsidR="00AA5F3C" w:rsidRPr="008C09C9" w:rsidTr="00056F49">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Year 10</w:t>
            </w:r>
          </w:p>
        </w:tc>
        <w:tc>
          <w:tcPr>
            <w:tcW w:w="1843"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65.0%</w:t>
            </w:r>
          </w:p>
        </w:tc>
        <w:tc>
          <w:tcPr>
            <w:tcW w:w="1701"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83.0%</w:t>
            </w:r>
          </w:p>
        </w:tc>
      </w:tr>
      <w:tr w:rsidR="00056F49" w:rsidRPr="008C09C9" w:rsidTr="00056F49">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056F49" w:rsidRPr="008C09C9" w:rsidRDefault="00056F49" w:rsidP="00E619A9">
            <w:pPr>
              <w:spacing w:line="240" w:lineRule="auto"/>
              <w:rPr>
                <w:rFonts w:ascii="Arial" w:eastAsia="Times New Roman" w:hAnsi="Arial" w:cs="Arial"/>
                <w:b/>
                <w:bCs/>
                <w:lang w:eastAsia="en-AU"/>
              </w:rPr>
            </w:pPr>
            <w:r w:rsidRPr="008C09C9">
              <w:rPr>
                <w:rFonts w:ascii="Arial" w:eastAsia="Times New Roman" w:hAnsi="Arial" w:cs="Arial"/>
                <w:b/>
                <w:bCs/>
                <w:lang w:eastAsia="en-AU"/>
              </w:rPr>
              <w:t>Total Year 1 to 10</w:t>
            </w:r>
          </w:p>
        </w:tc>
        <w:tc>
          <w:tcPr>
            <w:tcW w:w="1843"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b/>
                <w:bCs/>
                <w:lang w:eastAsia="en-AU"/>
              </w:rPr>
            </w:pPr>
            <w:r w:rsidRPr="008C09C9">
              <w:rPr>
                <w:rFonts w:ascii="Arial" w:eastAsia="Times New Roman" w:hAnsi="Arial" w:cs="Arial"/>
                <w:b/>
                <w:bCs/>
                <w:lang w:eastAsia="en-AU"/>
              </w:rPr>
              <w:t>66.2%</w:t>
            </w:r>
          </w:p>
        </w:tc>
        <w:tc>
          <w:tcPr>
            <w:tcW w:w="1701"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b/>
                <w:bCs/>
                <w:lang w:eastAsia="en-AU"/>
              </w:rPr>
            </w:pPr>
            <w:r w:rsidRPr="008C09C9">
              <w:rPr>
                <w:rFonts w:ascii="Arial" w:eastAsia="Times New Roman" w:hAnsi="Arial" w:cs="Arial"/>
                <w:b/>
                <w:bCs/>
                <w:lang w:eastAsia="en-AU"/>
              </w:rPr>
              <w:t>85.6%</w:t>
            </w:r>
          </w:p>
        </w:tc>
      </w:tr>
    </w:tbl>
    <w:p w:rsidR="00056F49" w:rsidRPr="00AA5F3C" w:rsidRDefault="00056F49" w:rsidP="00E619A9">
      <w:pPr>
        <w:spacing w:after="200"/>
        <w:rPr>
          <w:rFonts w:ascii="Arial" w:eastAsia="Calibri" w:hAnsi="Arial" w:cs="Arial"/>
        </w:rPr>
      </w:pPr>
      <w:r w:rsidRPr="00AA5F3C">
        <w:rPr>
          <w:rFonts w:ascii="Arial" w:eastAsia="Times New Roman" w:hAnsi="Arial" w:cs="Arial"/>
          <w:i/>
          <w:iCs/>
          <w:sz w:val="20"/>
          <w:szCs w:val="20"/>
          <w:lang w:eastAsia="en-AU"/>
        </w:rPr>
        <w:t>Source: Semester 1 absence date collected in term 3 DECD school enrolment census</w:t>
      </w:r>
    </w:p>
    <w:p w:rsidR="00056F49" w:rsidRPr="00AA5F3C" w:rsidRDefault="00056F49" w:rsidP="00E619A9">
      <w:pPr>
        <w:spacing w:after="200"/>
        <w:rPr>
          <w:rFonts w:ascii="Arial" w:eastAsia="Calibri" w:hAnsi="Arial" w:cs="Arial"/>
        </w:rPr>
      </w:pPr>
      <w:r w:rsidRPr="00AA5F3C">
        <w:rPr>
          <w:rFonts w:ascii="Arial" w:eastAsia="Times New Roman" w:hAnsi="Arial" w:cs="Arial"/>
          <w:b/>
          <w:lang w:eastAsia="en-AU"/>
        </w:rPr>
        <w:t>Table 1</w:t>
      </w:r>
      <w:r w:rsidR="00DA6260">
        <w:rPr>
          <w:rFonts w:ascii="Arial" w:eastAsia="Times New Roman" w:hAnsi="Arial" w:cs="Arial"/>
          <w:b/>
          <w:lang w:eastAsia="en-AU"/>
        </w:rPr>
        <w:t>0</w:t>
      </w:r>
      <w:r w:rsidRPr="00AA5F3C">
        <w:rPr>
          <w:rFonts w:ascii="Arial" w:eastAsia="Times New Roman" w:hAnsi="Arial" w:cs="Arial"/>
          <w:lang w:eastAsia="en-AU"/>
        </w:rPr>
        <w:t>: Apparent Retention Rates for DECD Schools with Aboriginal secondary enrolments greater than 30 Aboriginal students enrolled and above 10% of total enrolments</w:t>
      </w:r>
    </w:p>
    <w:tbl>
      <w:tblPr>
        <w:tblW w:w="5969" w:type="dxa"/>
        <w:tblInd w:w="93" w:type="dxa"/>
        <w:tblLook w:val="04A0" w:firstRow="1" w:lastRow="0" w:firstColumn="1" w:lastColumn="0" w:noHBand="0" w:noVBand="1"/>
        <w:tblDescription w:val="Apparent retention rates for government schools with Aboriginal secondary enrolments greater than 30 students."/>
      </w:tblPr>
      <w:tblGrid>
        <w:gridCol w:w="2425"/>
        <w:gridCol w:w="1843"/>
        <w:gridCol w:w="1701"/>
      </w:tblGrid>
      <w:tr w:rsidR="00AA5F3C" w:rsidRPr="00FE58C1" w:rsidTr="00056F49">
        <w:trPr>
          <w:trHeight w:val="603"/>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F49" w:rsidRPr="00FE58C1" w:rsidRDefault="00056F49" w:rsidP="00E619A9">
            <w:pPr>
              <w:spacing w:line="240" w:lineRule="auto"/>
              <w:ind w:firstLine="191"/>
              <w:rPr>
                <w:rFonts w:ascii="Arial" w:eastAsia="Times New Roman" w:hAnsi="Arial" w:cs="Arial"/>
                <w:b/>
                <w:lang w:eastAsia="en-AU"/>
              </w:rPr>
            </w:pPr>
            <w:r w:rsidRPr="00FE58C1">
              <w:rPr>
                <w:rFonts w:ascii="Arial" w:eastAsia="Times New Roman" w:hAnsi="Arial" w:cs="Arial"/>
                <w:b/>
                <w:lang w:eastAsia="en-AU"/>
              </w:rPr>
              <w:t>2012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6F49" w:rsidRPr="00FE58C1" w:rsidRDefault="00056F49" w:rsidP="00E619A9">
            <w:pPr>
              <w:spacing w:line="240" w:lineRule="auto"/>
              <w:rPr>
                <w:rFonts w:ascii="Arial" w:eastAsia="Times New Roman" w:hAnsi="Arial" w:cs="Arial"/>
                <w:b/>
                <w:lang w:eastAsia="en-AU"/>
              </w:rPr>
            </w:pPr>
            <w:r w:rsidRPr="00FE58C1">
              <w:rPr>
                <w:rFonts w:ascii="Arial" w:eastAsia="Times New Roman" w:hAnsi="Arial" w:cs="Arial"/>
                <w:b/>
                <w:lang w:eastAsia="en-AU"/>
              </w:rPr>
              <w:t>Aboriginal Students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56F49" w:rsidRPr="00FE58C1" w:rsidRDefault="00056F49" w:rsidP="00E619A9">
            <w:pPr>
              <w:spacing w:line="240" w:lineRule="auto"/>
              <w:rPr>
                <w:rFonts w:ascii="Arial" w:eastAsia="Times New Roman" w:hAnsi="Arial" w:cs="Arial"/>
                <w:b/>
                <w:lang w:eastAsia="en-AU"/>
              </w:rPr>
            </w:pPr>
            <w:r w:rsidRPr="00FE58C1">
              <w:rPr>
                <w:rFonts w:ascii="Arial" w:eastAsia="Times New Roman" w:hAnsi="Arial" w:cs="Arial"/>
                <w:b/>
                <w:lang w:eastAsia="en-AU"/>
              </w:rPr>
              <w:t>Non-Aboriginal Students</w:t>
            </w:r>
          </w:p>
        </w:tc>
      </w:tr>
      <w:tr w:rsidR="00AA5F3C" w:rsidRPr="008C09C9" w:rsidTr="00056F49">
        <w:trPr>
          <w:trHeight w:val="3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Year 8 to 12</w:t>
            </w:r>
          </w:p>
        </w:tc>
        <w:tc>
          <w:tcPr>
            <w:tcW w:w="1843"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58.7%</w:t>
            </w:r>
          </w:p>
        </w:tc>
        <w:tc>
          <w:tcPr>
            <w:tcW w:w="1701"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82.4%</w:t>
            </w:r>
          </w:p>
        </w:tc>
      </w:tr>
      <w:tr w:rsidR="008C09C9" w:rsidRPr="008C09C9" w:rsidTr="00056F49">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Year 8 to 10</w:t>
            </w:r>
          </w:p>
        </w:tc>
        <w:tc>
          <w:tcPr>
            <w:tcW w:w="1843"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92.3%</w:t>
            </w:r>
          </w:p>
        </w:tc>
        <w:tc>
          <w:tcPr>
            <w:tcW w:w="1701" w:type="dxa"/>
            <w:tcBorders>
              <w:top w:val="nil"/>
              <w:left w:val="nil"/>
              <w:bottom w:val="single" w:sz="4" w:space="0" w:color="auto"/>
              <w:right w:val="single" w:sz="4" w:space="0" w:color="auto"/>
            </w:tcBorders>
            <w:shd w:val="clear" w:color="auto" w:fill="auto"/>
            <w:noWrap/>
            <w:vAlign w:val="bottom"/>
            <w:hideMark/>
          </w:tcPr>
          <w:p w:rsidR="00056F49" w:rsidRPr="008C09C9" w:rsidRDefault="00056F49" w:rsidP="00E619A9">
            <w:pPr>
              <w:spacing w:line="240" w:lineRule="auto"/>
              <w:rPr>
                <w:rFonts w:ascii="Arial" w:eastAsia="Times New Roman" w:hAnsi="Arial" w:cs="Arial"/>
                <w:lang w:eastAsia="en-AU"/>
              </w:rPr>
            </w:pPr>
            <w:r w:rsidRPr="008C09C9">
              <w:rPr>
                <w:rFonts w:ascii="Arial" w:eastAsia="Times New Roman" w:hAnsi="Arial" w:cs="Arial"/>
                <w:lang w:eastAsia="en-AU"/>
              </w:rPr>
              <w:t>103.8%</w:t>
            </w:r>
          </w:p>
        </w:tc>
      </w:tr>
    </w:tbl>
    <w:p w:rsidR="00056F49" w:rsidRPr="00AA5F3C" w:rsidRDefault="00056F49" w:rsidP="00E619A9">
      <w:pPr>
        <w:rPr>
          <w:rFonts w:ascii="Arial" w:eastAsia="Times New Roman" w:hAnsi="Arial" w:cs="Arial"/>
          <w:i/>
          <w:iCs/>
          <w:sz w:val="20"/>
          <w:szCs w:val="20"/>
          <w:lang w:eastAsia="en-AU"/>
        </w:rPr>
      </w:pPr>
      <w:r w:rsidRPr="00AA5F3C">
        <w:rPr>
          <w:rFonts w:ascii="Arial" w:eastAsia="Times New Roman" w:hAnsi="Arial" w:cs="Arial"/>
          <w:i/>
          <w:iCs/>
          <w:sz w:val="20"/>
          <w:szCs w:val="20"/>
          <w:lang w:eastAsia="en-AU"/>
        </w:rPr>
        <w:t>Source: Term 3 DECD School Enrolment Census</w:t>
      </w:r>
    </w:p>
    <w:p w:rsidR="00056F49" w:rsidRPr="00AA5F3C" w:rsidRDefault="00056F49" w:rsidP="00E619A9">
      <w:pPr>
        <w:rPr>
          <w:rFonts w:ascii="Arial" w:eastAsia="Calibri" w:hAnsi="Arial" w:cs="Arial"/>
        </w:rPr>
      </w:pPr>
      <w:r w:rsidRPr="00AA5F3C">
        <w:rPr>
          <w:rFonts w:ascii="Arial" w:eastAsia="Times New Roman" w:hAnsi="Arial" w:cs="Arial"/>
          <w:i/>
          <w:iCs/>
          <w:lang w:eastAsia="en-AU"/>
        </w:rPr>
        <w:t>Note: The retention rates include Stuart HS which has no Year 12 enrolments.</w:t>
      </w:r>
    </w:p>
    <w:p w:rsidR="00056F49" w:rsidRPr="00AA5F3C" w:rsidRDefault="00056F49" w:rsidP="00E619A9">
      <w:pPr>
        <w:spacing w:after="200"/>
        <w:rPr>
          <w:rFonts w:ascii="Arial" w:eastAsia="Calibri" w:hAnsi="Arial" w:cs="Arial"/>
        </w:rPr>
      </w:pPr>
    </w:p>
    <w:p w:rsidR="00752320" w:rsidRPr="00AA5F3C" w:rsidRDefault="00752320" w:rsidP="00E619A9">
      <w:pPr>
        <w:spacing w:line="240" w:lineRule="auto"/>
        <w:rPr>
          <w:rFonts w:ascii="Arial" w:eastAsia="Calibri" w:hAnsi="Arial" w:cs="Arial"/>
        </w:rPr>
      </w:pPr>
      <w:r w:rsidRPr="00AA5F3C">
        <w:rPr>
          <w:rFonts w:ascii="Arial" w:eastAsia="Calibri" w:hAnsi="Arial" w:cs="Arial"/>
        </w:rPr>
        <w:t xml:space="preserve">In relation to the following data provided by the SA Department for Further Education, Employment, Science and Technology, please note that the following caveat applies:  “Calculations are based on 2012 VET SA submitted collections and do not include all fee for service activity for Private </w:t>
      </w:r>
      <w:r w:rsidRPr="00AA5F3C">
        <w:rPr>
          <w:rFonts w:ascii="Arial" w:eastAsia="Calibri" w:hAnsi="Arial" w:cs="Arial"/>
        </w:rPr>
        <w:lastRenderedPageBreak/>
        <w:t xml:space="preserve">Providers and activity resulted with ‘credit transfer’ . Data is not confirmed by </w:t>
      </w:r>
      <w:proofErr w:type="spellStart"/>
      <w:r w:rsidRPr="00AA5F3C">
        <w:rPr>
          <w:rFonts w:ascii="Arial" w:eastAsia="Calibri" w:hAnsi="Arial" w:cs="Arial"/>
        </w:rPr>
        <w:t>NCVER</w:t>
      </w:r>
      <w:proofErr w:type="spellEnd"/>
      <w:r w:rsidRPr="00AA5F3C">
        <w:rPr>
          <w:rFonts w:ascii="Arial" w:eastAsia="Calibri" w:hAnsi="Arial" w:cs="Arial"/>
        </w:rPr>
        <w:t xml:space="preserve"> publications therefore should be considered preliminary.”</w:t>
      </w:r>
    </w:p>
    <w:p w:rsidR="00752320" w:rsidRDefault="00752320" w:rsidP="00E619A9">
      <w:pPr>
        <w:spacing w:line="240" w:lineRule="auto"/>
        <w:rPr>
          <w:rFonts w:ascii="Arial" w:eastAsia="Calibri" w:hAnsi="Arial" w:cs="Arial"/>
        </w:rPr>
      </w:pPr>
    </w:p>
    <w:p w:rsidR="00DA6260" w:rsidRDefault="00DA6260" w:rsidP="00E619A9">
      <w:pPr>
        <w:spacing w:after="200"/>
        <w:rPr>
          <w:rFonts w:ascii="Arial" w:eastAsia="Times New Roman" w:hAnsi="Arial" w:cs="Arial"/>
          <w:lang w:eastAsia="en-AU"/>
        </w:rPr>
      </w:pPr>
      <w:r w:rsidRPr="00AA5F3C">
        <w:rPr>
          <w:rFonts w:ascii="Arial" w:eastAsia="Times New Roman" w:hAnsi="Arial" w:cs="Arial"/>
          <w:b/>
          <w:lang w:eastAsia="en-AU"/>
        </w:rPr>
        <w:t>Table 1</w:t>
      </w:r>
      <w:r>
        <w:rPr>
          <w:rFonts w:ascii="Arial" w:eastAsia="Times New Roman" w:hAnsi="Arial" w:cs="Arial"/>
          <w:b/>
          <w:lang w:eastAsia="en-AU"/>
        </w:rPr>
        <w:t>1</w:t>
      </w:r>
      <w:r w:rsidRPr="00AA5F3C">
        <w:rPr>
          <w:rFonts w:ascii="Arial" w:eastAsia="Times New Roman" w:hAnsi="Arial" w:cs="Arial"/>
          <w:lang w:eastAsia="en-AU"/>
        </w:rPr>
        <w:t xml:space="preserve">: </w:t>
      </w:r>
      <w:r w:rsidR="002E196A" w:rsidRPr="002E196A">
        <w:rPr>
          <w:rFonts w:ascii="Arial" w:eastAsia="Times New Roman" w:hAnsi="Arial" w:cs="Arial"/>
          <w:lang w:eastAsia="en-AU"/>
        </w:rPr>
        <w:t xml:space="preserve">Enrolments of ‘not at school’ </w:t>
      </w:r>
      <w:r w:rsidR="002E196A">
        <w:rPr>
          <w:rFonts w:ascii="Arial" w:eastAsia="Times New Roman" w:hAnsi="Arial" w:cs="Arial"/>
          <w:lang w:eastAsia="en-AU"/>
        </w:rPr>
        <w:t>indigenous and non-</w:t>
      </w:r>
      <w:r w:rsidR="002E196A" w:rsidRPr="002E196A">
        <w:rPr>
          <w:rFonts w:ascii="Arial" w:eastAsia="Times New Roman" w:hAnsi="Arial" w:cs="Arial"/>
          <w:lang w:eastAsia="en-AU"/>
        </w:rPr>
        <w:t xml:space="preserve">indigenous 15-19 year olds in </w:t>
      </w:r>
      <w:proofErr w:type="spellStart"/>
      <w:r w:rsidR="002E196A" w:rsidRPr="002E196A">
        <w:rPr>
          <w:rFonts w:ascii="Arial" w:eastAsia="Times New Roman" w:hAnsi="Arial" w:cs="Arial"/>
          <w:lang w:eastAsia="en-AU"/>
        </w:rPr>
        <w:t>AQF</w:t>
      </w:r>
      <w:proofErr w:type="spellEnd"/>
      <w:r w:rsidR="002E196A" w:rsidRPr="002E196A">
        <w:rPr>
          <w:rFonts w:ascii="Arial" w:eastAsia="Times New Roman" w:hAnsi="Arial" w:cs="Arial"/>
          <w:lang w:eastAsia="en-AU"/>
        </w:rPr>
        <w:t xml:space="preserve"> level 2-7 VET courses</w:t>
      </w:r>
      <w:r w:rsidR="001D11E8">
        <w:rPr>
          <w:rFonts w:ascii="Arial" w:eastAsia="Times New Roman" w:hAnsi="Arial" w:cs="Arial"/>
          <w:lang w:eastAsia="en-AU"/>
        </w:rPr>
        <w:t>.</w:t>
      </w:r>
    </w:p>
    <w:p w:rsidR="001D11E8" w:rsidRPr="001D11E8" w:rsidRDefault="001D11E8" w:rsidP="00E619A9">
      <w:pPr>
        <w:spacing w:after="200"/>
        <w:rPr>
          <w:rFonts w:ascii="Arial" w:eastAsia="Calibri" w:hAnsi="Arial" w:cs="Arial"/>
        </w:rPr>
      </w:pPr>
      <w:r w:rsidRPr="001D11E8">
        <w:rPr>
          <w:rFonts w:ascii="Arial" w:eastAsia="Calibri" w:hAnsi="Arial" w:cs="Arial"/>
          <w:bCs/>
          <w:lang w:eastAsia="en-AU"/>
        </w:rPr>
        <w:t>Total Aboriginal students enrolled students in 2012 collection</w:t>
      </w:r>
    </w:p>
    <w:tbl>
      <w:tblPr>
        <w:tblW w:w="884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A0" w:firstRow="1" w:lastRow="0" w:firstColumn="1" w:lastColumn="0" w:noHBand="1" w:noVBand="1"/>
      </w:tblPr>
      <w:tblGrid>
        <w:gridCol w:w="1683"/>
        <w:gridCol w:w="2551"/>
        <w:gridCol w:w="1985"/>
        <w:gridCol w:w="2625"/>
      </w:tblGrid>
      <w:tr w:rsidR="005102EC" w:rsidRPr="001D11E8" w:rsidTr="001D11E8">
        <w:trPr>
          <w:trHeight w:val="20"/>
        </w:trPr>
        <w:tc>
          <w:tcPr>
            <w:tcW w:w="1683" w:type="dxa"/>
            <w:shd w:val="clear" w:color="auto" w:fill="auto"/>
            <w:tcMar>
              <w:top w:w="0" w:type="dxa"/>
              <w:left w:w="108" w:type="dxa"/>
              <w:bottom w:w="0" w:type="dxa"/>
              <w:right w:w="108" w:type="dxa"/>
            </w:tcMar>
            <w:vAlign w:val="bottom"/>
            <w:hideMark/>
          </w:tcPr>
          <w:p w:rsidR="00780E6C" w:rsidRPr="001D11E8" w:rsidRDefault="00780E6C" w:rsidP="00E619A9">
            <w:pPr>
              <w:spacing w:line="240" w:lineRule="auto"/>
              <w:rPr>
                <w:rFonts w:ascii="Arial" w:eastAsia="Calibri" w:hAnsi="Arial" w:cs="Arial"/>
                <w:b/>
                <w:lang w:eastAsia="en-AU"/>
              </w:rPr>
            </w:pPr>
            <w:r w:rsidRPr="001D11E8">
              <w:rPr>
                <w:rFonts w:ascii="Arial" w:eastAsia="Calibri" w:hAnsi="Arial" w:cs="Arial"/>
                <w:b/>
                <w:lang w:eastAsia="en-AU"/>
              </w:rPr>
              <w:t>Collection</w:t>
            </w:r>
          </w:p>
        </w:tc>
        <w:tc>
          <w:tcPr>
            <w:tcW w:w="2551" w:type="dxa"/>
            <w:shd w:val="clear" w:color="auto" w:fill="auto"/>
            <w:tcMar>
              <w:top w:w="0" w:type="dxa"/>
              <w:left w:w="108" w:type="dxa"/>
              <w:bottom w:w="0" w:type="dxa"/>
              <w:right w:w="108" w:type="dxa"/>
            </w:tcMar>
            <w:vAlign w:val="bottom"/>
            <w:hideMark/>
          </w:tcPr>
          <w:p w:rsidR="00780E6C" w:rsidRPr="001D11E8" w:rsidRDefault="00780E6C" w:rsidP="00E619A9">
            <w:pPr>
              <w:spacing w:line="240" w:lineRule="auto"/>
              <w:rPr>
                <w:rFonts w:ascii="Arial" w:eastAsia="Calibri" w:hAnsi="Arial" w:cs="Arial"/>
                <w:b/>
                <w:lang w:eastAsia="en-AU"/>
              </w:rPr>
            </w:pPr>
            <w:r w:rsidRPr="001D11E8">
              <w:rPr>
                <w:rFonts w:ascii="Arial" w:eastAsia="Calibri" w:hAnsi="Arial" w:cs="Arial"/>
                <w:b/>
                <w:lang w:eastAsia="en-AU"/>
              </w:rPr>
              <w:t>Aboriginal Students</w:t>
            </w:r>
          </w:p>
        </w:tc>
        <w:tc>
          <w:tcPr>
            <w:tcW w:w="1985" w:type="dxa"/>
            <w:shd w:val="clear" w:color="auto" w:fill="auto"/>
            <w:tcMar>
              <w:top w:w="0" w:type="dxa"/>
              <w:left w:w="108" w:type="dxa"/>
              <w:bottom w:w="0" w:type="dxa"/>
              <w:right w:w="108" w:type="dxa"/>
            </w:tcMar>
            <w:vAlign w:val="bottom"/>
            <w:hideMark/>
          </w:tcPr>
          <w:p w:rsidR="00780E6C" w:rsidRPr="001D11E8" w:rsidRDefault="00780E6C" w:rsidP="00E619A9">
            <w:pPr>
              <w:spacing w:line="240" w:lineRule="auto"/>
              <w:rPr>
                <w:rFonts w:ascii="Arial" w:eastAsia="Calibri" w:hAnsi="Arial" w:cs="Arial"/>
                <w:b/>
                <w:lang w:eastAsia="en-AU"/>
              </w:rPr>
            </w:pPr>
            <w:r w:rsidRPr="001D11E8">
              <w:rPr>
                <w:rFonts w:ascii="Arial" w:eastAsia="Calibri" w:hAnsi="Arial" w:cs="Arial"/>
                <w:b/>
                <w:lang w:eastAsia="en-AU"/>
              </w:rPr>
              <w:t>All Students</w:t>
            </w:r>
          </w:p>
        </w:tc>
        <w:tc>
          <w:tcPr>
            <w:tcW w:w="2625" w:type="dxa"/>
            <w:shd w:val="clear" w:color="auto" w:fill="auto"/>
            <w:tcMar>
              <w:top w:w="0" w:type="dxa"/>
              <w:left w:w="108" w:type="dxa"/>
              <w:bottom w:w="0" w:type="dxa"/>
              <w:right w:w="108" w:type="dxa"/>
            </w:tcMar>
            <w:vAlign w:val="bottom"/>
            <w:hideMark/>
          </w:tcPr>
          <w:p w:rsidR="00780E6C" w:rsidRPr="001D11E8" w:rsidRDefault="00780E6C" w:rsidP="00E619A9">
            <w:pPr>
              <w:spacing w:line="240" w:lineRule="auto"/>
              <w:rPr>
                <w:rFonts w:ascii="Arial" w:eastAsia="Calibri" w:hAnsi="Arial" w:cs="Arial"/>
                <w:b/>
                <w:lang w:eastAsia="en-AU"/>
              </w:rPr>
            </w:pPr>
            <w:r w:rsidRPr="001D11E8">
              <w:rPr>
                <w:rFonts w:ascii="Arial" w:eastAsia="Calibri" w:hAnsi="Arial" w:cs="Arial"/>
                <w:b/>
                <w:lang w:eastAsia="en-AU"/>
              </w:rPr>
              <w:t>Aboriginal students %</w:t>
            </w:r>
          </w:p>
        </w:tc>
      </w:tr>
      <w:tr w:rsidR="005102EC" w:rsidRPr="008C09C9" w:rsidTr="001D11E8">
        <w:trPr>
          <w:trHeight w:val="20"/>
        </w:trPr>
        <w:tc>
          <w:tcPr>
            <w:tcW w:w="1683" w:type="dxa"/>
            <w:shd w:val="clear" w:color="auto" w:fill="auto"/>
            <w:noWrap/>
            <w:tcMar>
              <w:top w:w="0" w:type="dxa"/>
              <w:left w:w="108" w:type="dxa"/>
              <w:bottom w:w="0" w:type="dxa"/>
              <w:right w:w="108" w:type="dxa"/>
            </w:tcMar>
            <w:vAlign w:val="bottom"/>
            <w:hideMark/>
          </w:tcPr>
          <w:p w:rsidR="00780E6C" w:rsidRPr="008C09C9" w:rsidRDefault="00780E6C" w:rsidP="00E619A9">
            <w:pPr>
              <w:spacing w:line="240" w:lineRule="auto"/>
              <w:rPr>
                <w:rFonts w:ascii="Arial" w:eastAsia="Calibri" w:hAnsi="Arial" w:cs="Arial"/>
                <w:lang w:eastAsia="en-AU"/>
              </w:rPr>
            </w:pPr>
            <w:r w:rsidRPr="008C09C9">
              <w:rPr>
                <w:rFonts w:ascii="Arial" w:eastAsia="Calibri" w:hAnsi="Arial" w:cs="Arial"/>
                <w:lang w:eastAsia="en-AU"/>
              </w:rPr>
              <w:t>Non-TAFE</w:t>
            </w:r>
          </w:p>
        </w:tc>
        <w:tc>
          <w:tcPr>
            <w:tcW w:w="2551" w:type="dxa"/>
            <w:shd w:val="clear" w:color="auto" w:fill="auto"/>
            <w:noWrap/>
            <w:tcMar>
              <w:top w:w="0" w:type="dxa"/>
              <w:left w:w="108" w:type="dxa"/>
              <w:bottom w:w="0" w:type="dxa"/>
              <w:right w:w="108" w:type="dxa"/>
            </w:tcMar>
            <w:vAlign w:val="bottom"/>
            <w:hideMark/>
          </w:tcPr>
          <w:p w:rsidR="00780E6C" w:rsidRPr="008C09C9" w:rsidRDefault="00780E6C" w:rsidP="00E619A9">
            <w:pPr>
              <w:spacing w:line="240" w:lineRule="auto"/>
              <w:rPr>
                <w:rFonts w:ascii="Arial" w:eastAsia="Calibri" w:hAnsi="Arial" w:cs="Arial"/>
                <w:lang w:eastAsia="en-AU"/>
              </w:rPr>
            </w:pPr>
            <w:r w:rsidRPr="008C09C9">
              <w:rPr>
                <w:rFonts w:ascii="Arial" w:eastAsia="Calibri" w:hAnsi="Arial" w:cs="Arial"/>
                <w:lang w:eastAsia="en-AU"/>
              </w:rPr>
              <w:t>2167</w:t>
            </w:r>
          </w:p>
        </w:tc>
        <w:tc>
          <w:tcPr>
            <w:tcW w:w="1985" w:type="dxa"/>
            <w:shd w:val="clear" w:color="auto" w:fill="auto"/>
            <w:noWrap/>
            <w:tcMar>
              <w:top w:w="0" w:type="dxa"/>
              <w:left w:w="108" w:type="dxa"/>
              <w:bottom w:w="0" w:type="dxa"/>
              <w:right w:w="108" w:type="dxa"/>
            </w:tcMar>
            <w:vAlign w:val="bottom"/>
            <w:hideMark/>
          </w:tcPr>
          <w:p w:rsidR="00780E6C" w:rsidRPr="008C09C9" w:rsidRDefault="00780E6C" w:rsidP="00E619A9">
            <w:pPr>
              <w:spacing w:line="240" w:lineRule="auto"/>
              <w:rPr>
                <w:rFonts w:ascii="Arial" w:eastAsia="Calibri" w:hAnsi="Arial" w:cs="Arial"/>
                <w:lang w:eastAsia="en-AU"/>
              </w:rPr>
            </w:pPr>
            <w:r w:rsidRPr="008C09C9">
              <w:rPr>
                <w:rFonts w:ascii="Arial" w:eastAsia="Calibri" w:hAnsi="Arial" w:cs="Arial"/>
                <w:lang w:eastAsia="en-AU"/>
              </w:rPr>
              <w:t>52</w:t>
            </w:r>
            <w:r w:rsidR="005102EC" w:rsidRPr="008C09C9">
              <w:rPr>
                <w:rFonts w:ascii="Arial" w:eastAsia="Calibri" w:hAnsi="Arial" w:cs="Arial"/>
                <w:lang w:eastAsia="en-AU"/>
              </w:rPr>
              <w:t>,</w:t>
            </w:r>
            <w:r w:rsidRPr="008C09C9">
              <w:rPr>
                <w:rFonts w:ascii="Arial" w:eastAsia="Calibri" w:hAnsi="Arial" w:cs="Arial"/>
                <w:lang w:eastAsia="en-AU"/>
              </w:rPr>
              <w:t>585</w:t>
            </w:r>
          </w:p>
        </w:tc>
        <w:tc>
          <w:tcPr>
            <w:tcW w:w="2625" w:type="dxa"/>
            <w:shd w:val="clear" w:color="auto" w:fill="auto"/>
            <w:noWrap/>
            <w:tcMar>
              <w:top w:w="0" w:type="dxa"/>
              <w:left w:w="108" w:type="dxa"/>
              <w:bottom w:w="0" w:type="dxa"/>
              <w:right w:w="108" w:type="dxa"/>
            </w:tcMar>
            <w:vAlign w:val="bottom"/>
            <w:hideMark/>
          </w:tcPr>
          <w:p w:rsidR="00780E6C" w:rsidRPr="008C09C9" w:rsidRDefault="00780E6C" w:rsidP="00E619A9">
            <w:pPr>
              <w:spacing w:line="240" w:lineRule="auto"/>
              <w:rPr>
                <w:rFonts w:ascii="Arial" w:eastAsia="Calibri" w:hAnsi="Arial" w:cs="Arial"/>
                <w:lang w:eastAsia="en-AU"/>
              </w:rPr>
            </w:pPr>
            <w:r w:rsidRPr="008C09C9">
              <w:rPr>
                <w:rFonts w:ascii="Arial" w:eastAsia="Calibri" w:hAnsi="Arial" w:cs="Arial"/>
                <w:lang w:eastAsia="en-AU"/>
              </w:rPr>
              <w:t>4.12%</w:t>
            </w:r>
          </w:p>
        </w:tc>
      </w:tr>
      <w:tr w:rsidR="005102EC" w:rsidRPr="008C09C9" w:rsidTr="001D11E8">
        <w:trPr>
          <w:trHeight w:val="20"/>
        </w:trPr>
        <w:tc>
          <w:tcPr>
            <w:tcW w:w="1683" w:type="dxa"/>
            <w:shd w:val="clear" w:color="auto" w:fill="auto"/>
            <w:noWrap/>
            <w:tcMar>
              <w:top w:w="0" w:type="dxa"/>
              <w:left w:w="108" w:type="dxa"/>
              <w:bottom w:w="0" w:type="dxa"/>
              <w:right w:w="108" w:type="dxa"/>
            </w:tcMar>
            <w:vAlign w:val="bottom"/>
            <w:hideMark/>
          </w:tcPr>
          <w:p w:rsidR="00780E6C" w:rsidRPr="008C09C9" w:rsidRDefault="00780E6C" w:rsidP="00E619A9">
            <w:pPr>
              <w:spacing w:line="240" w:lineRule="auto"/>
              <w:rPr>
                <w:rFonts w:ascii="Arial" w:eastAsia="Calibri" w:hAnsi="Arial" w:cs="Arial"/>
                <w:lang w:eastAsia="en-AU"/>
              </w:rPr>
            </w:pPr>
            <w:r w:rsidRPr="008C09C9">
              <w:rPr>
                <w:rFonts w:ascii="Arial" w:eastAsia="Calibri" w:hAnsi="Arial" w:cs="Arial"/>
                <w:lang w:eastAsia="en-AU"/>
              </w:rPr>
              <w:t>TAFE</w:t>
            </w:r>
          </w:p>
        </w:tc>
        <w:tc>
          <w:tcPr>
            <w:tcW w:w="2551" w:type="dxa"/>
            <w:shd w:val="clear" w:color="auto" w:fill="auto"/>
            <w:noWrap/>
            <w:tcMar>
              <w:top w:w="0" w:type="dxa"/>
              <w:left w:w="108" w:type="dxa"/>
              <w:bottom w:w="0" w:type="dxa"/>
              <w:right w:w="108" w:type="dxa"/>
            </w:tcMar>
            <w:vAlign w:val="bottom"/>
            <w:hideMark/>
          </w:tcPr>
          <w:p w:rsidR="00780E6C" w:rsidRPr="008C09C9" w:rsidRDefault="00780E6C" w:rsidP="00E619A9">
            <w:pPr>
              <w:spacing w:line="240" w:lineRule="auto"/>
              <w:rPr>
                <w:rFonts w:ascii="Arial" w:eastAsia="Calibri" w:hAnsi="Arial" w:cs="Arial"/>
                <w:lang w:eastAsia="en-AU"/>
              </w:rPr>
            </w:pPr>
            <w:r w:rsidRPr="008C09C9">
              <w:rPr>
                <w:rFonts w:ascii="Arial" w:eastAsia="Calibri" w:hAnsi="Arial" w:cs="Arial"/>
                <w:lang w:eastAsia="en-AU"/>
              </w:rPr>
              <w:t>4118</w:t>
            </w:r>
          </w:p>
        </w:tc>
        <w:tc>
          <w:tcPr>
            <w:tcW w:w="1985" w:type="dxa"/>
            <w:shd w:val="clear" w:color="auto" w:fill="auto"/>
            <w:noWrap/>
            <w:tcMar>
              <w:top w:w="0" w:type="dxa"/>
              <w:left w:w="108" w:type="dxa"/>
              <w:bottom w:w="0" w:type="dxa"/>
              <w:right w:w="108" w:type="dxa"/>
            </w:tcMar>
            <w:vAlign w:val="bottom"/>
            <w:hideMark/>
          </w:tcPr>
          <w:p w:rsidR="00780E6C" w:rsidRPr="008C09C9" w:rsidRDefault="00780E6C" w:rsidP="00E619A9">
            <w:pPr>
              <w:spacing w:line="240" w:lineRule="auto"/>
              <w:rPr>
                <w:rFonts w:ascii="Arial" w:eastAsia="Calibri" w:hAnsi="Arial" w:cs="Arial"/>
                <w:lang w:eastAsia="en-AU"/>
              </w:rPr>
            </w:pPr>
            <w:r w:rsidRPr="008C09C9">
              <w:rPr>
                <w:rFonts w:ascii="Arial" w:eastAsia="Calibri" w:hAnsi="Arial" w:cs="Arial"/>
                <w:lang w:eastAsia="en-AU"/>
              </w:rPr>
              <w:t>87</w:t>
            </w:r>
            <w:r w:rsidR="005102EC" w:rsidRPr="008C09C9">
              <w:rPr>
                <w:rFonts w:ascii="Arial" w:eastAsia="Calibri" w:hAnsi="Arial" w:cs="Arial"/>
                <w:lang w:eastAsia="en-AU"/>
              </w:rPr>
              <w:t>,</w:t>
            </w:r>
            <w:r w:rsidRPr="008C09C9">
              <w:rPr>
                <w:rFonts w:ascii="Arial" w:eastAsia="Calibri" w:hAnsi="Arial" w:cs="Arial"/>
                <w:lang w:eastAsia="en-AU"/>
              </w:rPr>
              <w:t>335</w:t>
            </w:r>
          </w:p>
        </w:tc>
        <w:tc>
          <w:tcPr>
            <w:tcW w:w="2625" w:type="dxa"/>
            <w:shd w:val="clear" w:color="auto" w:fill="auto"/>
            <w:noWrap/>
            <w:tcMar>
              <w:top w:w="0" w:type="dxa"/>
              <w:left w:w="108" w:type="dxa"/>
              <w:bottom w:w="0" w:type="dxa"/>
              <w:right w:w="108" w:type="dxa"/>
            </w:tcMar>
            <w:vAlign w:val="bottom"/>
            <w:hideMark/>
          </w:tcPr>
          <w:p w:rsidR="00780E6C" w:rsidRPr="008C09C9" w:rsidRDefault="00780E6C" w:rsidP="00E619A9">
            <w:pPr>
              <w:spacing w:line="240" w:lineRule="auto"/>
              <w:rPr>
                <w:rFonts w:ascii="Arial" w:eastAsia="Calibri" w:hAnsi="Arial" w:cs="Arial"/>
                <w:lang w:eastAsia="en-AU"/>
              </w:rPr>
            </w:pPr>
            <w:r w:rsidRPr="008C09C9">
              <w:rPr>
                <w:rFonts w:ascii="Arial" w:eastAsia="Calibri" w:hAnsi="Arial" w:cs="Arial"/>
                <w:lang w:eastAsia="en-AU"/>
              </w:rPr>
              <w:t>4.72%</w:t>
            </w:r>
          </w:p>
        </w:tc>
      </w:tr>
      <w:tr w:rsidR="005102EC" w:rsidRPr="008C09C9" w:rsidTr="001D11E8">
        <w:trPr>
          <w:trHeight w:val="20"/>
        </w:trPr>
        <w:tc>
          <w:tcPr>
            <w:tcW w:w="1683" w:type="dxa"/>
            <w:shd w:val="clear" w:color="auto" w:fill="auto"/>
            <w:noWrap/>
            <w:tcMar>
              <w:top w:w="0" w:type="dxa"/>
              <w:left w:w="108" w:type="dxa"/>
              <w:bottom w:w="0" w:type="dxa"/>
              <w:right w:w="108" w:type="dxa"/>
            </w:tcMar>
            <w:vAlign w:val="bottom"/>
            <w:hideMark/>
          </w:tcPr>
          <w:p w:rsidR="00780E6C" w:rsidRPr="008C09C9" w:rsidRDefault="00780E6C" w:rsidP="00E619A9">
            <w:pPr>
              <w:spacing w:line="240" w:lineRule="auto"/>
              <w:rPr>
                <w:rFonts w:ascii="Arial" w:eastAsia="Times New Roman" w:hAnsi="Arial" w:cs="Arial"/>
                <w:lang w:eastAsia="en-AU"/>
              </w:rPr>
            </w:pPr>
          </w:p>
        </w:tc>
        <w:tc>
          <w:tcPr>
            <w:tcW w:w="2551" w:type="dxa"/>
            <w:shd w:val="clear" w:color="auto" w:fill="auto"/>
            <w:noWrap/>
            <w:tcMar>
              <w:top w:w="0" w:type="dxa"/>
              <w:left w:w="108" w:type="dxa"/>
              <w:bottom w:w="0" w:type="dxa"/>
              <w:right w:w="108" w:type="dxa"/>
            </w:tcMar>
            <w:vAlign w:val="bottom"/>
            <w:hideMark/>
          </w:tcPr>
          <w:p w:rsidR="00780E6C" w:rsidRPr="008C09C9" w:rsidRDefault="00780E6C" w:rsidP="00E619A9">
            <w:pPr>
              <w:spacing w:line="240" w:lineRule="auto"/>
              <w:rPr>
                <w:rFonts w:ascii="Arial" w:eastAsia="Calibri" w:hAnsi="Arial" w:cs="Arial"/>
                <w:lang w:eastAsia="en-AU"/>
              </w:rPr>
            </w:pPr>
            <w:r w:rsidRPr="008C09C9">
              <w:rPr>
                <w:rFonts w:ascii="Arial" w:eastAsia="Calibri" w:hAnsi="Arial" w:cs="Arial"/>
                <w:lang w:eastAsia="en-AU"/>
              </w:rPr>
              <w:t>6285</w:t>
            </w:r>
          </w:p>
        </w:tc>
        <w:tc>
          <w:tcPr>
            <w:tcW w:w="1985" w:type="dxa"/>
            <w:shd w:val="clear" w:color="auto" w:fill="auto"/>
            <w:noWrap/>
            <w:tcMar>
              <w:top w:w="0" w:type="dxa"/>
              <w:left w:w="108" w:type="dxa"/>
              <w:bottom w:w="0" w:type="dxa"/>
              <w:right w:w="108" w:type="dxa"/>
            </w:tcMar>
            <w:vAlign w:val="bottom"/>
            <w:hideMark/>
          </w:tcPr>
          <w:p w:rsidR="00780E6C" w:rsidRPr="008C09C9" w:rsidRDefault="00780E6C" w:rsidP="00E619A9">
            <w:pPr>
              <w:spacing w:line="240" w:lineRule="auto"/>
              <w:rPr>
                <w:rFonts w:ascii="Arial" w:eastAsia="Calibri" w:hAnsi="Arial" w:cs="Arial"/>
                <w:lang w:eastAsia="en-AU"/>
              </w:rPr>
            </w:pPr>
            <w:r w:rsidRPr="008C09C9">
              <w:rPr>
                <w:rFonts w:ascii="Arial" w:eastAsia="Calibri" w:hAnsi="Arial" w:cs="Arial"/>
                <w:lang w:eastAsia="en-AU"/>
              </w:rPr>
              <w:t>139</w:t>
            </w:r>
            <w:r w:rsidR="005102EC" w:rsidRPr="008C09C9">
              <w:rPr>
                <w:rFonts w:ascii="Arial" w:eastAsia="Calibri" w:hAnsi="Arial" w:cs="Arial"/>
                <w:lang w:eastAsia="en-AU"/>
              </w:rPr>
              <w:t>,</w:t>
            </w:r>
            <w:r w:rsidRPr="008C09C9">
              <w:rPr>
                <w:rFonts w:ascii="Arial" w:eastAsia="Calibri" w:hAnsi="Arial" w:cs="Arial"/>
                <w:lang w:eastAsia="en-AU"/>
              </w:rPr>
              <w:t>920</w:t>
            </w:r>
          </w:p>
        </w:tc>
        <w:tc>
          <w:tcPr>
            <w:tcW w:w="2625" w:type="dxa"/>
            <w:shd w:val="clear" w:color="auto" w:fill="auto"/>
            <w:noWrap/>
            <w:tcMar>
              <w:top w:w="0" w:type="dxa"/>
              <w:left w:w="108" w:type="dxa"/>
              <w:bottom w:w="0" w:type="dxa"/>
              <w:right w:w="108" w:type="dxa"/>
            </w:tcMar>
            <w:vAlign w:val="bottom"/>
            <w:hideMark/>
          </w:tcPr>
          <w:p w:rsidR="00780E6C" w:rsidRPr="008C09C9" w:rsidRDefault="00780E6C" w:rsidP="00E619A9">
            <w:pPr>
              <w:spacing w:line="240" w:lineRule="auto"/>
              <w:rPr>
                <w:rFonts w:ascii="Arial" w:eastAsia="Calibri" w:hAnsi="Arial" w:cs="Arial"/>
                <w:lang w:eastAsia="en-AU"/>
              </w:rPr>
            </w:pPr>
            <w:r w:rsidRPr="008C09C9">
              <w:rPr>
                <w:rFonts w:ascii="Arial" w:eastAsia="Calibri" w:hAnsi="Arial" w:cs="Arial"/>
                <w:lang w:eastAsia="en-AU"/>
              </w:rPr>
              <w:t>4.49%</w:t>
            </w:r>
          </w:p>
        </w:tc>
      </w:tr>
    </w:tbl>
    <w:p w:rsidR="00780E6C" w:rsidRPr="002E196A" w:rsidRDefault="008C09C9" w:rsidP="00E619A9">
      <w:pPr>
        <w:spacing w:line="240" w:lineRule="auto"/>
        <w:rPr>
          <w:rFonts w:ascii="Arial" w:eastAsia="Calibri" w:hAnsi="Arial" w:cs="Arial"/>
          <w:i/>
          <w:sz w:val="20"/>
          <w:szCs w:val="20"/>
        </w:rPr>
      </w:pPr>
      <w:r w:rsidRPr="002E196A">
        <w:rPr>
          <w:rFonts w:ascii="Arial" w:eastAsia="Calibri" w:hAnsi="Arial" w:cs="Arial"/>
          <w:i/>
          <w:sz w:val="20"/>
          <w:szCs w:val="20"/>
        </w:rPr>
        <w:t xml:space="preserve">Source: </w:t>
      </w:r>
      <w:r w:rsidR="00AA5F3C" w:rsidRPr="002E196A">
        <w:rPr>
          <w:rFonts w:ascii="Arial" w:eastAsia="Calibri" w:hAnsi="Arial" w:cs="Arial"/>
          <w:i/>
          <w:sz w:val="20"/>
          <w:szCs w:val="20"/>
        </w:rPr>
        <w:t>SA Department for Further Education, Em</w:t>
      </w:r>
      <w:r w:rsidRPr="002E196A">
        <w:rPr>
          <w:rFonts w:ascii="Arial" w:eastAsia="Calibri" w:hAnsi="Arial" w:cs="Arial"/>
          <w:i/>
          <w:sz w:val="20"/>
          <w:szCs w:val="20"/>
        </w:rPr>
        <w:t>ployment, Science and Technology, 2013</w:t>
      </w:r>
    </w:p>
    <w:p w:rsidR="008C09C9" w:rsidRDefault="008C09C9" w:rsidP="00E619A9">
      <w:pPr>
        <w:spacing w:line="240" w:lineRule="auto"/>
        <w:rPr>
          <w:rFonts w:ascii="Arial" w:eastAsia="Calibri" w:hAnsi="Arial" w:cs="Arial"/>
          <w:i/>
        </w:rPr>
      </w:pPr>
    </w:p>
    <w:p w:rsidR="00DA6260" w:rsidRDefault="00DA6260" w:rsidP="00E619A9">
      <w:pPr>
        <w:spacing w:after="200"/>
        <w:rPr>
          <w:rFonts w:ascii="Arial" w:eastAsia="Times New Roman" w:hAnsi="Arial" w:cs="Arial"/>
          <w:lang w:eastAsia="en-AU"/>
        </w:rPr>
      </w:pPr>
      <w:r w:rsidRPr="00AA5F3C">
        <w:rPr>
          <w:rFonts w:ascii="Arial" w:eastAsia="Times New Roman" w:hAnsi="Arial" w:cs="Arial"/>
          <w:b/>
          <w:lang w:eastAsia="en-AU"/>
        </w:rPr>
        <w:t>Table 1</w:t>
      </w:r>
      <w:r>
        <w:rPr>
          <w:rFonts w:ascii="Arial" w:eastAsia="Times New Roman" w:hAnsi="Arial" w:cs="Arial"/>
          <w:b/>
          <w:lang w:eastAsia="en-AU"/>
        </w:rPr>
        <w:t>2</w:t>
      </w:r>
      <w:r w:rsidRPr="00AA5F3C">
        <w:rPr>
          <w:rFonts w:ascii="Arial" w:eastAsia="Times New Roman" w:hAnsi="Arial" w:cs="Arial"/>
          <w:lang w:eastAsia="en-AU"/>
        </w:rPr>
        <w:t xml:space="preserve">: </w:t>
      </w:r>
      <w:r w:rsidR="000A09D1">
        <w:rPr>
          <w:rFonts w:ascii="Arial" w:eastAsia="Times New Roman" w:hAnsi="Arial" w:cs="Arial"/>
          <w:lang w:eastAsia="en-AU"/>
        </w:rPr>
        <w:t xml:space="preserve">Levels of </w:t>
      </w:r>
      <w:proofErr w:type="spellStart"/>
      <w:r w:rsidR="000A09D1">
        <w:rPr>
          <w:rFonts w:ascii="Arial" w:eastAsia="Times New Roman" w:hAnsi="Arial" w:cs="Arial"/>
          <w:lang w:eastAsia="en-AU"/>
        </w:rPr>
        <w:t>AQF</w:t>
      </w:r>
      <w:proofErr w:type="spellEnd"/>
      <w:r w:rsidR="000A09D1">
        <w:rPr>
          <w:rFonts w:ascii="Arial" w:eastAsia="Times New Roman" w:hAnsi="Arial" w:cs="Arial"/>
          <w:lang w:eastAsia="en-AU"/>
        </w:rPr>
        <w:t xml:space="preserve"> qualifications undertaken by indigenous 15-19 year olds</w:t>
      </w:r>
    </w:p>
    <w:tbl>
      <w:tblPr>
        <w:tblW w:w="977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Table showing AQF qualifications undertaken by Indigenous 15- 19 year olds."/>
      </w:tblPr>
      <w:tblGrid>
        <w:gridCol w:w="1257"/>
        <w:gridCol w:w="993"/>
        <w:gridCol w:w="1275"/>
        <w:gridCol w:w="1418"/>
        <w:gridCol w:w="1417"/>
        <w:gridCol w:w="709"/>
        <w:gridCol w:w="709"/>
        <w:gridCol w:w="850"/>
        <w:gridCol w:w="1150"/>
      </w:tblGrid>
      <w:tr w:rsidR="00AA5F3C" w:rsidRPr="008C09C9" w:rsidTr="007B0CA1">
        <w:trPr>
          <w:cantSplit/>
          <w:trHeight w:val="2011"/>
        </w:trPr>
        <w:tc>
          <w:tcPr>
            <w:tcW w:w="1257" w:type="dxa"/>
            <w:shd w:val="clear" w:color="auto" w:fill="auto"/>
            <w:tcMar>
              <w:top w:w="0" w:type="dxa"/>
              <w:left w:w="108" w:type="dxa"/>
              <w:bottom w:w="0" w:type="dxa"/>
              <w:right w:w="108" w:type="dxa"/>
            </w:tcMar>
            <w:textDirection w:val="btLr"/>
            <w:vAlign w:val="center"/>
            <w:hideMark/>
          </w:tcPr>
          <w:p w:rsidR="00780E6C" w:rsidRPr="008C09C9" w:rsidRDefault="00780E6C" w:rsidP="00E619A9">
            <w:pPr>
              <w:spacing w:line="240" w:lineRule="auto"/>
              <w:ind w:left="113" w:right="113"/>
              <w:rPr>
                <w:rFonts w:ascii="Arial" w:eastAsia="Calibri" w:hAnsi="Arial" w:cs="Arial"/>
                <w:sz w:val="20"/>
                <w:szCs w:val="20"/>
                <w:lang w:eastAsia="en-AU"/>
              </w:rPr>
            </w:pPr>
            <w:r w:rsidRPr="008C09C9">
              <w:rPr>
                <w:rFonts w:ascii="Arial" w:eastAsia="Calibri" w:hAnsi="Arial" w:cs="Arial"/>
                <w:sz w:val="20"/>
                <w:szCs w:val="20"/>
                <w:lang w:eastAsia="en-AU"/>
              </w:rPr>
              <w:t>Collection</w:t>
            </w:r>
          </w:p>
        </w:tc>
        <w:tc>
          <w:tcPr>
            <w:tcW w:w="993" w:type="dxa"/>
            <w:shd w:val="clear" w:color="auto" w:fill="auto"/>
            <w:tcMar>
              <w:top w:w="0" w:type="dxa"/>
              <w:left w:w="108" w:type="dxa"/>
              <w:bottom w:w="0" w:type="dxa"/>
              <w:right w:w="108" w:type="dxa"/>
            </w:tcMar>
            <w:textDirection w:val="btLr"/>
            <w:vAlign w:val="center"/>
            <w:hideMark/>
          </w:tcPr>
          <w:p w:rsidR="00780E6C" w:rsidRPr="008C09C9" w:rsidRDefault="00780E6C" w:rsidP="00E619A9">
            <w:pPr>
              <w:spacing w:line="240" w:lineRule="auto"/>
              <w:ind w:left="113" w:right="113"/>
              <w:rPr>
                <w:rFonts w:ascii="Arial" w:eastAsia="Calibri" w:hAnsi="Arial" w:cs="Arial"/>
                <w:sz w:val="20"/>
                <w:szCs w:val="20"/>
                <w:lang w:eastAsia="en-AU"/>
              </w:rPr>
            </w:pPr>
            <w:r w:rsidRPr="008C09C9">
              <w:rPr>
                <w:rFonts w:ascii="Arial" w:eastAsia="Calibri" w:hAnsi="Arial" w:cs="Arial"/>
                <w:sz w:val="20"/>
                <w:szCs w:val="20"/>
                <w:lang w:eastAsia="en-AU"/>
              </w:rPr>
              <w:t>Students 15-19</w:t>
            </w:r>
          </w:p>
        </w:tc>
        <w:tc>
          <w:tcPr>
            <w:tcW w:w="1275" w:type="dxa"/>
            <w:shd w:val="clear" w:color="auto" w:fill="auto"/>
            <w:tcMar>
              <w:top w:w="0" w:type="dxa"/>
              <w:left w:w="108" w:type="dxa"/>
              <w:bottom w:w="0" w:type="dxa"/>
              <w:right w:w="108" w:type="dxa"/>
            </w:tcMar>
            <w:textDirection w:val="btLr"/>
            <w:vAlign w:val="center"/>
            <w:hideMark/>
          </w:tcPr>
          <w:p w:rsidR="00780E6C" w:rsidRPr="008C09C9" w:rsidRDefault="00780E6C" w:rsidP="00E619A9">
            <w:pPr>
              <w:spacing w:line="240" w:lineRule="auto"/>
              <w:rPr>
                <w:rFonts w:ascii="Arial" w:eastAsia="Calibri" w:hAnsi="Arial" w:cs="Arial"/>
                <w:sz w:val="20"/>
                <w:szCs w:val="20"/>
              </w:rPr>
            </w:pPr>
            <w:r w:rsidRPr="008C09C9">
              <w:rPr>
                <w:rFonts w:ascii="Arial" w:eastAsia="Calibri" w:hAnsi="Arial" w:cs="Arial"/>
                <w:sz w:val="20"/>
                <w:szCs w:val="20"/>
                <w:lang w:eastAsia="en-AU"/>
              </w:rPr>
              <w:t>All Aboriginal</w:t>
            </w:r>
            <w:r w:rsidRPr="008C09C9">
              <w:rPr>
                <w:rFonts w:ascii="Arial" w:eastAsia="Calibri" w:hAnsi="Arial" w:cs="Arial"/>
                <w:sz w:val="20"/>
                <w:szCs w:val="20"/>
              </w:rPr>
              <w:t xml:space="preserve"> </w:t>
            </w:r>
            <w:r w:rsidRPr="008C09C9">
              <w:rPr>
                <w:rFonts w:ascii="Arial" w:eastAsia="Calibri" w:hAnsi="Arial" w:cs="Arial"/>
                <w:sz w:val="20"/>
                <w:szCs w:val="20"/>
                <w:lang w:eastAsia="en-AU"/>
              </w:rPr>
              <w:t>Students in that age group</w:t>
            </w:r>
          </w:p>
        </w:tc>
        <w:tc>
          <w:tcPr>
            <w:tcW w:w="1418" w:type="dxa"/>
            <w:shd w:val="clear" w:color="auto" w:fill="auto"/>
            <w:tcMar>
              <w:top w:w="0" w:type="dxa"/>
              <w:left w:w="108" w:type="dxa"/>
              <w:bottom w:w="0" w:type="dxa"/>
              <w:right w:w="108" w:type="dxa"/>
            </w:tcMar>
            <w:textDirection w:val="btLr"/>
            <w:vAlign w:val="center"/>
            <w:hideMark/>
          </w:tcPr>
          <w:p w:rsidR="00780E6C" w:rsidRPr="008C09C9" w:rsidRDefault="00780E6C" w:rsidP="00E619A9">
            <w:pPr>
              <w:spacing w:line="240" w:lineRule="auto"/>
              <w:rPr>
                <w:rFonts w:ascii="Arial" w:eastAsia="Calibri" w:hAnsi="Arial" w:cs="Arial"/>
                <w:sz w:val="20"/>
                <w:szCs w:val="20"/>
                <w:lang w:eastAsia="en-AU"/>
              </w:rPr>
            </w:pPr>
            <w:r w:rsidRPr="008C09C9">
              <w:rPr>
                <w:rFonts w:ascii="Arial" w:eastAsia="Calibri" w:hAnsi="Arial" w:cs="Arial"/>
                <w:sz w:val="20"/>
                <w:szCs w:val="20"/>
                <w:lang w:eastAsia="en-AU"/>
              </w:rPr>
              <w:t>Aboriginal Students , not At School</w:t>
            </w:r>
          </w:p>
        </w:tc>
        <w:tc>
          <w:tcPr>
            <w:tcW w:w="1417" w:type="dxa"/>
            <w:shd w:val="clear" w:color="auto" w:fill="auto"/>
            <w:tcMar>
              <w:top w:w="0" w:type="dxa"/>
              <w:left w:w="108" w:type="dxa"/>
              <w:bottom w:w="0" w:type="dxa"/>
              <w:right w:w="108" w:type="dxa"/>
            </w:tcMar>
            <w:textDirection w:val="btLr"/>
            <w:vAlign w:val="center"/>
            <w:hideMark/>
          </w:tcPr>
          <w:p w:rsidR="00780E6C" w:rsidRPr="008C09C9" w:rsidRDefault="00780E6C" w:rsidP="00E619A9">
            <w:pPr>
              <w:spacing w:line="240" w:lineRule="auto"/>
              <w:rPr>
                <w:rFonts w:ascii="Arial" w:eastAsia="Calibri" w:hAnsi="Arial" w:cs="Arial"/>
                <w:sz w:val="20"/>
                <w:szCs w:val="20"/>
                <w:lang w:eastAsia="en-AU"/>
              </w:rPr>
            </w:pPr>
            <w:r w:rsidRPr="008C09C9">
              <w:rPr>
                <w:rFonts w:ascii="Arial" w:eastAsia="Calibri" w:hAnsi="Arial" w:cs="Arial"/>
                <w:sz w:val="20"/>
                <w:szCs w:val="20"/>
                <w:lang w:eastAsia="en-AU"/>
              </w:rPr>
              <w:t>Aboriginal</w:t>
            </w:r>
            <w:r w:rsidR="006A6A39" w:rsidRPr="008C09C9">
              <w:rPr>
                <w:rFonts w:ascii="Arial" w:eastAsia="Calibri" w:hAnsi="Arial" w:cs="Arial"/>
                <w:sz w:val="20"/>
                <w:szCs w:val="20"/>
                <w:lang w:eastAsia="en-AU"/>
              </w:rPr>
              <w:t xml:space="preserve"> Students, not at school and</w:t>
            </w:r>
            <w:r w:rsidRPr="008C09C9">
              <w:rPr>
                <w:rFonts w:ascii="Arial" w:eastAsia="Calibri" w:hAnsi="Arial" w:cs="Arial"/>
                <w:sz w:val="20"/>
                <w:szCs w:val="20"/>
                <w:lang w:eastAsia="en-AU"/>
              </w:rPr>
              <w:t xml:space="preserve"> no Year 12 cert</w:t>
            </w:r>
          </w:p>
        </w:tc>
        <w:tc>
          <w:tcPr>
            <w:tcW w:w="709" w:type="dxa"/>
            <w:shd w:val="clear" w:color="auto" w:fill="auto"/>
            <w:tcMar>
              <w:top w:w="0" w:type="dxa"/>
              <w:left w:w="108" w:type="dxa"/>
              <w:bottom w:w="0" w:type="dxa"/>
              <w:right w:w="108" w:type="dxa"/>
            </w:tcMar>
            <w:textDirection w:val="btLr"/>
            <w:vAlign w:val="center"/>
            <w:hideMark/>
          </w:tcPr>
          <w:p w:rsidR="00780E6C" w:rsidRPr="008C09C9" w:rsidRDefault="00780E6C" w:rsidP="00E619A9">
            <w:pPr>
              <w:spacing w:line="240" w:lineRule="auto"/>
              <w:ind w:left="113" w:right="113"/>
              <w:rPr>
                <w:rFonts w:ascii="Arial" w:eastAsia="Calibri" w:hAnsi="Arial" w:cs="Arial"/>
                <w:sz w:val="20"/>
                <w:szCs w:val="20"/>
                <w:lang w:eastAsia="en-AU"/>
              </w:rPr>
            </w:pPr>
            <w:r w:rsidRPr="008C09C9">
              <w:rPr>
                <w:rFonts w:ascii="Arial" w:eastAsia="Calibri" w:hAnsi="Arial" w:cs="Arial"/>
                <w:sz w:val="20"/>
                <w:szCs w:val="20"/>
                <w:lang w:eastAsia="en-AU"/>
              </w:rPr>
              <w:t>Certificates I and II</w:t>
            </w:r>
          </w:p>
        </w:tc>
        <w:tc>
          <w:tcPr>
            <w:tcW w:w="709" w:type="dxa"/>
            <w:shd w:val="clear" w:color="auto" w:fill="auto"/>
            <w:tcMar>
              <w:top w:w="0" w:type="dxa"/>
              <w:left w:w="108" w:type="dxa"/>
              <w:bottom w:w="0" w:type="dxa"/>
              <w:right w:w="108" w:type="dxa"/>
            </w:tcMar>
            <w:textDirection w:val="btLr"/>
            <w:vAlign w:val="center"/>
            <w:hideMark/>
          </w:tcPr>
          <w:p w:rsidR="00780E6C" w:rsidRPr="008C09C9" w:rsidRDefault="00780E6C" w:rsidP="00E619A9">
            <w:pPr>
              <w:spacing w:line="240" w:lineRule="auto"/>
              <w:ind w:left="113" w:right="113"/>
              <w:rPr>
                <w:rFonts w:ascii="Arial" w:eastAsia="Calibri" w:hAnsi="Arial" w:cs="Arial"/>
                <w:sz w:val="20"/>
                <w:szCs w:val="20"/>
                <w:lang w:eastAsia="en-AU"/>
              </w:rPr>
            </w:pPr>
            <w:r w:rsidRPr="008C09C9">
              <w:rPr>
                <w:rFonts w:ascii="Arial" w:eastAsia="Calibri" w:hAnsi="Arial" w:cs="Arial"/>
                <w:sz w:val="20"/>
                <w:szCs w:val="20"/>
                <w:lang w:eastAsia="en-AU"/>
              </w:rPr>
              <w:t>Certificates III and IV</w:t>
            </w:r>
          </w:p>
        </w:tc>
        <w:tc>
          <w:tcPr>
            <w:tcW w:w="850" w:type="dxa"/>
            <w:shd w:val="clear" w:color="auto" w:fill="auto"/>
            <w:tcMar>
              <w:top w:w="0" w:type="dxa"/>
              <w:left w:w="108" w:type="dxa"/>
              <w:bottom w:w="0" w:type="dxa"/>
              <w:right w:w="108" w:type="dxa"/>
            </w:tcMar>
            <w:textDirection w:val="btLr"/>
            <w:vAlign w:val="center"/>
            <w:hideMark/>
          </w:tcPr>
          <w:p w:rsidR="00780E6C" w:rsidRPr="008C09C9" w:rsidRDefault="00780E6C" w:rsidP="00E619A9">
            <w:pPr>
              <w:spacing w:line="240" w:lineRule="auto"/>
              <w:ind w:left="113" w:right="113"/>
              <w:rPr>
                <w:rFonts w:ascii="Arial" w:eastAsia="Calibri" w:hAnsi="Arial" w:cs="Arial"/>
                <w:sz w:val="20"/>
                <w:szCs w:val="20"/>
                <w:lang w:eastAsia="en-AU"/>
              </w:rPr>
            </w:pPr>
            <w:r w:rsidRPr="008C09C9">
              <w:rPr>
                <w:rFonts w:ascii="Arial" w:eastAsia="Calibri" w:hAnsi="Arial" w:cs="Arial"/>
                <w:sz w:val="20"/>
                <w:szCs w:val="20"/>
                <w:lang w:eastAsia="en-AU"/>
              </w:rPr>
              <w:t>Diploma and Above</w:t>
            </w:r>
          </w:p>
        </w:tc>
        <w:tc>
          <w:tcPr>
            <w:tcW w:w="1150" w:type="dxa"/>
            <w:shd w:val="clear" w:color="auto" w:fill="auto"/>
            <w:tcMar>
              <w:top w:w="0" w:type="dxa"/>
              <w:left w:w="108" w:type="dxa"/>
              <w:bottom w:w="0" w:type="dxa"/>
              <w:right w:w="108" w:type="dxa"/>
            </w:tcMar>
            <w:textDirection w:val="btLr"/>
            <w:vAlign w:val="center"/>
            <w:hideMark/>
          </w:tcPr>
          <w:p w:rsidR="00780E6C" w:rsidRPr="008C09C9" w:rsidRDefault="00780E6C" w:rsidP="00E619A9">
            <w:pPr>
              <w:spacing w:line="240" w:lineRule="auto"/>
              <w:ind w:left="113" w:right="113"/>
              <w:rPr>
                <w:rFonts w:ascii="Arial" w:eastAsia="Calibri" w:hAnsi="Arial" w:cs="Arial"/>
                <w:sz w:val="20"/>
                <w:szCs w:val="20"/>
                <w:lang w:eastAsia="en-AU"/>
              </w:rPr>
            </w:pPr>
            <w:r w:rsidRPr="008C09C9">
              <w:rPr>
                <w:rFonts w:ascii="Arial" w:eastAsia="Calibri" w:hAnsi="Arial" w:cs="Arial"/>
                <w:sz w:val="20"/>
                <w:szCs w:val="20"/>
                <w:lang w:eastAsia="en-AU"/>
              </w:rPr>
              <w:t>Total studying Cert I and Higher</w:t>
            </w:r>
          </w:p>
        </w:tc>
      </w:tr>
      <w:tr w:rsidR="00213F56" w:rsidRPr="008C09C9" w:rsidTr="00213F56">
        <w:trPr>
          <w:trHeight w:val="204"/>
        </w:trPr>
        <w:tc>
          <w:tcPr>
            <w:tcW w:w="1257" w:type="dxa"/>
            <w:shd w:val="clear" w:color="auto" w:fill="auto"/>
            <w:noWrap/>
            <w:tcMar>
              <w:top w:w="0" w:type="dxa"/>
              <w:left w:w="108" w:type="dxa"/>
              <w:bottom w:w="0" w:type="dxa"/>
              <w:right w:w="108" w:type="dxa"/>
            </w:tcMar>
            <w:vAlign w:val="bottom"/>
            <w:hideMark/>
          </w:tcPr>
          <w:p w:rsidR="00780E6C" w:rsidRPr="008C09C9" w:rsidRDefault="00780E6C" w:rsidP="00E619A9">
            <w:pPr>
              <w:spacing w:line="240" w:lineRule="auto"/>
              <w:rPr>
                <w:rFonts w:ascii="Arial" w:eastAsia="Calibri" w:hAnsi="Arial" w:cs="Arial"/>
                <w:lang w:eastAsia="en-AU"/>
              </w:rPr>
            </w:pPr>
            <w:r w:rsidRPr="008C09C9">
              <w:rPr>
                <w:rFonts w:ascii="Arial" w:eastAsia="Calibri" w:hAnsi="Arial" w:cs="Arial"/>
                <w:lang w:eastAsia="en-AU"/>
              </w:rPr>
              <w:t>TAFE</w:t>
            </w:r>
          </w:p>
        </w:tc>
        <w:tc>
          <w:tcPr>
            <w:tcW w:w="993"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Calibri" w:hAnsi="Arial" w:cs="Arial"/>
                <w:lang w:eastAsia="en-AU"/>
              </w:rPr>
            </w:pPr>
            <w:r w:rsidRPr="008C09C9">
              <w:rPr>
                <w:rFonts w:ascii="Arial" w:eastAsia="Calibri" w:hAnsi="Arial" w:cs="Arial"/>
                <w:lang w:eastAsia="en-AU"/>
              </w:rPr>
              <w:t>17 442</w:t>
            </w:r>
          </w:p>
        </w:tc>
        <w:tc>
          <w:tcPr>
            <w:tcW w:w="1275"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Calibri" w:hAnsi="Arial" w:cs="Arial"/>
                <w:lang w:eastAsia="en-AU"/>
              </w:rPr>
            </w:pPr>
            <w:r w:rsidRPr="008C09C9">
              <w:rPr>
                <w:rFonts w:ascii="Arial" w:eastAsia="Calibri" w:hAnsi="Arial" w:cs="Arial"/>
                <w:lang w:eastAsia="en-AU"/>
              </w:rPr>
              <w:t>907</w:t>
            </w:r>
          </w:p>
        </w:tc>
        <w:tc>
          <w:tcPr>
            <w:tcW w:w="1418"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Calibri" w:hAnsi="Arial" w:cs="Arial"/>
                <w:lang w:eastAsia="en-AU"/>
              </w:rPr>
            </w:pPr>
            <w:r w:rsidRPr="008C09C9">
              <w:rPr>
                <w:rFonts w:ascii="Arial" w:eastAsia="Calibri" w:hAnsi="Arial" w:cs="Arial"/>
                <w:lang w:eastAsia="en-AU"/>
              </w:rPr>
              <w:t>560</w:t>
            </w:r>
          </w:p>
        </w:tc>
        <w:tc>
          <w:tcPr>
            <w:tcW w:w="1417"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Calibri" w:hAnsi="Arial" w:cs="Arial"/>
                <w:lang w:eastAsia="en-AU"/>
              </w:rPr>
            </w:pPr>
            <w:r w:rsidRPr="008C09C9">
              <w:rPr>
                <w:rFonts w:ascii="Arial" w:eastAsia="Calibri" w:hAnsi="Arial" w:cs="Arial"/>
                <w:lang w:eastAsia="en-AU"/>
              </w:rPr>
              <w:t>492</w:t>
            </w:r>
          </w:p>
        </w:tc>
        <w:tc>
          <w:tcPr>
            <w:tcW w:w="709"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Calibri" w:hAnsi="Arial" w:cs="Arial"/>
                <w:lang w:eastAsia="en-AU"/>
              </w:rPr>
            </w:pPr>
            <w:r w:rsidRPr="008C09C9">
              <w:rPr>
                <w:rFonts w:ascii="Arial" w:eastAsia="Calibri" w:hAnsi="Arial" w:cs="Arial"/>
                <w:lang w:eastAsia="en-AU"/>
              </w:rPr>
              <w:t>396</w:t>
            </w:r>
          </w:p>
        </w:tc>
        <w:tc>
          <w:tcPr>
            <w:tcW w:w="709"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Calibri" w:hAnsi="Arial" w:cs="Arial"/>
                <w:lang w:eastAsia="en-AU"/>
              </w:rPr>
            </w:pPr>
            <w:r w:rsidRPr="008C09C9">
              <w:rPr>
                <w:rFonts w:ascii="Arial" w:eastAsia="Calibri" w:hAnsi="Arial" w:cs="Arial"/>
                <w:lang w:eastAsia="en-AU"/>
              </w:rPr>
              <w:t>92</w:t>
            </w:r>
          </w:p>
        </w:tc>
        <w:tc>
          <w:tcPr>
            <w:tcW w:w="850"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Times New Roman" w:hAnsi="Arial" w:cs="Arial"/>
                <w:lang w:eastAsia="en-AU"/>
              </w:rPr>
            </w:pPr>
          </w:p>
        </w:tc>
        <w:tc>
          <w:tcPr>
            <w:tcW w:w="1150"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Calibri" w:hAnsi="Arial" w:cs="Arial"/>
                <w:lang w:eastAsia="en-AU"/>
              </w:rPr>
            </w:pPr>
            <w:r w:rsidRPr="008C09C9">
              <w:rPr>
                <w:rFonts w:ascii="Arial" w:eastAsia="Calibri" w:hAnsi="Arial" w:cs="Arial"/>
                <w:lang w:eastAsia="en-AU"/>
              </w:rPr>
              <w:t>460</w:t>
            </w:r>
          </w:p>
        </w:tc>
      </w:tr>
      <w:tr w:rsidR="00213F56" w:rsidRPr="008C09C9" w:rsidTr="00213F56">
        <w:trPr>
          <w:trHeight w:val="204"/>
        </w:trPr>
        <w:tc>
          <w:tcPr>
            <w:tcW w:w="1257" w:type="dxa"/>
            <w:shd w:val="clear" w:color="auto" w:fill="auto"/>
            <w:noWrap/>
            <w:tcMar>
              <w:top w:w="0" w:type="dxa"/>
              <w:left w:w="108" w:type="dxa"/>
              <w:bottom w:w="0" w:type="dxa"/>
              <w:right w:w="108" w:type="dxa"/>
            </w:tcMar>
            <w:vAlign w:val="bottom"/>
            <w:hideMark/>
          </w:tcPr>
          <w:p w:rsidR="00780E6C" w:rsidRPr="008C09C9" w:rsidRDefault="00780E6C" w:rsidP="00E619A9">
            <w:pPr>
              <w:spacing w:line="240" w:lineRule="auto"/>
              <w:rPr>
                <w:rFonts w:ascii="Arial" w:eastAsia="Calibri" w:hAnsi="Arial" w:cs="Arial"/>
                <w:lang w:eastAsia="en-AU"/>
              </w:rPr>
            </w:pPr>
            <w:r w:rsidRPr="008C09C9">
              <w:rPr>
                <w:rFonts w:ascii="Arial" w:eastAsia="Calibri" w:hAnsi="Arial" w:cs="Arial"/>
                <w:lang w:eastAsia="en-AU"/>
              </w:rPr>
              <w:t>Non-TAFE</w:t>
            </w:r>
          </w:p>
        </w:tc>
        <w:tc>
          <w:tcPr>
            <w:tcW w:w="993"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Calibri" w:hAnsi="Arial" w:cs="Arial"/>
                <w:lang w:eastAsia="en-AU"/>
              </w:rPr>
            </w:pPr>
            <w:r w:rsidRPr="008C09C9">
              <w:rPr>
                <w:rFonts w:ascii="Arial" w:eastAsia="Calibri" w:hAnsi="Arial" w:cs="Arial"/>
                <w:lang w:eastAsia="en-AU"/>
              </w:rPr>
              <w:t>7 298</w:t>
            </w:r>
          </w:p>
        </w:tc>
        <w:tc>
          <w:tcPr>
            <w:tcW w:w="1275"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Calibri" w:hAnsi="Arial" w:cs="Arial"/>
                <w:lang w:eastAsia="en-AU"/>
              </w:rPr>
            </w:pPr>
            <w:r w:rsidRPr="008C09C9">
              <w:rPr>
                <w:rFonts w:ascii="Arial" w:eastAsia="Calibri" w:hAnsi="Arial" w:cs="Arial"/>
                <w:lang w:eastAsia="en-AU"/>
              </w:rPr>
              <w:t>532</w:t>
            </w:r>
          </w:p>
        </w:tc>
        <w:tc>
          <w:tcPr>
            <w:tcW w:w="1418"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Calibri" w:hAnsi="Arial" w:cs="Arial"/>
                <w:lang w:eastAsia="en-AU"/>
              </w:rPr>
            </w:pPr>
            <w:r w:rsidRPr="008C09C9">
              <w:rPr>
                <w:rFonts w:ascii="Arial" w:eastAsia="Calibri" w:hAnsi="Arial" w:cs="Arial"/>
                <w:lang w:eastAsia="en-AU"/>
              </w:rPr>
              <w:t>303</w:t>
            </w:r>
          </w:p>
        </w:tc>
        <w:tc>
          <w:tcPr>
            <w:tcW w:w="1417"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Calibri" w:hAnsi="Arial" w:cs="Arial"/>
                <w:lang w:eastAsia="en-AU"/>
              </w:rPr>
            </w:pPr>
            <w:r w:rsidRPr="008C09C9">
              <w:rPr>
                <w:rFonts w:ascii="Arial" w:eastAsia="Calibri" w:hAnsi="Arial" w:cs="Arial"/>
                <w:lang w:eastAsia="en-AU"/>
              </w:rPr>
              <w:t>227</w:t>
            </w:r>
          </w:p>
        </w:tc>
        <w:tc>
          <w:tcPr>
            <w:tcW w:w="709"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Calibri" w:hAnsi="Arial" w:cs="Arial"/>
                <w:lang w:eastAsia="en-AU"/>
              </w:rPr>
            </w:pPr>
            <w:r w:rsidRPr="008C09C9">
              <w:rPr>
                <w:rFonts w:ascii="Arial" w:eastAsia="Calibri" w:hAnsi="Arial" w:cs="Arial"/>
                <w:lang w:eastAsia="en-AU"/>
              </w:rPr>
              <w:t>123</w:t>
            </w:r>
          </w:p>
        </w:tc>
        <w:tc>
          <w:tcPr>
            <w:tcW w:w="709"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Calibri" w:hAnsi="Arial" w:cs="Arial"/>
                <w:lang w:eastAsia="en-AU"/>
              </w:rPr>
            </w:pPr>
            <w:r w:rsidRPr="008C09C9">
              <w:rPr>
                <w:rFonts w:ascii="Arial" w:eastAsia="Calibri" w:hAnsi="Arial" w:cs="Arial"/>
                <w:lang w:eastAsia="en-AU"/>
              </w:rPr>
              <w:t>69</w:t>
            </w:r>
          </w:p>
        </w:tc>
        <w:tc>
          <w:tcPr>
            <w:tcW w:w="850"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Calibri" w:hAnsi="Arial" w:cs="Arial"/>
                <w:lang w:eastAsia="en-AU"/>
              </w:rPr>
            </w:pPr>
            <w:r w:rsidRPr="008C09C9">
              <w:rPr>
                <w:rFonts w:ascii="Arial" w:eastAsia="Calibri" w:hAnsi="Arial" w:cs="Arial"/>
                <w:lang w:eastAsia="en-AU"/>
              </w:rPr>
              <w:t>5</w:t>
            </w:r>
          </w:p>
        </w:tc>
        <w:tc>
          <w:tcPr>
            <w:tcW w:w="1150"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Calibri" w:hAnsi="Arial" w:cs="Arial"/>
                <w:lang w:eastAsia="en-AU"/>
              </w:rPr>
            </w:pPr>
            <w:r w:rsidRPr="008C09C9">
              <w:rPr>
                <w:rFonts w:ascii="Arial" w:eastAsia="Calibri" w:hAnsi="Arial" w:cs="Arial"/>
                <w:lang w:eastAsia="en-AU"/>
              </w:rPr>
              <w:t>187</w:t>
            </w:r>
          </w:p>
        </w:tc>
      </w:tr>
      <w:tr w:rsidR="00213F56" w:rsidRPr="008C09C9" w:rsidTr="00213F56">
        <w:trPr>
          <w:trHeight w:val="204"/>
        </w:trPr>
        <w:tc>
          <w:tcPr>
            <w:tcW w:w="1257" w:type="dxa"/>
            <w:shd w:val="clear" w:color="auto" w:fill="auto"/>
            <w:noWrap/>
            <w:tcMar>
              <w:top w:w="0" w:type="dxa"/>
              <w:left w:w="108" w:type="dxa"/>
              <w:bottom w:w="0" w:type="dxa"/>
              <w:right w:w="108" w:type="dxa"/>
            </w:tcMar>
            <w:vAlign w:val="bottom"/>
            <w:hideMark/>
          </w:tcPr>
          <w:p w:rsidR="00780E6C" w:rsidRPr="008C09C9" w:rsidRDefault="001D11E8" w:rsidP="00E619A9">
            <w:pPr>
              <w:spacing w:line="240" w:lineRule="auto"/>
              <w:rPr>
                <w:rFonts w:ascii="Arial" w:eastAsia="Times New Roman" w:hAnsi="Arial" w:cs="Arial"/>
                <w:lang w:eastAsia="en-AU"/>
              </w:rPr>
            </w:pPr>
            <w:r>
              <w:rPr>
                <w:rFonts w:ascii="Arial" w:eastAsia="Times New Roman" w:hAnsi="Arial" w:cs="Arial"/>
                <w:lang w:eastAsia="en-AU"/>
              </w:rPr>
              <w:t>Totals</w:t>
            </w:r>
          </w:p>
        </w:tc>
        <w:tc>
          <w:tcPr>
            <w:tcW w:w="993"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Calibri" w:hAnsi="Arial" w:cs="Arial"/>
                <w:lang w:eastAsia="en-AU"/>
              </w:rPr>
            </w:pPr>
            <w:r w:rsidRPr="008C09C9">
              <w:rPr>
                <w:rFonts w:ascii="Arial" w:eastAsia="Calibri" w:hAnsi="Arial" w:cs="Arial"/>
                <w:lang w:eastAsia="en-AU"/>
              </w:rPr>
              <w:t>24 740</w:t>
            </w:r>
          </w:p>
        </w:tc>
        <w:tc>
          <w:tcPr>
            <w:tcW w:w="1275"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Calibri" w:hAnsi="Arial" w:cs="Arial"/>
                <w:lang w:eastAsia="en-AU"/>
              </w:rPr>
            </w:pPr>
            <w:r w:rsidRPr="008C09C9">
              <w:rPr>
                <w:rFonts w:ascii="Arial" w:eastAsia="Calibri" w:hAnsi="Arial" w:cs="Arial"/>
                <w:lang w:eastAsia="en-AU"/>
              </w:rPr>
              <w:t>1439</w:t>
            </w:r>
          </w:p>
        </w:tc>
        <w:tc>
          <w:tcPr>
            <w:tcW w:w="1418"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Calibri" w:hAnsi="Arial" w:cs="Arial"/>
                <w:lang w:eastAsia="en-AU"/>
              </w:rPr>
            </w:pPr>
            <w:r w:rsidRPr="008C09C9">
              <w:rPr>
                <w:rFonts w:ascii="Arial" w:eastAsia="Calibri" w:hAnsi="Arial" w:cs="Arial"/>
                <w:lang w:eastAsia="en-AU"/>
              </w:rPr>
              <w:t>863</w:t>
            </w:r>
          </w:p>
        </w:tc>
        <w:tc>
          <w:tcPr>
            <w:tcW w:w="1417"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Calibri" w:hAnsi="Arial" w:cs="Arial"/>
                <w:lang w:eastAsia="en-AU"/>
              </w:rPr>
            </w:pPr>
            <w:r w:rsidRPr="008C09C9">
              <w:rPr>
                <w:rFonts w:ascii="Arial" w:eastAsia="Calibri" w:hAnsi="Arial" w:cs="Arial"/>
                <w:lang w:eastAsia="en-AU"/>
              </w:rPr>
              <w:t>719</w:t>
            </w:r>
          </w:p>
        </w:tc>
        <w:tc>
          <w:tcPr>
            <w:tcW w:w="709"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Calibri" w:hAnsi="Arial" w:cs="Arial"/>
                <w:lang w:eastAsia="en-AU"/>
              </w:rPr>
            </w:pPr>
            <w:r w:rsidRPr="008C09C9">
              <w:rPr>
                <w:rFonts w:ascii="Arial" w:eastAsia="Calibri" w:hAnsi="Arial" w:cs="Arial"/>
                <w:lang w:eastAsia="en-AU"/>
              </w:rPr>
              <w:t>519</w:t>
            </w:r>
          </w:p>
        </w:tc>
        <w:tc>
          <w:tcPr>
            <w:tcW w:w="709"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Calibri" w:hAnsi="Arial" w:cs="Arial"/>
                <w:lang w:eastAsia="en-AU"/>
              </w:rPr>
            </w:pPr>
            <w:r w:rsidRPr="008C09C9">
              <w:rPr>
                <w:rFonts w:ascii="Arial" w:eastAsia="Calibri" w:hAnsi="Arial" w:cs="Arial"/>
                <w:lang w:eastAsia="en-AU"/>
              </w:rPr>
              <w:t>161</w:t>
            </w:r>
          </w:p>
        </w:tc>
        <w:tc>
          <w:tcPr>
            <w:tcW w:w="850"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Calibri" w:hAnsi="Arial" w:cs="Arial"/>
                <w:lang w:eastAsia="en-AU"/>
              </w:rPr>
            </w:pPr>
            <w:r w:rsidRPr="008C09C9">
              <w:rPr>
                <w:rFonts w:ascii="Arial" w:eastAsia="Calibri" w:hAnsi="Arial" w:cs="Arial"/>
                <w:lang w:eastAsia="en-AU"/>
              </w:rPr>
              <w:t>5</w:t>
            </w:r>
          </w:p>
        </w:tc>
        <w:tc>
          <w:tcPr>
            <w:tcW w:w="1150" w:type="dxa"/>
            <w:shd w:val="clear" w:color="auto" w:fill="auto"/>
            <w:noWrap/>
            <w:tcMar>
              <w:top w:w="0" w:type="dxa"/>
              <w:left w:w="108" w:type="dxa"/>
              <w:bottom w:w="0" w:type="dxa"/>
              <w:right w:w="108" w:type="dxa"/>
            </w:tcMar>
            <w:vAlign w:val="bottom"/>
            <w:hideMark/>
          </w:tcPr>
          <w:p w:rsidR="00780E6C" w:rsidRPr="008C09C9" w:rsidRDefault="00780E6C" w:rsidP="003C4D92">
            <w:pPr>
              <w:spacing w:line="240" w:lineRule="auto"/>
              <w:jc w:val="right"/>
              <w:rPr>
                <w:rFonts w:ascii="Arial" w:eastAsia="Calibri" w:hAnsi="Arial" w:cs="Arial"/>
                <w:lang w:eastAsia="en-AU"/>
              </w:rPr>
            </w:pPr>
            <w:r w:rsidRPr="008C09C9">
              <w:rPr>
                <w:rFonts w:ascii="Arial" w:eastAsia="Calibri" w:hAnsi="Arial" w:cs="Arial"/>
                <w:lang w:eastAsia="en-AU"/>
              </w:rPr>
              <w:t>647</w:t>
            </w:r>
          </w:p>
        </w:tc>
      </w:tr>
    </w:tbl>
    <w:p w:rsidR="008C09C9" w:rsidRPr="000A09D1" w:rsidRDefault="008C09C9" w:rsidP="00E619A9">
      <w:pPr>
        <w:spacing w:line="240" w:lineRule="auto"/>
        <w:rPr>
          <w:rFonts w:ascii="Arial" w:eastAsia="Calibri" w:hAnsi="Arial" w:cs="Arial"/>
          <w:i/>
          <w:sz w:val="20"/>
          <w:szCs w:val="20"/>
        </w:rPr>
      </w:pPr>
      <w:r w:rsidRPr="000A09D1">
        <w:rPr>
          <w:rFonts w:ascii="Arial" w:eastAsia="Calibri" w:hAnsi="Arial" w:cs="Arial"/>
          <w:i/>
          <w:sz w:val="20"/>
          <w:szCs w:val="20"/>
        </w:rPr>
        <w:t>Source: SA Department for Further Education, Employment, Science and Technology, 2013</w:t>
      </w:r>
    </w:p>
    <w:p w:rsidR="00A75CB7" w:rsidRPr="00AA5F3C" w:rsidRDefault="00A75CB7" w:rsidP="00E619A9">
      <w:pPr>
        <w:pStyle w:val="Heading2"/>
        <w:spacing w:before="360"/>
        <w:rPr>
          <w:rFonts w:cs="Arial"/>
          <w:color w:val="auto"/>
        </w:rPr>
      </w:pPr>
      <w:bookmarkStart w:id="23" w:name="_Toc384038224"/>
      <w:r w:rsidRPr="00AA5F3C">
        <w:rPr>
          <w:rFonts w:cs="Arial"/>
          <w:color w:val="auto"/>
        </w:rPr>
        <w:t>The Compact with Young Australians</w:t>
      </w:r>
      <w:bookmarkEnd w:id="22"/>
      <w:bookmarkEnd w:id="23"/>
    </w:p>
    <w:p w:rsidR="00B975E8" w:rsidRPr="00735206" w:rsidRDefault="00B975E8" w:rsidP="00E619A9">
      <w:pPr>
        <w:rPr>
          <w:rFonts w:ascii="Arial" w:hAnsi="Arial" w:cs="Arial"/>
          <w:color w:val="FF0000"/>
        </w:rPr>
      </w:pPr>
      <w:r w:rsidRPr="00AA5F3C">
        <w:rPr>
          <w:rFonts w:ascii="Arial" w:hAnsi="Arial" w:cs="Arial"/>
        </w:rPr>
        <w:t xml:space="preserve">Education or Training Entitlement </w:t>
      </w:r>
      <w:r w:rsidRPr="00950177">
        <w:rPr>
          <w:rFonts w:ascii="Arial" w:hAnsi="Arial" w:cs="Arial"/>
        </w:rPr>
        <w:t>(for information only</w:t>
      </w:r>
      <w:r w:rsidR="001748E4" w:rsidRPr="00950177">
        <w:rPr>
          <w:rFonts w:ascii="Arial" w:hAnsi="Arial" w:cs="Arial"/>
        </w:rPr>
        <w:t xml:space="preserve"> – no reporting required</w:t>
      </w:r>
      <w:r w:rsidRPr="00950177">
        <w:rPr>
          <w:rFonts w:ascii="Arial" w:hAnsi="Arial" w:cs="Arial"/>
        </w:rPr>
        <w:t>)</w:t>
      </w:r>
    </w:p>
    <w:p w:rsidR="00646CCE" w:rsidRDefault="00DB4EA2" w:rsidP="00E619A9">
      <w:pPr>
        <w:rPr>
          <w:rFonts w:ascii="Arial" w:hAnsi="Arial" w:cs="Arial"/>
        </w:rPr>
      </w:pPr>
      <w:r w:rsidRPr="00AA5F3C">
        <w:rPr>
          <w:rFonts w:ascii="Arial" w:hAnsi="Arial" w:cs="Arial"/>
        </w:rPr>
        <w:t>At</w:t>
      </w:r>
      <w:r w:rsidR="00646CCE" w:rsidRPr="00AA5F3C">
        <w:rPr>
          <w:rFonts w:ascii="Arial" w:hAnsi="Arial" w:cs="Arial"/>
        </w:rPr>
        <w:t xml:space="preserve"> the July 2012 out-of-session meeting of Council of Australian Governments it was agreed that the education or training entitlement under the National Partnership on Youth Attainment and Transitions </w:t>
      </w:r>
      <w:r w:rsidRPr="00AA5F3C">
        <w:rPr>
          <w:rFonts w:ascii="Arial" w:hAnsi="Arial" w:cs="Arial"/>
        </w:rPr>
        <w:t>would not be extended past the</w:t>
      </w:r>
      <w:r w:rsidR="00646CCE" w:rsidRPr="00AA5F3C">
        <w:rPr>
          <w:rFonts w:ascii="Arial" w:hAnsi="Arial" w:cs="Arial"/>
        </w:rPr>
        <w:t xml:space="preserve"> e</w:t>
      </w:r>
      <w:r w:rsidR="006F4D74" w:rsidRPr="00AA5F3C">
        <w:rPr>
          <w:rFonts w:ascii="Arial" w:hAnsi="Arial" w:cs="Arial"/>
        </w:rPr>
        <w:t>nd date of 31 December 2011 in recognition</w:t>
      </w:r>
      <w:r w:rsidRPr="00AA5F3C">
        <w:rPr>
          <w:rFonts w:ascii="Arial" w:hAnsi="Arial" w:cs="Arial"/>
        </w:rPr>
        <w:t xml:space="preserve"> that </w:t>
      </w:r>
      <w:r w:rsidR="00646CCE" w:rsidRPr="00AA5F3C">
        <w:rPr>
          <w:rFonts w:ascii="Arial" w:hAnsi="Arial" w:cs="Arial"/>
        </w:rPr>
        <w:t>State and Territory policies have embedded the entitlement.</w:t>
      </w:r>
      <w:r w:rsidR="006F4D74" w:rsidRPr="00AA5F3C">
        <w:rPr>
          <w:rFonts w:ascii="Arial" w:hAnsi="Arial" w:cs="Arial"/>
        </w:rPr>
        <w:t xml:space="preserve"> </w:t>
      </w:r>
    </w:p>
    <w:p w:rsidR="001748E4" w:rsidRPr="00AA5F3C" w:rsidRDefault="001748E4" w:rsidP="00E619A9">
      <w:pPr>
        <w:pStyle w:val="Heading2"/>
        <w:rPr>
          <w:rFonts w:cs="Arial"/>
        </w:rPr>
      </w:pPr>
      <w:bookmarkStart w:id="24" w:name="_Toc384038225"/>
      <w:r w:rsidRPr="00AA5F3C">
        <w:rPr>
          <w:rFonts w:cs="Arial"/>
        </w:rPr>
        <w:t>National Youth Participation requirement</w:t>
      </w:r>
      <w:bookmarkEnd w:id="24"/>
      <w:r w:rsidR="008858D8" w:rsidRPr="00AA5F3C">
        <w:rPr>
          <w:rFonts w:cs="Arial"/>
        </w:rPr>
        <w:t xml:space="preserve">  </w:t>
      </w:r>
    </w:p>
    <w:p w:rsidR="005F06E7" w:rsidRPr="005F06E7" w:rsidRDefault="005F06E7" w:rsidP="00E619A9">
      <w:pPr>
        <w:pStyle w:val="Heading3"/>
        <w:spacing w:before="0" w:after="0"/>
        <w:rPr>
          <w:rFonts w:cs="Arial"/>
        </w:rPr>
      </w:pPr>
      <w:r w:rsidRPr="005F06E7">
        <w:rPr>
          <w:rFonts w:cs="Arial"/>
        </w:rPr>
        <w:t xml:space="preserve">Challenges experienced in 2012  </w:t>
      </w:r>
    </w:p>
    <w:p w:rsidR="00E56728" w:rsidRPr="00AA5F3C" w:rsidRDefault="00E56728" w:rsidP="0040521B">
      <w:pPr>
        <w:pStyle w:val="ListParagraph"/>
        <w:numPr>
          <w:ilvl w:val="0"/>
          <w:numId w:val="21"/>
        </w:numPr>
        <w:ind w:left="426"/>
        <w:rPr>
          <w:rFonts w:ascii="Arial" w:hAnsi="Arial" w:cs="Arial"/>
        </w:rPr>
      </w:pPr>
      <w:r w:rsidRPr="00AA5F3C">
        <w:rPr>
          <w:rFonts w:ascii="Arial" w:hAnsi="Arial" w:cs="Arial"/>
        </w:rPr>
        <w:t xml:space="preserve">The full implementation of the South Australian </w:t>
      </w:r>
      <w:r w:rsidR="006E5D6A">
        <w:rPr>
          <w:rFonts w:ascii="Arial" w:hAnsi="Arial" w:cs="Arial"/>
          <w:i/>
        </w:rPr>
        <w:t>Skills f</w:t>
      </w:r>
      <w:r w:rsidRPr="00857502">
        <w:rPr>
          <w:rFonts w:ascii="Arial" w:hAnsi="Arial" w:cs="Arial"/>
          <w:i/>
        </w:rPr>
        <w:t>or All</w:t>
      </w:r>
      <w:r w:rsidRPr="00AA5F3C">
        <w:rPr>
          <w:rFonts w:ascii="Arial" w:hAnsi="Arial" w:cs="Arial"/>
        </w:rPr>
        <w:t xml:space="preserve"> initiative in July 2012 provided schools with a number of challenges as the increased access to subsidised training for all 16 year olds has impacted on operations of the training providers and accessibility of some training courses.</w:t>
      </w:r>
    </w:p>
    <w:p w:rsidR="00E56728" w:rsidRPr="00AA5F3C" w:rsidRDefault="00E56728" w:rsidP="0040521B">
      <w:pPr>
        <w:pStyle w:val="ListParagraph"/>
        <w:numPr>
          <w:ilvl w:val="0"/>
          <w:numId w:val="21"/>
        </w:numPr>
        <w:ind w:left="426"/>
        <w:rPr>
          <w:rFonts w:ascii="Arial" w:hAnsi="Arial" w:cs="Arial"/>
        </w:rPr>
      </w:pPr>
      <w:r w:rsidRPr="00AA5F3C">
        <w:rPr>
          <w:rFonts w:ascii="Arial" w:hAnsi="Arial" w:cs="Arial"/>
        </w:rPr>
        <w:t xml:space="preserve">Restructuring of TAFE SA, the largest training provider in SA as a separate legal entity has resulted in a change of operational procedures </w:t>
      </w:r>
      <w:r w:rsidR="00CF28D2">
        <w:rPr>
          <w:rFonts w:ascii="Arial" w:hAnsi="Arial" w:cs="Arial"/>
        </w:rPr>
        <w:t>and as such impacted schools which</w:t>
      </w:r>
      <w:r w:rsidRPr="00AA5F3C">
        <w:rPr>
          <w:rFonts w:ascii="Arial" w:hAnsi="Arial" w:cs="Arial"/>
        </w:rPr>
        <w:t xml:space="preserve"> traditional</w:t>
      </w:r>
      <w:r w:rsidR="00CF28D2">
        <w:rPr>
          <w:rFonts w:ascii="Arial" w:hAnsi="Arial" w:cs="Arial"/>
        </w:rPr>
        <w:t>ly</w:t>
      </w:r>
      <w:r w:rsidRPr="00AA5F3C">
        <w:rPr>
          <w:rFonts w:ascii="Arial" w:hAnsi="Arial" w:cs="Arial"/>
        </w:rPr>
        <w:t xml:space="preserve"> accessed training through TAFE. </w:t>
      </w:r>
    </w:p>
    <w:p w:rsidR="000B2256" w:rsidRPr="00AA5F3C" w:rsidRDefault="00E56728" w:rsidP="0040521B">
      <w:pPr>
        <w:pStyle w:val="ListParagraph"/>
        <w:numPr>
          <w:ilvl w:val="0"/>
          <w:numId w:val="21"/>
        </w:numPr>
        <w:ind w:left="426"/>
        <w:rPr>
          <w:rFonts w:ascii="Arial" w:hAnsi="Arial" w:cs="Arial"/>
        </w:rPr>
      </w:pPr>
      <w:r w:rsidRPr="00AA5F3C">
        <w:rPr>
          <w:rFonts w:ascii="Arial" w:hAnsi="Arial" w:cs="Arial"/>
        </w:rPr>
        <w:t>Sourcing suitable pe</w:t>
      </w:r>
      <w:r w:rsidR="0034093F" w:rsidRPr="00AA5F3C">
        <w:rPr>
          <w:rFonts w:ascii="Arial" w:hAnsi="Arial" w:cs="Arial"/>
        </w:rPr>
        <w:t>rsonnel</w:t>
      </w:r>
      <w:r w:rsidRPr="00AA5F3C">
        <w:rPr>
          <w:rFonts w:ascii="Arial" w:hAnsi="Arial" w:cs="Arial"/>
        </w:rPr>
        <w:t xml:space="preserve"> with appropriate skills and knowledge, and who were available to accept a consultancy</w:t>
      </w:r>
      <w:r w:rsidR="0034093F" w:rsidRPr="00AA5F3C">
        <w:rPr>
          <w:rFonts w:ascii="Arial" w:hAnsi="Arial" w:cs="Arial"/>
        </w:rPr>
        <w:t>,</w:t>
      </w:r>
      <w:r w:rsidRPr="00AA5F3C">
        <w:rPr>
          <w:rFonts w:ascii="Arial" w:hAnsi="Arial" w:cs="Arial"/>
        </w:rPr>
        <w:t xml:space="preserve"> has meant scheduled timelines for some p</w:t>
      </w:r>
      <w:r w:rsidR="00CF28D2">
        <w:rPr>
          <w:rFonts w:ascii="Arial" w:hAnsi="Arial" w:cs="Arial"/>
        </w:rPr>
        <w:t xml:space="preserve">rograms have been ‘blown out’, </w:t>
      </w:r>
      <w:proofErr w:type="spellStart"/>
      <w:r w:rsidR="0034093F" w:rsidRPr="00AA5F3C">
        <w:rPr>
          <w:rFonts w:ascii="Arial" w:hAnsi="Arial" w:cs="Arial"/>
        </w:rPr>
        <w:t>eg</w:t>
      </w:r>
      <w:proofErr w:type="spellEnd"/>
      <w:r w:rsidR="0034093F" w:rsidRPr="00AA5F3C">
        <w:rPr>
          <w:rFonts w:ascii="Arial" w:hAnsi="Arial" w:cs="Arial"/>
        </w:rPr>
        <w:t xml:space="preserve"> t</w:t>
      </w:r>
      <w:r w:rsidRPr="00AA5F3C">
        <w:rPr>
          <w:rFonts w:ascii="Arial" w:hAnsi="Arial" w:cs="Arial"/>
        </w:rPr>
        <w:t>he School-based Apprenticeship</w:t>
      </w:r>
      <w:r w:rsidR="0034093F" w:rsidRPr="00AA5F3C">
        <w:rPr>
          <w:rFonts w:ascii="Arial" w:hAnsi="Arial" w:cs="Arial"/>
        </w:rPr>
        <w:t>/Traineeship</w:t>
      </w:r>
      <w:r w:rsidRPr="00AA5F3C">
        <w:rPr>
          <w:rFonts w:ascii="Arial" w:hAnsi="Arial" w:cs="Arial"/>
        </w:rPr>
        <w:t xml:space="preserve"> Resource.</w:t>
      </w:r>
    </w:p>
    <w:p w:rsidR="008858D8" w:rsidRPr="00AA5F3C" w:rsidRDefault="008858D8" w:rsidP="00E619A9">
      <w:pPr>
        <w:ind w:left="284"/>
        <w:rPr>
          <w:rFonts w:ascii="Arial" w:hAnsi="Arial" w:cs="Arial"/>
        </w:rPr>
      </w:pPr>
    </w:p>
    <w:p w:rsidR="008858D8" w:rsidRPr="00055C53" w:rsidRDefault="009C26D7" w:rsidP="00E619A9">
      <w:pPr>
        <w:pStyle w:val="Heading3"/>
      </w:pPr>
      <w:r w:rsidRPr="00055C53">
        <w:t xml:space="preserve">Exemptions and </w:t>
      </w:r>
      <w:r w:rsidR="0034093F" w:rsidRPr="00055C53">
        <w:t>Compliance and enforcement/monitoring</w:t>
      </w:r>
      <w:r w:rsidR="0017216F" w:rsidRPr="00055C53">
        <w:t xml:space="preserve"> </w:t>
      </w:r>
    </w:p>
    <w:p w:rsidR="003B6C13" w:rsidRPr="00AA5F3C" w:rsidRDefault="003B6C13" w:rsidP="00E619A9">
      <w:pPr>
        <w:ind w:left="284"/>
        <w:rPr>
          <w:rFonts w:ascii="Arial" w:hAnsi="Arial" w:cs="Arial"/>
        </w:rPr>
      </w:pPr>
      <w:r w:rsidRPr="00AA5F3C">
        <w:rPr>
          <w:rFonts w:ascii="Arial" w:hAnsi="Arial" w:cs="Arial"/>
        </w:rPr>
        <w:t xml:space="preserve">Engaging all young people in education, training or employment is an ongoing challenge for the agencies working in those areas, across the various sectors. </w:t>
      </w:r>
      <w:r w:rsidR="00D4417F" w:rsidRPr="00AA5F3C">
        <w:rPr>
          <w:rFonts w:ascii="Arial" w:hAnsi="Arial" w:cs="Arial"/>
        </w:rPr>
        <w:t xml:space="preserve">Young people who disengage from </w:t>
      </w:r>
      <w:r w:rsidR="00D4417F" w:rsidRPr="00AA5F3C">
        <w:rPr>
          <w:rFonts w:ascii="Arial" w:hAnsi="Arial" w:cs="Arial"/>
        </w:rPr>
        <w:lastRenderedPageBreak/>
        <w:t>education, training or employment do so for a variety of reasons and in various ways which</w:t>
      </w:r>
      <w:r w:rsidR="009C26D7">
        <w:rPr>
          <w:rFonts w:ascii="Arial" w:hAnsi="Arial" w:cs="Arial"/>
        </w:rPr>
        <w:t xml:space="preserve"> makes it difficult to categoris</w:t>
      </w:r>
      <w:r w:rsidR="00D4417F" w:rsidRPr="00AA5F3C">
        <w:rPr>
          <w:rFonts w:ascii="Arial" w:hAnsi="Arial" w:cs="Arial"/>
        </w:rPr>
        <w:t xml:space="preserve">e and </w:t>
      </w:r>
      <w:r w:rsidR="00151B9F" w:rsidRPr="00AA5F3C">
        <w:rPr>
          <w:rFonts w:ascii="Arial" w:hAnsi="Arial" w:cs="Arial"/>
        </w:rPr>
        <w:t xml:space="preserve">therefore </w:t>
      </w:r>
      <w:r w:rsidR="00D4417F" w:rsidRPr="00AA5F3C">
        <w:rPr>
          <w:rFonts w:ascii="Arial" w:hAnsi="Arial" w:cs="Arial"/>
        </w:rPr>
        <w:t xml:space="preserve">precise figures are not available but Australian Bureau of Statistics figures </w:t>
      </w:r>
      <w:r w:rsidRPr="00AA5F3C">
        <w:rPr>
          <w:rFonts w:ascii="Arial" w:hAnsi="Arial" w:cs="Arial"/>
        </w:rPr>
        <w:t>are used as estimates for planning purposes.</w:t>
      </w:r>
    </w:p>
    <w:p w:rsidR="00471732" w:rsidRPr="00AA5F3C" w:rsidRDefault="00675582" w:rsidP="00E619A9">
      <w:pPr>
        <w:ind w:left="284"/>
        <w:rPr>
          <w:rFonts w:ascii="Arial" w:hAnsi="Arial" w:cs="Arial"/>
        </w:rPr>
      </w:pPr>
      <w:r w:rsidRPr="00AA5F3C">
        <w:rPr>
          <w:rFonts w:ascii="Arial" w:hAnsi="Arial" w:cs="Arial"/>
        </w:rPr>
        <w:t>“</w:t>
      </w:r>
      <w:r w:rsidR="0005136F" w:rsidRPr="008B25D1">
        <w:rPr>
          <w:rFonts w:ascii="Arial" w:hAnsi="Arial" w:cs="Arial"/>
          <w:i/>
        </w:rPr>
        <w:t xml:space="preserve">Care should be taken in interpreting </w:t>
      </w:r>
      <w:r w:rsidRPr="008B25D1">
        <w:rPr>
          <w:rFonts w:ascii="Arial" w:hAnsi="Arial" w:cs="Arial"/>
          <w:i/>
        </w:rPr>
        <w:t>...</w:t>
      </w:r>
      <w:r w:rsidR="0005136F" w:rsidRPr="008B25D1">
        <w:rPr>
          <w:rFonts w:ascii="Arial" w:hAnsi="Arial" w:cs="Arial"/>
          <w:i/>
        </w:rPr>
        <w:t xml:space="preserve"> rates as the calculation does not take into account a range of factors such as overseas migration, repeating students, mature-age students, changes in study patterns from full-time to part-time or part-time to full-time and other net changes </w:t>
      </w:r>
      <w:r w:rsidRPr="008B25D1">
        <w:rPr>
          <w:rFonts w:ascii="Arial" w:hAnsi="Arial" w:cs="Arial"/>
          <w:i/>
        </w:rPr>
        <w:t>…”</w:t>
      </w:r>
      <w:r w:rsidR="0005136F" w:rsidRPr="008B25D1">
        <w:rPr>
          <w:rFonts w:ascii="Arial" w:hAnsi="Arial" w:cs="Arial"/>
          <w:i/>
        </w:rPr>
        <w:t xml:space="preserve"> </w:t>
      </w:r>
      <w:r w:rsidR="0005136F" w:rsidRPr="00AA5F3C">
        <w:rPr>
          <w:rFonts w:ascii="Arial" w:hAnsi="Arial" w:cs="Arial"/>
        </w:rPr>
        <w:t xml:space="preserve">(ABS  </w:t>
      </w:r>
      <w:r w:rsidR="0005136F" w:rsidRPr="008B25D1">
        <w:rPr>
          <w:rFonts w:ascii="Arial" w:hAnsi="Arial" w:cs="Arial"/>
          <w:u w:val="single"/>
        </w:rPr>
        <w:t>Year Book Australia, 2012</w:t>
      </w:r>
      <w:r w:rsidR="0005136F" w:rsidRPr="00AA5F3C">
        <w:rPr>
          <w:rFonts w:ascii="Arial" w:hAnsi="Arial" w:cs="Arial"/>
        </w:rPr>
        <w:t xml:space="preserve"> 24 May, 2012)</w:t>
      </w:r>
    </w:p>
    <w:p w:rsidR="008858D8" w:rsidRPr="00AA5F3C" w:rsidRDefault="008858D8" w:rsidP="00E619A9">
      <w:pPr>
        <w:ind w:left="284"/>
        <w:rPr>
          <w:rFonts w:ascii="Arial" w:hAnsi="Arial" w:cs="Arial"/>
        </w:rPr>
      </w:pPr>
    </w:p>
    <w:p w:rsidR="00471732" w:rsidRPr="00AA5F3C" w:rsidRDefault="00471732" w:rsidP="00E619A9">
      <w:pPr>
        <w:ind w:left="284"/>
        <w:rPr>
          <w:rFonts w:ascii="Arial" w:hAnsi="Arial" w:cs="Arial"/>
        </w:rPr>
      </w:pPr>
      <w:r w:rsidRPr="00AA5F3C">
        <w:rPr>
          <w:rFonts w:ascii="Arial" w:hAnsi="Arial" w:cs="Arial"/>
        </w:rPr>
        <w:t>Within South Australia addressing the challenge of engaging with those identified as “at risk” or having already disengaged is being approached with a number of strategies at school level, within the local c</w:t>
      </w:r>
      <w:r w:rsidR="009C26D7">
        <w:rPr>
          <w:rFonts w:ascii="Arial" w:hAnsi="Arial" w:cs="Arial"/>
        </w:rPr>
        <w:t>ommunity and at systemic level</w:t>
      </w:r>
      <w:r w:rsidR="00675582" w:rsidRPr="00AA5F3C">
        <w:rPr>
          <w:rFonts w:ascii="Arial" w:hAnsi="Arial" w:cs="Arial"/>
        </w:rPr>
        <w:t xml:space="preserve"> (</w:t>
      </w:r>
      <w:proofErr w:type="gramStart"/>
      <w:r w:rsidR="00675582" w:rsidRPr="00AA5F3C">
        <w:rPr>
          <w:rFonts w:ascii="Arial" w:hAnsi="Arial" w:cs="Arial"/>
        </w:rPr>
        <w:t>see</w:t>
      </w:r>
      <w:proofErr w:type="gramEnd"/>
      <w:r w:rsidR="00675582" w:rsidRPr="00AA5F3C">
        <w:rPr>
          <w:rFonts w:ascii="Arial" w:hAnsi="Arial" w:cs="Arial"/>
        </w:rPr>
        <w:t xml:space="preserve"> Part B “Youth attainment and/or transitions reforms and progra</w:t>
      </w:r>
      <w:r w:rsidR="008A1B92">
        <w:rPr>
          <w:rFonts w:ascii="Arial" w:hAnsi="Arial" w:cs="Arial"/>
        </w:rPr>
        <w:t>ms not funded under the YAT NP”</w:t>
      </w:r>
      <w:r w:rsidR="00675582" w:rsidRPr="00AA5F3C">
        <w:rPr>
          <w:rFonts w:ascii="Arial" w:hAnsi="Arial" w:cs="Arial"/>
        </w:rPr>
        <w:t>)</w:t>
      </w:r>
    </w:p>
    <w:p w:rsidR="0034093F" w:rsidRPr="00AA5F3C" w:rsidRDefault="0034093F" w:rsidP="00E619A9">
      <w:pPr>
        <w:ind w:left="284"/>
        <w:rPr>
          <w:rFonts w:ascii="Arial" w:hAnsi="Arial" w:cs="Arial"/>
        </w:rPr>
      </w:pPr>
    </w:p>
    <w:p w:rsidR="0081625C" w:rsidRPr="00AA5F3C" w:rsidRDefault="007F2F12" w:rsidP="00E619A9">
      <w:pPr>
        <w:spacing w:after="200"/>
        <w:ind w:left="284"/>
        <w:rPr>
          <w:rFonts w:ascii="Arial" w:hAnsi="Arial" w:cs="Arial"/>
        </w:rPr>
      </w:pPr>
      <w:r w:rsidRPr="00AA5F3C">
        <w:rPr>
          <w:rFonts w:ascii="Arial" w:hAnsi="Arial" w:cs="Arial"/>
        </w:rPr>
        <w:t>Youth participation in education and/or training is governed, in South Australia</w:t>
      </w:r>
      <w:r w:rsidR="006027CA" w:rsidRPr="00AA5F3C">
        <w:rPr>
          <w:rFonts w:ascii="Arial" w:hAnsi="Arial" w:cs="Arial"/>
        </w:rPr>
        <w:t>, by legislation which places</w:t>
      </w:r>
      <w:r w:rsidRPr="00AA5F3C">
        <w:rPr>
          <w:rFonts w:ascii="Arial" w:hAnsi="Arial" w:cs="Arial"/>
        </w:rPr>
        <w:t xml:space="preserve"> obligation</w:t>
      </w:r>
      <w:r w:rsidR="006027CA" w:rsidRPr="00AA5F3C">
        <w:rPr>
          <w:rFonts w:ascii="Arial" w:hAnsi="Arial" w:cs="Arial"/>
        </w:rPr>
        <w:t>s</w:t>
      </w:r>
      <w:r w:rsidRPr="00AA5F3C">
        <w:rPr>
          <w:rFonts w:ascii="Arial" w:hAnsi="Arial" w:cs="Arial"/>
        </w:rPr>
        <w:t xml:space="preserve"> on young people, their</w:t>
      </w:r>
      <w:r w:rsidR="00DA342F" w:rsidRPr="00AA5F3C">
        <w:rPr>
          <w:rFonts w:ascii="Arial" w:hAnsi="Arial" w:cs="Arial"/>
        </w:rPr>
        <w:t xml:space="preserve"> parents/caregivers</w:t>
      </w:r>
      <w:r w:rsidRPr="00AA5F3C">
        <w:rPr>
          <w:rFonts w:ascii="Arial" w:hAnsi="Arial" w:cs="Arial"/>
        </w:rPr>
        <w:t xml:space="preserve"> and all schools. The South Australian </w:t>
      </w:r>
      <w:r w:rsidRPr="00AA5F3C">
        <w:rPr>
          <w:rFonts w:ascii="Arial" w:hAnsi="Arial" w:cs="Arial"/>
          <w:i/>
        </w:rPr>
        <w:t>Education Act 1972</w:t>
      </w:r>
      <w:r w:rsidRPr="00AA5F3C">
        <w:rPr>
          <w:rFonts w:ascii="Arial" w:hAnsi="Arial" w:cs="Arial"/>
        </w:rPr>
        <w:t xml:space="preserve"> requires children up </w:t>
      </w:r>
      <w:r w:rsidR="009C26D7">
        <w:rPr>
          <w:rFonts w:ascii="Arial" w:hAnsi="Arial" w:cs="Arial"/>
        </w:rPr>
        <w:t xml:space="preserve">to </w:t>
      </w:r>
      <w:r w:rsidRPr="00AA5F3C">
        <w:rPr>
          <w:rFonts w:ascii="Arial" w:hAnsi="Arial" w:cs="Arial"/>
        </w:rPr>
        <w:t xml:space="preserve">the age of 16 to be enrolled at a school, including engagement and attendance as required by their education program. The </w:t>
      </w:r>
      <w:r w:rsidRPr="00AA5F3C">
        <w:rPr>
          <w:rFonts w:ascii="Arial" w:hAnsi="Arial" w:cs="Arial"/>
          <w:i/>
        </w:rPr>
        <w:t>Education (Compulsory Education Age) Amendment Act 2007</w:t>
      </w:r>
      <w:r w:rsidRPr="00AA5F3C">
        <w:rPr>
          <w:rFonts w:ascii="Arial" w:hAnsi="Arial" w:cs="Arial"/>
        </w:rPr>
        <w:t xml:space="preserve">, implemented at the beginning of 2009, requires all young people between the ages of 16 and 17 to participate in a full-time approved learning program which </w:t>
      </w:r>
      <w:r w:rsidR="006027CA" w:rsidRPr="00AA5F3C">
        <w:rPr>
          <w:rFonts w:ascii="Arial" w:hAnsi="Arial" w:cs="Arial"/>
        </w:rPr>
        <w:t>is education or training delivered through a school, university or registered training organisation, an apprenticeship or traineeship, or a combination of these.</w:t>
      </w:r>
      <w:r w:rsidR="002612C9" w:rsidRPr="00AA5F3C">
        <w:rPr>
          <w:rFonts w:ascii="Arial" w:hAnsi="Arial" w:cs="Arial"/>
        </w:rPr>
        <w:t xml:space="preserve"> This obligation ceases once the young person has reached the age of 17 or has achieved a qualification under an approved learning program.</w:t>
      </w:r>
    </w:p>
    <w:p w:rsidR="002F2E59" w:rsidRPr="00AA5F3C" w:rsidRDefault="006027CA" w:rsidP="00E619A9">
      <w:pPr>
        <w:spacing w:after="200"/>
        <w:ind w:left="284"/>
        <w:rPr>
          <w:rFonts w:ascii="Arial" w:hAnsi="Arial" w:cs="Arial"/>
        </w:rPr>
      </w:pPr>
      <w:r w:rsidRPr="00AA5F3C">
        <w:rPr>
          <w:rFonts w:ascii="Arial" w:hAnsi="Arial" w:cs="Arial"/>
        </w:rPr>
        <w:t>Compliance and enforcement within the schooling sectors is managed by internal mec</w:t>
      </w:r>
      <w:r w:rsidR="009C26D7">
        <w:rPr>
          <w:rFonts w:ascii="Arial" w:hAnsi="Arial" w:cs="Arial"/>
        </w:rPr>
        <w:t>hanisms.  These include the DECD</w:t>
      </w:r>
      <w:r w:rsidRPr="00AA5F3C">
        <w:rPr>
          <w:rFonts w:ascii="Arial" w:hAnsi="Arial" w:cs="Arial"/>
        </w:rPr>
        <w:t xml:space="preserve"> Attendance Policy which provides clear expectations about the role and responsibilities of all DECD staff in relation to attendance.</w:t>
      </w:r>
      <w:r w:rsidR="002F2E59" w:rsidRPr="00AA5F3C">
        <w:rPr>
          <w:rFonts w:ascii="Arial" w:hAnsi="Arial" w:cs="Arial"/>
        </w:rPr>
        <w:t xml:space="preserve"> School</w:t>
      </w:r>
      <w:r w:rsidR="009C26D7">
        <w:rPr>
          <w:rFonts w:ascii="Arial" w:hAnsi="Arial" w:cs="Arial"/>
        </w:rPr>
        <w:t>s</w:t>
      </w:r>
      <w:r w:rsidR="002F2E59" w:rsidRPr="00AA5F3C">
        <w:rPr>
          <w:rFonts w:ascii="Arial" w:hAnsi="Arial" w:cs="Arial"/>
        </w:rPr>
        <w:t xml:space="preserve"> must monitor education program participation and record failure by a learner to participate, using the department’s central data management system. Each school develops their own guidelines and processes framed within DECD policy for monitoring and investigating unsatisfactory participation or unexplained absences</w:t>
      </w:r>
      <w:r w:rsidR="003D111B" w:rsidRPr="00AA5F3C">
        <w:rPr>
          <w:rFonts w:ascii="Arial" w:hAnsi="Arial" w:cs="Arial"/>
        </w:rPr>
        <w:t xml:space="preserve"> and including the requirement to obtain a written lawful explanation from the parent/caregiver</w:t>
      </w:r>
      <w:r w:rsidR="002F2E59" w:rsidRPr="00AA5F3C">
        <w:rPr>
          <w:rFonts w:ascii="Arial" w:hAnsi="Arial" w:cs="Arial"/>
        </w:rPr>
        <w:t xml:space="preserve">.  Regional and interagency support services are available to support school implementation of this policy using DECD referral processes. </w:t>
      </w:r>
    </w:p>
    <w:p w:rsidR="00DA342F" w:rsidRPr="00AA5F3C" w:rsidRDefault="00DA342F" w:rsidP="00E619A9">
      <w:pPr>
        <w:spacing w:after="200"/>
        <w:ind w:left="284"/>
        <w:rPr>
          <w:rFonts w:ascii="Arial" w:hAnsi="Arial" w:cs="Arial"/>
        </w:rPr>
      </w:pPr>
      <w:r w:rsidRPr="00AA5F3C">
        <w:rPr>
          <w:rFonts w:ascii="Arial" w:hAnsi="Arial" w:cs="Arial"/>
        </w:rPr>
        <w:t xml:space="preserve">The non-government schooling sector have developed similar processes with exemptions of more than one month and up to twelve months needing approval by the </w:t>
      </w:r>
      <w:r w:rsidR="00157E4D" w:rsidRPr="00AA5F3C">
        <w:rPr>
          <w:rFonts w:ascii="Arial" w:hAnsi="Arial" w:cs="Arial"/>
        </w:rPr>
        <w:t xml:space="preserve">Director of Catholic Education </w:t>
      </w:r>
      <w:r w:rsidRPr="00AA5F3C">
        <w:rPr>
          <w:rFonts w:ascii="Arial" w:hAnsi="Arial" w:cs="Arial"/>
        </w:rPr>
        <w:t>SA or the Central Delegate (Association of Independent Schools of SA) as the Minister’s delegate</w:t>
      </w:r>
      <w:r w:rsidR="00157E4D" w:rsidRPr="00AA5F3C">
        <w:rPr>
          <w:rFonts w:ascii="Arial" w:hAnsi="Arial" w:cs="Arial"/>
        </w:rPr>
        <w:t>s</w:t>
      </w:r>
      <w:r w:rsidRPr="00AA5F3C">
        <w:rPr>
          <w:rFonts w:ascii="Arial" w:hAnsi="Arial" w:cs="Arial"/>
        </w:rPr>
        <w:t>.  Application</w:t>
      </w:r>
      <w:r w:rsidR="00157E4D" w:rsidRPr="00AA5F3C">
        <w:rPr>
          <w:rFonts w:ascii="Arial" w:hAnsi="Arial" w:cs="Arial"/>
        </w:rPr>
        <w:t>s</w:t>
      </w:r>
      <w:r w:rsidRPr="00AA5F3C">
        <w:rPr>
          <w:rFonts w:ascii="Arial" w:hAnsi="Arial" w:cs="Arial"/>
        </w:rPr>
        <w:t xml:space="preserve"> for exemption need to be supported with evidence of the young person’s approved learning program and/or evidence providing the legal basis for exemption.</w:t>
      </w:r>
    </w:p>
    <w:p w:rsidR="006027CA" w:rsidRPr="00AA5F3C" w:rsidRDefault="002F2E59" w:rsidP="00E619A9">
      <w:pPr>
        <w:spacing w:after="200"/>
        <w:ind w:left="284"/>
        <w:rPr>
          <w:rFonts w:ascii="Arial" w:hAnsi="Arial" w:cs="Arial"/>
        </w:rPr>
      </w:pPr>
      <w:r w:rsidRPr="00AA5F3C">
        <w:rPr>
          <w:rFonts w:ascii="Arial" w:hAnsi="Arial" w:cs="Arial"/>
        </w:rPr>
        <w:t xml:space="preserve">In the </w:t>
      </w:r>
      <w:r w:rsidRPr="00AA5F3C">
        <w:rPr>
          <w:rFonts w:ascii="Arial" w:hAnsi="Arial" w:cs="Arial"/>
          <w:i/>
        </w:rPr>
        <w:t>Children’s Protection Act 1993</w:t>
      </w:r>
      <w:r w:rsidRPr="00AA5F3C">
        <w:rPr>
          <w:rFonts w:ascii="Arial" w:hAnsi="Arial" w:cs="Arial"/>
        </w:rPr>
        <w:t>, persistent non-attendance at school is identifie</w:t>
      </w:r>
      <w:r w:rsidR="00DA342F" w:rsidRPr="00AA5F3C">
        <w:rPr>
          <w:rFonts w:ascii="Arial" w:hAnsi="Arial" w:cs="Arial"/>
        </w:rPr>
        <w:t>d within the interpretation of ‘</w:t>
      </w:r>
      <w:r w:rsidRPr="00AA5F3C">
        <w:rPr>
          <w:rFonts w:ascii="Arial" w:hAnsi="Arial" w:cs="Arial"/>
        </w:rPr>
        <w:t>at risk</w:t>
      </w:r>
      <w:r w:rsidR="00DA342F" w:rsidRPr="00AA5F3C">
        <w:rPr>
          <w:rFonts w:ascii="Arial" w:hAnsi="Arial" w:cs="Arial"/>
        </w:rPr>
        <w:t>’</w:t>
      </w:r>
      <w:r w:rsidRPr="00AA5F3C">
        <w:rPr>
          <w:rFonts w:ascii="Arial" w:hAnsi="Arial" w:cs="Arial"/>
        </w:rPr>
        <w:t xml:space="preserve"> – “the child is of compulsory school age but has been persistently absent from school without satisfactory explanation of the absence” – and this requires action on behalf of the school to follow up with appropriate department referrals.</w:t>
      </w:r>
    </w:p>
    <w:p w:rsidR="00421714" w:rsidRPr="00AA5F3C" w:rsidRDefault="00605C73" w:rsidP="00E619A9">
      <w:pPr>
        <w:pStyle w:val="Heading1"/>
        <w:rPr>
          <w:rFonts w:cs="Arial"/>
        </w:rPr>
      </w:pPr>
      <w:bookmarkStart w:id="25" w:name="_Toc320003802"/>
      <w:bookmarkStart w:id="26" w:name="_Toc384038226"/>
      <w:r w:rsidRPr="00AA5F3C">
        <w:rPr>
          <w:rFonts w:cs="Arial"/>
        </w:rPr>
        <w:t>ANNEXURE</w:t>
      </w:r>
      <w:r w:rsidR="002B14F0" w:rsidRPr="00AA5F3C">
        <w:rPr>
          <w:rFonts w:cs="Arial"/>
        </w:rPr>
        <w:t>S</w:t>
      </w:r>
      <w:bookmarkEnd w:id="26"/>
    </w:p>
    <w:p w:rsidR="00066253" w:rsidRPr="008A1B92" w:rsidRDefault="00475DD5" w:rsidP="00FC4046">
      <w:r w:rsidRPr="00AA5F3C">
        <w:t xml:space="preserve">Australian Government’s </w:t>
      </w:r>
      <w:r w:rsidR="00377278" w:rsidRPr="00AA5F3C">
        <w:t xml:space="preserve">Commonwealth Own Purpose Expenses elements of the YAT NP </w:t>
      </w:r>
      <w:bookmarkEnd w:id="25"/>
    </w:p>
    <w:p w:rsidR="0040521B" w:rsidRDefault="0040521B" w:rsidP="00E619A9">
      <w:pPr>
        <w:rPr>
          <w:rFonts w:ascii="Arial" w:hAnsi="Arial" w:cs="Arial"/>
          <w:b/>
          <w:u w:val="single"/>
        </w:rPr>
        <w:sectPr w:rsidR="0040521B" w:rsidSect="009502AE">
          <w:type w:val="continuous"/>
          <w:pgSz w:w="11906" w:h="16838"/>
          <w:pgMar w:top="720" w:right="991" w:bottom="720" w:left="1134" w:header="568" w:footer="708" w:gutter="0"/>
          <w:cols w:space="708"/>
          <w:docGrid w:linePitch="360"/>
        </w:sectPr>
      </w:pPr>
    </w:p>
    <w:p w:rsidR="0040521B" w:rsidRDefault="00066253" w:rsidP="009C205D">
      <w:pPr>
        <w:pStyle w:val="Heading1"/>
        <w:spacing w:before="0"/>
      </w:pPr>
      <w:bookmarkStart w:id="27" w:name="_Toc384038227"/>
      <w:r>
        <w:lastRenderedPageBreak/>
        <w:t xml:space="preserve">ANNEXURE 1 A - </w:t>
      </w:r>
      <w:r w:rsidR="0040521B">
        <w:t>Youth Connections – National Summary</w:t>
      </w:r>
      <w:bookmarkEnd w:id="27"/>
    </w:p>
    <w:p w:rsidR="0040521B" w:rsidRPr="009C28B4" w:rsidRDefault="0040521B" w:rsidP="0040521B">
      <w:pPr>
        <w:rPr>
          <w:rFonts w:cstheme="minorHAnsi"/>
        </w:rPr>
      </w:pPr>
    </w:p>
    <w:p w:rsidR="0040521B" w:rsidRPr="009C28B4" w:rsidRDefault="0040521B" w:rsidP="0040521B">
      <w:pPr>
        <w:rPr>
          <w:rFonts w:cstheme="minorHAnsi"/>
        </w:rPr>
      </w:pPr>
      <w:r w:rsidRPr="009C28B4">
        <w:rPr>
          <w:rFonts w:cstheme="minorHAnsi"/>
        </w:rPr>
        <w:t xml:space="preserve">Now in its </w:t>
      </w:r>
      <w:r>
        <w:rPr>
          <w:rFonts w:cstheme="minorHAnsi"/>
        </w:rPr>
        <w:t xml:space="preserve">fourth </w:t>
      </w:r>
      <w:r w:rsidRPr="009C28B4">
        <w:rPr>
          <w:rFonts w:cstheme="minorHAnsi"/>
        </w:rPr>
        <w:t>year of operation</w:t>
      </w:r>
      <w:r>
        <w:rPr>
          <w:rFonts w:cstheme="minorHAnsi"/>
        </w:rPr>
        <w:t>,</w:t>
      </w:r>
      <w:r w:rsidRPr="009C28B4">
        <w:rPr>
          <w:rFonts w:cstheme="minorHAnsi"/>
        </w:rPr>
        <w:t xml:space="preserve"> Youth Connections is established and performing well. </w:t>
      </w:r>
    </w:p>
    <w:p w:rsidR="0040521B" w:rsidRPr="009C28B4" w:rsidRDefault="0040521B" w:rsidP="0040521B">
      <w:pPr>
        <w:rPr>
          <w:rFonts w:cstheme="minorHAnsi"/>
        </w:rPr>
      </w:pPr>
      <w:r w:rsidRPr="009C28B4">
        <w:rPr>
          <w:rFonts w:cstheme="minorHAnsi"/>
        </w:rPr>
        <w:t xml:space="preserve">Some key achievements over the past </w:t>
      </w:r>
      <w:r>
        <w:rPr>
          <w:rFonts w:cstheme="minorHAnsi"/>
        </w:rPr>
        <w:t xml:space="preserve">three </w:t>
      </w:r>
      <w:r w:rsidRPr="009C28B4">
        <w:rPr>
          <w:rFonts w:cstheme="minorHAnsi"/>
        </w:rPr>
        <w:t>years:</w:t>
      </w:r>
    </w:p>
    <w:p w:rsidR="0040521B" w:rsidRPr="009C28B4" w:rsidRDefault="0040521B" w:rsidP="0040521B">
      <w:pPr>
        <w:pStyle w:val="ListParagraph"/>
        <w:numPr>
          <w:ilvl w:val="0"/>
          <w:numId w:val="36"/>
        </w:numPr>
        <w:spacing w:line="240" w:lineRule="auto"/>
        <w:rPr>
          <w:rFonts w:cstheme="minorHAnsi"/>
        </w:rPr>
      </w:pPr>
      <w:r>
        <w:rPr>
          <w:rFonts w:cstheme="minorHAnsi"/>
        </w:rPr>
        <w:t>The</w:t>
      </w:r>
      <w:r w:rsidRPr="009C28B4">
        <w:rPr>
          <w:rFonts w:cstheme="minorHAnsi"/>
        </w:rPr>
        <w:t xml:space="preserve"> evaluation </w:t>
      </w:r>
      <w:r>
        <w:rPr>
          <w:rFonts w:cstheme="minorHAnsi"/>
        </w:rPr>
        <w:t xml:space="preserve">findings </w:t>
      </w:r>
      <w:r w:rsidRPr="009C28B4">
        <w:rPr>
          <w:rFonts w:cstheme="minorHAnsi"/>
        </w:rPr>
        <w:t xml:space="preserve">of the Youth Attainment and Transitions National Partnership (undertaken by </w:t>
      </w:r>
      <w:proofErr w:type="spellStart"/>
      <w:r w:rsidRPr="009C28B4">
        <w:rPr>
          <w:rFonts w:cstheme="minorHAnsi"/>
        </w:rPr>
        <w:t>dandolopartners</w:t>
      </w:r>
      <w:proofErr w:type="spellEnd"/>
      <w:r w:rsidRPr="009C28B4">
        <w:rPr>
          <w:rFonts w:cstheme="minorHAnsi"/>
        </w:rPr>
        <w:t>) are positive</w:t>
      </w:r>
      <w:r>
        <w:rPr>
          <w:rFonts w:cstheme="minorHAnsi"/>
        </w:rPr>
        <w:t>. The evaluation has confirmed</w:t>
      </w:r>
      <w:r w:rsidRPr="009C28B4">
        <w:rPr>
          <w:rFonts w:cstheme="minorHAnsi"/>
        </w:rPr>
        <w:t xml:space="preserve"> </w:t>
      </w:r>
      <w:r>
        <w:rPr>
          <w:rFonts w:cstheme="minorHAnsi"/>
        </w:rPr>
        <w:t xml:space="preserve">that </w:t>
      </w:r>
      <w:r w:rsidRPr="009C28B4">
        <w:rPr>
          <w:rFonts w:cstheme="minorHAnsi"/>
        </w:rPr>
        <w:t xml:space="preserve">Youth Connections is </w:t>
      </w:r>
      <w:r>
        <w:rPr>
          <w:rFonts w:cstheme="minorHAnsi"/>
        </w:rPr>
        <w:t>continuing to achieve positive outcomes for young people and is strongly supported by the education and training sector, and the community and youth sector</w:t>
      </w:r>
      <w:r w:rsidRPr="009C28B4">
        <w:rPr>
          <w:rFonts w:cstheme="minorHAnsi"/>
        </w:rPr>
        <w:t xml:space="preserve">. </w:t>
      </w:r>
    </w:p>
    <w:p w:rsidR="0040521B" w:rsidRPr="009C28B4" w:rsidRDefault="0040521B" w:rsidP="0040521B">
      <w:pPr>
        <w:pStyle w:val="ListParagraph"/>
        <w:numPr>
          <w:ilvl w:val="0"/>
          <w:numId w:val="36"/>
        </w:numPr>
        <w:spacing w:line="240" w:lineRule="auto"/>
        <w:rPr>
          <w:rFonts w:cstheme="minorHAnsi"/>
        </w:rPr>
      </w:pPr>
      <w:r w:rsidRPr="009C28B4">
        <w:rPr>
          <w:rFonts w:cstheme="minorHAnsi"/>
        </w:rPr>
        <w:t>Youth Connections providers are engaging young people from disadvantaged backgrounds. 39% of Individual Support Services participants are in the most disadvantage</w:t>
      </w:r>
      <w:r>
        <w:rPr>
          <w:rFonts w:cstheme="minorHAnsi"/>
        </w:rPr>
        <w:t>d</w:t>
      </w:r>
      <w:r w:rsidRPr="009C28B4">
        <w:rPr>
          <w:rFonts w:cstheme="minorHAnsi"/>
        </w:rPr>
        <w:t xml:space="preserve"> Socio-Economic Indexes for Areas quintile compared to 13% of the total population</w:t>
      </w:r>
      <w:r>
        <w:rPr>
          <w:rFonts w:cstheme="minorHAnsi"/>
        </w:rPr>
        <w:t xml:space="preserve"> (identified in the 2011 </w:t>
      </w:r>
      <w:proofErr w:type="spellStart"/>
      <w:r>
        <w:rPr>
          <w:rFonts w:cstheme="minorHAnsi"/>
        </w:rPr>
        <w:t>dandolopartners</w:t>
      </w:r>
      <w:proofErr w:type="spellEnd"/>
      <w:r>
        <w:rPr>
          <w:rFonts w:cstheme="minorHAnsi"/>
        </w:rPr>
        <w:t xml:space="preserve"> evaluation report)</w:t>
      </w:r>
      <w:r w:rsidRPr="009C28B4">
        <w:rPr>
          <w:rFonts w:cstheme="minorHAnsi"/>
        </w:rPr>
        <w:t>.</w:t>
      </w:r>
    </w:p>
    <w:p w:rsidR="0040521B" w:rsidRPr="009C28B4" w:rsidRDefault="0040521B" w:rsidP="0040521B">
      <w:pPr>
        <w:pStyle w:val="ListParagraph"/>
        <w:numPr>
          <w:ilvl w:val="0"/>
          <w:numId w:val="36"/>
        </w:numPr>
        <w:spacing w:line="240" w:lineRule="auto"/>
        <w:rPr>
          <w:rFonts w:cstheme="minorHAnsi"/>
        </w:rPr>
      </w:pPr>
      <w:r w:rsidRPr="009C28B4">
        <w:rPr>
          <w:rFonts w:cstheme="minorHAnsi"/>
        </w:rPr>
        <w:t>The subjective wellbeing of young people receiving Individual Support Services improved during their time in the program.</w:t>
      </w:r>
    </w:p>
    <w:p w:rsidR="0040521B" w:rsidRPr="009C28B4" w:rsidRDefault="0040521B" w:rsidP="0040521B">
      <w:pPr>
        <w:pStyle w:val="ListParagraph"/>
        <w:numPr>
          <w:ilvl w:val="0"/>
          <w:numId w:val="36"/>
        </w:numPr>
        <w:spacing w:line="240" w:lineRule="auto"/>
        <w:rPr>
          <w:rFonts w:cstheme="minorHAnsi"/>
        </w:rPr>
      </w:pPr>
      <w:r w:rsidRPr="009C28B4">
        <w:rPr>
          <w:rFonts w:cstheme="minorHAnsi"/>
        </w:rPr>
        <w:t xml:space="preserve">The flexibility of the model and the focus on disadvantaged groups has attracted additional funding </w:t>
      </w:r>
      <w:r>
        <w:rPr>
          <w:rFonts w:cstheme="minorHAnsi"/>
        </w:rPr>
        <w:t xml:space="preserve">to assist identified target groups in </w:t>
      </w:r>
      <w:r w:rsidRPr="009C28B4">
        <w:rPr>
          <w:rFonts w:cstheme="minorHAnsi"/>
        </w:rPr>
        <w:t>the program:</w:t>
      </w:r>
    </w:p>
    <w:p w:rsidR="0040521B" w:rsidRPr="009C28B4" w:rsidRDefault="0040521B" w:rsidP="0040521B">
      <w:pPr>
        <w:pStyle w:val="ListParagraph"/>
        <w:numPr>
          <w:ilvl w:val="0"/>
          <w:numId w:val="37"/>
        </w:numPr>
        <w:spacing w:line="240" w:lineRule="auto"/>
        <w:ind w:right="-142"/>
        <w:rPr>
          <w:rFonts w:cstheme="minorHAnsi"/>
        </w:rPr>
      </w:pPr>
      <w:r>
        <w:rPr>
          <w:rFonts w:cstheme="minorHAnsi"/>
        </w:rPr>
        <w:t>a</w:t>
      </w:r>
      <w:r w:rsidRPr="009C28B4">
        <w:rPr>
          <w:rFonts w:cstheme="minorHAnsi"/>
        </w:rPr>
        <w:t xml:space="preserve">n additional $1.4 million for Youth Connections in the 2011-12 Budget </w:t>
      </w:r>
      <w:r>
        <w:rPr>
          <w:rFonts w:cstheme="minorHAnsi"/>
        </w:rPr>
        <w:t xml:space="preserve">as part of the Building Australia’s Future Workforce measures </w:t>
      </w:r>
      <w:r w:rsidRPr="009C28B4">
        <w:rPr>
          <w:rFonts w:cstheme="minorHAnsi"/>
        </w:rPr>
        <w:t>to better support teenage parents in 10 locations</w:t>
      </w:r>
      <w:r>
        <w:rPr>
          <w:rFonts w:cstheme="minorHAnsi"/>
        </w:rPr>
        <w:t xml:space="preserve"> for two years (2012-2013);</w:t>
      </w:r>
    </w:p>
    <w:p w:rsidR="0040521B" w:rsidRPr="009C28B4" w:rsidRDefault="0040521B" w:rsidP="0040521B">
      <w:pPr>
        <w:pStyle w:val="ListParagraph"/>
        <w:numPr>
          <w:ilvl w:val="0"/>
          <w:numId w:val="37"/>
        </w:numPr>
        <w:spacing w:line="240" w:lineRule="auto"/>
        <w:ind w:right="-142"/>
        <w:rPr>
          <w:rFonts w:cstheme="minorHAnsi"/>
        </w:rPr>
      </w:pPr>
      <w:r>
        <w:rPr>
          <w:rFonts w:cstheme="minorHAnsi"/>
        </w:rPr>
        <w:t>t</w:t>
      </w:r>
      <w:r w:rsidRPr="009C28B4">
        <w:rPr>
          <w:rFonts w:cstheme="minorHAnsi"/>
        </w:rPr>
        <w:t xml:space="preserve">hree Youth Connections providers </w:t>
      </w:r>
      <w:r>
        <w:rPr>
          <w:rFonts w:cstheme="minorHAnsi"/>
        </w:rPr>
        <w:t>were</w:t>
      </w:r>
      <w:r w:rsidRPr="009C28B4">
        <w:rPr>
          <w:rFonts w:cstheme="minorHAnsi"/>
        </w:rPr>
        <w:t xml:space="preserve"> contracted to deliver the $3.5 million Youth Connections/Reducing Substance Abuse Pilot Projects for two years (2011-2012)</w:t>
      </w:r>
      <w:r>
        <w:rPr>
          <w:rFonts w:cstheme="minorHAnsi"/>
        </w:rPr>
        <w:t>; and</w:t>
      </w:r>
    </w:p>
    <w:p w:rsidR="0040521B" w:rsidRPr="009C28B4" w:rsidRDefault="0040521B" w:rsidP="0040521B">
      <w:pPr>
        <w:pStyle w:val="ListParagraph"/>
        <w:numPr>
          <w:ilvl w:val="0"/>
          <w:numId w:val="37"/>
        </w:numPr>
        <w:spacing w:line="240" w:lineRule="auto"/>
        <w:ind w:right="-142"/>
        <w:rPr>
          <w:rFonts w:cstheme="minorHAnsi"/>
        </w:rPr>
      </w:pPr>
      <w:proofErr w:type="gramStart"/>
      <w:r>
        <w:rPr>
          <w:rFonts w:cstheme="minorHAnsi"/>
        </w:rPr>
        <w:t>t</w:t>
      </w:r>
      <w:r w:rsidRPr="009C28B4">
        <w:rPr>
          <w:rFonts w:cstheme="minorHAnsi"/>
        </w:rPr>
        <w:t>he</w:t>
      </w:r>
      <w:proofErr w:type="gramEnd"/>
      <w:r w:rsidRPr="009C28B4">
        <w:rPr>
          <w:rFonts w:cstheme="minorHAnsi"/>
        </w:rPr>
        <w:t xml:space="preserve"> network of Youth Connections providers in Victoria is being used for Springboard</w:t>
      </w:r>
      <w:r>
        <w:rPr>
          <w:rFonts w:cstheme="minorHAnsi"/>
        </w:rPr>
        <w:t>,</w:t>
      </w:r>
      <w:r w:rsidRPr="009C28B4">
        <w:rPr>
          <w:rFonts w:cstheme="minorHAnsi"/>
        </w:rPr>
        <w:t xml:space="preserve"> a Victorian Government program to support young people in residential out-of-home care ($16.9 million over four years).</w:t>
      </w:r>
    </w:p>
    <w:p w:rsidR="00066253" w:rsidRDefault="00066253" w:rsidP="00066253">
      <w:pPr>
        <w:pStyle w:val="Heading2"/>
      </w:pPr>
      <w:bookmarkStart w:id="28" w:name="_Toc384038228"/>
      <w:r>
        <w:t>Individual Support Services</w:t>
      </w:r>
      <w:bookmarkEnd w:id="28"/>
    </w:p>
    <w:p w:rsidR="0040521B" w:rsidRPr="009C28B4" w:rsidRDefault="0040521B" w:rsidP="0040521B">
      <w:pPr>
        <w:spacing w:after="120"/>
        <w:rPr>
          <w:rFonts w:cstheme="minorHAnsi"/>
        </w:rPr>
      </w:pPr>
      <w:r w:rsidRPr="009C28B4">
        <w:rPr>
          <w:rFonts w:cstheme="minorHAnsi"/>
        </w:rPr>
        <w:t>Under ‘</w:t>
      </w:r>
      <w:r w:rsidRPr="009C28B4">
        <w:rPr>
          <w:rFonts w:cstheme="minorHAnsi"/>
          <w:i/>
        </w:rPr>
        <w:t>Individual Support Services’</w:t>
      </w:r>
      <w:r w:rsidRPr="009C28B4">
        <w:rPr>
          <w:rFonts w:cstheme="minorHAnsi"/>
        </w:rPr>
        <w:t xml:space="preserve">, Youth Connections providers delivered flexible and individualised services to young people at risk, including those who are at risk of disengaging from school, through to those who are severely disconnected from education, family and community. </w:t>
      </w:r>
    </w:p>
    <w:p w:rsidR="0040521B" w:rsidRDefault="0040521B" w:rsidP="0040521B">
      <w:pPr>
        <w:rPr>
          <w:rFonts w:cstheme="minorHAnsi"/>
        </w:rPr>
      </w:pPr>
      <w:r>
        <w:rPr>
          <w:rFonts w:cstheme="minorHAnsi"/>
        </w:rPr>
        <w:t>Since the program commenced in 2010</w:t>
      </w:r>
      <w:r w:rsidRPr="009C28B4">
        <w:rPr>
          <w:rFonts w:cstheme="minorHAnsi"/>
        </w:rPr>
        <w:t xml:space="preserve">, Youth Connections provided Individual Support Services to </w:t>
      </w:r>
      <w:r>
        <w:rPr>
          <w:rFonts w:cstheme="minorHAnsi"/>
        </w:rPr>
        <w:t>58,408</w:t>
      </w:r>
      <w:r w:rsidRPr="009C28B4">
        <w:rPr>
          <w:rFonts w:cstheme="minorHAnsi"/>
        </w:rPr>
        <w:t xml:space="preserve"> young people. </w:t>
      </w:r>
      <w:r>
        <w:rPr>
          <w:rFonts w:cs="Calibri"/>
          <w:color w:val="000000"/>
        </w:rPr>
        <w:t>34,793</w:t>
      </w:r>
      <w:r w:rsidRPr="009C28B4">
        <w:rPr>
          <w:rFonts w:cstheme="minorHAnsi"/>
        </w:rPr>
        <w:t xml:space="preserve"> (</w:t>
      </w:r>
      <w:r>
        <w:rPr>
          <w:rFonts w:cstheme="minorHAnsi"/>
        </w:rPr>
        <w:t>60</w:t>
      </w:r>
      <w:r w:rsidRPr="009C28B4">
        <w:rPr>
          <w:rFonts w:cstheme="minorHAnsi"/>
        </w:rPr>
        <w:t xml:space="preserve">%) young people achieved a final outcome in the program, which represents re-engagement or a sustained improvement in a young person’s engagement with education, training or employment. A further </w:t>
      </w:r>
      <w:r w:rsidRPr="00667B71">
        <w:rPr>
          <w:rFonts w:cstheme="minorHAnsi"/>
        </w:rPr>
        <w:t>10</w:t>
      </w:r>
      <w:r>
        <w:rPr>
          <w:rFonts w:cstheme="minorHAnsi"/>
        </w:rPr>
        <w:t>,</w:t>
      </w:r>
      <w:r w:rsidRPr="00667B71">
        <w:rPr>
          <w:rFonts w:cstheme="minorHAnsi"/>
        </w:rPr>
        <w:t xml:space="preserve">398 </w:t>
      </w:r>
      <w:r w:rsidRPr="009C28B4">
        <w:rPr>
          <w:rFonts w:cstheme="minorHAnsi"/>
        </w:rPr>
        <w:t>(1</w:t>
      </w:r>
      <w:r>
        <w:rPr>
          <w:rFonts w:cstheme="minorHAnsi"/>
        </w:rPr>
        <w:t>8</w:t>
      </w:r>
      <w:r w:rsidRPr="009C28B4">
        <w:rPr>
          <w:rFonts w:cstheme="minorHAnsi"/>
        </w:rPr>
        <w:t xml:space="preserve">%) were assessed as making significant progress in addressing their barriers to full engagement in education. </w:t>
      </w:r>
    </w:p>
    <w:p w:rsidR="0040521B" w:rsidRPr="009C28B4" w:rsidRDefault="0040521B" w:rsidP="0040521B">
      <w:pPr>
        <w:rPr>
          <w:rFonts w:cstheme="minorHAnsi"/>
        </w:rPr>
      </w:pPr>
    </w:p>
    <w:p w:rsidR="0040521B" w:rsidRPr="009C28B4" w:rsidRDefault="0040521B" w:rsidP="0040521B">
      <w:pPr>
        <w:rPr>
          <w:rFonts w:cstheme="minorHAnsi"/>
        </w:rPr>
      </w:pPr>
      <w:r w:rsidRPr="009C28B4">
        <w:rPr>
          <w:rFonts w:cstheme="minorHAnsi"/>
        </w:rPr>
        <w:t xml:space="preserve">Youth Connections service providers apply the </w:t>
      </w:r>
      <w:r w:rsidRPr="009C28B4">
        <w:rPr>
          <w:rFonts w:cstheme="minorHAnsi"/>
          <w:i/>
        </w:rPr>
        <w:t xml:space="preserve">Personal Wellbeing Index </w:t>
      </w:r>
      <w:r>
        <w:rPr>
          <w:rFonts w:cstheme="minorHAnsi"/>
          <w:i/>
        </w:rPr>
        <w:t>(</w:t>
      </w:r>
      <w:r w:rsidRPr="009C28B4">
        <w:rPr>
          <w:rFonts w:cstheme="minorHAnsi"/>
          <w:i/>
        </w:rPr>
        <w:t>School Children</w:t>
      </w:r>
      <w:r>
        <w:rPr>
          <w:rFonts w:cstheme="minorHAnsi"/>
          <w:i/>
        </w:rPr>
        <w:t>)</w:t>
      </w:r>
      <w:r w:rsidRPr="009C28B4">
        <w:rPr>
          <w:rFonts w:cstheme="minorHAnsi"/>
        </w:rPr>
        <w:t xml:space="preserve"> to assess the Subjective Wellbeing of Individual Support Service</w:t>
      </w:r>
      <w:r w:rsidRPr="009C28B4">
        <w:rPr>
          <w:rFonts w:cstheme="minorHAnsi"/>
          <w:i/>
        </w:rPr>
        <w:t xml:space="preserve"> </w:t>
      </w:r>
      <w:r w:rsidRPr="009C28B4">
        <w:rPr>
          <w:rFonts w:cstheme="minorHAnsi"/>
        </w:rPr>
        <w:t xml:space="preserve">recipients. The survey is completed at entry and exit. </w:t>
      </w:r>
      <w:r>
        <w:rPr>
          <w:rFonts w:cstheme="minorHAnsi"/>
        </w:rPr>
        <w:t>18,085</w:t>
      </w:r>
      <w:r w:rsidRPr="009C28B4">
        <w:rPr>
          <w:rFonts w:cstheme="minorHAnsi"/>
        </w:rPr>
        <w:t xml:space="preserve"> participants completed the survey. A significant </w:t>
      </w:r>
      <w:r>
        <w:rPr>
          <w:rFonts w:cstheme="minorHAnsi"/>
        </w:rPr>
        <w:t>6.09</w:t>
      </w:r>
      <w:r w:rsidRPr="009C28B4">
        <w:rPr>
          <w:rFonts w:cstheme="minorHAnsi"/>
        </w:rPr>
        <w:t xml:space="preserve"> percentage point increase in Subjective Wellbeing was observed from when the participant entered the program compared to when they exited the program</w:t>
      </w:r>
      <w:r w:rsidRPr="009C28B4">
        <w:rPr>
          <w:rStyle w:val="FootnoteReference"/>
          <w:rFonts w:cstheme="minorHAnsi"/>
        </w:rPr>
        <w:footnoteReference w:id="1"/>
      </w:r>
      <w:r w:rsidRPr="009C28B4">
        <w:rPr>
          <w:rFonts w:cstheme="minorHAnsi"/>
        </w:rPr>
        <w:t xml:space="preserve">. </w:t>
      </w:r>
      <w:r>
        <w:rPr>
          <w:rFonts w:cstheme="minorHAnsi"/>
        </w:rPr>
        <w:t>The evidence also suggests a causal link between the attainment of objectively quantifiable program outcomes and psychological wellbeing, further highlighting the positive and pervasive impact that the Youth Connections program is having on the lives of many young people who complete the program. In addition, t</w:t>
      </w:r>
      <w:r w:rsidRPr="009C28B4">
        <w:rPr>
          <w:rFonts w:cstheme="minorHAnsi"/>
        </w:rPr>
        <w:t>hese data suggest a considerable reduction in the proportion of young people who are likely to be depressed</w:t>
      </w:r>
      <w:r>
        <w:rPr>
          <w:rFonts w:cstheme="minorHAnsi"/>
        </w:rPr>
        <w:t>,</w:t>
      </w:r>
      <w:r w:rsidRPr="009C28B4">
        <w:rPr>
          <w:rFonts w:cstheme="minorHAnsi"/>
        </w:rPr>
        <w:t xml:space="preserve"> or at high-risk </w:t>
      </w:r>
      <w:r>
        <w:rPr>
          <w:rFonts w:cstheme="minorHAnsi"/>
        </w:rPr>
        <w:t xml:space="preserve">of </w:t>
      </w:r>
      <w:r w:rsidRPr="009C28B4">
        <w:rPr>
          <w:rFonts w:cstheme="minorHAnsi"/>
        </w:rPr>
        <w:t>depression</w:t>
      </w:r>
      <w:r>
        <w:rPr>
          <w:rFonts w:cstheme="minorHAnsi"/>
        </w:rPr>
        <w:t>,</w:t>
      </w:r>
      <w:r w:rsidRPr="009C28B4">
        <w:rPr>
          <w:rFonts w:cstheme="minorHAnsi"/>
        </w:rPr>
        <w:t xml:space="preserve"> after participating in Youth Connections. </w:t>
      </w:r>
    </w:p>
    <w:p w:rsidR="0040521B" w:rsidRPr="009C28B4" w:rsidRDefault="0040521B" w:rsidP="0040521B">
      <w:pPr>
        <w:rPr>
          <w:rFonts w:cstheme="minorHAnsi"/>
          <w:i/>
        </w:rPr>
      </w:pPr>
    </w:p>
    <w:p w:rsidR="0040521B" w:rsidRPr="009C28B4" w:rsidRDefault="0040521B" w:rsidP="0040521B">
      <w:pPr>
        <w:rPr>
          <w:rFonts w:cstheme="minorHAnsi"/>
        </w:rPr>
      </w:pPr>
      <w:r w:rsidRPr="009C28B4">
        <w:rPr>
          <w:rFonts w:cstheme="minorHAnsi"/>
        </w:rPr>
        <w:lastRenderedPageBreak/>
        <w:t xml:space="preserve">While Youth Connections is performing well, supporting the needs of Youth Connections participants is a complex and resource-intensive challenge for providers. Demand for Individual Support Services outstrips program capacity, and some providers are unable to take on all referrals. </w:t>
      </w:r>
    </w:p>
    <w:p w:rsidR="0040521B" w:rsidRPr="009C28B4" w:rsidRDefault="0040521B" w:rsidP="00CD07F5">
      <w:pPr>
        <w:pStyle w:val="Heading2"/>
      </w:pPr>
      <w:bookmarkStart w:id="29" w:name="_Toc384038229"/>
      <w:r w:rsidRPr="00113821">
        <w:t>Outreach and</w:t>
      </w:r>
      <w:r w:rsidRPr="009C28B4">
        <w:t xml:space="preserve"> Re-engagement </w:t>
      </w:r>
      <w:r>
        <w:t>a</w:t>
      </w:r>
      <w:r w:rsidRPr="009C28B4">
        <w:t>ctivities</w:t>
      </w:r>
      <w:bookmarkEnd w:id="29"/>
    </w:p>
    <w:p w:rsidR="0040521B" w:rsidRPr="009C28B4" w:rsidRDefault="0040521B" w:rsidP="0040521B">
      <w:pPr>
        <w:rPr>
          <w:rFonts w:cstheme="minorHAnsi"/>
        </w:rPr>
      </w:pPr>
      <w:r w:rsidRPr="009C28B4">
        <w:rPr>
          <w:rFonts w:cstheme="minorHAnsi"/>
        </w:rPr>
        <w:t>Under ‘</w:t>
      </w:r>
      <w:r w:rsidRPr="009C28B4">
        <w:rPr>
          <w:rFonts w:cstheme="minorHAnsi"/>
          <w:i/>
        </w:rPr>
        <w:t>Outreach and Re-engagement</w:t>
      </w:r>
      <w:r>
        <w:rPr>
          <w:rFonts w:cstheme="minorHAnsi"/>
          <w:i/>
        </w:rPr>
        <w:t>’</w:t>
      </w:r>
      <w:r w:rsidRPr="009C28B4">
        <w:rPr>
          <w:rFonts w:cstheme="minorHAnsi"/>
          <w:i/>
        </w:rPr>
        <w:t xml:space="preserve"> </w:t>
      </w:r>
      <w:r w:rsidRPr="00B725CB">
        <w:rPr>
          <w:rFonts w:cstheme="minorHAnsi"/>
        </w:rPr>
        <w:t>activities,</w:t>
      </w:r>
      <w:r>
        <w:rPr>
          <w:rFonts w:cstheme="minorHAnsi"/>
          <w:i/>
        </w:rPr>
        <w:t xml:space="preserve"> </w:t>
      </w:r>
      <w:r w:rsidRPr="009C28B4">
        <w:rPr>
          <w:rFonts w:cstheme="minorHAnsi"/>
        </w:rPr>
        <w:t xml:space="preserve">Youth Connections providers offer </w:t>
      </w:r>
      <w:proofErr w:type="gramStart"/>
      <w:r w:rsidRPr="009C28B4">
        <w:rPr>
          <w:rFonts w:cstheme="minorHAnsi"/>
        </w:rPr>
        <w:t>proactive,</w:t>
      </w:r>
      <w:proofErr w:type="gramEnd"/>
      <w:r w:rsidRPr="009C28B4">
        <w:rPr>
          <w:rFonts w:cstheme="minorHAnsi"/>
        </w:rPr>
        <w:t xml:space="preserve"> youth focused re-engagement activities and outreach services. Outreach and </w:t>
      </w:r>
    </w:p>
    <w:p w:rsidR="0040521B" w:rsidRPr="009C28B4" w:rsidRDefault="0040521B" w:rsidP="0040521B">
      <w:pPr>
        <w:rPr>
          <w:rFonts w:cstheme="minorHAnsi"/>
        </w:rPr>
      </w:pPr>
      <w:r w:rsidRPr="009C28B4">
        <w:rPr>
          <w:rFonts w:cstheme="minorHAnsi"/>
        </w:rPr>
        <w:t xml:space="preserve">Re-engagement </w:t>
      </w:r>
      <w:r>
        <w:rPr>
          <w:rFonts w:cstheme="minorHAnsi"/>
        </w:rPr>
        <w:t>a</w:t>
      </w:r>
      <w:r w:rsidRPr="009C28B4">
        <w:rPr>
          <w:rFonts w:cstheme="minorHAnsi"/>
        </w:rPr>
        <w:t xml:space="preserve">ctivities aim to find severely disengaged young people, and to connect these young people with activities to support their re-engagement with learning, family and community. </w:t>
      </w:r>
      <w:r>
        <w:rPr>
          <w:rFonts w:cstheme="minorHAnsi"/>
        </w:rPr>
        <w:t>19,318</w:t>
      </w:r>
      <w:r w:rsidRPr="009C28B4">
        <w:rPr>
          <w:rFonts w:cstheme="minorHAnsi"/>
        </w:rPr>
        <w:t xml:space="preserve"> activities were held to find and connect with at-risk young people, with providers linking with </w:t>
      </w:r>
      <w:r>
        <w:rPr>
          <w:rFonts w:cstheme="minorHAnsi"/>
        </w:rPr>
        <w:t xml:space="preserve">405,017 </w:t>
      </w:r>
      <w:r w:rsidRPr="009C28B4">
        <w:rPr>
          <w:rFonts w:cstheme="minorHAnsi"/>
        </w:rPr>
        <w:t xml:space="preserve">young people through these activities. </w:t>
      </w:r>
    </w:p>
    <w:p w:rsidR="0040521B" w:rsidRPr="009C28B4" w:rsidRDefault="0040521B" w:rsidP="0040521B">
      <w:pPr>
        <w:rPr>
          <w:rFonts w:cstheme="minorHAnsi"/>
        </w:rPr>
      </w:pPr>
    </w:p>
    <w:p w:rsidR="0040521B" w:rsidRPr="009C28B4" w:rsidRDefault="0040521B" w:rsidP="0040521B">
      <w:pPr>
        <w:rPr>
          <w:rFonts w:cstheme="minorHAnsi"/>
        </w:rPr>
      </w:pPr>
      <w:r>
        <w:rPr>
          <w:rFonts w:cstheme="minorHAnsi"/>
        </w:rPr>
        <w:t>Findings</w:t>
      </w:r>
      <w:r w:rsidRPr="009C28B4">
        <w:rPr>
          <w:rFonts w:cstheme="minorHAnsi"/>
        </w:rPr>
        <w:t xml:space="preserve"> from the Youth Attainment and Transitions National Partnership evaluation show that </w:t>
      </w:r>
      <w:r>
        <w:rPr>
          <w:rFonts w:cstheme="minorHAnsi"/>
        </w:rPr>
        <w:t xml:space="preserve">work on </w:t>
      </w:r>
      <w:r w:rsidRPr="009C28B4">
        <w:rPr>
          <w:rFonts w:cstheme="minorHAnsi"/>
        </w:rPr>
        <w:t xml:space="preserve">Outreach and Re-engagement </w:t>
      </w:r>
      <w:r>
        <w:rPr>
          <w:rFonts w:cstheme="minorHAnsi"/>
        </w:rPr>
        <w:t>a</w:t>
      </w:r>
      <w:r w:rsidRPr="009C28B4">
        <w:rPr>
          <w:rFonts w:cstheme="minorHAnsi"/>
        </w:rPr>
        <w:t xml:space="preserve">ctivities services began slowly, but </w:t>
      </w:r>
      <w:r>
        <w:rPr>
          <w:rFonts w:cstheme="minorHAnsi"/>
        </w:rPr>
        <w:t xml:space="preserve">progress </w:t>
      </w:r>
      <w:r w:rsidRPr="009C28B4">
        <w:rPr>
          <w:rFonts w:cstheme="minorHAnsi"/>
        </w:rPr>
        <w:t>towards targeted outcomes</w:t>
      </w:r>
      <w:r>
        <w:rPr>
          <w:rFonts w:cstheme="minorHAnsi"/>
        </w:rPr>
        <w:t xml:space="preserve"> has improved in recent times</w:t>
      </w:r>
      <w:r w:rsidRPr="009C28B4">
        <w:rPr>
          <w:rFonts w:cstheme="minorHAnsi"/>
        </w:rPr>
        <w:t>. Improving provider understanding and performance has been, and will continue to be, a focus for DEEWR.</w:t>
      </w:r>
      <w:r>
        <w:rPr>
          <w:rFonts w:cstheme="minorHAnsi"/>
        </w:rPr>
        <w:t xml:space="preserve"> </w:t>
      </w:r>
    </w:p>
    <w:p w:rsidR="0040521B" w:rsidRPr="009C28B4" w:rsidRDefault="0040521B" w:rsidP="00CD07F5">
      <w:pPr>
        <w:pStyle w:val="Heading2"/>
      </w:pPr>
      <w:bookmarkStart w:id="30" w:name="_Toc384038230"/>
      <w:r w:rsidRPr="00113821">
        <w:t>Strengthening Services</w:t>
      </w:r>
      <w:r w:rsidRPr="009C28B4">
        <w:t xml:space="preserve"> in the Region Activities</w:t>
      </w:r>
      <w:bookmarkEnd w:id="30"/>
    </w:p>
    <w:p w:rsidR="0040521B" w:rsidRPr="009C28B4" w:rsidRDefault="0040521B" w:rsidP="0040521B">
      <w:pPr>
        <w:rPr>
          <w:rFonts w:cstheme="minorHAnsi"/>
        </w:rPr>
      </w:pPr>
      <w:r w:rsidRPr="009C28B4">
        <w:rPr>
          <w:rFonts w:cstheme="minorHAnsi"/>
        </w:rPr>
        <w:t>Under ‘</w:t>
      </w:r>
      <w:r w:rsidRPr="009C28B4">
        <w:rPr>
          <w:rFonts w:cstheme="minorHAnsi"/>
          <w:i/>
        </w:rPr>
        <w:t>Strengthening Services in the Region</w:t>
      </w:r>
      <w:r>
        <w:rPr>
          <w:rFonts w:cstheme="minorHAnsi"/>
          <w:i/>
        </w:rPr>
        <w:t>’</w:t>
      </w:r>
      <w:r w:rsidRPr="00B725CB">
        <w:rPr>
          <w:rFonts w:cstheme="minorHAnsi"/>
        </w:rPr>
        <w:t xml:space="preserve"> </w:t>
      </w:r>
      <w:r>
        <w:rPr>
          <w:rFonts w:cstheme="minorHAnsi"/>
        </w:rPr>
        <w:t>a</w:t>
      </w:r>
      <w:r w:rsidRPr="00B725CB">
        <w:rPr>
          <w:rFonts w:cstheme="minorHAnsi"/>
        </w:rPr>
        <w:t>ctivities,</w:t>
      </w:r>
      <w:r w:rsidRPr="009C28B4">
        <w:rPr>
          <w:rFonts w:cstheme="minorHAnsi"/>
        </w:rPr>
        <w:t xml:space="preserve"> Youth Connections providers work to build capacity and strengthen services for young people at risk and ensure that providers of other services </w:t>
      </w:r>
      <w:r>
        <w:rPr>
          <w:rFonts w:cstheme="minorHAnsi"/>
        </w:rPr>
        <w:t xml:space="preserve">within the </w:t>
      </w:r>
      <w:r w:rsidRPr="009C28B4">
        <w:rPr>
          <w:rFonts w:cstheme="minorHAnsi"/>
        </w:rPr>
        <w:t xml:space="preserve">region are connected. Providers undertook a range of initiatives to strengthen services in the region, with </w:t>
      </w:r>
      <w:r>
        <w:rPr>
          <w:rFonts w:cstheme="minorHAnsi"/>
        </w:rPr>
        <w:t xml:space="preserve">7,162 </w:t>
      </w:r>
      <w:r w:rsidRPr="009C28B4">
        <w:rPr>
          <w:rFonts w:cstheme="minorHAnsi"/>
        </w:rPr>
        <w:t xml:space="preserve">activities held. </w:t>
      </w:r>
    </w:p>
    <w:p w:rsidR="0040521B" w:rsidRPr="009C28B4" w:rsidRDefault="0040521B" w:rsidP="0040521B">
      <w:pPr>
        <w:rPr>
          <w:rFonts w:cstheme="minorHAnsi"/>
        </w:rPr>
      </w:pPr>
    </w:p>
    <w:p w:rsidR="0040521B" w:rsidRDefault="0040521B" w:rsidP="0040521B">
      <w:pPr>
        <w:rPr>
          <w:rFonts w:cstheme="minorHAnsi"/>
        </w:rPr>
      </w:pPr>
      <w:r>
        <w:rPr>
          <w:rFonts w:cstheme="minorHAnsi"/>
        </w:rPr>
        <w:t xml:space="preserve">As with </w:t>
      </w:r>
      <w:r w:rsidRPr="009C28B4">
        <w:rPr>
          <w:rFonts w:cstheme="minorHAnsi"/>
        </w:rPr>
        <w:t xml:space="preserve">Outreach and Re-Engagement </w:t>
      </w:r>
      <w:r>
        <w:rPr>
          <w:rFonts w:cstheme="minorHAnsi"/>
        </w:rPr>
        <w:t>a</w:t>
      </w:r>
      <w:r w:rsidRPr="009C28B4">
        <w:rPr>
          <w:rFonts w:cstheme="minorHAnsi"/>
        </w:rPr>
        <w:t xml:space="preserve">ctivities, Strengthening Services in the Region </w:t>
      </w:r>
      <w:r>
        <w:rPr>
          <w:rFonts w:cstheme="minorHAnsi"/>
        </w:rPr>
        <w:t>a</w:t>
      </w:r>
      <w:r w:rsidRPr="009C28B4">
        <w:rPr>
          <w:rFonts w:cstheme="minorHAnsi"/>
        </w:rPr>
        <w:t xml:space="preserve">ctivities was a less familiar service delivery component for </w:t>
      </w:r>
      <w:r>
        <w:rPr>
          <w:rFonts w:cstheme="minorHAnsi"/>
        </w:rPr>
        <w:t xml:space="preserve">some </w:t>
      </w:r>
      <w:r w:rsidRPr="009C28B4">
        <w:rPr>
          <w:rFonts w:cstheme="minorHAnsi"/>
        </w:rPr>
        <w:t>service providers than Individual Support Services</w:t>
      </w:r>
      <w:r>
        <w:rPr>
          <w:rFonts w:cstheme="minorHAnsi"/>
        </w:rPr>
        <w:t>. Findings</w:t>
      </w:r>
      <w:r w:rsidRPr="009C28B4">
        <w:rPr>
          <w:rFonts w:cstheme="minorHAnsi"/>
        </w:rPr>
        <w:t xml:space="preserve"> from the </w:t>
      </w:r>
      <w:proofErr w:type="spellStart"/>
      <w:r w:rsidRPr="009C28B4">
        <w:rPr>
          <w:rFonts w:cstheme="minorHAnsi"/>
        </w:rPr>
        <w:t>dandolo</w:t>
      </w:r>
      <w:r>
        <w:rPr>
          <w:rFonts w:cstheme="minorHAnsi"/>
        </w:rPr>
        <w:t>partners</w:t>
      </w:r>
      <w:proofErr w:type="spellEnd"/>
      <w:r w:rsidRPr="009C28B4">
        <w:rPr>
          <w:rFonts w:cstheme="minorHAnsi"/>
        </w:rPr>
        <w:t xml:space="preserve"> evaluation confirm that objectives and roles for Strengthening Services in the Region </w:t>
      </w:r>
      <w:r>
        <w:rPr>
          <w:rFonts w:cstheme="minorHAnsi"/>
        </w:rPr>
        <w:t>a</w:t>
      </w:r>
      <w:r w:rsidRPr="009C28B4">
        <w:rPr>
          <w:rFonts w:cstheme="minorHAnsi"/>
        </w:rPr>
        <w:t>ctivities do not appear to be consistently understood by providers.</w:t>
      </w:r>
      <w:r w:rsidRPr="009C28B4">
        <w:rPr>
          <w:rFonts w:cstheme="minorHAnsi"/>
          <w:b/>
        </w:rPr>
        <w:t xml:space="preserve"> </w:t>
      </w:r>
      <w:r w:rsidRPr="009C28B4">
        <w:rPr>
          <w:rFonts w:cstheme="minorHAnsi"/>
        </w:rPr>
        <w:t>DEEWR took steps early in the life of the program to address these issues, through revised guidelines, provider newsletters and proactive contract management. Improved provider understanding and performance against this element has been, and will continue to be, a focus for DEEWR in 201</w:t>
      </w:r>
      <w:r>
        <w:rPr>
          <w:rFonts w:cstheme="minorHAnsi"/>
        </w:rPr>
        <w:t>3</w:t>
      </w:r>
      <w:r w:rsidRPr="009C28B4">
        <w:rPr>
          <w:rFonts w:cstheme="minorHAnsi"/>
        </w:rPr>
        <w:t>.</w:t>
      </w:r>
    </w:p>
    <w:p w:rsidR="0040521B" w:rsidRPr="00B725CB" w:rsidRDefault="0040521B" w:rsidP="00CD07F5">
      <w:pPr>
        <w:pStyle w:val="Heading2"/>
      </w:pPr>
      <w:bookmarkStart w:id="31" w:name="_Toc384038231"/>
      <w:r w:rsidRPr="00113821">
        <w:t>Program extension</w:t>
      </w:r>
      <w:r>
        <w:t xml:space="preserve"> and c</w:t>
      </w:r>
      <w:r w:rsidRPr="00B725CB">
        <w:t xml:space="preserve">hanges to Outreach and Re-engagement and Strengthening Services in the Region </w:t>
      </w:r>
      <w:r>
        <w:t>a</w:t>
      </w:r>
      <w:r w:rsidRPr="00B725CB">
        <w:t>ctivities</w:t>
      </w:r>
      <w:bookmarkEnd w:id="31"/>
    </w:p>
    <w:p w:rsidR="0040521B" w:rsidRDefault="0040521B" w:rsidP="0040521B">
      <w:pPr>
        <w:rPr>
          <w:rFonts w:cstheme="minorHAnsi"/>
        </w:rPr>
      </w:pPr>
      <w:r w:rsidRPr="002531A6">
        <w:rPr>
          <w:rFonts w:cstheme="minorHAnsi"/>
        </w:rPr>
        <w:t>As outlined in the Federal Budget</w:t>
      </w:r>
      <w:r>
        <w:rPr>
          <w:rFonts w:cstheme="minorHAnsi"/>
        </w:rPr>
        <w:t xml:space="preserve"> 2013-14</w:t>
      </w:r>
      <w:r w:rsidRPr="002531A6">
        <w:rPr>
          <w:rFonts w:cstheme="minorHAnsi"/>
        </w:rPr>
        <w:t>, the Australian Government will be extending the Youth Connections Program, the School Business Community Partnership Brokers Program and National Career Development initiatives for a period of 12 months</w:t>
      </w:r>
      <w:r>
        <w:rPr>
          <w:rFonts w:cstheme="minorHAnsi"/>
        </w:rPr>
        <w:t xml:space="preserve"> to 31 December 2014</w:t>
      </w:r>
      <w:r w:rsidRPr="002531A6">
        <w:rPr>
          <w:rFonts w:cstheme="minorHAnsi"/>
        </w:rPr>
        <w:t xml:space="preserve">. These initiatives were originally implemented under the National Partnership on Youth Attainment and </w:t>
      </w:r>
      <w:r>
        <w:rPr>
          <w:rFonts w:cstheme="minorHAnsi"/>
        </w:rPr>
        <w:t>T</w:t>
      </w:r>
      <w:r w:rsidRPr="002531A6">
        <w:rPr>
          <w:rFonts w:cstheme="minorHAnsi"/>
        </w:rPr>
        <w:t>ransitions (National Partnership) which will cease on 31 December 2013</w:t>
      </w:r>
      <w:r>
        <w:rPr>
          <w:rFonts w:cstheme="minorHAnsi"/>
        </w:rPr>
        <w:t>. T</w:t>
      </w:r>
      <w:r w:rsidRPr="002531A6">
        <w:rPr>
          <w:rFonts w:cstheme="minorHAnsi"/>
        </w:rPr>
        <w:t>he extension of these three elements ensure</w:t>
      </w:r>
      <w:r>
        <w:rPr>
          <w:rFonts w:cstheme="minorHAnsi"/>
        </w:rPr>
        <w:t>s</w:t>
      </w:r>
      <w:r w:rsidRPr="002531A6">
        <w:rPr>
          <w:rFonts w:cstheme="minorHAnsi"/>
        </w:rPr>
        <w:t xml:space="preserve"> continued investment </w:t>
      </w:r>
      <w:r>
        <w:rPr>
          <w:rFonts w:cstheme="minorHAnsi"/>
        </w:rPr>
        <w:t xml:space="preserve">in programs to assist young people </w:t>
      </w:r>
      <w:r w:rsidRPr="002531A6">
        <w:rPr>
          <w:rFonts w:cstheme="minorHAnsi"/>
        </w:rPr>
        <w:t xml:space="preserve">to achieve </w:t>
      </w:r>
      <w:r>
        <w:rPr>
          <w:rFonts w:cstheme="minorHAnsi"/>
        </w:rPr>
        <w:t xml:space="preserve">improved </w:t>
      </w:r>
      <w:r w:rsidRPr="002531A6">
        <w:rPr>
          <w:rFonts w:cstheme="minorHAnsi"/>
        </w:rPr>
        <w:t>youth attainment and transition</w:t>
      </w:r>
      <w:r>
        <w:rPr>
          <w:rFonts w:cstheme="minorHAnsi"/>
        </w:rPr>
        <w:t xml:space="preserve"> outcomes</w:t>
      </w:r>
      <w:r w:rsidRPr="002531A6">
        <w:rPr>
          <w:rFonts w:cstheme="minorHAnsi"/>
        </w:rPr>
        <w:t>.</w:t>
      </w:r>
    </w:p>
    <w:p w:rsidR="0040521B" w:rsidRDefault="0040521B" w:rsidP="0040521B">
      <w:pPr>
        <w:rPr>
          <w:rFonts w:cstheme="minorHAnsi"/>
        </w:rPr>
      </w:pPr>
    </w:p>
    <w:p w:rsidR="0040521B" w:rsidRDefault="0040521B" w:rsidP="0040521B">
      <w:pPr>
        <w:rPr>
          <w:rFonts w:cstheme="minorHAnsi"/>
        </w:rPr>
      </w:pPr>
      <w:r>
        <w:rPr>
          <w:rFonts w:cstheme="minorHAnsi"/>
        </w:rPr>
        <w:lastRenderedPageBreak/>
        <w:t>While the Partnership Broker Service model remains unchanged, there are some changes to the Youth Connections service model that will come into effect from 1 July 2013 that aim to improve service delivery for two elements of the program:</w:t>
      </w:r>
    </w:p>
    <w:p w:rsidR="0040521B" w:rsidRDefault="0040521B" w:rsidP="0040521B">
      <w:pPr>
        <w:pStyle w:val="ListParagraph"/>
        <w:numPr>
          <w:ilvl w:val="0"/>
          <w:numId w:val="41"/>
        </w:numPr>
        <w:spacing w:line="240" w:lineRule="auto"/>
        <w:rPr>
          <w:rFonts w:cstheme="minorHAnsi"/>
        </w:rPr>
      </w:pPr>
      <w:r w:rsidRPr="004265C4">
        <w:rPr>
          <w:rFonts w:cstheme="minorHAnsi"/>
        </w:rPr>
        <w:t xml:space="preserve">Outreach and Re-engagement </w:t>
      </w:r>
      <w:r>
        <w:rPr>
          <w:rFonts w:cstheme="minorHAnsi"/>
        </w:rPr>
        <w:t>will be</w:t>
      </w:r>
      <w:r w:rsidRPr="004265C4">
        <w:rPr>
          <w:rFonts w:cstheme="minorHAnsi"/>
        </w:rPr>
        <w:t xml:space="preserve"> replaced with Targeted Engagement Services</w:t>
      </w:r>
      <w:r w:rsidRPr="001835BB">
        <w:rPr>
          <w:rFonts w:cstheme="minorHAnsi"/>
        </w:rPr>
        <w:t xml:space="preserve"> </w:t>
      </w:r>
      <w:r>
        <w:rPr>
          <w:rFonts w:cstheme="minorHAnsi"/>
        </w:rPr>
        <w:t xml:space="preserve">and will be </w:t>
      </w:r>
      <w:r w:rsidRPr="004C2296">
        <w:t>aimed at finding severely disconnected young people who are not engaged with education, training, employment or other support services. T</w:t>
      </w:r>
      <w:r>
        <w:t>argeted Engagement Services</w:t>
      </w:r>
      <w:r w:rsidRPr="004C2296">
        <w:t xml:space="preserve"> </w:t>
      </w:r>
      <w:r>
        <w:t xml:space="preserve">will </w:t>
      </w:r>
      <w:r w:rsidRPr="004C2296">
        <w:t>focus on identifying and connecting with young people who are</w:t>
      </w:r>
      <w:r>
        <w:t xml:space="preserve"> not in education or training and are</w:t>
      </w:r>
      <w:r w:rsidRPr="004C2296">
        <w:t xml:space="preserve"> </w:t>
      </w:r>
      <w:r>
        <w:t>n</w:t>
      </w:r>
      <w:r w:rsidRPr="004C2296">
        <w:t xml:space="preserve">ot in the </w:t>
      </w:r>
      <w:r>
        <w:t>l</w:t>
      </w:r>
      <w:r w:rsidRPr="004C2296">
        <w:t xml:space="preserve">abour </w:t>
      </w:r>
      <w:r>
        <w:t>f</w:t>
      </w:r>
      <w:r w:rsidRPr="004C2296">
        <w:t>orce</w:t>
      </w:r>
      <w:r>
        <w:t>.</w:t>
      </w:r>
    </w:p>
    <w:p w:rsidR="0040521B" w:rsidRPr="00FC3B72" w:rsidRDefault="0040521B" w:rsidP="0040521B">
      <w:pPr>
        <w:pStyle w:val="ListParagraph"/>
        <w:numPr>
          <w:ilvl w:val="0"/>
          <w:numId w:val="41"/>
        </w:numPr>
        <w:spacing w:line="240" w:lineRule="auto"/>
        <w:rPr>
          <w:rFonts w:cstheme="minorHAnsi"/>
        </w:rPr>
      </w:pPr>
      <w:r w:rsidRPr="004265C4">
        <w:rPr>
          <w:rFonts w:cstheme="minorHAnsi"/>
        </w:rPr>
        <w:t>Strengthening S</w:t>
      </w:r>
      <w:r w:rsidRPr="00FC3B72">
        <w:rPr>
          <w:rFonts w:cstheme="minorHAnsi"/>
        </w:rPr>
        <w:t xml:space="preserve">ervices in the Region </w:t>
      </w:r>
      <w:r>
        <w:rPr>
          <w:rFonts w:cstheme="minorHAnsi"/>
        </w:rPr>
        <w:t xml:space="preserve">will be replaced with Regional Coordination Services, and will </w:t>
      </w:r>
      <w:r w:rsidRPr="001835BB">
        <w:rPr>
          <w:rFonts w:cstheme="minorHAnsi"/>
        </w:rPr>
        <w:t xml:space="preserve">focus on developing coordinated and integrated service delivery in the region for young people at risk. </w:t>
      </w:r>
      <w:r>
        <w:rPr>
          <w:rFonts w:cstheme="minorHAnsi"/>
        </w:rPr>
        <w:t>Regional Coordination Services will</w:t>
      </w:r>
      <w:r w:rsidRPr="001835BB">
        <w:rPr>
          <w:rFonts w:cstheme="minorHAnsi"/>
        </w:rPr>
        <w:t xml:space="preserve"> require a focus on joining up all the relevant, available services to provide a more effective and collaborative approach that is responsive to the needs of young people in the region, particularly young people at risk.</w:t>
      </w:r>
    </w:p>
    <w:p w:rsidR="0040521B" w:rsidRPr="009C28B4" w:rsidRDefault="0040521B" w:rsidP="00CD07F5">
      <w:pPr>
        <w:pStyle w:val="Heading2"/>
      </w:pPr>
      <w:bookmarkStart w:id="32" w:name="_Toc384038232"/>
      <w:r w:rsidRPr="00113821">
        <w:t>Indigenous youth</w:t>
      </w:r>
      <w:r w:rsidRPr="009C28B4">
        <w:t xml:space="preserve"> and </w:t>
      </w:r>
      <w:r>
        <w:t>H</w:t>
      </w:r>
      <w:r w:rsidRPr="009C28B4">
        <w:t xml:space="preserve">umanitarian </w:t>
      </w:r>
      <w:r>
        <w:t>R</w:t>
      </w:r>
      <w:r w:rsidRPr="009C28B4">
        <w:t>efugees</w:t>
      </w:r>
      <w:bookmarkEnd w:id="32"/>
    </w:p>
    <w:p w:rsidR="0040521B" w:rsidRPr="009C28B4" w:rsidRDefault="0040521B" w:rsidP="0040521B">
      <w:pPr>
        <w:rPr>
          <w:rFonts w:cstheme="minorHAnsi"/>
        </w:rPr>
      </w:pPr>
      <w:r w:rsidRPr="009C28B4">
        <w:rPr>
          <w:rFonts w:cstheme="minorHAnsi"/>
        </w:rPr>
        <w:t xml:space="preserve">The Youth Connections program includes a focus on Indigenous and </w:t>
      </w:r>
      <w:r>
        <w:rPr>
          <w:rFonts w:cstheme="minorHAnsi"/>
        </w:rPr>
        <w:t>H</w:t>
      </w:r>
      <w:r w:rsidRPr="009C28B4">
        <w:rPr>
          <w:rFonts w:cstheme="minorHAnsi"/>
        </w:rPr>
        <w:t xml:space="preserve">umanitarian </w:t>
      </w:r>
      <w:r>
        <w:rPr>
          <w:rFonts w:cstheme="minorHAnsi"/>
        </w:rPr>
        <w:t>R</w:t>
      </w:r>
      <w:r w:rsidRPr="009C28B4">
        <w:rPr>
          <w:rFonts w:cstheme="minorHAnsi"/>
        </w:rPr>
        <w:t xml:space="preserve">efugee young people. These two groups are more likely to be at risk and may require mainstream programs to be tailored to meet their specific needs. </w:t>
      </w:r>
    </w:p>
    <w:p w:rsidR="0040521B" w:rsidRPr="009C28B4" w:rsidRDefault="0040521B" w:rsidP="0040521B">
      <w:pPr>
        <w:rPr>
          <w:rFonts w:cstheme="minorHAnsi"/>
        </w:rPr>
      </w:pPr>
    </w:p>
    <w:p w:rsidR="0040521B" w:rsidRPr="009C28B4" w:rsidRDefault="0040521B" w:rsidP="0040521B">
      <w:pPr>
        <w:rPr>
          <w:rFonts w:cstheme="minorHAnsi"/>
        </w:rPr>
      </w:pPr>
      <w:r w:rsidRPr="009C28B4">
        <w:rPr>
          <w:rFonts w:cstheme="minorHAnsi"/>
        </w:rPr>
        <w:t>In the first two years of operation</w:t>
      </w:r>
      <w:r w:rsidRPr="009C28B4" w:rsidDel="00633E12">
        <w:rPr>
          <w:rFonts w:cstheme="minorHAnsi"/>
        </w:rPr>
        <w:t xml:space="preserve"> </w:t>
      </w:r>
      <w:r>
        <w:rPr>
          <w:rFonts w:cstheme="minorHAnsi"/>
        </w:rPr>
        <w:t>10,995</w:t>
      </w:r>
      <w:r w:rsidRPr="009C28B4">
        <w:rPr>
          <w:rFonts w:cstheme="minorHAnsi"/>
        </w:rPr>
        <w:t xml:space="preserve"> Indigenous young people received Individual Support Services, and 3</w:t>
      </w:r>
      <w:r>
        <w:rPr>
          <w:rFonts w:cstheme="minorHAnsi"/>
        </w:rPr>
        <w:t>1</w:t>
      </w:r>
      <w:r w:rsidRPr="009C28B4">
        <w:rPr>
          <w:rFonts w:cstheme="minorHAnsi"/>
        </w:rPr>
        <w:t xml:space="preserve">% of outreach activities included an Indigenous focus. The program continued to effectively engage Indigenous young people, who represented </w:t>
      </w:r>
      <w:r>
        <w:rPr>
          <w:rFonts w:cstheme="minorHAnsi"/>
        </w:rPr>
        <w:t>21</w:t>
      </w:r>
      <w:r w:rsidRPr="009C28B4">
        <w:rPr>
          <w:rFonts w:cstheme="minorHAnsi"/>
        </w:rPr>
        <w:t>% of the</w:t>
      </w:r>
      <w:r>
        <w:rPr>
          <w:rFonts w:cstheme="minorHAnsi"/>
        </w:rPr>
        <w:t xml:space="preserve"> annual</w:t>
      </w:r>
      <w:r w:rsidRPr="009C28B4">
        <w:rPr>
          <w:rFonts w:cstheme="minorHAnsi"/>
        </w:rPr>
        <w:t xml:space="preserve"> caseload in 201</w:t>
      </w:r>
      <w:r>
        <w:rPr>
          <w:rFonts w:cstheme="minorHAnsi"/>
        </w:rPr>
        <w:t>2</w:t>
      </w:r>
      <w:r w:rsidRPr="009C28B4">
        <w:rPr>
          <w:rFonts w:cstheme="minorHAnsi"/>
        </w:rPr>
        <w:t xml:space="preserve"> - a small increase from 201</w:t>
      </w:r>
      <w:r>
        <w:rPr>
          <w:rFonts w:cstheme="minorHAnsi"/>
        </w:rPr>
        <w:t>1</w:t>
      </w:r>
      <w:r w:rsidRPr="009C28B4">
        <w:rPr>
          <w:rFonts w:cstheme="minorHAnsi"/>
        </w:rPr>
        <w:t xml:space="preserve"> (1</w:t>
      </w:r>
      <w:r>
        <w:rPr>
          <w:rFonts w:cstheme="minorHAnsi"/>
        </w:rPr>
        <w:t>9</w:t>
      </w:r>
      <w:r w:rsidRPr="009C28B4">
        <w:rPr>
          <w:rFonts w:cstheme="minorHAnsi"/>
        </w:rPr>
        <w:t xml:space="preserve">%). While the rate of Indigenous young people achieving final outcomes is lower than for non-Indigenous (approximately 10% lower), </w:t>
      </w:r>
      <w:r>
        <w:rPr>
          <w:rFonts w:cstheme="minorHAnsi"/>
        </w:rPr>
        <w:t>a substantial 50% (5,436)</w:t>
      </w:r>
      <w:r w:rsidRPr="009C28B4">
        <w:rPr>
          <w:rFonts w:cstheme="minorHAnsi"/>
        </w:rPr>
        <w:t xml:space="preserve"> </w:t>
      </w:r>
      <w:r>
        <w:rPr>
          <w:rFonts w:cstheme="minorHAnsi"/>
        </w:rPr>
        <w:t xml:space="preserve">of </w:t>
      </w:r>
      <w:r w:rsidRPr="009C28B4">
        <w:rPr>
          <w:rFonts w:cstheme="minorHAnsi"/>
        </w:rPr>
        <w:t xml:space="preserve">Indigenous </w:t>
      </w:r>
      <w:r>
        <w:rPr>
          <w:rFonts w:cstheme="minorHAnsi"/>
        </w:rPr>
        <w:t xml:space="preserve">participants </w:t>
      </w:r>
      <w:r w:rsidRPr="009C28B4">
        <w:rPr>
          <w:rFonts w:cstheme="minorHAnsi"/>
        </w:rPr>
        <w:t xml:space="preserve">achieved a final outcome in the program, and a further </w:t>
      </w:r>
      <w:r>
        <w:rPr>
          <w:rFonts w:cstheme="minorHAnsi"/>
        </w:rPr>
        <w:t>2,367</w:t>
      </w:r>
      <w:r w:rsidRPr="009C28B4">
        <w:rPr>
          <w:rFonts w:cstheme="minorHAnsi"/>
        </w:rPr>
        <w:t xml:space="preserve"> (22%) made progress in addressing their barriers to engagement. </w:t>
      </w:r>
    </w:p>
    <w:p w:rsidR="0040521B" w:rsidRPr="009C28B4" w:rsidRDefault="0040521B" w:rsidP="0040521B">
      <w:pPr>
        <w:rPr>
          <w:rFonts w:cstheme="minorHAnsi"/>
        </w:rPr>
      </w:pPr>
    </w:p>
    <w:p w:rsidR="0040521B" w:rsidRPr="009C28B4" w:rsidRDefault="0040521B" w:rsidP="0040521B">
      <w:pPr>
        <w:rPr>
          <w:rFonts w:cstheme="minorHAnsi"/>
        </w:rPr>
      </w:pPr>
      <w:r w:rsidRPr="009C28B4">
        <w:rPr>
          <w:rFonts w:cstheme="minorHAnsi"/>
        </w:rPr>
        <w:t xml:space="preserve">For </w:t>
      </w:r>
      <w:r>
        <w:rPr>
          <w:rFonts w:cstheme="minorHAnsi"/>
        </w:rPr>
        <w:t>H</w:t>
      </w:r>
      <w:r w:rsidRPr="009C28B4">
        <w:rPr>
          <w:rFonts w:cstheme="minorHAnsi"/>
        </w:rPr>
        <w:t xml:space="preserve">umanitarian </w:t>
      </w:r>
      <w:r>
        <w:rPr>
          <w:rFonts w:cstheme="minorHAnsi"/>
        </w:rPr>
        <w:t>R</w:t>
      </w:r>
      <w:r w:rsidRPr="009C28B4">
        <w:rPr>
          <w:rFonts w:cstheme="minorHAnsi"/>
        </w:rPr>
        <w:t>efugee participants</w:t>
      </w:r>
      <w:r>
        <w:rPr>
          <w:rFonts w:cstheme="minorHAnsi"/>
        </w:rPr>
        <w:t>,</w:t>
      </w:r>
      <w:r w:rsidRPr="009C28B4">
        <w:rPr>
          <w:rFonts w:cstheme="minorHAnsi"/>
        </w:rPr>
        <w:t xml:space="preserve"> </w:t>
      </w:r>
      <w:r>
        <w:rPr>
          <w:rFonts w:cstheme="minorHAnsi"/>
        </w:rPr>
        <w:t xml:space="preserve">service delivery commenced slowly, with noticeable </w:t>
      </w:r>
      <w:r w:rsidRPr="009C28B4">
        <w:rPr>
          <w:rFonts w:cstheme="minorHAnsi"/>
        </w:rPr>
        <w:t>improvements in 2011</w:t>
      </w:r>
      <w:r>
        <w:rPr>
          <w:rFonts w:cstheme="minorHAnsi"/>
        </w:rPr>
        <w:t xml:space="preserve"> and 2012</w:t>
      </w:r>
      <w:r w:rsidRPr="009C28B4">
        <w:rPr>
          <w:rFonts w:cstheme="minorHAnsi"/>
        </w:rPr>
        <w:t xml:space="preserve">. </w:t>
      </w:r>
      <w:r>
        <w:rPr>
          <w:rFonts w:cstheme="minorHAnsi"/>
        </w:rPr>
        <w:t xml:space="preserve">Working closely with the </w:t>
      </w:r>
      <w:r w:rsidRPr="009C28B4">
        <w:rPr>
          <w:rFonts w:cstheme="minorHAnsi"/>
        </w:rPr>
        <w:t>Department of Immigration and Citizenship</w:t>
      </w:r>
      <w:r>
        <w:rPr>
          <w:rFonts w:cstheme="minorHAnsi"/>
        </w:rPr>
        <w:t>,</w:t>
      </w:r>
      <w:r w:rsidRPr="009C28B4" w:rsidDel="008A7481">
        <w:rPr>
          <w:rFonts w:cstheme="minorHAnsi"/>
        </w:rPr>
        <w:t xml:space="preserve"> </w:t>
      </w:r>
      <w:r w:rsidRPr="009C28B4">
        <w:rPr>
          <w:rFonts w:cstheme="minorHAnsi"/>
        </w:rPr>
        <w:t xml:space="preserve">DEEWR </w:t>
      </w:r>
      <w:r>
        <w:rPr>
          <w:rFonts w:cstheme="minorHAnsi"/>
        </w:rPr>
        <w:t>provided</w:t>
      </w:r>
      <w:r w:rsidRPr="009C28B4">
        <w:rPr>
          <w:rFonts w:cstheme="minorHAnsi"/>
        </w:rPr>
        <w:t xml:space="preserve"> information, data and advice </w:t>
      </w:r>
      <w:r>
        <w:rPr>
          <w:rFonts w:cstheme="minorHAnsi"/>
        </w:rPr>
        <w:t xml:space="preserve">to providers </w:t>
      </w:r>
      <w:r w:rsidRPr="009C28B4">
        <w:rPr>
          <w:rFonts w:cstheme="minorHAnsi"/>
        </w:rPr>
        <w:t xml:space="preserve">on how to better engage this group. Nationally, </w:t>
      </w:r>
      <w:r>
        <w:rPr>
          <w:rFonts w:cstheme="minorHAnsi"/>
        </w:rPr>
        <w:t>340</w:t>
      </w:r>
      <w:r w:rsidRPr="009C28B4">
        <w:rPr>
          <w:rFonts w:cstheme="minorHAnsi"/>
        </w:rPr>
        <w:t xml:space="preserve"> </w:t>
      </w:r>
      <w:r>
        <w:rPr>
          <w:rFonts w:cstheme="minorHAnsi"/>
        </w:rPr>
        <w:t>H</w:t>
      </w:r>
      <w:r w:rsidRPr="009C28B4">
        <w:rPr>
          <w:rFonts w:cstheme="minorHAnsi"/>
        </w:rPr>
        <w:t xml:space="preserve">umanitarian </w:t>
      </w:r>
      <w:r>
        <w:rPr>
          <w:rFonts w:cstheme="minorHAnsi"/>
        </w:rPr>
        <w:t>R</w:t>
      </w:r>
      <w:r w:rsidRPr="009C28B4">
        <w:rPr>
          <w:rFonts w:cstheme="minorHAnsi"/>
        </w:rPr>
        <w:t>efugees received Individual Support Services from Youth Connections providers in 201</w:t>
      </w:r>
      <w:r>
        <w:rPr>
          <w:rFonts w:cstheme="minorHAnsi"/>
        </w:rPr>
        <w:t xml:space="preserve">1; </w:t>
      </w:r>
      <w:r w:rsidRPr="009C28B4">
        <w:rPr>
          <w:rFonts w:cstheme="minorHAnsi"/>
        </w:rPr>
        <w:t xml:space="preserve">this number </w:t>
      </w:r>
      <w:r>
        <w:rPr>
          <w:rFonts w:cstheme="minorHAnsi"/>
        </w:rPr>
        <w:t>increased in</w:t>
      </w:r>
      <w:r w:rsidRPr="009C28B4">
        <w:rPr>
          <w:rFonts w:cstheme="minorHAnsi"/>
        </w:rPr>
        <w:t xml:space="preserve"> 201</w:t>
      </w:r>
      <w:r>
        <w:rPr>
          <w:rFonts w:cstheme="minorHAnsi"/>
        </w:rPr>
        <w:t>2</w:t>
      </w:r>
      <w:r w:rsidRPr="009C28B4">
        <w:rPr>
          <w:rFonts w:cstheme="minorHAnsi"/>
        </w:rPr>
        <w:t xml:space="preserve"> to </w:t>
      </w:r>
      <w:r>
        <w:rPr>
          <w:rFonts w:cstheme="minorHAnsi"/>
        </w:rPr>
        <w:t>488</w:t>
      </w:r>
      <w:r w:rsidRPr="009C28B4">
        <w:rPr>
          <w:rFonts w:cstheme="minorHAnsi"/>
        </w:rPr>
        <w:t xml:space="preserve">.  </w:t>
      </w:r>
    </w:p>
    <w:p w:rsidR="0040521B" w:rsidRPr="00113821" w:rsidRDefault="0040521B" w:rsidP="00CD07F5">
      <w:pPr>
        <w:pStyle w:val="Heading2"/>
      </w:pPr>
      <w:bookmarkStart w:id="33" w:name="_Toc384038233"/>
      <w:r w:rsidRPr="00113821">
        <w:t>Provider networks</w:t>
      </w:r>
      <w:bookmarkEnd w:id="33"/>
    </w:p>
    <w:p w:rsidR="0040521B" w:rsidRPr="009C28B4" w:rsidRDefault="0040521B" w:rsidP="0040521B">
      <w:pPr>
        <w:rPr>
          <w:rFonts w:cstheme="minorHAnsi"/>
        </w:rPr>
      </w:pPr>
      <w:r w:rsidRPr="009C28B4">
        <w:rPr>
          <w:rFonts w:cstheme="minorHAnsi"/>
        </w:rPr>
        <w:t xml:space="preserve">DEEWR continues to work closely with the state and national Youth Connections provider networks, which are an important forum to engage key stakeholders and improve program delivery and outcomes. </w:t>
      </w:r>
    </w:p>
    <w:p w:rsidR="0040521B" w:rsidRPr="009C28B4" w:rsidRDefault="0040521B" w:rsidP="0040521B">
      <w:pPr>
        <w:rPr>
          <w:rFonts w:cstheme="minorHAnsi"/>
        </w:rPr>
      </w:pPr>
    </w:p>
    <w:p w:rsidR="0040521B" w:rsidRPr="009C28B4" w:rsidRDefault="0040521B" w:rsidP="0040521B">
      <w:pPr>
        <w:rPr>
          <w:rFonts w:cstheme="minorHAnsi"/>
        </w:rPr>
      </w:pPr>
      <w:r w:rsidRPr="009C28B4">
        <w:rPr>
          <w:rFonts w:cstheme="minorHAnsi"/>
        </w:rPr>
        <w:t>The national Youth Connections provider network priorities are:</w:t>
      </w:r>
    </w:p>
    <w:p w:rsidR="0040521B" w:rsidRDefault="0040521B" w:rsidP="0040521B">
      <w:pPr>
        <w:pStyle w:val="ListParagraph"/>
        <w:numPr>
          <w:ilvl w:val="0"/>
          <w:numId w:val="39"/>
        </w:numPr>
        <w:spacing w:line="240" w:lineRule="auto"/>
        <w:contextualSpacing w:val="0"/>
        <w:rPr>
          <w:rFonts w:cstheme="minorHAnsi"/>
        </w:rPr>
      </w:pPr>
      <w:r w:rsidRPr="009C28B4">
        <w:rPr>
          <w:rFonts w:cstheme="minorHAnsi"/>
        </w:rPr>
        <w:t>Create a greater awareness of the Youth Connections program with key stakeholders</w:t>
      </w:r>
      <w:r>
        <w:rPr>
          <w:rFonts w:cstheme="minorHAnsi"/>
        </w:rPr>
        <w:t xml:space="preserve">. </w:t>
      </w:r>
    </w:p>
    <w:p w:rsidR="0040521B" w:rsidRDefault="0040521B" w:rsidP="0040521B">
      <w:pPr>
        <w:pStyle w:val="ListParagraph"/>
        <w:numPr>
          <w:ilvl w:val="0"/>
          <w:numId w:val="39"/>
        </w:numPr>
        <w:spacing w:line="240" w:lineRule="auto"/>
        <w:contextualSpacing w:val="0"/>
        <w:rPr>
          <w:rFonts w:cstheme="minorHAnsi"/>
        </w:rPr>
      </w:pPr>
      <w:r>
        <w:rPr>
          <w:rFonts w:cstheme="minorHAnsi"/>
        </w:rPr>
        <w:t xml:space="preserve">Share program expertise and knowledge, and promote the professional development of all providers. </w:t>
      </w:r>
    </w:p>
    <w:p w:rsidR="0040521B" w:rsidRPr="009C28B4" w:rsidRDefault="0040521B" w:rsidP="0040521B">
      <w:pPr>
        <w:pStyle w:val="ListParagraph"/>
        <w:numPr>
          <w:ilvl w:val="0"/>
          <w:numId w:val="39"/>
        </w:numPr>
        <w:spacing w:line="240" w:lineRule="auto"/>
        <w:contextualSpacing w:val="0"/>
        <w:rPr>
          <w:rFonts w:cstheme="minorHAnsi"/>
        </w:rPr>
      </w:pPr>
      <w:r w:rsidRPr="009C28B4">
        <w:rPr>
          <w:rFonts w:cstheme="minorHAnsi"/>
        </w:rPr>
        <w:t xml:space="preserve">Undertake a </w:t>
      </w:r>
      <w:r>
        <w:rPr>
          <w:rFonts w:cstheme="minorHAnsi"/>
        </w:rPr>
        <w:t xml:space="preserve">research </w:t>
      </w:r>
      <w:r w:rsidRPr="009C28B4">
        <w:rPr>
          <w:rFonts w:cstheme="minorHAnsi"/>
        </w:rPr>
        <w:t xml:space="preserve">project to </w:t>
      </w:r>
      <w:r>
        <w:rPr>
          <w:rFonts w:cstheme="minorHAnsi"/>
        </w:rPr>
        <w:t xml:space="preserve">demonstrate best practice in strengthening services for </w:t>
      </w:r>
      <w:r w:rsidRPr="009C28B4">
        <w:rPr>
          <w:rFonts w:cstheme="minorHAnsi"/>
        </w:rPr>
        <w:t xml:space="preserve">young people in </w:t>
      </w:r>
      <w:r>
        <w:rPr>
          <w:rFonts w:cstheme="minorHAnsi"/>
        </w:rPr>
        <w:t xml:space="preserve">juvenile </w:t>
      </w:r>
      <w:r w:rsidRPr="009C28B4">
        <w:rPr>
          <w:rFonts w:cstheme="minorHAnsi"/>
        </w:rPr>
        <w:t>justice</w:t>
      </w:r>
      <w:r>
        <w:rPr>
          <w:rFonts w:cstheme="minorHAnsi"/>
        </w:rPr>
        <w:t xml:space="preserve"> (report to be released by June 2013).</w:t>
      </w:r>
    </w:p>
    <w:p w:rsidR="0040521B" w:rsidRDefault="0040521B" w:rsidP="0040521B">
      <w:pPr>
        <w:pStyle w:val="ListParagraph"/>
        <w:numPr>
          <w:ilvl w:val="0"/>
          <w:numId w:val="39"/>
        </w:numPr>
        <w:spacing w:line="240" w:lineRule="auto"/>
        <w:contextualSpacing w:val="0"/>
        <w:rPr>
          <w:rFonts w:cstheme="minorHAnsi"/>
        </w:rPr>
      </w:pPr>
      <w:r w:rsidRPr="009C28B4">
        <w:rPr>
          <w:rFonts w:cstheme="minorHAnsi"/>
        </w:rPr>
        <w:t>Provide input to the findings of the Youth Attainment and Transitions National Partnership Evaluation</w:t>
      </w:r>
      <w:r>
        <w:rPr>
          <w:rFonts w:cstheme="minorHAnsi"/>
        </w:rPr>
        <w:t>.</w:t>
      </w:r>
    </w:p>
    <w:p w:rsidR="0040521B" w:rsidRDefault="0040521B" w:rsidP="0040521B">
      <w:pPr>
        <w:pStyle w:val="ListParagraph"/>
        <w:numPr>
          <w:ilvl w:val="0"/>
          <w:numId w:val="39"/>
        </w:numPr>
        <w:spacing w:line="240" w:lineRule="auto"/>
        <w:contextualSpacing w:val="0"/>
        <w:rPr>
          <w:rFonts w:cstheme="minorHAnsi"/>
        </w:rPr>
      </w:pPr>
      <w:r>
        <w:rPr>
          <w:rFonts w:cstheme="minorHAnsi"/>
        </w:rPr>
        <w:t>Continue to develop and promote partnerships with important stakeholders, such as the Multicultural Youth Affairs Network (</w:t>
      </w:r>
      <w:proofErr w:type="spellStart"/>
      <w:r>
        <w:rPr>
          <w:rFonts w:cstheme="minorHAnsi"/>
        </w:rPr>
        <w:t>MYAN</w:t>
      </w:r>
      <w:proofErr w:type="spellEnd"/>
      <w:r>
        <w:rPr>
          <w:rFonts w:cstheme="minorHAnsi"/>
        </w:rPr>
        <w:t>), youth peak bodies and local councils and community bodies.</w:t>
      </w:r>
    </w:p>
    <w:p w:rsidR="0040521B" w:rsidRPr="009C28B4" w:rsidRDefault="0040521B" w:rsidP="0040521B">
      <w:pPr>
        <w:pStyle w:val="ListParagraph"/>
        <w:numPr>
          <w:ilvl w:val="0"/>
          <w:numId w:val="39"/>
        </w:numPr>
        <w:spacing w:line="240" w:lineRule="auto"/>
        <w:contextualSpacing w:val="0"/>
        <w:rPr>
          <w:rFonts w:cstheme="minorHAnsi"/>
        </w:rPr>
      </w:pPr>
      <w:r>
        <w:rPr>
          <w:rFonts w:cstheme="minorHAnsi"/>
        </w:rPr>
        <w:lastRenderedPageBreak/>
        <w:t>Strategic thinking – consider the future for this cohort of young people beyond current program timeframes and parameters; develop a consolidated provider view of a future program model; consider how to engage and involve stakeholders in promoting a future model.</w:t>
      </w:r>
    </w:p>
    <w:p w:rsidR="0040521B" w:rsidRPr="00113821" w:rsidRDefault="0040521B" w:rsidP="00CD07F5">
      <w:pPr>
        <w:pStyle w:val="Heading2"/>
      </w:pPr>
      <w:bookmarkStart w:id="34" w:name="_Toc384038234"/>
      <w:r w:rsidRPr="00113821">
        <w:t>Shout Out Events</w:t>
      </w:r>
      <w:bookmarkEnd w:id="34"/>
    </w:p>
    <w:p w:rsidR="0040521B" w:rsidRDefault="0040521B" w:rsidP="0040521B">
      <w:pPr>
        <w:rPr>
          <w:rFonts w:cstheme="minorHAnsi"/>
        </w:rPr>
      </w:pPr>
      <w:r w:rsidRPr="00C600B9">
        <w:rPr>
          <w:rFonts w:cstheme="minorHAnsi"/>
        </w:rPr>
        <w:t xml:space="preserve">The Youth Connections National Provider </w:t>
      </w:r>
      <w:proofErr w:type="gramStart"/>
      <w:r w:rsidRPr="00C600B9">
        <w:rPr>
          <w:rFonts w:cstheme="minorHAnsi"/>
        </w:rPr>
        <w:t>Network,</w:t>
      </w:r>
      <w:proofErr w:type="gramEnd"/>
      <w:r w:rsidRPr="00C600B9">
        <w:rPr>
          <w:rFonts w:cstheme="minorHAnsi"/>
        </w:rPr>
        <w:t xml:space="preserve"> funded by DEEWR, sponsored ‘Shout Out’ Youth Summits across the country </w:t>
      </w:r>
      <w:r>
        <w:rPr>
          <w:rFonts w:cstheme="minorHAnsi"/>
        </w:rPr>
        <w:t>between</w:t>
      </w:r>
      <w:r w:rsidRPr="00C600B9">
        <w:rPr>
          <w:rFonts w:cstheme="minorHAnsi"/>
        </w:rPr>
        <w:t xml:space="preserve"> September-October 2012. The main focus of the events was a survey, with attendees providing their views about the current education system, the need for support programs like Youth Connections and ways the system could be improved to support attainment for young people who are at risk of disengaging from education. Young peoples’ responses were provided directly to government via a future directions paper, </w:t>
      </w:r>
      <w:r w:rsidRPr="00B725CB">
        <w:rPr>
          <w:rFonts w:cstheme="minorHAnsi"/>
          <w:i/>
        </w:rPr>
        <w:t xml:space="preserve">The Space </w:t>
      </w:r>
      <w:r>
        <w:rPr>
          <w:rFonts w:cstheme="minorHAnsi"/>
          <w:i/>
        </w:rPr>
        <w:t>I</w:t>
      </w:r>
      <w:r w:rsidRPr="00B725CB">
        <w:rPr>
          <w:rFonts w:cstheme="minorHAnsi"/>
          <w:i/>
        </w:rPr>
        <w:t>n-between</w:t>
      </w:r>
      <w:r w:rsidRPr="00C600B9">
        <w:rPr>
          <w:rFonts w:cstheme="minorHAnsi"/>
        </w:rPr>
        <w:t>, prepared by the Youth Connections National Network.</w:t>
      </w:r>
    </w:p>
    <w:p w:rsidR="0040521B" w:rsidRPr="009C28B4" w:rsidRDefault="0040521B" w:rsidP="00CD07F5">
      <w:pPr>
        <w:pStyle w:val="Heading2"/>
      </w:pPr>
      <w:bookmarkStart w:id="35" w:name="_Toc384038235"/>
      <w:r w:rsidRPr="00113821">
        <w:t xml:space="preserve">Website </w:t>
      </w:r>
      <w:r w:rsidRPr="009C28B4">
        <w:t>with case studies</w:t>
      </w:r>
      <w:bookmarkEnd w:id="35"/>
    </w:p>
    <w:p w:rsidR="0040521B" w:rsidRPr="009C28B4" w:rsidRDefault="0040521B" w:rsidP="0040521B">
      <w:pPr>
        <w:rPr>
          <w:rFonts w:cstheme="minorHAnsi"/>
        </w:rPr>
      </w:pPr>
      <w:r w:rsidRPr="009C28B4">
        <w:rPr>
          <w:rFonts w:cstheme="minorHAnsi"/>
        </w:rPr>
        <w:t xml:space="preserve">Youth Connections case studies </w:t>
      </w:r>
      <w:r>
        <w:rPr>
          <w:rFonts w:cstheme="minorHAnsi"/>
        </w:rPr>
        <w:t>were</w:t>
      </w:r>
      <w:r w:rsidRPr="009C28B4">
        <w:rPr>
          <w:rFonts w:cstheme="minorHAnsi"/>
        </w:rPr>
        <w:t xml:space="preserve"> </w:t>
      </w:r>
      <w:r>
        <w:rPr>
          <w:rFonts w:cstheme="minorHAnsi"/>
        </w:rPr>
        <w:t xml:space="preserve">produced </w:t>
      </w:r>
      <w:r w:rsidRPr="009C28B4">
        <w:rPr>
          <w:rFonts w:cstheme="minorHAnsi"/>
        </w:rPr>
        <w:t>to strengthen provider understanding</w:t>
      </w:r>
      <w:r>
        <w:rPr>
          <w:rFonts w:cstheme="minorHAnsi"/>
        </w:rPr>
        <w:t xml:space="preserve">; </w:t>
      </w:r>
      <w:r w:rsidRPr="009C28B4">
        <w:rPr>
          <w:rFonts w:cstheme="minorHAnsi"/>
        </w:rPr>
        <w:t>to showcase the Youth Connections program</w:t>
      </w:r>
      <w:r>
        <w:rPr>
          <w:rFonts w:cstheme="minorHAnsi"/>
        </w:rPr>
        <w:t>;</w:t>
      </w:r>
      <w:r w:rsidRPr="009C28B4">
        <w:rPr>
          <w:rFonts w:cstheme="minorHAnsi"/>
        </w:rPr>
        <w:t xml:space="preserve"> and to demonstrate effective practice. </w:t>
      </w:r>
      <w:r>
        <w:rPr>
          <w:rFonts w:cstheme="minorHAnsi"/>
        </w:rPr>
        <w:t xml:space="preserve">In addition </w:t>
      </w:r>
      <w:r w:rsidRPr="00445158">
        <w:rPr>
          <w:rFonts w:cstheme="minorHAnsi"/>
        </w:rPr>
        <w:t xml:space="preserve">to </w:t>
      </w:r>
      <w:r>
        <w:rPr>
          <w:rFonts w:cstheme="minorHAnsi"/>
        </w:rPr>
        <w:t xml:space="preserve">the </w:t>
      </w:r>
      <w:r w:rsidRPr="00445158">
        <w:rPr>
          <w:rFonts w:cstheme="minorHAnsi"/>
        </w:rPr>
        <w:t xml:space="preserve">case studies released in 2011, a number of new Outreach and Re-engagement and Strengthening Services in the Region case studies </w:t>
      </w:r>
      <w:r>
        <w:rPr>
          <w:rFonts w:cstheme="minorHAnsi"/>
        </w:rPr>
        <w:t xml:space="preserve">were developed, which </w:t>
      </w:r>
      <w:r w:rsidRPr="00445158">
        <w:rPr>
          <w:rFonts w:cstheme="minorHAnsi"/>
        </w:rPr>
        <w:t>are available on the Youth Attainment and Transitions website</w:t>
      </w:r>
      <w:r>
        <w:rPr>
          <w:rFonts w:cstheme="minorHAnsi"/>
        </w:rPr>
        <w:t xml:space="preserve"> </w:t>
      </w:r>
      <w:hyperlink r:id="rId16" w:history="1">
        <w:r w:rsidRPr="00445158">
          <w:rPr>
            <w:rStyle w:val="Hyperlink"/>
            <w:rFonts w:cstheme="minorHAnsi"/>
          </w:rPr>
          <w:t>www.transitions.youth.gov.au</w:t>
        </w:r>
      </w:hyperlink>
      <w:r w:rsidRPr="009C28B4">
        <w:rPr>
          <w:rFonts w:cstheme="minorHAnsi"/>
        </w:rPr>
        <w:t xml:space="preserve">. </w:t>
      </w:r>
    </w:p>
    <w:p w:rsidR="00CD07F5" w:rsidRDefault="00CD07F5" w:rsidP="00CD07F5">
      <w:pPr>
        <w:pStyle w:val="Heading2"/>
      </w:pPr>
      <w:bookmarkStart w:id="36" w:name="_Toc384038236"/>
      <w:r>
        <w:t>2013 DEEWR focus areas</w:t>
      </w:r>
      <w:bookmarkEnd w:id="36"/>
    </w:p>
    <w:p w:rsidR="0040521B" w:rsidRDefault="0040521B" w:rsidP="0040521B">
      <w:pPr>
        <w:pStyle w:val="ListParagraph"/>
        <w:numPr>
          <w:ilvl w:val="0"/>
          <w:numId w:val="35"/>
        </w:numPr>
        <w:spacing w:line="240" w:lineRule="auto"/>
        <w:rPr>
          <w:rFonts w:cstheme="minorHAnsi"/>
        </w:rPr>
      </w:pPr>
      <w:r>
        <w:rPr>
          <w:rFonts w:cstheme="minorHAnsi"/>
        </w:rPr>
        <w:t xml:space="preserve">Consider the changing relationship with state and territory education departments with the National Partnership concluding at the end of 2013.  Maintain the current positive networks between the Commonwealth and state/territory departments so that Year 12 attainment rates continue to improve. </w:t>
      </w:r>
    </w:p>
    <w:p w:rsidR="0040521B" w:rsidRDefault="0040521B" w:rsidP="0040521B">
      <w:pPr>
        <w:pStyle w:val="ListParagraph"/>
        <w:numPr>
          <w:ilvl w:val="0"/>
          <w:numId w:val="35"/>
        </w:numPr>
        <w:spacing w:line="240" w:lineRule="auto"/>
        <w:rPr>
          <w:rFonts w:cstheme="minorHAnsi"/>
        </w:rPr>
      </w:pPr>
      <w:r>
        <w:rPr>
          <w:rFonts w:cstheme="minorHAnsi"/>
        </w:rPr>
        <w:t xml:space="preserve">Explore and manage the implications of the National Plan for School Improvement on the Youth Connections program. </w:t>
      </w:r>
    </w:p>
    <w:p w:rsidR="0040521B" w:rsidRDefault="0040521B" w:rsidP="0040521B">
      <w:pPr>
        <w:pStyle w:val="ListParagraph"/>
        <w:numPr>
          <w:ilvl w:val="0"/>
          <w:numId w:val="35"/>
        </w:numPr>
        <w:spacing w:after="200"/>
        <w:rPr>
          <w:rFonts w:cstheme="minorHAnsi"/>
        </w:rPr>
      </w:pPr>
      <w:r>
        <w:rPr>
          <w:rFonts w:cstheme="minorHAnsi"/>
        </w:rPr>
        <w:t>Consider youth transitions policy settings beyond the Youth Connections program. Work with other departments and existing programs to develop an integrated policy response to the delivery of services for young people needing help to make successful transitions.</w:t>
      </w:r>
      <w:r w:rsidRPr="00113821">
        <w:rPr>
          <w:rFonts w:cstheme="minorHAnsi"/>
        </w:rPr>
        <w:t xml:space="preserve"> </w:t>
      </w:r>
    </w:p>
    <w:p w:rsidR="0040521B" w:rsidRPr="00113821" w:rsidRDefault="0040521B" w:rsidP="0040521B">
      <w:pPr>
        <w:pStyle w:val="ListParagraph"/>
        <w:numPr>
          <w:ilvl w:val="0"/>
          <w:numId w:val="35"/>
        </w:numPr>
        <w:spacing w:after="200"/>
        <w:rPr>
          <w:rFonts w:cstheme="minorHAnsi"/>
        </w:rPr>
      </w:pPr>
      <w:r>
        <w:rPr>
          <w:rFonts w:cstheme="minorHAnsi"/>
        </w:rPr>
        <w:t xml:space="preserve">Explore the opportunity for </w:t>
      </w:r>
      <w:r w:rsidRPr="00437548">
        <w:rPr>
          <w:rFonts w:cstheme="minorHAnsi"/>
        </w:rPr>
        <w:t>the Australian Government to implement more integrated service arrangements for young people</w:t>
      </w:r>
      <w:r>
        <w:rPr>
          <w:rFonts w:cstheme="minorHAnsi"/>
        </w:rPr>
        <w:t xml:space="preserve"> presented by t</w:t>
      </w:r>
      <w:r w:rsidRPr="00437548">
        <w:rPr>
          <w:rFonts w:cstheme="minorHAnsi"/>
        </w:rPr>
        <w:t>he expiration of the Job Services Australia contract in June 2015.</w:t>
      </w:r>
    </w:p>
    <w:p w:rsidR="0040521B" w:rsidRPr="009C28B4" w:rsidRDefault="0040521B" w:rsidP="0040521B">
      <w:pPr>
        <w:pStyle w:val="ListParagraph"/>
        <w:numPr>
          <w:ilvl w:val="0"/>
          <w:numId w:val="35"/>
        </w:numPr>
        <w:spacing w:line="240" w:lineRule="auto"/>
        <w:rPr>
          <w:rFonts w:cstheme="minorHAnsi"/>
        </w:rPr>
      </w:pPr>
      <w:r w:rsidRPr="009C28B4">
        <w:rPr>
          <w:rFonts w:cstheme="minorHAnsi"/>
        </w:rPr>
        <w:t>Continue</w:t>
      </w:r>
      <w:r>
        <w:rPr>
          <w:rFonts w:cstheme="minorHAnsi"/>
        </w:rPr>
        <w:t xml:space="preserve"> to </w:t>
      </w:r>
      <w:r w:rsidRPr="009C28B4">
        <w:rPr>
          <w:rFonts w:cstheme="minorHAnsi"/>
        </w:rPr>
        <w:t>promo</w:t>
      </w:r>
      <w:r>
        <w:rPr>
          <w:rFonts w:cstheme="minorHAnsi"/>
        </w:rPr>
        <w:t>te</w:t>
      </w:r>
      <w:r w:rsidRPr="009C28B4">
        <w:rPr>
          <w:rFonts w:cstheme="minorHAnsi"/>
        </w:rPr>
        <w:t xml:space="preserve"> </w:t>
      </w:r>
      <w:r>
        <w:rPr>
          <w:rFonts w:cstheme="minorHAnsi"/>
        </w:rPr>
        <w:t xml:space="preserve">and strengthen knowledge of </w:t>
      </w:r>
      <w:r w:rsidRPr="009C28B4">
        <w:rPr>
          <w:rFonts w:cstheme="minorHAnsi"/>
        </w:rPr>
        <w:t>the program beyond existing service networks</w:t>
      </w:r>
      <w:r>
        <w:rPr>
          <w:rFonts w:cstheme="minorHAnsi"/>
        </w:rPr>
        <w:t>.</w:t>
      </w:r>
    </w:p>
    <w:p w:rsidR="0040521B" w:rsidRDefault="0040521B" w:rsidP="0040521B">
      <w:pPr>
        <w:pStyle w:val="ListParagraph"/>
        <w:numPr>
          <w:ilvl w:val="0"/>
          <w:numId w:val="38"/>
        </w:numPr>
        <w:spacing w:line="240" w:lineRule="auto"/>
        <w:rPr>
          <w:rFonts w:cstheme="minorHAnsi"/>
        </w:rPr>
      </w:pPr>
      <w:r>
        <w:rPr>
          <w:rFonts w:cstheme="minorHAnsi"/>
        </w:rPr>
        <w:t xml:space="preserve">Embed the new </w:t>
      </w:r>
      <w:r w:rsidRPr="00571F09">
        <w:rPr>
          <w:rFonts w:cstheme="minorHAnsi"/>
        </w:rPr>
        <w:t>Targeted Engagement and Regional Coordination Services.</w:t>
      </w:r>
    </w:p>
    <w:p w:rsidR="0040521B" w:rsidRDefault="0040521B" w:rsidP="0040521B">
      <w:pPr>
        <w:pStyle w:val="ListParagraph"/>
        <w:numPr>
          <w:ilvl w:val="0"/>
          <w:numId w:val="38"/>
        </w:numPr>
        <w:spacing w:line="240" w:lineRule="auto"/>
        <w:rPr>
          <w:rFonts w:cstheme="minorHAnsi"/>
        </w:rPr>
      </w:pPr>
      <w:r w:rsidRPr="009C28B4">
        <w:rPr>
          <w:rFonts w:cstheme="minorHAnsi"/>
        </w:rPr>
        <w:t>Continue</w:t>
      </w:r>
      <w:r>
        <w:rPr>
          <w:rFonts w:cstheme="minorHAnsi"/>
        </w:rPr>
        <w:t xml:space="preserve"> to</w:t>
      </w:r>
      <w:r w:rsidRPr="009C28B4">
        <w:rPr>
          <w:rFonts w:cstheme="minorHAnsi"/>
        </w:rPr>
        <w:t xml:space="preserve"> focus on improving outcomes for Indigenous and </w:t>
      </w:r>
      <w:r>
        <w:rPr>
          <w:rFonts w:cstheme="minorHAnsi"/>
        </w:rPr>
        <w:t>H</w:t>
      </w:r>
      <w:r w:rsidRPr="009C28B4">
        <w:rPr>
          <w:rFonts w:cstheme="minorHAnsi"/>
        </w:rPr>
        <w:t xml:space="preserve">umanitarian </w:t>
      </w:r>
      <w:r>
        <w:rPr>
          <w:rFonts w:cstheme="minorHAnsi"/>
        </w:rPr>
        <w:t>R</w:t>
      </w:r>
      <w:r w:rsidRPr="009C28B4">
        <w:rPr>
          <w:rFonts w:cstheme="minorHAnsi"/>
        </w:rPr>
        <w:t>efugee participants.</w:t>
      </w:r>
    </w:p>
    <w:p w:rsidR="0040521B" w:rsidRDefault="0040521B" w:rsidP="00CD07F5">
      <w:pPr>
        <w:pStyle w:val="Heading1"/>
      </w:pPr>
      <w:bookmarkStart w:id="37" w:name="_Toc384038237"/>
      <w:r w:rsidRPr="00FD33F3">
        <w:t>South Australia</w:t>
      </w:r>
      <w:r>
        <w:t xml:space="preserve"> Summary</w:t>
      </w:r>
      <w:bookmarkEnd w:id="37"/>
    </w:p>
    <w:p w:rsidR="0040521B" w:rsidRPr="006E310C" w:rsidRDefault="0040521B" w:rsidP="00CD07F5">
      <w:pPr>
        <w:pStyle w:val="Heading2"/>
      </w:pPr>
      <w:r>
        <w:rPr>
          <w:rFonts w:cstheme="minorHAnsi"/>
        </w:rPr>
        <w:t xml:space="preserve"> </w:t>
      </w:r>
      <w:bookmarkStart w:id="38" w:name="_Toc384038238"/>
      <w:r w:rsidRPr="006E310C">
        <w:t>Context</w:t>
      </w:r>
      <w:bookmarkEnd w:id="38"/>
    </w:p>
    <w:p w:rsidR="0040521B" w:rsidRPr="006E310C" w:rsidRDefault="0040521B" w:rsidP="0040521B">
      <w:r w:rsidRPr="006E310C">
        <w:t>The program is</w:t>
      </w:r>
      <w:r>
        <w:t xml:space="preserve"> delivered across 12 regions and</w:t>
      </w:r>
      <w:r w:rsidRPr="006E310C">
        <w:t xml:space="preserve"> is focused on young people aged 13 to 19 years. Youth Connections providers work closely with a number of Commonwealth and SA government programs to target young people disengaged from education. </w:t>
      </w:r>
    </w:p>
    <w:p w:rsidR="0040521B" w:rsidRPr="006E310C" w:rsidRDefault="0040521B" w:rsidP="0040521B"/>
    <w:p w:rsidR="0040521B" w:rsidRDefault="0040521B" w:rsidP="0040521B">
      <w:pPr>
        <w:rPr>
          <w:rFonts w:cstheme="minorHAnsi"/>
        </w:rPr>
      </w:pPr>
      <w:r w:rsidRPr="0098579B">
        <w:rPr>
          <w:rFonts w:cstheme="minorHAnsi"/>
        </w:rPr>
        <w:lastRenderedPageBreak/>
        <w:t>In South Australia the Innovative Community Action Networks (</w:t>
      </w:r>
      <w:proofErr w:type="spellStart"/>
      <w:r w:rsidRPr="0098579B">
        <w:rPr>
          <w:rFonts w:cstheme="minorHAnsi"/>
        </w:rPr>
        <w:t>ICANs</w:t>
      </w:r>
      <w:proofErr w:type="spellEnd"/>
      <w:r w:rsidRPr="0098579B">
        <w:rPr>
          <w:rFonts w:cstheme="minorHAnsi"/>
        </w:rPr>
        <w:t xml:space="preserve">), a Department </w:t>
      </w:r>
      <w:r>
        <w:rPr>
          <w:rFonts w:cstheme="minorHAnsi"/>
        </w:rPr>
        <w:t xml:space="preserve">for </w:t>
      </w:r>
      <w:r w:rsidRPr="0098579B">
        <w:rPr>
          <w:rFonts w:cstheme="minorHAnsi"/>
        </w:rPr>
        <w:t>Education and Child</w:t>
      </w:r>
      <w:r>
        <w:rPr>
          <w:rFonts w:cstheme="minorHAnsi"/>
        </w:rPr>
        <w:t xml:space="preserve"> Development (DECD) </w:t>
      </w:r>
      <w:r w:rsidRPr="0098579B">
        <w:rPr>
          <w:rFonts w:cstheme="minorHAnsi"/>
        </w:rPr>
        <w:t xml:space="preserve">program, was progressively implemented across the state and is now established in all regions, with the exception of the </w:t>
      </w:r>
      <w:proofErr w:type="spellStart"/>
      <w:r w:rsidRPr="0098579B">
        <w:rPr>
          <w:rFonts w:cstheme="minorHAnsi"/>
        </w:rPr>
        <w:t>Anangu</w:t>
      </w:r>
      <w:proofErr w:type="spellEnd"/>
      <w:r w:rsidRPr="0098579B">
        <w:rPr>
          <w:rFonts w:cstheme="minorHAnsi"/>
        </w:rPr>
        <w:t xml:space="preserve"> Pitjantjatjara </w:t>
      </w:r>
      <w:proofErr w:type="spellStart"/>
      <w:r w:rsidRPr="0098579B">
        <w:rPr>
          <w:rFonts w:cstheme="minorHAnsi"/>
        </w:rPr>
        <w:t>Yankunytjatjara</w:t>
      </w:r>
      <w:proofErr w:type="spellEnd"/>
      <w:r w:rsidRPr="0098579B">
        <w:rPr>
          <w:rFonts w:cstheme="minorHAnsi"/>
        </w:rPr>
        <w:t xml:space="preserve"> (</w:t>
      </w:r>
      <w:proofErr w:type="spellStart"/>
      <w:r w:rsidRPr="0098579B">
        <w:rPr>
          <w:rFonts w:cstheme="minorHAnsi"/>
        </w:rPr>
        <w:t>APY</w:t>
      </w:r>
      <w:proofErr w:type="spellEnd"/>
      <w:r w:rsidRPr="0098579B">
        <w:rPr>
          <w:rFonts w:cstheme="minorHAnsi"/>
        </w:rPr>
        <w:t xml:space="preserve">) Lands. The </w:t>
      </w:r>
      <w:proofErr w:type="spellStart"/>
      <w:r w:rsidRPr="0098579B">
        <w:rPr>
          <w:rFonts w:cstheme="minorHAnsi"/>
        </w:rPr>
        <w:t>ICAN</w:t>
      </w:r>
      <w:proofErr w:type="spellEnd"/>
      <w:r w:rsidRPr="0098579B">
        <w:rPr>
          <w:rFonts w:cstheme="minorHAnsi"/>
        </w:rPr>
        <w:t xml:space="preserve"> and Youth Connections programs complement each other through ensuring that the most appropriate program is utilised based on the individual young person’s requirements. DECD employees in the schools and the Youth Connections case workers have formed collaborative relationships. As the DECD enrolment point for </w:t>
      </w:r>
      <w:proofErr w:type="spellStart"/>
      <w:r w:rsidRPr="0098579B">
        <w:rPr>
          <w:rFonts w:cstheme="minorHAnsi"/>
        </w:rPr>
        <w:t>ICAN</w:t>
      </w:r>
      <w:proofErr w:type="spellEnd"/>
      <w:r w:rsidRPr="0098579B">
        <w:rPr>
          <w:rFonts w:cstheme="minorHAnsi"/>
        </w:rPr>
        <w:t>/Flexible Learning Options (FLO) referral is early in the school year the young person who is not FLO enrolled at this time is referred to Youth Connections if they present with at risk or disengagement issues during the year. In the following year the young person is usually then FLO enrolled and exited from Youth Connections. This creates a seamless approach and ensures that the young person has continuous case management support.</w:t>
      </w:r>
      <w:r>
        <w:rPr>
          <w:rFonts w:cstheme="minorHAnsi"/>
        </w:rPr>
        <w:t xml:space="preserve"> The Department is represented at the </w:t>
      </w:r>
      <w:proofErr w:type="spellStart"/>
      <w:r>
        <w:rPr>
          <w:rFonts w:cstheme="minorHAnsi"/>
        </w:rPr>
        <w:t>ICAN</w:t>
      </w:r>
      <w:proofErr w:type="spellEnd"/>
      <w:r>
        <w:rPr>
          <w:rFonts w:cstheme="minorHAnsi"/>
        </w:rPr>
        <w:t xml:space="preserve"> East and Hills Strategic Management Group meetings, which are held</w:t>
      </w:r>
      <w:r w:rsidRPr="00D21847">
        <w:rPr>
          <w:rFonts w:cstheme="minorHAnsi"/>
        </w:rPr>
        <w:t xml:space="preserve"> </w:t>
      </w:r>
      <w:r>
        <w:rPr>
          <w:rFonts w:cstheme="minorHAnsi"/>
        </w:rPr>
        <w:t>quarterly.</w:t>
      </w:r>
    </w:p>
    <w:p w:rsidR="0040521B" w:rsidRPr="006E310C" w:rsidRDefault="0040521B" w:rsidP="0040521B"/>
    <w:p w:rsidR="0040521B" w:rsidRDefault="0040521B" w:rsidP="0040521B">
      <w:pPr>
        <w:rPr>
          <w:rFonts w:cstheme="minorHAnsi"/>
        </w:rPr>
      </w:pPr>
      <w:r w:rsidRPr="001C1C13">
        <w:rPr>
          <w:rFonts w:cstheme="minorHAnsi"/>
        </w:rPr>
        <w:t xml:space="preserve">The SA State Reference Group is represented by the SA and </w:t>
      </w:r>
      <w:r w:rsidRPr="005D7037">
        <w:rPr>
          <w:rFonts w:cstheme="minorHAnsi"/>
        </w:rPr>
        <w:t xml:space="preserve">National Office, </w:t>
      </w:r>
      <w:r w:rsidRPr="005D7037">
        <w:rPr>
          <w:rStyle w:val="Emphasis"/>
          <w:rFonts w:cstheme="minorHAnsi"/>
        </w:rPr>
        <w:t>Department of Further Education, Employment, Science and Technology (</w:t>
      </w:r>
      <w:proofErr w:type="spellStart"/>
      <w:r w:rsidRPr="005D7037">
        <w:rPr>
          <w:rFonts w:cstheme="minorHAnsi"/>
        </w:rPr>
        <w:t>DFEEST</w:t>
      </w:r>
      <w:proofErr w:type="spellEnd"/>
      <w:r w:rsidRPr="005D7037">
        <w:rPr>
          <w:rFonts w:cstheme="minorHAnsi"/>
        </w:rPr>
        <w:t xml:space="preserve">), DECD, Catholic Education Office, </w:t>
      </w:r>
      <w:r w:rsidRPr="005D7037">
        <w:rPr>
          <w:rStyle w:val="Emphasis"/>
          <w:rFonts w:cstheme="minorHAnsi"/>
        </w:rPr>
        <w:t>Association of Independent Schools of South Australia</w:t>
      </w:r>
      <w:r w:rsidRPr="005D7037">
        <w:rPr>
          <w:rFonts w:cstheme="minorHAnsi"/>
        </w:rPr>
        <w:t xml:space="preserve"> (</w:t>
      </w:r>
      <w:proofErr w:type="spellStart"/>
      <w:r w:rsidRPr="005D7037">
        <w:rPr>
          <w:rFonts w:cstheme="minorHAnsi"/>
        </w:rPr>
        <w:t>AISSA</w:t>
      </w:r>
      <w:proofErr w:type="spellEnd"/>
      <w:r w:rsidRPr="005D7037">
        <w:rPr>
          <w:rFonts w:cstheme="minorHAnsi"/>
        </w:rPr>
        <w:t xml:space="preserve">) and Office for Youth, </w:t>
      </w:r>
      <w:r w:rsidRPr="005D7037">
        <w:rPr>
          <w:rStyle w:val="Emphasis"/>
          <w:rFonts w:cstheme="minorHAnsi"/>
        </w:rPr>
        <w:t>Department for Communities and Social Inclusion</w:t>
      </w:r>
      <w:r w:rsidRPr="005D7037">
        <w:rPr>
          <w:rFonts w:cstheme="minorHAnsi"/>
        </w:rPr>
        <w:t xml:space="preserve"> (</w:t>
      </w:r>
      <w:proofErr w:type="spellStart"/>
      <w:r w:rsidRPr="005D7037">
        <w:rPr>
          <w:rFonts w:cstheme="minorHAnsi"/>
        </w:rPr>
        <w:t>DCSI</w:t>
      </w:r>
      <w:proofErr w:type="spellEnd"/>
      <w:r w:rsidRPr="001C1C13">
        <w:rPr>
          <w:rFonts w:cstheme="minorHAnsi"/>
        </w:rPr>
        <w:t>).</w:t>
      </w:r>
      <w:r>
        <w:rPr>
          <w:rFonts w:cstheme="minorHAnsi"/>
        </w:rPr>
        <w:t xml:space="preserve"> This is an information sharing forum about new and existing initiatives and the </w:t>
      </w:r>
      <w:r w:rsidRPr="006E310C">
        <w:t xml:space="preserve">DECD </w:t>
      </w:r>
      <w:proofErr w:type="spellStart"/>
      <w:r w:rsidRPr="006E310C">
        <w:t>ICAN</w:t>
      </w:r>
      <w:proofErr w:type="spellEnd"/>
      <w:r w:rsidRPr="006E310C">
        <w:t xml:space="preserve"> representative is an integral member of the </w:t>
      </w:r>
      <w:r>
        <w:t>group</w:t>
      </w:r>
      <w:r w:rsidRPr="006E310C">
        <w:t xml:space="preserve"> where any challenges and successes are discussed</w:t>
      </w:r>
      <w:r>
        <w:t>. M</w:t>
      </w:r>
      <w:r w:rsidRPr="001C1C13">
        <w:rPr>
          <w:rFonts w:cstheme="minorHAnsi"/>
        </w:rPr>
        <w:t>eet</w:t>
      </w:r>
      <w:r>
        <w:rPr>
          <w:rFonts w:cstheme="minorHAnsi"/>
        </w:rPr>
        <w:t>ings are held</w:t>
      </w:r>
      <w:r w:rsidRPr="001C1C13">
        <w:rPr>
          <w:rFonts w:cstheme="minorHAnsi"/>
        </w:rPr>
        <w:t xml:space="preserve"> quarterly</w:t>
      </w:r>
      <w:r>
        <w:rPr>
          <w:rFonts w:cstheme="minorHAnsi"/>
        </w:rPr>
        <w:t>.</w:t>
      </w:r>
    </w:p>
    <w:p w:rsidR="0040521B" w:rsidRPr="001C1C13" w:rsidRDefault="0040521B" w:rsidP="0040521B">
      <w:pPr>
        <w:rPr>
          <w:rFonts w:cstheme="minorHAnsi"/>
        </w:rPr>
      </w:pPr>
    </w:p>
    <w:p w:rsidR="0040521B" w:rsidRPr="006E310C" w:rsidRDefault="0040521B" w:rsidP="0040521B">
      <w:r w:rsidRPr="006E310C">
        <w:t xml:space="preserve">The Youth Connections SA </w:t>
      </w:r>
      <w:r>
        <w:t>S</w:t>
      </w:r>
      <w:r w:rsidRPr="006E310C">
        <w:t xml:space="preserve">tate </w:t>
      </w:r>
      <w:r>
        <w:t>N</w:t>
      </w:r>
      <w:r w:rsidRPr="006E310C">
        <w:t xml:space="preserve">etwork meets </w:t>
      </w:r>
      <w:r>
        <w:t xml:space="preserve">up to </w:t>
      </w:r>
      <w:r w:rsidRPr="006E310C">
        <w:t xml:space="preserve">eight times a year, including </w:t>
      </w:r>
      <w:r>
        <w:t xml:space="preserve">a number of </w:t>
      </w:r>
      <w:r w:rsidRPr="006E310C">
        <w:t>joint meetings with the Partnership Broker</w:t>
      </w:r>
      <w:r>
        <w:t>s</w:t>
      </w:r>
      <w:r w:rsidRPr="006E310C">
        <w:t xml:space="preserve"> network. Working groups have been formed to address emerging issues and these in the main align with the National Network priorities and actions. </w:t>
      </w:r>
    </w:p>
    <w:p w:rsidR="0040521B" w:rsidRPr="006E310C" w:rsidRDefault="0040521B" w:rsidP="00FF3E7A">
      <w:pPr>
        <w:pStyle w:val="Heading2"/>
      </w:pPr>
      <w:bookmarkStart w:id="39" w:name="_Toc384038239"/>
      <w:r w:rsidRPr="006E310C">
        <w:t>Program Status</w:t>
      </w:r>
      <w:bookmarkEnd w:id="39"/>
    </w:p>
    <w:p w:rsidR="0040521B" w:rsidRPr="006E310C" w:rsidRDefault="0040521B" w:rsidP="0040521B">
      <w:r w:rsidRPr="006E310C">
        <w:t xml:space="preserve">In the first </w:t>
      </w:r>
      <w:r>
        <w:t xml:space="preserve">three </w:t>
      </w:r>
      <w:r w:rsidRPr="006E310C">
        <w:t xml:space="preserve">years of operation in South Australia, Youth Connections provided Individual Support Services to </w:t>
      </w:r>
      <w:r>
        <w:t>3,390</w:t>
      </w:r>
      <w:r w:rsidRPr="006E310C">
        <w:t xml:space="preserve"> young people</w:t>
      </w:r>
      <w:r>
        <w:t xml:space="preserve"> 1,676</w:t>
      </w:r>
      <w:r w:rsidRPr="006E310C">
        <w:t xml:space="preserve"> (</w:t>
      </w:r>
      <w:r>
        <w:t>49</w:t>
      </w:r>
      <w:r w:rsidRPr="006E310C">
        <w:t xml:space="preserve">%) young people in the program achieved a final outcome, which represents re-engagement or a sustained improvement in a young person’s engagement with education, training or employment. A further </w:t>
      </w:r>
      <w:r>
        <w:t>734</w:t>
      </w:r>
      <w:r w:rsidRPr="006E310C">
        <w:t xml:space="preserve"> (</w:t>
      </w:r>
      <w:r>
        <w:t>21</w:t>
      </w:r>
      <w:r w:rsidRPr="006E310C">
        <w:t xml:space="preserve">%) were assessed as making significant progress in addressing their barriers to engagement in education. </w:t>
      </w:r>
    </w:p>
    <w:p w:rsidR="0040521B" w:rsidRPr="006E310C" w:rsidRDefault="0040521B" w:rsidP="0040521B"/>
    <w:p w:rsidR="0040521B" w:rsidRPr="006E310C" w:rsidRDefault="0040521B" w:rsidP="0040521B">
      <w:pPr>
        <w:rPr>
          <w:rFonts w:cstheme="minorHAnsi"/>
        </w:rPr>
      </w:pPr>
      <w:r w:rsidRPr="006E310C">
        <w:rPr>
          <w:rFonts w:cstheme="minorHAnsi"/>
        </w:rPr>
        <w:t xml:space="preserve">In SA </w:t>
      </w:r>
      <w:r>
        <w:rPr>
          <w:rFonts w:cstheme="minorHAnsi"/>
        </w:rPr>
        <w:t>488</w:t>
      </w:r>
      <w:r w:rsidRPr="006E310C">
        <w:rPr>
          <w:rFonts w:cstheme="minorHAnsi"/>
        </w:rPr>
        <w:t xml:space="preserve"> (</w:t>
      </w:r>
      <w:r>
        <w:rPr>
          <w:rFonts w:cstheme="minorHAnsi"/>
        </w:rPr>
        <w:t>14</w:t>
      </w:r>
      <w:r w:rsidRPr="006E310C">
        <w:rPr>
          <w:rFonts w:cstheme="minorHAnsi"/>
        </w:rPr>
        <w:t xml:space="preserve">%) of young people in the program were identified as Indigenous Australians. </w:t>
      </w:r>
      <w:r>
        <w:rPr>
          <w:rFonts w:cstheme="minorHAnsi"/>
        </w:rPr>
        <w:t>227</w:t>
      </w:r>
      <w:r w:rsidRPr="006E310C">
        <w:rPr>
          <w:rFonts w:cstheme="minorHAnsi"/>
        </w:rPr>
        <w:t xml:space="preserve"> (</w:t>
      </w:r>
      <w:r>
        <w:rPr>
          <w:rFonts w:cstheme="minorHAnsi"/>
        </w:rPr>
        <w:t>47</w:t>
      </w:r>
      <w:r w:rsidRPr="006E310C">
        <w:rPr>
          <w:rFonts w:cstheme="minorHAnsi"/>
        </w:rPr>
        <w:t xml:space="preserve">%) Indigenous young people achieved a final outcome, and a further </w:t>
      </w:r>
      <w:r>
        <w:rPr>
          <w:rFonts w:cstheme="minorHAnsi"/>
        </w:rPr>
        <w:t>120</w:t>
      </w:r>
      <w:r w:rsidRPr="006E310C">
        <w:rPr>
          <w:rFonts w:cstheme="minorHAnsi"/>
        </w:rPr>
        <w:t xml:space="preserve"> (</w:t>
      </w:r>
      <w:r>
        <w:rPr>
          <w:rFonts w:cstheme="minorHAnsi"/>
        </w:rPr>
        <w:t>25</w:t>
      </w:r>
      <w:r w:rsidRPr="006E310C">
        <w:rPr>
          <w:rFonts w:cstheme="minorHAnsi"/>
        </w:rPr>
        <w:t xml:space="preserve">%) were assessed as </w:t>
      </w:r>
      <w:r>
        <w:rPr>
          <w:rFonts w:cstheme="minorHAnsi"/>
        </w:rPr>
        <w:t>achieving a progressive outcome</w:t>
      </w:r>
      <w:r w:rsidRPr="006E310C">
        <w:rPr>
          <w:rFonts w:cstheme="minorHAnsi"/>
        </w:rPr>
        <w:t>.</w:t>
      </w:r>
    </w:p>
    <w:p w:rsidR="0040521B" w:rsidRPr="006E310C" w:rsidRDefault="0040521B" w:rsidP="0040521B"/>
    <w:p w:rsidR="0040521B" w:rsidRPr="006E310C" w:rsidRDefault="0040521B" w:rsidP="0040521B">
      <w:r w:rsidRPr="006E310C">
        <w:t xml:space="preserve">In addition, </w:t>
      </w:r>
      <w:r>
        <w:t>947</w:t>
      </w:r>
      <w:r w:rsidRPr="006E310C">
        <w:t xml:space="preserve"> Outreach and Re-engagement activities were held to find and connect with severely disconnected young people, with providers linking with </w:t>
      </w:r>
      <w:r>
        <w:t>25,684</w:t>
      </w:r>
      <w:r w:rsidRPr="006E310C">
        <w:t xml:space="preserve"> young people through these activities. </w:t>
      </w:r>
      <w:r w:rsidRPr="006E310C">
        <w:rPr>
          <w:rFonts w:cstheme="minorHAnsi"/>
        </w:rPr>
        <w:t>Four Youth Connections providers opened dedicated Youth Spaces in seven locations and one provider opened an Alternative Learning Facility in July 2011.</w:t>
      </w:r>
    </w:p>
    <w:p w:rsidR="0040521B" w:rsidRPr="006E310C" w:rsidRDefault="0040521B" w:rsidP="0040521B"/>
    <w:p w:rsidR="0040521B" w:rsidRPr="006E310C" w:rsidRDefault="0040521B" w:rsidP="0040521B">
      <w:pPr>
        <w:rPr>
          <w:rFonts w:cstheme="minorHAnsi"/>
        </w:rPr>
      </w:pPr>
      <w:r w:rsidRPr="006E310C">
        <w:t>In th</w:t>
      </w:r>
      <w:r>
        <w:t>e 1 January 2010 to 31 December 2012</w:t>
      </w:r>
      <w:r w:rsidRPr="006E310C">
        <w:t xml:space="preserve"> period, providers undertook a range of initiatives to strengthen services in the region, with </w:t>
      </w:r>
      <w:r>
        <w:t>698</w:t>
      </w:r>
      <w:r w:rsidRPr="006E310C">
        <w:t xml:space="preserve"> activities being held.</w:t>
      </w:r>
      <w:r w:rsidRPr="006E310C">
        <w:rPr>
          <w:rFonts w:cstheme="minorHAnsi"/>
        </w:rPr>
        <w:t xml:space="preserve"> </w:t>
      </w:r>
      <w:r>
        <w:rPr>
          <w:rFonts w:cstheme="minorHAnsi"/>
        </w:rPr>
        <w:t>There were 62 activities identified as having a humanitarian refugee focus.</w:t>
      </w:r>
    </w:p>
    <w:p w:rsidR="0040521B" w:rsidRPr="006E310C" w:rsidRDefault="0040521B" w:rsidP="0040521B"/>
    <w:p w:rsidR="0040521B" w:rsidRDefault="0040521B" w:rsidP="0040521B">
      <w:pPr>
        <w:rPr>
          <w:rFonts w:cstheme="minorHAnsi"/>
        </w:rPr>
      </w:pPr>
      <w:r w:rsidRPr="006E310C">
        <w:rPr>
          <w:rFonts w:cstheme="minorHAnsi"/>
        </w:rPr>
        <w:lastRenderedPageBreak/>
        <w:t xml:space="preserve">A key success has been the role the Youth Connections - Specialised Services program played in co-ordinating cross-state assistance to young people who are in or exiting the Juvenile Justice system, including in the Far North and </w:t>
      </w:r>
      <w:proofErr w:type="spellStart"/>
      <w:r w:rsidRPr="006E310C">
        <w:rPr>
          <w:rFonts w:cstheme="minorHAnsi"/>
        </w:rPr>
        <w:t>APY</w:t>
      </w:r>
      <w:proofErr w:type="spellEnd"/>
      <w:r w:rsidRPr="006E310C">
        <w:rPr>
          <w:rFonts w:cstheme="minorHAnsi"/>
        </w:rPr>
        <w:t xml:space="preserve"> Lands. Under the program, </w:t>
      </w:r>
      <w:r>
        <w:rPr>
          <w:rFonts w:cstheme="minorHAnsi"/>
        </w:rPr>
        <w:t>105</w:t>
      </w:r>
      <w:r w:rsidRPr="006E310C">
        <w:rPr>
          <w:rFonts w:cstheme="minorHAnsi"/>
        </w:rPr>
        <w:t xml:space="preserve"> young people received support services under the Specialised Service, </w:t>
      </w:r>
      <w:r>
        <w:rPr>
          <w:rFonts w:cstheme="minorHAnsi"/>
        </w:rPr>
        <w:t>69</w:t>
      </w:r>
      <w:r w:rsidRPr="006E310C">
        <w:rPr>
          <w:rFonts w:cstheme="minorHAnsi"/>
        </w:rPr>
        <w:t xml:space="preserve"> of </w:t>
      </w:r>
      <w:proofErr w:type="gramStart"/>
      <w:r w:rsidRPr="006E310C">
        <w:rPr>
          <w:rFonts w:cstheme="minorHAnsi"/>
        </w:rPr>
        <w:t>whom</w:t>
      </w:r>
      <w:proofErr w:type="gramEnd"/>
      <w:r w:rsidRPr="006E310C">
        <w:rPr>
          <w:rFonts w:cstheme="minorHAnsi"/>
        </w:rPr>
        <w:t xml:space="preserve"> achieved </w:t>
      </w:r>
      <w:r>
        <w:rPr>
          <w:rFonts w:cstheme="minorHAnsi"/>
        </w:rPr>
        <w:t xml:space="preserve">a final </w:t>
      </w:r>
      <w:r w:rsidRPr="006E310C">
        <w:rPr>
          <w:rFonts w:cstheme="minorHAnsi"/>
        </w:rPr>
        <w:t xml:space="preserve">outcome. In addition, the Specialised Service delivered </w:t>
      </w:r>
      <w:r>
        <w:rPr>
          <w:rFonts w:cstheme="minorHAnsi"/>
        </w:rPr>
        <w:t>168</w:t>
      </w:r>
      <w:r w:rsidRPr="006E310C">
        <w:rPr>
          <w:rFonts w:cstheme="minorHAnsi"/>
        </w:rPr>
        <w:t xml:space="preserve"> Outreach and Re-engagement activities to connect with severely disconnected young people, linking with </w:t>
      </w:r>
      <w:r>
        <w:rPr>
          <w:rFonts w:cstheme="minorHAnsi"/>
        </w:rPr>
        <w:t>1,160</w:t>
      </w:r>
      <w:r w:rsidRPr="006E310C">
        <w:rPr>
          <w:rFonts w:cstheme="minorHAnsi"/>
        </w:rPr>
        <w:t xml:space="preserve"> people, and </w:t>
      </w:r>
      <w:r>
        <w:rPr>
          <w:rFonts w:cstheme="minorHAnsi"/>
        </w:rPr>
        <w:t>56</w:t>
      </w:r>
      <w:r w:rsidRPr="006E310C">
        <w:rPr>
          <w:rFonts w:cstheme="minorHAnsi"/>
        </w:rPr>
        <w:t xml:space="preserve"> Strengthening Services in the region activities.</w:t>
      </w:r>
    </w:p>
    <w:p w:rsidR="0040521B" w:rsidRDefault="0040521B" w:rsidP="0040521B">
      <w:pPr>
        <w:rPr>
          <w:rFonts w:cstheme="minorHAnsi"/>
        </w:rPr>
      </w:pPr>
    </w:p>
    <w:p w:rsidR="0040521B" w:rsidRPr="002829E7" w:rsidRDefault="0040521B" w:rsidP="0040521B">
      <w:r w:rsidRPr="002829E7">
        <w:t xml:space="preserve">Personal factors, such as </w:t>
      </w:r>
      <w:r>
        <w:t>alcohol and/or drug misuse</w:t>
      </w:r>
      <w:r w:rsidRPr="002829E7">
        <w:t xml:space="preserve"> continue to be a barrier for </w:t>
      </w:r>
      <w:r>
        <w:t>45 per cent</w:t>
      </w:r>
      <w:r w:rsidRPr="002829E7">
        <w:t xml:space="preserve"> of young people</w:t>
      </w:r>
      <w:r>
        <w:t xml:space="preserve"> in this cohort</w:t>
      </w:r>
      <w:r w:rsidRPr="002829E7">
        <w:t>, and this can limit their opportunities to participate in education and training.</w:t>
      </w:r>
    </w:p>
    <w:p w:rsidR="0040521B" w:rsidRPr="002829E7" w:rsidRDefault="0040521B" w:rsidP="0040521B"/>
    <w:p w:rsidR="0040521B" w:rsidRPr="002829E7" w:rsidRDefault="0040521B" w:rsidP="0040521B">
      <w:r w:rsidRPr="002829E7">
        <w:t>There has been:</w:t>
      </w:r>
    </w:p>
    <w:p w:rsidR="0040521B" w:rsidRPr="002829E7" w:rsidRDefault="0040521B" w:rsidP="0040521B">
      <w:pPr>
        <w:pStyle w:val="ListParagraph"/>
        <w:numPr>
          <w:ilvl w:val="0"/>
          <w:numId w:val="40"/>
        </w:numPr>
        <w:spacing w:line="240" w:lineRule="auto"/>
        <w:contextualSpacing w:val="0"/>
        <w:rPr>
          <w:color w:val="000000"/>
          <w:lang w:eastAsia="en-AU"/>
        </w:rPr>
      </w:pPr>
      <w:r w:rsidRPr="002829E7">
        <w:rPr>
          <w:color w:val="000000"/>
          <w:lang w:eastAsia="en-AU"/>
        </w:rPr>
        <w:t>A reduction in the duplication of community resources which support at risk young people;</w:t>
      </w:r>
    </w:p>
    <w:p w:rsidR="0040521B" w:rsidRPr="002829E7" w:rsidRDefault="0040521B" w:rsidP="0040521B">
      <w:pPr>
        <w:pStyle w:val="ListParagraph"/>
        <w:numPr>
          <w:ilvl w:val="0"/>
          <w:numId w:val="40"/>
        </w:numPr>
        <w:spacing w:line="240" w:lineRule="auto"/>
        <w:contextualSpacing w:val="0"/>
        <w:rPr>
          <w:color w:val="000000"/>
          <w:lang w:eastAsia="en-AU"/>
        </w:rPr>
      </w:pPr>
      <w:r w:rsidRPr="002829E7">
        <w:rPr>
          <w:color w:val="000000"/>
          <w:lang w:eastAsia="en-AU"/>
        </w:rPr>
        <w:t>An increase in the number of schools that strengthened their procedures to support young people at risk of disengaging;</w:t>
      </w:r>
    </w:p>
    <w:p w:rsidR="0040521B" w:rsidRPr="002829E7" w:rsidRDefault="0040521B" w:rsidP="0040521B">
      <w:pPr>
        <w:pStyle w:val="ListParagraph"/>
        <w:numPr>
          <w:ilvl w:val="0"/>
          <w:numId w:val="40"/>
        </w:numPr>
        <w:spacing w:line="240" w:lineRule="auto"/>
        <w:contextualSpacing w:val="0"/>
        <w:rPr>
          <w:color w:val="000000"/>
          <w:lang w:eastAsia="en-AU"/>
        </w:rPr>
      </w:pPr>
      <w:r w:rsidRPr="002829E7">
        <w:rPr>
          <w:color w:val="000000"/>
          <w:lang w:eastAsia="en-AU"/>
        </w:rPr>
        <w:t>An increase or improvement in the available services for families of at risk young people; and</w:t>
      </w:r>
    </w:p>
    <w:p w:rsidR="0040521B" w:rsidRPr="002829E7" w:rsidRDefault="0040521B" w:rsidP="0040521B">
      <w:pPr>
        <w:pStyle w:val="ListParagraph"/>
        <w:numPr>
          <w:ilvl w:val="0"/>
          <w:numId w:val="40"/>
        </w:numPr>
        <w:spacing w:line="240" w:lineRule="auto"/>
        <w:contextualSpacing w:val="0"/>
      </w:pPr>
      <w:r w:rsidRPr="002829E7">
        <w:rPr>
          <w:color w:val="000000"/>
          <w:lang w:eastAsia="en-AU"/>
        </w:rPr>
        <w:t>Young people disengaging less frequently from school or education providers.</w:t>
      </w:r>
    </w:p>
    <w:p w:rsidR="0040521B" w:rsidRPr="006E310C" w:rsidRDefault="0040521B" w:rsidP="00FF3E7A">
      <w:pPr>
        <w:pStyle w:val="Heading2"/>
      </w:pPr>
      <w:bookmarkStart w:id="40" w:name="_Toc384038240"/>
      <w:r w:rsidRPr="006E310C">
        <w:t>Challenges</w:t>
      </w:r>
      <w:bookmarkEnd w:id="40"/>
    </w:p>
    <w:p w:rsidR="0040521B" w:rsidRPr="006E310C" w:rsidRDefault="0040521B" w:rsidP="0040521B">
      <w:pPr>
        <w:rPr>
          <w:rFonts w:cstheme="minorHAnsi"/>
        </w:rPr>
      </w:pPr>
      <w:r w:rsidRPr="006E310C">
        <w:rPr>
          <w:rFonts w:cstheme="minorHAnsi"/>
        </w:rPr>
        <w:t>The lack of mental health facilities, transport, accommodation for homeless youth and alternate education opportunities is a challenge for providers. Most providers are working with a number of agencies including the Partnership Broker</w:t>
      </w:r>
      <w:r>
        <w:rPr>
          <w:rFonts w:cstheme="minorHAnsi"/>
        </w:rPr>
        <w:t>s</w:t>
      </w:r>
      <w:r w:rsidRPr="006E310C">
        <w:rPr>
          <w:rFonts w:cstheme="minorHAnsi"/>
        </w:rPr>
        <w:t xml:space="preserve"> to overcome these barriers and strengthen the region for a long term solution.</w:t>
      </w:r>
    </w:p>
    <w:p w:rsidR="0040521B" w:rsidRPr="006E310C" w:rsidRDefault="0040521B" w:rsidP="0040521B">
      <w:pPr>
        <w:rPr>
          <w:rFonts w:cstheme="minorHAnsi"/>
        </w:rPr>
      </w:pPr>
    </w:p>
    <w:p w:rsidR="00FF3E7A" w:rsidRDefault="00FF3E7A">
      <w:pPr>
        <w:spacing w:after="200"/>
        <w:rPr>
          <w:rFonts w:eastAsiaTheme="majorEastAsia" w:cstheme="majorBidi"/>
          <w:b/>
          <w:bCs/>
          <w:sz w:val="32"/>
          <w:szCs w:val="28"/>
        </w:rPr>
      </w:pPr>
      <w:r>
        <w:br w:type="page"/>
      </w:r>
    </w:p>
    <w:p w:rsidR="0040521B" w:rsidRDefault="0040521B" w:rsidP="0040521B">
      <w:pPr>
        <w:pStyle w:val="Heading1"/>
        <w:spacing w:before="0"/>
      </w:pPr>
      <w:bookmarkStart w:id="41" w:name="_Toc384038241"/>
      <w:r>
        <w:lastRenderedPageBreak/>
        <w:t>Youth Connections program data</w:t>
      </w:r>
      <w:bookmarkEnd w:id="41"/>
    </w:p>
    <w:p w:rsidR="0040521B" w:rsidRDefault="0040521B" w:rsidP="0040521B">
      <w:pPr>
        <w:rPr>
          <w:u w:val="single"/>
        </w:rPr>
      </w:pPr>
    </w:p>
    <w:p w:rsidR="0040521B" w:rsidRPr="009863DD" w:rsidRDefault="0040521B" w:rsidP="0040521B">
      <w:pPr>
        <w:rPr>
          <w:u w:val="single"/>
        </w:rPr>
      </w:pPr>
      <w:r w:rsidRPr="009863DD">
        <w:rPr>
          <w:u w:val="single"/>
        </w:rPr>
        <w:t>Connection Level definitions</w:t>
      </w:r>
    </w:p>
    <w:p w:rsidR="0040521B" w:rsidRDefault="0040521B" w:rsidP="0040521B">
      <w:pPr>
        <w:pStyle w:val="ListParagraph"/>
        <w:numPr>
          <w:ilvl w:val="0"/>
          <w:numId w:val="42"/>
        </w:numPr>
        <w:spacing w:after="200"/>
      </w:pPr>
      <w:r>
        <w:t>Connection Level 1: young people who are attached to/attending school/education on a regular basis but who are the most at risk of disengaging from learning and/or disconnecting from school/education</w:t>
      </w:r>
    </w:p>
    <w:p w:rsidR="0040521B" w:rsidRDefault="0040521B" w:rsidP="0040521B">
      <w:pPr>
        <w:pStyle w:val="ListParagraph"/>
        <w:numPr>
          <w:ilvl w:val="0"/>
          <w:numId w:val="42"/>
        </w:numPr>
        <w:spacing w:after="200"/>
      </w:pPr>
      <w:r>
        <w:t xml:space="preserve">Connection Level </w:t>
      </w:r>
      <w:proofErr w:type="spellStart"/>
      <w:r>
        <w:t>2a</w:t>
      </w:r>
      <w:proofErr w:type="spellEnd"/>
      <w:r>
        <w:t>: young people whose attendance record at school/education is poor</w:t>
      </w:r>
    </w:p>
    <w:p w:rsidR="0040521B" w:rsidRDefault="0040521B" w:rsidP="0040521B">
      <w:pPr>
        <w:pStyle w:val="ListParagraph"/>
        <w:numPr>
          <w:ilvl w:val="0"/>
          <w:numId w:val="42"/>
        </w:numPr>
        <w:spacing w:after="200"/>
      </w:pPr>
      <w:r>
        <w:t xml:space="preserve">Connection Level </w:t>
      </w:r>
      <w:proofErr w:type="spellStart"/>
      <w:r>
        <w:t>2b</w:t>
      </w:r>
      <w:proofErr w:type="spellEnd"/>
      <w:r>
        <w:t>: young people who have been continuously disconnected from school/education for longer than three months</w:t>
      </w:r>
    </w:p>
    <w:p w:rsidR="0040521B" w:rsidRDefault="0040521B" w:rsidP="0040521B">
      <w:pPr>
        <w:pStyle w:val="ListParagraph"/>
      </w:pPr>
    </w:p>
    <w:p w:rsidR="0040521B" w:rsidRPr="00904FAE" w:rsidRDefault="0040521B" w:rsidP="00FF3E7A">
      <w:pPr>
        <w:pStyle w:val="Heading3"/>
        <w:rPr>
          <w:rFonts w:eastAsia="Times New Roman"/>
        </w:rPr>
      </w:pPr>
      <w:r w:rsidRPr="00904FAE">
        <w:rPr>
          <w:rFonts w:eastAsia="Times New Roman"/>
        </w:rPr>
        <w:t>Table 1: Participant Status</w:t>
      </w:r>
    </w:p>
    <w:tbl>
      <w:tblPr>
        <w:tblW w:w="7880" w:type="dxa"/>
        <w:tblInd w:w="89" w:type="dxa"/>
        <w:tblLook w:val="04A0" w:firstRow="1" w:lastRow="0" w:firstColumn="1" w:lastColumn="0" w:noHBand="0" w:noVBand="1"/>
      </w:tblPr>
      <w:tblGrid>
        <w:gridCol w:w="5264"/>
        <w:gridCol w:w="1276"/>
        <w:gridCol w:w="1340"/>
      </w:tblGrid>
      <w:tr w:rsidR="0040521B" w:rsidRPr="009863DD" w:rsidTr="0053283A">
        <w:trPr>
          <w:trHeight w:val="300"/>
          <w:tblHeader/>
        </w:trPr>
        <w:tc>
          <w:tcPr>
            <w:tcW w:w="52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40521B" w:rsidRPr="009863DD" w:rsidRDefault="0040521B" w:rsidP="0053283A">
            <w:pPr>
              <w:rPr>
                <w:rFonts w:cs="Calibri"/>
                <w:b/>
                <w:color w:val="000000"/>
              </w:rPr>
            </w:pPr>
            <w:r w:rsidRPr="009863DD">
              <w:rPr>
                <w:rFonts w:cs="Calibri"/>
                <w:b/>
                <w:color w:val="000000"/>
              </w:rPr>
              <w:t> </w:t>
            </w:r>
            <w:r>
              <w:rPr>
                <w:rFonts w:cs="Calibri"/>
                <w:b/>
                <w:color w:val="000000"/>
              </w:rPr>
              <w:t>Participant Status</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40521B" w:rsidRPr="009863DD" w:rsidRDefault="0040521B" w:rsidP="0053283A">
            <w:pPr>
              <w:jc w:val="center"/>
              <w:rPr>
                <w:rFonts w:cs="Calibri"/>
                <w:b/>
                <w:bCs/>
                <w:color w:val="000000"/>
              </w:rPr>
            </w:pPr>
            <w:r>
              <w:rPr>
                <w:rFonts w:cs="Calibri"/>
                <w:b/>
                <w:bCs/>
                <w:color w:val="000000"/>
              </w:rPr>
              <w:t>SA</w:t>
            </w:r>
          </w:p>
        </w:tc>
        <w:tc>
          <w:tcPr>
            <w:tcW w:w="134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40521B" w:rsidRPr="009863DD" w:rsidRDefault="0040521B" w:rsidP="0053283A">
            <w:pPr>
              <w:jc w:val="center"/>
              <w:rPr>
                <w:rFonts w:cs="Calibri"/>
                <w:b/>
                <w:color w:val="000000"/>
              </w:rPr>
            </w:pPr>
            <w:r w:rsidRPr="009863DD">
              <w:rPr>
                <w:rFonts w:cs="Calibri"/>
                <w:b/>
                <w:color w:val="000000"/>
              </w:rPr>
              <w:t>National</w:t>
            </w:r>
          </w:p>
        </w:tc>
      </w:tr>
      <w:tr w:rsidR="0040521B" w:rsidRPr="009863DD" w:rsidTr="0053283A">
        <w:trPr>
          <w:trHeight w:val="368"/>
        </w:trPr>
        <w:tc>
          <w:tcPr>
            <w:tcW w:w="5264" w:type="dxa"/>
            <w:tcBorders>
              <w:top w:val="nil"/>
              <w:left w:val="single" w:sz="4" w:space="0" w:color="auto"/>
              <w:bottom w:val="single" w:sz="4" w:space="0" w:color="auto"/>
              <w:right w:val="single" w:sz="4" w:space="0" w:color="auto"/>
            </w:tcBorders>
            <w:shd w:val="clear" w:color="auto" w:fill="auto"/>
            <w:vAlign w:val="bottom"/>
            <w:hideMark/>
          </w:tcPr>
          <w:p w:rsidR="0040521B" w:rsidRPr="009863DD" w:rsidRDefault="0040521B" w:rsidP="0053283A">
            <w:pPr>
              <w:rPr>
                <w:rFonts w:cs="Calibri"/>
                <w:color w:val="000000"/>
              </w:rPr>
            </w:pPr>
            <w:r w:rsidRPr="009863DD">
              <w:rPr>
                <w:rFonts w:cs="Calibri"/>
                <w:color w:val="000000"/>
              </w:rPr>
              <w:t xml:space="preserve">Receiving Individual Support Services </w:t>
            </w:r>
          </w:p>
        </w:tc>
        <w:tc>
          <w:tcPr>
            <w:tcW w:w="1276"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467</w:t>
            </w:r>
          </w:p>
        </w:tc>
        <w:tc>
          <w:tcPr>
            <w:tcW w:w="1340"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6217</w:t>
            </w:r>
          </w:p>
        </w:tc>
      </w:tr>
      <w:tr w:rsidR="0040521B" w:rsidRPr="009863DD" w:rsidTr="0053283A">
        <w:trPr>
          <w:trHeight w:val="600"/>
        </w:trPr>
        <w:tc>
          <w:tcPr>
            <w:tcW w:w="5264" w:type="dxa"/>
            <w:tcBorders>
              <w:top w:val="nil"/>
              <w:left w:val="single" w:sz="4" w:space="0" w:color="auto"/>
              <w:bottom w:val="single" w:sz="4" w:space="0" w:color="auto"/>
              <w:right w:val="single" w:sz="4" w:space="0" w:color="auto"/>
            </w:tcBorders>
            <w:shd w:val="clear" w:color="auto" w:fill="auto"/>
            <w:vAlign w:val="bottom"/>
            <w:hideMark/>
          </w:tcPr>
          <w:p w:rsidR="0040521B" w:rsidRPr="009863DD" w:rsidRDefault="0040521B" w:rsidP="0053283A">
            <w:pPr>
              <w:rPr>
                <w:rFonts w:cs="Calibri"/>
                <w:color w:val="000000"/>
              </w:rPr>
            </w:pPr>
            <w:r w:rsidRPr="009863DD">
              <w:rPr>
                <w:rFonts w:cs="Calibri"/>
                <w:color w:val="000000"/>
              </w:rPr>
              <w:t>Receiving Individual Support Services previously and exited</w:t>
            </w:r>
          </w:p>
        </w:tc>
        <w:tc>
          <w:tcPr>
            <w:tcW w:w="1276"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2923</w:t>
            </w:r>
          </w:p>
        </w:tc>
        <w:tc>
          <w:tcPr>
            <w:tcW w:w="1340"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52,191</w:t>
            </w:r>
          </w:p>
        </w:tc>
      </w:tr>
      <w:tr w:rsidR="0040521B" w:rsidRPr="009863DD" w:rsidTr="0053283A">
        <w:trPr>
          <w:trHeight w:val="600"/>
        </w:trPr>
        <w:tc>
          <w:tcPr>
            <w:tcW w:w="5264" w:type="dxa"/>
            <w:tcBorders>
              <w:top w:val="nil"/>
              <w:left w:val="single" w:sz="4" w:space="0" w:color="auto"/>
              <w:bottom w:val="single" w:sz="4" w:space="0" w:color="auto"/>
              <w:right w:val="single" w:sz="4" w:space="0" w:color="auto"/>
            </w:tcBorders>
            <w:shd w:val="clear" w:color="auto" w:fill="auto"/>
            <w:vAlign w:val="bottom"/>
            <w:hideMark/>
          </w:tcPr>
          <w:p w:rsidR="0040521B" w:rsidRPr="009863DD" w:rsidRDefault="0040521B" w:rsidP="0053283A">
            <w:pPr>
              <w:rPr>
                <w:rFonts w:cs="Calibri"/>
                <w:color w:val="000000"/>
              </w:rPr>
            </w:pPr>
            <w:r w:rsidRPr="009863DD">
              <w:rPr>
                <w:rFonts w:cs="Calibri"/>
                <w:color w:val="000000"/>
              </w:rPr>
              <w:t>Registered but not yet enrolled for Individual Support Services</w:t>
            </w:r>
          </w:p>
        </w:tc>
        <w:tc>
          <w:tcPr>
            <w:tcW w:w="1276"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210</w:t>
            </w:r>
          </w:p>
        </w:tc>
        <w:tc>
          <w:tcPr>
            <w:tcW w:w="1340"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3563</w:t>
            </w:r>
          </w:p>
        </w:tc>
      </w:tr>
      <w:tr w:rsidR="0040521B" w:rsidRPr="009863DD" w:rsidTr="0053283A">
        <w:trPr>
          <w:trHeight w:val="315"/>
        </w:trPr>
        <w:tc>
          <w:tcPr>
            <w:tcW w:w="5264" w:type="dxa"/>
            <w:tcBorders>
              <w:top w:val="nil"/>
              <w:left w:val="nil"/>
              <w:bottom w:val="double" w:sz="6" w:space="0" w:color="auto"/>
              <w:right w:val="nil"/>
            </w:tcBorders>
            <w:shd w:val="clear" w:color="auto" w:fill="auto"/>
            <w:noWrap/>
            <w:vAlign w:val="bottom"/>
            <w:hideMark/>
          </w:tcPr>
          <w:p w:rsidR="0040521B" w:rsidRPr="009863DD" w:rsidRDefault="0040521B" w:rsidP="0053283A">
            <w:pPr>
              <w:rPr>
                <w:rFonts w:cs="Calibri"/>
                <w:color w:val="000000"/>
              </w:rPr>
            </w:pPr>
            <w:r w:rsidRPr="009863DD">
              <w:rPr>
                <w:rFonts w:cs="Calibri"/>
                <w:color w:val="000000"/>
              </w:rPr>
              <w:t>Total</w:t>
            </w:r>
          </w:p>
        </w:tc>
        <w:tc>
          <w:tcPr>
            <w:tcW w:w="1276" w:type="dxa"/>
            <w:tcBorders>
              <w:top w:val="nil"/>
              <w:left w:val="nil"/>
              <w:bottom w:val="double" w:sz="6" w:space="0" w:color="auto"/>
              <w:right w:val="nil"/>
            </w:tcBorders>
            <w:shd w:val="clear" w:color="auto" w:fill="auto"/>
            <w:noWrap/>
            <w:vAlign w:val="bottom"/>
            <w:hideMark/>
          </w:tcPr>
          <w:p w:rsidR="0040521B" w:rsidRDefault="0040521B" w:rsidP="0053283A">
            <w:pPr>
              <w:jc w:val="right"/>
              <w:rPr>
                <w:rFonts w:cs="Calibri"/>
                <w:color w:val="000000"/>
              </w:rPr>
            </w:pPr>
            <w:r>
              <w:rPr>
                <w:rFonts w:cs="Calibri"/>
                <w:color w:val="000000"/>
              </w:rPr>
              <w:t>3600</w:t>
            </w:r>
          </w:p>
        </w:tc>
        <w:tc>
          <w:tcPr>
            <w:tcW w:w="1340" w:type="dxa"/>
            <w:tcBorders>
              <w:top w:val="nil"/>
              <w:left w:val="nil"/>
              <w:bottom w:val="double" w:sz="6" w:space="0" w:color="auto"/>
              <w:right w:val="nil"/>
            </w:tcBorders>
            <w:shd w:val="clear" w:color="auto" w:fill="auto"/>
            <w:noWrap/>
            <w:vAlign w:val="bottom"/>
            <w:hideMark/>
          </w:tcPr>
          <w:p w:rsidR="0040521B" w:rsidRDefault="0040521B" w:rsidP="0053283A">
            <w:pPr>
              <w:jc w:val="right"/>
              <w:rPr>
                <w:rFonts w:cs="Calibri"/>
                <w:color w:val="000000"/>
              </w:rPr>
            </w:pPr>
            <w:r>
              <w:rPr>
                <w:rFonts w:cs="Calibri"/>
                <w:color w:val="000000"/>
              </w:rPr>
              <w:t>61,971</w:t>
            </w:r>
          </w:p>
        </w:tc>
      </w:tr>
    </w:tbl>
    <w:p w:rsidR="0040521B" w:rsidRDefault="0040521B" w:rsidP="0040521B"/>
    <w:p w:rsidR="0040521B" w:rsidRPr="00904FAE" w:rsidRDefault="0040521B" w:rsidP="00FF3E7A">
      <w:pPr>
        <w:pStyle w:val="Heading3"/>
        <w:rPr>
          <w:rFonts w:eastAsia="Times New Roman"/>
        </w:rPr>
      </w:pPr>
      <w:r w:rsidRPr="00904FAE">
        <w:rPr>
          <w:rFonts w:eastAsia="Times New Roman"/>
        </w:rPr>
        <w:t>Table 2: SA Contract Levels</w:t>
      </w:r>
    </w:p>
    <w:tbl>
      <w:tblPr>
        <w:tblStyle w:val="TableGrid1"/>
        <w:tblW w:w="0" w:type="auto"/>
        <w:tblLook w:val="04A0" w:firstRow="1" w:lastRow="0" w:firstColumn="1" w:lastColumn="0" w:noHBand="0" w:noVBand="1"/>
        <w:tblDescription w:val="Table 2: SA Contract Levels"/>
      </w:tblPr>
      <w:tblGrid>
        <w:gridCol w:w="1217"/>
        <w:gridCol w:w="1218"/>
        <w:gridCol w:w="1218"/>
        <w:gridCol w:w="1218"/>
      </w:tblGrid>
      <w:tr w:rsidR="0040521B" w:rsidRPr="009863DD" w:rsidTr="009C52A1">
        <w:trPr>
          <w:tblHeader/>
        </w:trPr>
        <w:tc>
          <w:tcPr>
            <w:tcW w:w="1217" w:type="dxa"/>
            <w:tcBorders>
              <w:bottom w:val="double" w:sz="4" w:space="0" w:color="auto"/>
            </w:tcBorders>
            <w:shd w:val="clear" w:color="auto" w:fill="DBE5F1" w:themeFill="accent1" w:themeFillTint="33"/>
          </w:tcPr>
          <w:p w:rsidR="0040521B" w:rsidRPr="009863DD" w:rsidRDefault="0040521B" w:rsidP="009C52A1">
            <w:pPr>
              <w:tabs>
                <w:tab w:val="left" w:pos="6153"/>
              </w:tabs>
              <w:outlineLvl w:val="2"/>
              <w:rPr>
                <w:b/>
              </w:rPr>
            </w:pPr>
          </w:p>
        </w:tc>
        <w:tc>
          <w:tcPr>
            <w:tcW w:w="1218" w:type="dxa"/>
            <w:tcBorders>
              <w:bottom w:val="double" w:sz="4" w:space="0" w:color="auto"/>
            </w:tcBorders>
            <w:shd w:val="clear" w:color="auto" w:fill="DBE5F1" w:themeFill="accent1" w:themeFillTint="33"/>
          </w:tcPr>
          <w:p w:rsidR="0040521B" w:rsidRPr="009863DD" w:rsidRDefault="0040521B" w:rsidP="009C52A1">
            <w:pPr>
              <w:tabs>
                <w:tab w:val="left" w:pos="6153"/>
              </w:tabs>
              <w:outlineLvl w:val="2"/>
              <w:rPr>
                <w:b/>
              </w:rPr>
            </w:pPr>
            <w:r w:rsidRPr="009863DD">
              <w:rPr>
                <w:b/>
              </w:rPr>
              <w:t>Outcomes Level 1</w:t>
            </w:r>
          </w:p>
        </w:tc>
        <w:tc>
          <w:tcPr>
            <w:tcW w:w="1218" w:type="dxa"/>
            <w:tcBorders>
              <w:bottom w:val="double" w:sz="4" w:space="0" w:color="auto"/>
            </w:tcBorders>
            <w:shd w:val="clear" w:color="auto" w:fill="DBE5F1" w:themeFill="accent1" w:themeFillTint="33"/>
          </w:tcPr>
          <w:p w:rsidR="0040521B" w:rsidRPr="009863DD" w:rsidRDefault="0040521B" w:rsidP="009C52A1">
            <w:pPr>
              <w:tabs>
                <w:tab w:val="left" w:pos="6153"/>
              </w:tabs>
              <w:outlineLvl w:val="2"/>
              <w:rPr>
                <w:b/>
              </w:rPr>
            </w:pPr>
            <w:r w:rsidRPr="009863DD">
              <w:rPr>
                <w:b/>
              </w:rPr>
              <w:t xml:space="preserve">Outcomes Level </w:t>
            </w:r>
            <w:proofErr w:type="spellStart"/>
            <w:r w:rsidRPr="009863DD">
              <w:rPr>
                <w:b/>
              </w:rPr>
              <w:t>2a</w:t>
            </w:r>
            <w:proofErr w:type="spellEnd"/>
          </w:p>
        </w:tc>
        <w:tc>
          <w:tcPr>
            <w:tcW w:w="1218" w:type="dxa"/>
            <w:tcBorders>
              <w:bottom w:val="double" w:sz="4" w:space="0" w:color="auto"/>
            </w:tcBorders>
            <w:shd w:val="clear" w:color="auto" w:fill="DBE5F1" w:themeFill="accent1" w:themeFillTint="33"/>
          </w:tcPr>
          <w:p w:rsidR="0040521B" w:rsidRPr="009863DD" w:rsidRDefault="0040521B" w:rsidP="009C52A1">
            <w:pPr>
              <w:tabs>
                <w:tab w:val="left" w:pos="6153"/>
              </w:tabs>
              <w:outlineLvl w:val="2"/>
              <w:rPr>
                <w:b/>
              </w:rPr>
            </w:pPr>
            <w:r w:rsidRPr="009863DD">
              <w:rPr>
                <w:b/>
              </w:rPr>
              <w:t xml:space="preserve">Outcomes Level </w:t>
            </w:r>
            <w:proofErr w:type="spellStart"/>
            <w:r w:rsidRPr="009863DD">
              <w:rPr>
                <w:b/>
              </w:rPr>
              <w:t>2b</w:t>
            </w:r>
            <w:proofErr w:type="spellEnd"/>
          </w:p>
        </w:tc>
      </w:tr>
      <w:tr w:rsidR="0040521B" w:rsidRPr="009863DD" w:rsidTr="009C52A1">
        <w:tc>
          <w:tcPr>
            <w:tcW w:w="1217" w:type="dxa"/>
            <w:vAlign w:val="bottom"/>
          </w:tcPr>
          <w:p w:rsidR="0040521B" w:rsidRPr="009863DD" w:rsidRDefault="0040521B" w:rsidP="009C52A1">
            <w:pPr>
              <w:tabs>
                <w:tab w:val="left" w:pos="6153"/>
              </w:tabs>
              <w:outlineLvl w:val="2"/>
              <w:rPr>
                <w:b/>
              </w:rPr>
            </w:pPr>
            <w:r>
              <w:rPr>
                <w:b/>
              </w:rPr>
              <w:t>SA</w:t>
            </w:r>
            <w:r w:rsidRPr="009863DD">
              <w:rPr>
                <w:b/>
              </w:rPr>
              <w:t xml:space="preserve"> (%)</w:t>
            </w:r>
          </w:p>
        </w:tc>
        <w:tc>
          <w:tcPr>
            <w:tcW w:w="1218" w:type="dxa"/>
            <w:vAlign w:val="bottom"/>
          </w:tcPr>
          <w:p w:rsidR="0040521B" w:rsidRPr="009863DD" w:rsidRDefault="0040521B" w:rsidP="009C52A1">
            <w:pPr>
              <w:spacing w:line="276" w:lineRule="auto"/>
              <w:jc w:val="right"/>
              <w:rPr>
                <w:rFonts w:cs="Calibri"/>
                <w:color w:val="000000"/>
              </w:rPr>
            </w:pPr>
            <w:r>
              <w:rPr>
                <w:rFonts w:cs="Calibri"/>
                <w:color w:val="000000"/>
              </w:rPr>
              <w:t>10%</w:t>
            </w:r>
          </w:p>
        </w:tc>
        <w:tc>
          <w:tcPr>
            <w:tcW w:w="1218" w:type="dxa"/>
            <w:vAlign w:val="bottom"/>
          </w:tcPr>
          <w:p w:rsidR="0040521B" w:rsidRPr="009863DD" w:rsidRDefault="0040521B" w:rsidP="009C52A1">
            <w:pPr>
              <w:spacing w:line="276" w:lineRule="auto"/>
              <w:jc w:val="right"/>
              <w:rPr>
                <w:rFonts w:cs="Calibri"/>
                <w:color w:val="000000"/>
              </w:rPr>
            </w:pPr>
            <w:r>
              <w:rPr>
                <w:rFonts w:cs="Calibri"/>
                <w:color w:val="000000"/>
              </w:rPr>
              <w:t>20</w:t>
            </w:r>
            <w:r w:rsidRPr="009863DD">
              <w:rPr>
                <w:rFonts w:cs="Calibri"/>
                <w:color w:val="000000"/>
              </w:rPr>
              <w:t>%</w:t>
            </w:r>
          </w:p>
        </w:tc>
        <w:tc>
          <w:tcPr>
            <w:tcW w:w="1218" w:type="dxa"/>
            <w:vAlign w:val="bottom"/>
          </w:tcPr>
          <w:p w:rsidR="0040521B" w:rsidRPr="009863DD" w:rsidRDefault="0040521B" w:rsidP="009C52A1">
            <w:pPr>
              <w:spacing w:line="276" w:lineRule="auto"/>
              <w:jc w:val="right"/>
              <w:rPr>
                <w:rFonts w:cs="Calibri"/>
                <w:color w:val="000000"/>
              </w:rPr>
            </w:pPr>
            <w:r>
              <w:rPr>
                <w:rFonts w:cs="Calibri"/>
                <w:color w:val="000000"/>
              </w:rPr>
              <w:t>70</w:t>
            </w:r>
            <w:r w:rsidRPr="009863DD">
              <w:rPr>
                <w:rFonts w:cs="Calibri"/>
                <w:color w:val="000000"/>
              </w:rPr>
              <w:t>%</w:t>
            </w:r>
          </w:p>
        </w:tc>
      </w:tr>
    </w:tbl>
    <w:p w:rsidR="0040521B" w:rsidRDefault="0040521B" w:rsidP="0040521B"/>
    <w:p w:rsidR="0040521B" w:rsidRPr="00904FAE" w:rsidRDefault="0040521B" w:rsidP="00FF3E7A">
      <w:pPr>
        <w:pStyle w:val="Heading3"/>
        <w:rPr>
          <w:rFonts w:eastAsia="Times New Roman"/>
        </w:rPr>
      </w:pPr>
      <w:r w:rsidRPr="00904FAE">
        <w:rPr>
          <w:rFonts w:eastAsia="Times New Roman"/>
        </w:rPr>
        <w:t>Table 3: Comparison between SA and National Participant Numbers</w:t>
      </w:r>
    </w:p>
    <w:tbl>
      <w:tblPr>
        <w:tblStyle w:val="TableGrid"/>
        <w:tblW w:w="0" w:type="auto"/>
        <w:tblLook w:val="04A0" w:firstRow="1" w:lastRow="0" w:firstColumn="1" w:lastColumn="0" w:noHBand="0" w:noVBand="1"/>
        <w:tblDescription w:val="Table 3: Comparison between SA and National Participant Numbers"/>
      </w:tblPr>
      <w:tblGrid>
        <w:gridCol w:w="1526"/>
        <w:gridCol w:w="2268"/>
        <w:gridCol w:w="2410"/>
        <w:gridCol w:w="2409"/>
      </w:tblGrid>
      <w:tr w:rsidR="0040521B" w:rsidRPr="00DD01D8" w:rsidTr="009C52A1">
        <w:trPr>
          <w:tblHeader/>
        </w:trPr>
        <w:tc>
          <w:tcPr>
            <w:tcW w:w="1526" w:type="dxa"/>
            <w:shd w:val="clear" w:color="auto" w:fill="DBE5F1" w:themeFill="accent1" w:themeFillTint="33"/>
          </w:tcPr>
          <w:p w:rsidR="0040521B" w:rsidRPr="00DD01D8" w:rsidRDefault="0040521B" w:rsidP="009C52A1">
            <w:pPr>
              <w:rPr>
                <w:b/>
              </w:rPr>
            </w:pPr>
          </w:p>
        </w:tc>
        <w:tc>
          <w:tcPr>
            <w:tcW w:w="2268" w:type="dxa"/>
            <w:shd w:val="clear" w:color="auto" w:fill="DBE5F1" w:themeFill="accent1" w:themeFillTint="33"/>
          </w:tcPr>
          <w:p w:rsidR="0040521B" w:rsidRPr="00DD01D8" w:rsidRDefault="0040521B" w:rsidP="009C52A1">
            <w:pPr>
              <w:rPr>
                <w:b/>
              </w:rPr>
            </w:pPr>
            <w:r w:rsidRPr="00DD01D8">
              <w:rPr>
                <w:b/>
              </w:rPr>
              <w:t>Participants Level 1</w:t>
            </w:r>
          </w:p>
        </w:tc>
        <w:tc>
          <w:tcPr>
            <w:tcW w:w="2410" w:type="dxa"/>
            <w:shd w:val="clear" w:color="auto" w:fill="DBE5F1" w:themeFill="accent1" w:themeFillTint="33"/>
          </w:tcPr>
          <w:p w:rsidR="0040521B" w:rsidRPr="00DD01D8" w:rsidRDefault="0040521B" w:rsidP="009C52A1">
            <w:pPr>
              <w:rPr>
                <w:b/>
              </w:rPr>
            </w:pPr>
            <w:r w:rsidRPr="00E07593">
              <w:rPr>
                <w:b/>
              </w:rPr>
              <w:t xml:space="preserve">Participants </w:t>
            </w:r>
            <w:r w:rsidRPr="00DD01D8">
              <w:rPr>
                <w:b/>
              </w:rPr>
              <w:t xml:space="preserve">Level </w:t>
            </w:r>
            <w:proofErr w:type="spellStart"/>
            <w:r w:rsidRPr="00DD01D8">
              <w:rPr>
                <w:b/>
              </w:rPr>
              <w:t>2a</w:t>
            </w:r>
            <w:proofErr w:type="spellEnd"/>
          </w:p>
        </w:tc>
        <w:tc>
          <w:tcPr>
            <w:tcW w:w="2409" w:type="dxa"/>
            <w:shd w:val="clear" w:color="auto" w:fill="DBE5F1" w:themeFill="accent1" w:themeFillTint="33"/>
          </w:tcPr>
          <w:p w:rsidR="0040521B" w:rsidRPr="00DD01D8" w:rsidRDefault="0040521B" w:rsidP="009C52A1">
            <w:pPr>
              <w:rPr>
                <w:b/>
              </w:rPr>
            </w:pPr>
            <w:r w:rsidRPr="00DD01D8">
              <w:rPr>
                <w:b/>
              </w:rPr>
              <w:t xml:space="preserve">Participants Level </w:t>
            </w:r>
            <w:proofErr w:type="spellStart"/>
            <w:r w:rsidRPr="00DD01D8">
              <w:rPr>
                <w:b/>
              </w:rPr>
              <w:t>2b</w:t>
            </w:r>
            <w:proofErr w:type="spellEnd"/>
          </w:p>
        </w:tc>
      </w:tr>
      <w:tr w:rsidR="0040521B" w:rsidTr="009C52A1">
        <w:tc>
          <w:tcPr>
            <w:tcW w:w="1526" w:type="dxa"/>
            <w:vAlign w:val="bottom"/>
          </w:tcPr>
          <w:p w:rsidR="0040521B" w:rsidRDefault="0040521B" w:rsidP="009C52A1">
            <w:pPr>
              <w:rPr>
                <w:rFonts w:cs="Calibri"/>
                <w:b/>
                <w:bCs/>
                <w:color w:val="000000"/>
              </w:rPr>
            </w:pPr>
            <w:r>
              <w:rPr>
                <w:rFonts w:cs="Calibri"/>
                <w:b/>
                <w:bCs/>
                <w:color w:val="000000"/>
              </w:rPr>
              <w:t>SA (No.)</w:t>
            </w:r>
          </w:p>
        </w:tc>
        <w:tc>
          <w:tcPr>
            <w:tcW w:w="2268" w:type="dxa"/>
            <w:vAlign w:val="bottom"/>
          </w:tcPr>
          <w:p w:rsidR="0040521B" w:rsidRDefault="0040521B" w:rsidP="009C52A1">
            <w:pPr>
              <w:jc w:val="right"/>
              <w:rPr>
                <w:rFonts w:cs="Calibri"/>
                <w:color w:val="000000"/>
              </w:rPr>
            </w:pPr>
            <w:r>
              <w:rPr>
                <w:rFonts w:cs="Calibri"/>
                <w:color w:val="000000"/>
              </w:rPr>
              <w:t>487</w:t>
            </w:r>
          </w:p>
        </w:tc>
        <w:tc>
          <w:tcPr>
            <w:tcW w:w="2410" w:type="dxa"/>
            <w:vAlign w:val="bottom"/>
          </w:tcPr>
          <w:p w:rsidR="0040521B" w:rsidRDefault="0040521B" w:rsidP="009C52A1">
            <w:pPr>
              <w:jc w:val="right"/>
              <w:rPr>
                <w:rFonts w:cs="Calibri"/>
                <w:color w:val="000000"/>
              </w:rPr>
            </w:pPr>
            <w:r>
              <w:rPr>
                <w:rFonts w:cs="Calibri"/>
                <w:color w:val="000000"/>
              </w:rPr>
              <w:t>1128</w:t>
            </w:r>
          </w:p>
        </w:tc>
        <w:tc>
          <w:tcPr>
            <w:tcW w:w="2409" w:type="dxa"/>
            <w:vAlign w:val="bottom"/>
          </w:tcPr>
          <w:p w:rsidR="0040521B" w:rsidRDefault="0040521B" w:rsidP="009C52A1">
            <w:pPr>
              <w:jc w:val="right"/>
              <w:rPr>
                <w:rFonts w:cs="Calibri"/>
                <w:color w:val="000000"/>
              </w:rPr>
            </w:pPr>
            <w:r>
              <w:rPr>
                <w:rFonts w:cs="Calibri"/>
                <w:color w:val="000000"/>
              </w:rPr>
              <w:t>1803</w:t>
            </w:r>
          </w:p>
        </w:tc>
      </w:tr>
      <w:tr w:rsidR="0040521B" w:rsidTr="009C52A1">
        <w:tc>
          <w:tcPr>
            <w:tcW w:w="1526" w:type="dxa"/>
            <w:vAlign w:val="bottom"/>
          </w:tcPr>
          <w:p w:rsidR="0040521B" w:rsidRDefault="0040521B" w:rsidP="009C52A1">
            <w:pPr>
              <w:rPr>
                <w:rFonts w:cs="Calibri"/>
                <w:b/>
                <w:bCs/>
                <w:color w:val="000000"/>
              </w:rPr>
            </w:pPr>
            <w:r>
              <w:rPr>
                <w:rFonts w:cs="Calibri"/>
                <w:b/>
                <w:bCs/>
                <w:color w:val="000000"/>
              </w:rPr>
              <w:t>SA (%)</w:t>
            </w:r>
          </w:p>
        </w:tc>
        <w:tc>
          <w:tcPr>
            <w:tcW w:w="2268" w:type="dxa"/>
            <w:vAlign w:val="bottom"/>
          </w:tcPr>
          <w:p w:rsidR="0040521B" w:rsidRDefault="0040521B" w:rsidP="009C52A1">
            <w:pPr>
              <w:jc w:val="right"/>
              <w:rPr>
                <w:rFonts w:cs="Calibri"/>
                <w:color w:val="000000"/>
              </w:rPr>
            </w:pPr>
            <w:r>
              <w:rPr>
                <w:rFonts w:cs="Calibri"/>
                <w:color w:val="000000"/>
              </w:rPr>
              <w:t>14%</w:t>
            </w:r>
          </w:p>
        </w:tc>
        <w:tc>
          <w:tcPr>
            <w:tcW w:w="2410" w:type="dxa"/>
            <w:vAlign w:val="bottom"/>
          </w:tcPr>
          <w:p w:rsidR="0040521B" w:rsidRDefault="0040521B" w:rsidP="009C52A1">
            <w:pPr>
              <w:jc w:val="right"/>
              <w:rPr>
                <w:rFonts w:cs="Calibri"/>
                <w:color w:val="000000"/>
              </w:rPr>
            </w:pPr>
            <w:r>
              <w:rPr>
                <w:rFonts w:cs="Calibri"/>
                <w:color w:val="000000"/>
              </w:rPr>
              <w:t>33%</w:t>
            </w:r>
          </w:p>
        </w:tc>
        <w:tc>
          <w:tcPr>
            <w:tcW w:w="2409" w:type="dxa"/>
            <w:vAlign w:val="bottom"/>
          </w:tcPr>
          <w:p w:rsidR="0040521B" w:rsidRDefault="0040521B" w:rsidP="009C52A1">
            <w:pPr>
              <w:jc w:val="right"/>
              <w:rPr>
                <w:rFonts w:cs="Calibri"/>
                <w:color w:val="000000"/>
              </w:rPr>
            </w:pPr>
            <w:r>
              <w:rPr>
                <w:rFonts w:cs="Calibri"/>
                <w:color w:val="000000"/>
              </w:rPr>
              <w:t>53%</w:t>
            </w:r>
          </w:p>
        </w:tc>
      </w:tr>
      <w:tr w:rsidR="0040521B" w:rsidTr="009C52A1">
        <w:tc>
          <w:tcPr>
            <w:tcW w:w="1526" w:type="dxa"/>
            <w:vAlign w:val="bottom"/>
          </w:tcPr>
          <w:p w:rsidR="0040521B" w:rsidRDefault="0040521B" w:rsidP="009C52A1">
            <w:pPr>
              <w:rPr>
                <w:rFonts w:cs="Calibri"/>
                <w:b/>
                <w:bCs/>
                <w:color w:val="000000"/>
              </w:rPr>
            </w:pPr>
            <w:r>
              <w:rPr>
                <w:rFonts w:cs="Calibri"/>
                <w:b/>
                <w:bCs/>
                <w:color w:val="000000"/>
              </w:rPr>
              <w:t> </w:t>
            </w:r>
          </w:p>
        </w:tc>
        <w:tc>
          <w:tcPr>
            <w:tcW w:w="2268" w:type="dxa"/>
            <w:vAlign w:val="bottom"/>
          </w:tcPr>
          <w:p w:rsidR="0040521B" w:rsidRDefault="0040521B" w:rsidP="009C52A1">
            <w:pPr>
              <w:rPr>
                <w:rFonts w:cs="Calibri"/>
                <w:color w:val="000000"/>
              </w:rPr>
            </w:pPr>
            <w:r>
              <w:rPr>
                <w:rFonts w:cs="Calibri"/>
                <w:color w:val="000000"/>
              </w:rPr>
              <w:t> </w:t>
            </w:r>
          </w:p>
        </w:tc>
        <w:tc>
          <w:tcPr>
            <w:tcW w:w="2410" w:type="dxa"/>
            <w:vAlign w:val="bottom"/>
          </w:tcPr>
          <w:p w:rsidR="0040521B" w:rsidRDefault="0040521B" w:rsidP="009C52A1">
            <w:pPr>
              <w:rPr>
                <w:rFonts w:cs="Calibri"/>
                <w:color w:val="000000"/>
              </w:rPr>
            </w:pPr>
            <w:r>
              <w:rPr>
                <w:rFonts w:cs="Calibri"/>
                <w:color w:val="000000"/>
              </w:rPr>
              <w:t> </w:t>
            </w:r>
          </w:p>
        </w:tc>
        <w:tc>
          <w:tcPr>
            <w:tcW w:w="2409" w:type="dxa"/>
            <w:vAlign w:val="bottom"/>
          </w:tcPr>
          <w:p w:rsidR="0040521B" w:rsidRDefault="0040521B" w:rsidP="009C52A1">
            <w:pPr>
              <w:rPr>
                <w:rFonts w:cs="Calibri"/>
                <w:color w:val="000000"/>
              </w:rPr>
            </w:pPr>
            <w:r>
              <w:rPr>
                <w:rFonts w:cs="Calibri"/>
                <w:color w:val="000000"/>
              </w:rPr>
              <w:t> </w:t>
            </w:r>
          </w:p>
        </w:tc>
      </w:tr>
      <w:tr w:rsidR="0040521B" w:rsidTr="009C52A1">
        <w:tc>
          <w:tcPr>
            <w:tcW w:w="1526" w:type="dxa"/>
            <w:vAlign w:val="bottom"/>
          </w:tcPr>
          <w:p w:rsidR="0040521B" w:rsidRDefault="0040521B" w:rsidP="009C52A1">
            <w:pPr>
              <w:rPr>
                <w:rFonts w:cs="Calibri"/>
                <w:b/>
                <w:bCs/>
                <w:color w:val="000000"/>
              </w:rPr>
            </w:pPr>
            <w:r>
              <w:rPr>
                <w:rFonts w:cs="Calibri"/>
                <w:b/>
                <w:bCs/>
                <w:color w:val="000000"/>
              </w:rPr>
              <w:t>National (No.)</w:t>
            </w:r>
          </w:p>
        </w:tc>
        <w:tc>
          <w:tcPr>
            <w:tcW w:w="2268" w:type="dxa"/>
            <w:vAlign w:val="bottom"/>
          </w:tcPr>
          <w:p w:rsidR="0040521B" w:rsidRDefault="0040521B" w:rsidP="009C52A1">
            <w:pPr>
              <w:jc w:val="right"/>
              <w:rPr>
                <w:rFonts w:cs="Calibri"/>
                <w:color w:val="000000"/>
              </w:rPr>
            </w:pPr>
            <w:r>
              <w:rPr>
                <w:rFonts w:cs="Calibri"/>
                <w:color w:val="000000"/>
              </w:rPr>
              <w:t>15,034</w:t>
            </w:r>
          </w:p>
        </w:tc>
        <w:tc>
          <w:tcPr>
            <w:tcW w:w="2410" w:type="dxa"/>
            <w:vAlign w:val="bottom"/>
          </w:tcPr>
          <w:p w:rsidR="0040521B" w:rsidRDefault="0040521B" w:rsidP="009C52A1">
            <w:pPr>
              <w:jc w:val="right"/>
              <w:rPr>
                <w:rFonts w:cs="Calibri"/>
                <w:color w:val="000000"/>
              </w:rPr>
            </w:pPr>
            <w:r>
              <w:rPr>
                <w:rFonts w:cs="Calibri"/>
                <w:color w:val="000000"/>
              </w:rPr>
              <w:t>20,222</w:t>
            </w:r>
          </w:p>
        </w:tc>
        <w:tc>
          <w:tcPr>
            <w:tcW w:w="2409" w:type="dxa"/>
            <w:vAlign w:val="bottom"/>
          </w:tcPr>
          <w:p w:rsidR="0040521B" w:rsidRDefault="0040521B" w:rsidP="009C52A1">
            <w:pPr>
              <w:jc w:val="right"/>
              <w:rPr>
                <w:rFonts w:cs="Calibri"/>
                <w:color w:val="000000"/>
              </w:rPr>
            </w:pPr>
            <w:r>
              <w:rPr>
                <w:rFonts w:cs="Calibri"/>
                <w:color w:val="000000"/>
              </w:rPr>
              <w:t>22,176</w:t>
            </w:r>
          </w:p>
        </w:tc>
      </w:tr>
      <w:tr w:rsidR="0040521B" w:rsidTr="009C52A1">
        <w:tc>
          <w:tcPr>
            <w:tcW w:w="1526" w:type="dxa"/>
            <w:vAlign w:val="bottom"/>
          </w:tcPr>
          <w:p w:rsidR="0040521B" w:rsidRDefault="0040521B" w:rsidP="009C52A1">
            <w:pPr>
              <w:rPr>
                <w:rFonts w:cs="Calibri"/>
                <w:b/>
                <w:bCs/>
                <w:color w:val="000000"/>
              </w:rPr>
            </w:pPr>
            <w:r>
              <w:rPr>
                <w:rFonts w:cs="Calibri"/>
                <w:b/>
                <w:bCs/>
                <w:color w:val="000000"/>
              </w:rPr>
              <w:t>National (%)</w:t>
            </w:r>
          </w:p>
        </w:tc>
        <w:tc>
          <w:tcPr>
            <w:tcW w:w="2268" w:type="dxa"/>
            <w:vAlign w:val="bottom"/>
          </w:tcPr>
          <w:p w:rsidR="0040521B" w:rsidRDefault="0040521B" w:rsidP="009C52A1">
            <w:pPr>
              <w:jc w:val="right"/>
              <w:rPr>
                <w:rFonts w:cs="Calibri"/>
                <w:color w:val="000000"/>
              </w:rPr>
            </w:pPr>
            <w:r>
              <w:rPr>
                <w:rFonts w:cs="Calibri"/>
                <w:color w:val="000000"/>
              </w:rPr>
              <w:t>26%</w:t>
            </w:r>
          </w:p>
        </w:tc>
        <w:tc>
          <w:tcPr>
            <w:tcW w:w="2410" w:type="dxa"/>
            <w:vAlign w:val="bottom"/>
          </w:tcPr>
          <w:p w:rsidR="0040521B" w:rsidRDefault="0040521B" w:rsidP="009C52A1">
            <w:pPr>
              <w:jc w:val="right"/>
              <w:rPr>
                <w:rFonts w:cs="Calibri"/>
                <w:color w:val="000000"/>
              </w:rPr>
            </w:pPr>
            <w:r>
              <w:rPr>
                <w:rFonts w:cs="Calibri"/>
                <w:color w:val="000000"/>
              </w:rPr>
              <w:t>35%</w:t>
            </w:r>
          </w:p>
        </w:tc>
        <w:tc>
          <w:tcPr>
            <w:tcW w:w="2409" w:type="dxa"/>
            <w:vAlign w:val="bottom"/>
          </w:tcPr>
          <w:p w:rsidR="0040521B" w:rsidRDefault="0040521B" w:rsidP="009C52A1">
            <w:pPr>
              <w:jc w:val="right"/>
              <w:rPr>
                <w:rFonts w:cs="Calibri"/>
                <w:color w:val="000000"/>
              </w:rPr>
            </w:pPr>
            <w:r>
              <w:rPr>
                <w:rFonts w:cs="Calibri"/>
                <w:color w:val="000000"/>
              </w:rPr>
              <w:t>39%</w:t>
            </w:r>
          </w:p>
        </w:tc>
      </w:tr>
    </w:tbl>
    <w:p w:rsidR="0040521B" w:rsidRPr="00C67645" w:rsidRDefault="0040521B" w:rsidP="0040521B"/>
    <w:p w:rsidR="0040521B" w:rsidRPr="00904FAE" w:rsidRDefault="0040521B" w:rsidP="00FF3E7A">
      <w:pPr>
        <w:pStyle w:val="Heading3"/>
        <w:rPr>
          <w:rFonts w:eastAsia="Times New Roman"/>
        </w:rPr>
      </w:pPr>
      <w:r w:rsidRPr="00904FAE">
        <w:rPr>
          <w:rFonts w:eastAsia="Times New Roman"/>
        </w:rPr>
        <w:t>Table 4: Comparison between SA and National Participant Outcomes</w:t>
      </w:r>
    </w:p>
    <w:tbl>
      <w:tblPr>
        <w:tblStyle w:val="TableGrid"/>
        <w:tblW w:w="0" w:type="auto"/>
        <w:tblLook w:val="04A0" w:firstRow="1" w:lastRow="0" w:firstColumn="1" w:lastColumn="0" w:noHBand="0" w:noVBand="1"/>
        <w:tblDescription w:val="Table 4: Comparison between SA and National Participant Outcomes"/>
      </w:tblPr>
      <w:tblGrid>
        <w:gridCol w:w="1526"/>
        <w:gridCol w:w="2268"/>
        <w:gridCol w:w="2410"/>
        <w:gridCol w:w="2409"/>
      </w:tblGrid>
      <w:tr w:rsidR="0040521B" w:rsidRPr="00DD01D8" w:rsidTr="009C52A1">
        <w:trPr>
          <w:tblHeader/>
        </w:trPr>
        <w:tc>
          <w:tcPr>
            <w:tcW w:w="1526" w:type="dxa"/>
            <w:shd w:val="clear" w:color="auto" w:fill="DBE5F1" w:themeFill="accent1" w:themeFillTint="33"/>
          </w:tcPr>
          <w:p w:rsidR="0040521B" w:rsidRPr="00DD01D8" w:rsidRDefault="0040521B" w:rsidP="009C52A1">
            <w:pPr>
              <w:rPr>
                <w:b/>
              </w:rPr>
            </w:pPr>
          </w:p>
        </w:tc>
        <w:tc>
          <w:tcPr>
            <w:tcW w:w="2268" w:type="dxa"/>
            <w:shd w:val="clear" w:color="auto" w:fill="DBE5F1" w:themeFill="accent1" w:themeFillTint="33"/>
          </w:tcPr>
          <w:p w:rsidR="0040521B" w:rsidRPr="00DD01D8" w:rsidRDefault="0040521B" w:rsidP="009C52A1">
            <w:pPr>
              <w:rPr>
                <w:b/>
              </w:rPr>
            </w:pPr>
            <w:r w:rsidRPr="00DD01D8">
              <w:rPr>
                <w:b/>
              </w:rPr>
              <w:t>Outcomes Level 1</w:t>
            </w:r>
          </w:p>
        </w:tc>
        <w:tc>
          <w:tcPr>
            <w:tcW w:w="2410" w:type="dxa"/>
            <w:shd w:val="clear" w:color="auto" w:fill="DBE5F1" w:themeFill="accent1" w:themeFillTint="33"/>
          </w:tcPr>
          <w:p w:rsidR="0040521B" w:rsidRPr="00DD01D8" w:rsidRDefault="0040521B" w:rsidP="009C52A1">
            <w:pPr>
              <w:rPr>
                <w:b/>
              </w:rPr>
            </w:pPr>
            <w:r w:rsidRPr="00DD01D8">
              <w:rPr>
                <w:b/>
              </w:rPr>
              <w:t xml:space="preserve">Outcomes Level </w:t>
            </w:r>
            <w:proofErr w:type="spellStart"/>
            <w:r w:rsidRPr="00DD01D8">
              <w:rPr>
                <w:b/>
              </w:rPr>
              <w:t>2a</w:t>
            </w:r>
            <w:proofErr w:type="spellEnd"/>
          </w:p>
        </w:tc>
        <w:tc>
          <w:tcPr>
            <w:tcW w:w="2409" w:type="dxa"/>
            <w:shd w:val="clear" w:color="auto" w:fill="DBE5F1" w:themeFill="accent1" w:themeFillTint="33"/>
          </w:tcPr>
          <w:p w:rsidR="0040521B" w:rsidRPr="00DD01D8" w:rsidRDefault="0040521B" w:rsidP="009C52A1">
            <w:pPr>
              <w:rPr>
                <w:b/>
              </w:rPr>
            </w:pPr>
            <w:r w:rsidRPr="00DD01D8">
              <w:rPr>
                <w:b/>
              </w:rPr>
              <w:t xml:space="preserve">Outcomes Level </w:t>
            </w:r>
            <w:proofErr w:type="spellStart"/>
            <w:r w:rsidRPr="00DD01D8">
              <w:rPr>
                <w:b/>
              </w:rPr>
              <w:t>2b</w:t>
            </w:r>
            <w:proofErr w:type="spellEnd"/>
          </w:p>
        </w:tc>
      </w:tr>
      <w:tr w:rsidR="0040521B" w:rsidTr="009C52A1">
        <w:tc>
          <w:tcPr>
            <w:tcW w:w="1526" w:type="dxa"/>
            <w:vAlign w:val="bottom"/>
          </w:tcPr>
          <w:p w:rsidR="0040521B" w:rsidRDefault="0040521B" w:rsidP="009C52A1">
            <w:pPr>
              <w:rPr>
                <w:rFonts w:cs="Calibri"/>
                <w:b/>
                <w:bCs/>
                <w:color w:val="000000"/>
              </w:rPr>
            </w:pPr>
            <w:r>
              <w:rPr>
                <w:rFonts w:cs="Calibri"/>
                <w:b/>
                <w:bCs/>
                <w:color w:val="000000"/>
              </w:rPr>
              <w:t>SA (No.)</w:t>
            </w:r>
          </w:p>
        </w:tc>
        <w:tc>
          <w:tcPr>
            <w:tcW w:w="2268" w:type="dxa"/>
            <w:vAlign w:val="bottom"/>
          </w:tcPr>
          <w:p w:rsidR="0040521B" w:rsidRDefault="0040521B" w:rsidP="009C52A1">
            <w:pPr>
              <w:jc w:val="right"/>
              <w:rPr>
                <w:rFonts w:cs="Calibri"/>
                <w:color w:val="000000"/>
              </w:rPr>
            </w:pPr>
            <w:r>
              <w:rPr>
                <w:rFonts w:cs="Calibri"/>
                <w:color w:val="000000"/>
              </w:rPr>
              <w:t>372</w:t>
            </w:r>
          </w:p>
        </w:tc>
        <w:tc>
          <w:tcPr>
            <w:tcW w:w="2410" w:type="dxa"/>
            <w:vAlign w:val="bottom"/>
          </w:tcPr>
          <w:p w:rsidR="0040521B" w:rsidRDefault="0040521B" w:rsidP="009C52A1">
            <w:pPr>
              <w:jc w:val="right"/>
              <w:rPr>
                <w:rFonts w:cs="Calibri"/>
                <w:color w:val="000000"/>
              </w:rPr>
            </w:pPr>
            <w:r>
              <w:rPr>
                <w:rFonts w:cs="Calibri"/>
                <w:color w:val="000000"/>
              </w:rPr>
              <w:t>855</w:t>
            </w:r>
          </w:p>
        </w:tc>
        <w:tc>
          <w:tcPr>
            <w:tcW w:w="2409" w:type="dxa"/>
            <w:vAlign w:val="bottom"/>
          </w:tcPr>
          <w:p w:rsidR="0040521B" w:rsidRDefault="0040521B" w:rsidP="009C52A1">
            <w:pPr>
              <w:jc w:val="right"/>
              <w:rPr>
                <w:rFonts w:cs="Calibri"/>
                <w:color w:val="000000"/>
              </w:rPr>
            </w:pPr>
            <w:r>
              <w:rPr>
                <w:rFonts w:cs="Calibri"/>
                <w:color w:val="000000"/>
              </w:rPr>
              <w:t>1333</w:t>
            </w:r>
          </w:p>
        </w:tc>
      </w:tr>
      <w:tr w:rsidR="0040521B" w:rsidTr="009C52A1">
        <w:tc>
          <w:tcPr>
            <w:tcW w:w="1526" w:type="dxa"/>
            <w:vAlign w:val="bottom"/>
          </w:tcPr>
          <w:p w:rsidR="0040521B" w:rsidRDefault="0040521B" w:rsidP="009C52A1">
            <w:pPr>
              <w:rPr>
                <w:rFonts w:cs="Calibri"/>
                <w:b/>
                <w:bCs/>
                <w:color w:val="000000"/>
              </w:rPr>
            </w:pPr>
            <w:r>
              <w:rPr>
                <w:rFonts w:cs="Calibri"/>
                <w:b/>
                <w:bCs/>
                <w:color w:val="000000"/>
              </w:rPr>
              <w:t>SA (%)</w:t>
            </w:r>
          </w:p>
        </w:tc>
        <w:tc>
          <w:tcPr>
            <w:tcW w:w="2268" w:type="dxa"/>
            <w:vAlign w:val="bottom"/>
          </w:tcPr>
          <w:p w:rsidR="0040521B" w:rsidRDefault="0040521B" w:rsidP="009C52A1">
            <w:pPr>
              <w:jc w:val="right"/>
              <w:rPr>
                <w:rFonts w:cs="Calibri"/>
                <w:color w:val="000000"/>
              </w:rPr>
            </w:pPr>
            <w:r>
              <w:rPr>
                <w:rFonts w:cs="Calibri"/>
                <w:color w:val="000000"/>
              </w:rPr>
              <w:t>15%</w:t>
            </w:r>
          </w:p>
        </w:tc>
        <w:tc>
          <w:tcPr>
            <w:tcW w:w="2410" w:type="dxa"/>
            <w:vAlign w:val="bottom"/>
          </w:tcPr>
          <w:p w:rsidR="0040521B" w:rsidRDefault="0040521B" w:rsidP="009C52A1">
            <w:pPr>
              <w:jc w:val="right"/>
              <w:rPr>
                <w:rFonts w:cs="Calibri"/>
                <w:color w:val="000000"/>
              </w:rPr>
            </w:pPr>
            <w:r>
              <w:rPr>
                <w:rFonts w:cs="Calibri"/>
                <w:color w:val="000000"/>
              </w:rPr>
              <w:t>33%</w:t>
            </w:r>
          </w:p>
        </w:tc>
        <w:tc>
          <w:tcPr>
            <w:tcW w:w="2409" w:type="dxa"/>
            <w:vAlign w:val="bottom"/>
          </w:tcPr>
          <w:p w:rsidR="0040521B" w:rsidRDefault="0040521B" w:rsidP="009C52A1">
            <w:pPr>
              <w:jc w:val="right"/>
              <w:rPr>
                <w:rFonts w:cs="Calibri"/>
                <w:color w:val="000000"/>
              </w:rPr>
            </w:pPr>
            <w:r>
              <w:rPr>
                <w:rFonts w:cs="Calibri"/>
                <w:color w:val="000000"/>
              </w:rPr>
              <w:t>52%</w:t>
            </w:r>
          </w:p>
        </w:tc>
      </w:tr>
      <w:tr w:rsidR="0040521B" w:rsidTr="009C52A1">
        <w:tc>
          <w:tcPr>
            <w:tcW w:w="1526" w:type="dxa"/>
            <w:vAlign w:val="bottom"/>
          </w:tcPr>
          <w:p w:rsidR="0040521B" w:rsidRDefault="0040521B" w:rsidP="009C52A1">
            <w:pPr>
              <w:rPr>
                <w:rFonts w:cs="Calibri"/>
                <w:b/>
                <w:bCs/>
                <w:color w:val="000000"/>
              </w:rPr>
            </w:pPr>
            <w:r>
              <w:rPr>
                <w:rFonts w:cs="Calibri"/>
                <w:b/>
                <w:bCs/>
                <w:color w:val="000000"/>
              </w:rPr>
              <w:t> </w:t>
            </w:r>
          </w:p>
        </w:tc>
        <w:tc>
          <w:tcPr>
            <w:tcW w:w="2268" w:type="dxa"/>
            <w:vAlign w:val="bottom"/>
          </w:tcPr>
          <w:p w:rsidR="0040521B" w:rsidRDefault="0040521B" w:rsidP="009C52A1">
            <w:pPr>
              <w:rPr>
                <w:rFonts w:cs="Calibri"/>
                <w:color w:val="000000"/>
              </w:rPr>
            </w:pPr>
            <w:r>
              <w:rPr>
                <w:rFonts w:cs="Calibri"/>
                <w:color w:val="000000"/>
              </w:rPr>
              <w:t> </w:t>
            </w:r>
          </w:p>
        </w:tc>
        <w:tc>
          <w:tcPr>
            <w:tcW w:w="2410" w:type="dxa"/>
            <w:vAlign w:val="bottom"/>
          </w:tcPr>
          <w:p w:rsidR="0040521B" w:rsidRDefault="0040521B" w:rsidP="009C52A1">
            <w:pPr>
              <w:rPr>
                <w:rFonts w:cs="Calibri"/>
                <w:color w:val="000000"/>
              </w:rPr>
            </w:pPr>
            <w:r>
              <w:rPr>
                <w:rFonts w:cs="Calibri"/>
                <w:color w:val="000000"/>
              </w:rPr>
              <w:t> </w:t>
            </w:r>
          </w:p>
        </w:tc>
        <w:tc>
          <w:tcPr>
            <w:tcW w:w="2409" w:type="dxa"/>
            <w:vAlign w:val="bottom"/>
          </w:tcPr>
          <w:p w:rsidR="0040521B" w:rsidRDefault="0040521B" w:rsidP="009C52A1">
            <w:pPr>
              <w:rPr>
                <w:rFonts w:cs="Calibri"/>
                <w:color w:val="000000"/>
              </w:rPr>
            </w:pPr>
            <w:r>
              <w:rPr>
                <w:rFonts w:cs="Calibri"/>
                <w:color w:val="000000"/>
              </w:rPr>
              <w:t> </w:t>
            </w:r>
          </w:p>
        </w:tc>
      </w:tr>
      <w:tr w:rsidR="0040521B" w:rsidTr="009C52A1">
        <w:tc>
          <w:tcPr>
            <w:tcW w:w="1526" w:type="dxa"/>
            <w:vAlign w:val="bottom"/>
          </w:tcPr>
          <w:p w:rsidR="0040521B" w:rsidRDefault="0040521B" w:rsidP="009C52A1">
            <w:pPr>
              <w:rPr>
                <w:rFonts w:cs="Calibri"/>
                <w:b/>
                <w:bCs/>
                <w:color w:val="000000"/>
              </w:rPr>
            </w:pPr>
            <w:r>
              <w:rPr>
                <w:rFonts w:cs="Calibri"/>
                <w:b/>
                <w:bCs/>
                <w:color w:val="000000"/>
              </w:rPr>
              <w:t>National (No.)</w:t>
            </w:r>
          </w:p>
        </w:tc>
        <w:tc>
          <w:tcPr>
            <w:tcW w:w="2268" w:type="dxa"/>
            <w:vAlign w:val="bottom"/>
          </w:tcPr>
          <w:p w:rsidR="0040521B" w:rsidRDefault="0040521B" w:rsidP="009C52A1">
            <w:pPr>
              <w:jc w:val="right"/>
              <w:rPr>
                <w:rFonts w:cs="Calibri"/>
                <w:color w:val="000000"/>
              </w:rPr>
            </w:pPr>
            <w:r>
              <w:rPr>
                <w:rFonts w:cs="Calibri"/>
                <w:color w:val="000000"/>
              </w:rPr>
              <w:t>11,674</w:t>
            </w:r>
          </w:p>
        </w:tc>
        <w:tc>
          <w:tcPr>
            <w:tcW w:w="2410" w:type="dxa"/>
            <w:vAlign w:val="bottom"/>
          </w:tcPr>
          <w:p w:rsidR="0040521B" w:rsidRDefault="0040521B" w:rsidP="009C52A1">
            <w:pPr>
              <w:jc w:val="right"/>
              <w:rPr>
                <w:rFonts w:cs="Calibri"/>
                <w:color w:val="000000"/>
              </w:rPr>
            </w:pPr>
            <w:r>
              <w:rPr>
                <w:rFonts w:cs="Calibri"/>
                <w:color w:val="000000"/>
              </w:rPr>
              <w:t>15,439</w:t>
            </w:r>
          </w:p>
        </w:tc>
        <w:tc>
          <w:tcPr>
            <w:tcW w:w="2409" w:type="dxa"/>
            <w:vAlign w:val="bottom"/>
          </w:tcPr>
          <w:p w:rsidR="0040521B" w:rsidRDefault="0040521B" w:rsidP="009C52A1">
            <w:pPr>
              <w:jc w:val="right"/>
              <w:rPr>
                <w:rFonts w:cs="Calibri"/>
                <w:color w:val="000000"/>
              </w:rPr>
            </w:pPr>
            <w:r>
              <w:rPr>
                <w:rFonts w:cs="Calibri"/>
                <w:color w:val="000000"/>
              </w:rPr>
              <w:t>16,192</w:t>
            </w:r>
          </w:p>
        </w:tc>
      </w:tr>
      <w:tr w:rsidR="0040521B" w:rsidTr="009C52A1">
        <w:tc>
          <w:tcPr>
            <w:tcW w:w="1526" w:type="dxa"/>
            <w:vAlign w:val="bottom"/>
          </w:tcPr>
          <w:p w:rsidR="0040521B" w:rsidRDefault="0040521B" w:rsidP="009C52A1">
            <w:pPr>
              <w:rPr>
                <w:rFonts w:cs="Calibri"/>
                <w:b/>
                <w:bCs/>
                <w:color w:val="000000"/>
              </w:rPr>
            </w:pPr>
            <w:r>
              <w:rPr>
                <w:rFonts w:cs="Calibri"/>
                <w:b/>
                <w:bCs/>
                <w:color w:val="000000"/>
              </w:rPr>
              <w:t>National (%)</w:t>
            </w:r>
          </w:p>
        </w:tc>
        <w:tc>
          <w:tcPr>
            <w:tcW w:w="2268" w:type="dxa"/>
            <w:vAlign w:val="bottom"/>
          </w:tcPr>
          <w:p w:rsidR="0040521B" w:rsidRDefault="0040521B" w:rsidP="009C52A1">
            <w:pPr>
              <w:jc w:val="right"/>
              <w:rPr>
                <w:rFonts w:cs="Calibri"/>
                <w:color w:val="000000"/>
              </w:rPr>
            </w:pPr>
            <w:r>
              <w:rPr>
                <w:rFonts w:cs="Calibri"/>
                <w:color w:val="000000"/>
              </w:rPr>
              <w:t>27%</w:t>
            </w:r>
          </w:p>
        </w:tc>
        <w:tc>
          <w:tcPr>
            <w:tcW w:w="2410" w:type="dxa"/>
            <w:vAlign w:val="bottom"/>
          </w:tcPr>
          <w:p w:rsidR="0040521B" w:rsidRDefault="0040521B" w:rsidP="009C52A1">
            <w:pPr>
              <w:jc w:val="right"/>
              <w:rPr>
                <w:rFonts w:cs="Calibri"/>
                <w:color w:val="000000"/>
              </w:rPr>
            </w:pPr>
            <w:r>
              <w:rPr>
                <w:rFonts w:cs="Calibri"/>
                <w:color w:val="000000"/>
              </w:rPr>
              <w:t>36%</w:t>
            </w:r>
          </w:p>
        </w:tc>
        <w:tc>
          <w:tcPr>
            <w:tcW w:w="2409" w:type="dxa"/>
            <w:vAlign w:val="bottom"/>
          </w:tcPr>
          <w:p w:rsidR="0040521B" w:rsidRDefault="0040521B" w:rsidP="009C52A1">
            <w:pPr>
              <w:jc w:val="right"/>
              <w:rPr>
                <w:rFonts w:cs="Calibri"/>
                <w:color w:val="000000"/>
              </w:rPr>
            </w:pPr>
            <w:r>
              <w:rPr>
                <w:rFonts w:cs="Calibri"/>
                <w:color w:val="000000"/>
              </w:rPr>
              <w:t>37%</w:t>
            </w:r>
          </w:p>
        </w:tc>
      </w:tr>
    </w:tbl>
    <w:p w:rsidR="0040521B" w:rsidRDefault="0040521B" w:rsidP="009C52A1">
      <w:pPr>
        <w:ind w:right="-708"/>
      </w:pPr>
    </w:p>
    <w:p w:rsidR="00FF3E7A" w:rsidRDefault="0040521B" w:rsidP="00FF3E7A">
      <w:pPr>
        <w:pStyle w:val="Heading4"/>
      </w:pPr>
      <w:r>
        <w:lastRenderedPageBreak/>
        <w:t>Figure 1: SA – Age of Participants</w:t>
      </w:r>
    </w:p>
    <w:p w:rsidR="0040521B" w:rsidRDefault="0040521B" w:rsidP="0040521B">
      <w:pPr>
        <w:pStyle w:val="Caption"/>
        <w:keepNext/>
      </w:pPr>
      <w:r>
        <w:rPr>
          <w:noProof/>
        </w:rPr>
        <w:drawing>
          <wp:inline distT="0" distB="0" distL="0" distR="0" wp14:anchorId="0D7B5A45" wp14:editId="5042B7E5">
            <wp:extent cx="6124575" cy="3990975"/>
            <wp:effectExtent l="0" t="0" r="0" b="0"/>
            <wp:docPr id="3" name="Chart 3" descr="SA Age of participants, graphic representation of table5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0521B" w:rsidRDefault="0040521B" w:rsidP="00FF3E7A">
      <w:pPr>
        <w:pStyle w:val="Heading4"/>
      </w:pPr>
      <w:r>
        <w:t>Figure 2: National – Age of Participants</w:t>
      </w:r>
    </w:p>
    <w:p w:rsidR="0040521B" w:rsidRDefault="0040521B" w:rsidP="0040521B">
      <w:pPr>
        <w:tabs>
          <w:tab w:val="left" w:pos="6153"/>
        </w:tabs>
      </w:pPr>
      <w:r>
        <w:rPr>
          <w:noProof/>
          <w:lang w:eastAsia="en-AU"/>
        </w:rPr>
        <w:drawing>
          <wp:inline distT="0" distB="0" distL="0" distR="0" wp14:anchorId="2A95BA30" wp14:editId="4D148FCA">
            <wp:extent cx="6124575" cy="4067175"/>
            <wp:effectExtent l="0" t="0" r="0" b="0"/>
            <wp:docPr id="4" name="Chart 4" descr="National Age of participants, graphic representation of table 6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0521B" w:rsidRDefault="0040521B" w:rsidP="0040521B">
      <w:pPr>
        <w:pStyle w:val="Heading2"/>
        <w:keepNext w:val="0"/>
        <w:keepLines w:val="0"/>
        <w:spacing w:before="120" w:after="120"/>
        <w:rPr>
          <w:rFonts w:ascii="Calibri" w:eastAsia="Times New Roman" w:hAnsi="Calibri" w:cs="Calibri"/>
          <w:bCs w:val="0"/>
          <w:color w:val="auto"/>
          <w:sz w:val="22"/>
          <w:szCs w:val="22"/>
        </w:rPr>
      </w:pPr>
    </w:p>
    <w:p w:rsidR="0040521B" w:rsidRPr="00904FAE" w:rsidRDefault="0040521B" w:rsidP="00FF3E7A">
      <w:pPr>
        <w:pStyle w:val="Heading3"/>
        <w:rPr>
          <w:rFonts w:eastAsia="Times New Roman"/>
        </w:rPr>
      </w:pPr>
      <w:r w:rsidRPr="00904FAE">
        <w:rPr>
          <w:rFonts w:eastAsia="Times New Roman"/>
        </w:rPr>
        <w:lastRenderedPageBreak/>
        <w:t>Table 5: SA - Age of Participants</w:t>
      </w:r>
    </w:p>
    <w:tbl>
      <w:tblPr>
        <w:tblStyle w:val="TableGrid1"/>
        <w:tblW w:w="8647" w:type="dxa"/>
        <w:tblLook w:val="04A0" w:firstRow="1" w:lastRow="0" w:firstColumn="1" w:lastColumn="0" w:noHBand="0" w:noVBand="1"/>
        <w:tblDescription w:val="Table 5: SA - Age of Participants"/>
      </w:tblPr>
      <w:tblGrid>
        <w:gridCol w:w="683"/>
        <w:gridCol w:w="1444"/>
        <w:gridCol w:w="1701"/>
        <w:gridCol w:w="1559"/>
        <w:gridCol w:w="1701"/>
        <w:gridCol w:w="1559"/>
      </w:tblGrid>
      <w:tr w:rsidR="0040521B" w:rsidRPr="001713B7" w:rsidTr="0058742A">
        <w:trPr>
          <w:trHeight w:val="390"/>
          <w:tblHeader/>
        </w:trPr>
        <w:tc>
          <w:tcPr>
            <w:tcW w:w="683" w:type="dxa"/>
            <w:shd w:val="clear" w:color="auto" w:fill="C6D9F1" w:themeFill="text2" w:themeFillTint="33"/>
            <w:noWrap/>
            <w:hideMark/>
          </w:tcPr>
          <w:p w:rsidR="0040521B" w:rsidRPr="001713B7" w:rsidRDefault="0040521B" w:rsidP="0053283A">
            <w:pPr>
              <w:tabs>
                <w:tab w:val="left" w:pos="6153"/>
              </w:tabs>
              <w:jc w:val="center"/>
              <w:rPr>
                <w:b/>
              </w:rPr>
            </w:pPr>
            <w:r w:rsidRPr="001713B7">
              <w:rPr>
                <w:b/>
              </w:rPr>
              <w:t> </w:t>
            </w:r>
          </w:p>
        </w:tc>
        <w:tc>
          <w:tcPr>
            <w:tcW w:w="1444" w:type="dxa"/>
            <w:shd w:val="clear" w:color="auto" w:fill="C6D9F1" w:themeFill="text2" w:themeFillTint="33"/>
            <w:noWrap/>
            <w:hideMark/>
          </w:tcPr>
          <w:p w:rsidR="0040521B" w:rsidRPr="001713B7" w:rsidRDefault="0040521B" w:rsidP="0053283A">
            <w:pPr>
              <w:tabs>
                <w:tab w:val="left" w:pos="6153"/>
              </w:tabs>
              <w:jc w:val="center"/>
              <w:rPr>
                <w:b/>
              </w:rPr>
            </w:pPr>
            <w:r w:rsidRPr="001713B7">
              <w:rPr>
                <w:b/>
              </w:rPr>
              <w:t>Level 1</w:t>
            </w:r>
          </w:p>
        </w:tc>
        <w:tc>
          <w:tcPr>
            <w:tcW w:w="1701" w:type="dxa"/>
            <w:shd w:val="clear" w:color="auto" w:fill="C6D9F1" w:themeFill="text2" w:themeFillTint="33"/>
            <w:noWrap/>
            <w:hideMark/>
          </w:tcPr>
          <w:p w:rsidR="0040521B" w:rsidRPr="001713B7" w:rsidRDefault="0040521B" w:rsidP="0053283A">
            <w:pPr>
              <w:tabs>
                <w:tab w:val="left" w:pos="6153"/>
              </w:tabs>
              <w:jc w:val="center"/>
              <w:rPr>
                <w:b/>
              </w:rPr>
            </w:pPr>
            <w:r w:rsidRPr="001713B7">
              <w:rPr>
                <w:b/>
              </w:rPr>
              <w:t xml:space="preserve">Level </w:t>
            </w:r>
            <w:proofErr w:type="spellStart"/>
            <w:r w:rsidRPr="001713B7">
              <w:rPr>
                <w:b/>
              </w:rPr>
              <w:t>2a</w:t>
            </w:r>
            <w:proofErr w:type="spellEnd"/>
          </w:p>
        </w:tc>
        <w:tc>
          <w:tcPr>
            <w:tcW w:w="1559" w:type="dxa"/>
            <w:shd w:val="clear" w:color="auto" w:fill="C6D9F1" w:themeFill="text2" w:themeFillTint="33"/>
            <w:noWrap/>
            <w:hideMark/>
          </w:tcPr>
          <w:p w:rsidR="0040521B" w:rsidRPr="001713B7" w:rsidRDefault="0040521B" w:rsidP="0053283A">
            <w:pPr>
              <w:tabs>
                <w:tab w:val="left" w:pos="6153"/>
              </w:tabs>
              <w:jc w:val="center"/>
              <w:rPr>
                <w:b/>
              </w:rPr>
            </w:pPr>
            <w:r w:rsidRPr="001713B7">
              <w:rPr>
                <w:b/>
              </w:rPr>
              <w:t xml:space="preserve">Level </w:t>
            </w:r>
            <w:proofErr w:type="spellStart"/>
            <w:r w:rsidRPr="001713B7">
              <w:rPr>
                <w:b/>
              </w:rPr>
              <w:t>2b</w:t>
            </w:r>
            <w:proofErr w:type="spellEnd"/>
          </w:p>
        </w:tc>
        <w:tc>
          <w:tcPr>
            <w:tcW w:w="1701" w:type="dxa"/>
            <w:shd w:val="clear" w:color="auto" w:fill="C6D9F1" w:themeFill="text2" w:themeFillTint="33"/>
            <w:noWrap/>
            <w:hideMark/>
          </w:tcPr>
          <w:p w:rsidR="0040521B" w:rsidRPr="001713B7" w:rsidRDefault="0040521B" w:rsidP="0053283A">
            <w:pPr>
              <w:tabs>
                <w:tab w:val="left" w:pos="6153"/>
              </w:tabs>
              <w:jc w:val="center"/>
              <w:rPr>
                <w:b/>
              </w:rPr>
            </w:pPr>
            <w:r w:rsidRPr="001713B7">
              <w:rPr>
                <w:b/>
              </w:rPr>
              <w:t>Total</w:t>
            </w:r>
          </w:p>
        </w:tc>
        <w:tc>
          <w:tcPr>
            <w:tcW w:w="1559" w:type="dxa"/>
            <w:shd w:val="clear" w:color="auto" w:fill="C6D9F1" w:themeFill="text2" w:themeFillTint="33"/>
            <w:noWrap/>
            <w:hideMark/>
          </w:tcPr>
          <w:p w:rsidR="0040521B" w:rsidRPr="001713B7" w:rsidRDefault="0040521B" w:rsidP="0053283A">
            <w:pPr>
              <w:tabs>
                <w:tab w:val="left" w:pos="6153"/>
              </w:tabs>
              <w:jc w:val="center"/>
              <w:rPr>
                <w:b/>
              </w:rPr>
            </w:pPr>
            <w:r w:rsidRPr="001713B7">
              <w:rPr>
                <w:b/>
              </w:rPr>
              <w:t>% Total</w:t>
            </w:r>
          </w:p>
        </w:tc>
      </w:tr>
      <w:tr w:rsidR="0040521B" w:rsidRPr="001713B7" w:rsidTr="0053283A">
        <w:trPr>
          <w:trHeight w:val="300"/>
        </w:trPr>
        <w:tc>
          <w:tcPr>
            <w:tcW w:w="683" w:type="dxa"/>
            <w:noWrap/>
            <w:hideMark/>
          </w:tcPr>
          <w:p w:rsidR="0040521B" w:rsidRDefault="0040521B" w:rsidP="0053283A">
            <w:pPr>
              <w:rPr>
                <w:rFonts w:cs="Calibri"/>
                <w:b/>
                <w:bCs/>
                <w:color w:val="000000"/>
              </w:rPr>
            </w:pPr>
            <w:r>
              <w:rPr>
                <w:rFonts w:cs="Calibri"/>
                <w:b/>
                <w:bCs/>
                <w:color w:val="000000"/>
              </w:rPr>
              <w:t>8</w:t>
            </w:r>
          </w:p>
        </w:tc>
        <w:tc>
          <w:tcPr>
            <w:tcW w:w="1444" w:type="dxa"/>
            <w:noWrap/>
            <w:hideMark/>
          </w:tcPr>
          <w:p w:rsidR="0040521B" w:rsidRDefault="0040521B" w:rsidP="0053283A">
            <w:pPr>
              <w:jc w:val="right"/>
              <w:rPr>
                <w:rFonts w:cs="Calibri"/>
                <w:color w:val="000000"/>
              </w:rPr>
            </w:pPr>
            <w:r>
              <w:rPr>
                <w:rFonts w:cs="Calibri"/>
                <w:color w:val="000000"/>
              </w:rPr>
              <w:t>1</w:t>
            </w:r>
          </w:p>
        </w:tc>
        <w:tc>
          <w:tcPr>
            <w:tcW w:w="1701" w:type="dxa"/>
            <w:noWrap/>
            <w:hideMark/>
          </w:tcPr>
          <w:p w:rsidR="0040521B" w:rsidRDefault="0040521B" w:rsidP="0053283A">
            <w:pPr>
              <w:jc w:val="right"/>
              <w:rPr>
                <w:rFonts w:cs="Calibri"/>
                <w:color w:val="000000"/>
              </w:rPr>
            </w:pPr>
            <w:r>
              <w:rPr>
                <w:rFonts w:cs="Calibri"/>
                <w:color w:val="000000"/>
              </w:rPr>
              <w:t>0</w:t>
            </w:r>
          </w:p>
        </w:tc>
        <w:tc>
          <w:tcPr>
            <w:tcW w:w="1559" w:type="dxa"/>
            <w:noWrap/>
            <w:hideMark/>
          </w:tcPr>
          <w:p w:rsidR="0040521B" w:rsidRDefault="0040521B" w:rsidP="0053283A">
            <w:pPr>
              <w:jc w:val="right"/>
              <w:rPr>
                <w:rFonts w:cs="Calibri"/>
                <w:color w:val="000000"/>
              </w:rPr>
            </w:pPr>
            <w:r>
              <w:rPr>
                <w:rFonts w:cs="Calibri"/>
                <w:color w:val="000000"/>
              </w:rPr>
              <w:t>0</w:t>
            </w:r>
          </w:p>
        </w:tc>
        <w:tc>
          <w:tcPr>
            <w:tcW w:w="1701" w:type="dxa"/>
            <w:noWrap/>
            <w:hideMark/>
          </w:tcPr>
          <w:p w:rsidR="0040521B" w:rsidRDefault="0040521B" w:rsidP="0053283A">
            <w:pPr>
              <w:jc w:val="right"/>
              <w:rPr>
                <w:rFonts w:cs="Calibri"/>
                <w:color w:val="000000"/>
              </w:rPr>
            </w:pPr>
            <w:r>
              <w:rPr>
                <w:rFonts w:cs="Calibri"/>
                <w:color w:val="000000"/>
              </w:rPr>
              <w:t>1</w:t>
            </w:r>
          </w:p>
        </w:tc>
        <w:tc>
          <w:tcPr>
            <w:tcW w:w="1559" w:type="dxa"/>
            <w:noWrap/>
            <w:hideMark/>
          </w:tcPr>
          <w:p w:rsidR="0040521B" w:rsidRDefault="0040521B" w:rsidP="0053283A">
            <w:pPr>
              <w:jc w:val="right"/>
              <w:rPr>
                <w:rFonts w:cs="Calibri"/>
                <w:color w:val="000000"/>
              </w:rPr>
            </w:pPr>
            <w:r>
              <w:rPr>
                <w:rFonts w:cs="Calibri"/>
                <w:color w:val="000000"/>
              </w:rPr>
              <w:t>0%</w:t>
            </w:r>
          </w:p>
        </w:tc>
      </w:tr>
      <w:tr w:rsidR="0040521B" w:rsidRPr="001713B7" w:rsidTr="0053283A">
        <w:trPr>
          <w:trHeight w:val="300"/>
        </w:trPr>
        <w:tc>
          <w:tcPr>
            <w:tcW w:w="683" w:type="dxa"/>
            <w:noWrap/>
            <w:hideMark/>
          </w:tcPr>
          <w:p w:rsidR="0040521B" w:rsidRDefault="0040521B" w:rsidP="0053283A">
            <w:pPr>
              <w:rPr>
                <w:rFonts w:cs="Calibri"/>
                <w:b/>
                <w:bCs/>
                <w:color w:val="000000"/>
              </w:rPr>
            </w:pPr>
            <w:r>
              <w:rPr>
                <w:rFonts w:cs="Calibri"/>
                <w:b/>
                <w:bCs/>
                <w:color w:val="000000"/>
              </w:rPr>
              <w:t>9</w:t>
            </w:r>
          </w:p>
        </w:tc>
        <w:tc>
          <w:tcPr>
            <w:tcW w:w="1444" w:type="dxa"/>
            <w:noWrap/>
            <w:hideMark/>
          </w:tcPr>
          <w:p w:rsidR="0040521B" w:rsidRDefault="0040521B" w:rsidP="0053283A">
            <w:pPr>
              <w:jc w:val="right"/>
              <w:rPr>
                <w:rFonts w:cs="Calibri"/>
                <w:color w:val="000000"/>
              </w:rPr>
            </w:pPr>
            <w:r>
              <w:rPr>
                <w:rFonts w:cs="Calibri"/>
                <w:color w:val="000000"/>
              </w:rPr>
              <w:t>3</w:t>
            </w:r>
          </w:p>
        </w:tc>
        <w:tc>
          <w:tcPr>
            <w:tcW w:w="1701" w:type="dxa"/>
            <w:noWrap/>
            <w:hideMark/>
          </w:tcPr>
          <w:p w:rsidR="0040521B" w:rsidRDefault="0040521B" w:rsidP="0053283A">
            <w:pPr>
              <w:jc w:val="right"/>
              <w:rPr>
                <w:rFonts w:cs="Calibri"/>
                <w:color w:val="000000"/>
              </w:rPr>
            </w:pPr>
            <w:r>
              <w:rPr>
                <w:rFonts w:cs="Calibri"/>
                <w:color w:val="000000"/>
              </w:rPr>
              <w:t>0</w:t>
            </w:r>
          </w:p>
        </w:tc>
        <w:tc>
          <w:tcPr>
            <w:tcW w:w="1559" w:type="dxa"/>
            <w:noWrap/>
            <w:hideMark/>
          </w:tcPr>
          <w:p w:rsidR="0040521B" w:rsidRDefault="0040521B" w:rsidP="0053283A">
            <w:pPr>
              <w:jc w:val="right"/>
              <w:rPr>
                <w:rFonts w:cs="Calibri"/>
                <w:color w:val="000000"/>
              </w:rPr>
            </w:pPr>
            <w:r>
              <w:rPr>
                <w:rFonts w:cs="Calibri"/>
                <w:color w:val="000000"/>
              </w:rPr>
              <w:t>1</w:t>
            </w:r>
          </w:p>
        </w:tc>
        <w:tc>
          <w:tcPr>
            <w:tcW w:w="1701" w:type="dxa"/>
            <w:noWrap/>
            <w:hideMark/>
          </w:tcPr>
          <w:p w:rsidR="0040521B" w:rsidRDefault="0040521B" w:rsidP="0053283A">
            <w:pPr>
              <w:jc w:val="right"/>
              <w:rPr>
                <w:rFonts w:cs="Calibri"/>
                <w:color w:val="000000"/>
              </w:rPr>
            </w:pPr>
            <w:r>
              <w:rPr>
                <w:rFonts w:cs="Calibri"/>
                <w:color w:val="000000"/>
              </w:rPr>
              <w:t>4</w:t>
            </w:r>
          </w:p>
        </w:tc>
        <w:tc>
          <w:tcPr>
            <w:tcW w:w="1559" w:type="dxa"/>
            <w:noWrap/>
            <w:hideMark/>
          </w:tcPr>
          <w:p w:rsidR="0040521B" w:rsidRDefault="0040521B" w:rsidP="0053283A">
            <w:pPr>
              <w:jc w:val="right"/>
              <w:rPr>
                <w:rFonts w:cs="Calibri"/>
                <w:color w:val="000000"/>
              </w:rPr>
            </w:pPr>
            <w:r>
              <w:rPr>
                <w:rFonts w:cs="Calibri"/>
                <w:color w:val="000000"/>
              </w:rPr>
              <w:t>0%</w:t>
            </w:r>
          </w:p>
        </w:tc>
      </w:tr>
      <w:tr w:rsidR="0040521B" w:rsidRPr="001713B7" w:rsidTr="0053283A">
        <w:trPr>
          <w:trHeight w:val="300"/>
        </w:trPr>
        <w:tc>
          <w:tcPr>
            <w:tcW w:w="683" w:type="dxa"/>
            <w:noWrap/>
            <w:hideMark/>
          </w:tcPr>
          <w:p w:rsidR="0040521B" w:rsidRDefault="0040521B" w:rsidP="0053283A">
            <w:pPr>
              <w:rPr>
                <w:rFonts w:cs="Calibri"/>
                <w:b/>
                <w:bCs/>
                <w:color w:val="000000"/>
              </w:rPr>
            </w:pPr>
            <w:r>
              <w:rPr>
                <w:rFonts w:cs="Calibri"/>
                <w:b/>
                <w:bCs/>
                <w:color w:val="000000"/>
              </w:rPr>
              <w:t>10</w:t>
            </w:r>
          </w:p>
        </w:tc>
        <w:tc>
          <w:tcPr>
            <w:tcW w:w="1444" w:type="dxa"/>
            <w:noWrap/>
            <w:hideMark/>
          </w:tcPr>
          <w:p w:rsidR="0040521B" w:rsidRDefault="0040521B" w:rsidP="0053283A">
            <w:pPr>
              <w:jc w:val="right"/>
              <w:rPr>
                <w:rFonts w:cs="Calibri"/>
                <w:color w:val="000000"/>
              </w:rPr>
            </w:pPr>
            <w:r>
              <w:rPr>
                <w:rFonts w:cs="Calibri"/>
                <w:color w:val="000000"/>
              </w:rPr>
              <w:t>6</w:t>
            </w:r>
          </w:p>
        </w:tc>
        <w:tc>
          <w:tcPr>
            <w:tcW w:w="1701" w:type="dxa"/>
            <w:noWrap/>
            <w:hideMark/>
          </w:tcPr>
          <w:p w:rsidR="0040521B" w:rsidRDefault="0040521B" w:rsidP="0053283A">
            <w:pPr>
              <w:jc w:val="right"/>
              <w:rPr>
                <w:rFonts w:cs="Calibri"/>
                <w:color w:val="000000"/>
              </w:rPr>
            </w:pPr>
            <w:r>
              <w:rPr>
                <w:rFonts w:cs="Calibri"/>
                <w:color w:val="000000"/>
              </w:rPr>
              <w:t>2</w:t>
            </w:r>
          </w:p>
        </w:tc>
        <w:tc>
          <w:tcPr>
            <w:tcW w:w="1559" w:type="dxa"/>
            <w:noWrap/>
            <w:hideMark/>
          </w:tcPr>
          <w:p w:rsidR="0040521B" w:rsidRDefault="0040521B" w:rsidP="0053283A">
            <w:pPr>
              <w:jc w:val="right"/>
              <w:rPr>
                <w:rFonts w:cs="Calibri"/>
                <w:color w:val="000000"/>
              </w:rPr>
            </w:pPr>
            <w:r>
              <w:rPr>
                <w:rFonts w:cs="Calibri"/>
                <w:color w:val="000000"/>
              </w:rPr>
              <w:t>0</w:t>
            </w:r>
          </w:p>
        </w:tc>
        <w:tc>
          <w:tcPr>
            <w:tcW w:w="1701" w:type="dxa"/>
            <w:noWrap/>
            <w:hideMark/>
          </w:tcPr>
          <w:p w:rsidR="0040521B" w:rsidRDefault="0040521B" w:rsidP="0053283A">
            <w:pPr>
              <w:jc w:val="right"/>
              <w:rPr>
                <w:rFonts w:cs="Calibri"/>
                <w:color w:val="000000"/>
              </w:rPr>
            </w:pPr>
            <w:r>
              <w:rPr>
                <w:rFonts w:cs="Calibri"/>
                <w:color w:val="000000"/>
              </w:rPr>
              <w:t>8</w:t>
            </w:r>
          </w:p>
        </w:tc>
        <w:tc>
          <w:tcPr>
            <w:tcW w:w="1559" w:type="dxa"/>
            <w:noWrap/>
            <w:hideMark/>
          </w:tcPr>
          <w:p w:rsidR="0040521B" w:rsidRDefault="0040521B" w:rsidP="0053283A">
            <w:pPr>
              <w:jc w:val="right"/>
              <w:rPr>
                <w:rFonts w:cs="Calibri"/>
                <w:color w:val="000000"/>
              </w:rPr>
            </w:pPr>
            <w:r>
              <w:rPr>
                <w:rFonts w:cs="Calibri"/>
                <w:color w:val="000000"/>
              </w:rPr>
              <w:t>0%</w:t>
            </w:r>
          </w:p>
        </w:tc>
      </w:tr>
      <w:tr w:rsidR="0040521B" w:rsidRPr="001713B7" w:rsidTr="0053283A">
        <w:trPr>
          <w:trHeight w:val="300"/>
        </w:trPr>
        <w:tc>
          <w:tcPr>
            <w:tcW w:w="683" w:type="dxa"/>
            <w:noWrap/>
            <w:hideMark/>
          </w:tcPr>
          <w:p w:rsidR="0040521B" w:rsidRDefault="0040521B" w:rsidP="0053283A">
            <w:pPr>
              <w:rPr>
                <w:rFonts w:cs="Calibri"/>
                <w:b/>
                <w:bCs/>
                <w:color w:val="000000"/>
              </w:rPr>
            </w:pPr>
            <w:r>
              <w:rPr>
                <w:rFonts w:cs="Calibri"/>
                <w:b/>
                <w:bCs/>
                <w:color w:val="000000"/>
              </w:rPr>
              <w:t>11</w:t>
            </w:r>
          </w:p>
        </w:tc>
        <w:tc>
          <w:tcPr>
            <w:tcW w:w="1444" w:type="dxa"/>
            <w:noWrap/>
            <w:hideMark/>
          </w:tcPr>
          <w:p w:rsidR="0040521B" w:rsidRDefault="0040521B" w:rsidP="0053283A">
            <w:pPr>
              <w:jc w:val="right"/>
              <w:rPr>
                <w:rFonts w:cs="Calibri"/>
                <w:color w:val="000000"/>
              </w:rPr>
            </w:pPr>
            <w:r>
              <w:rPr>
                <w:rFonts w:cs="Calibri"/>
                <w:color w:val="000000"/>
              </w:rPr>
              <w:t>4</w:t>
            </w:r>
          </w:p>
        </w:tc>
        <w:tc>
          <w:tcPr>
            <w:tcW w:w="1701" w:type="dxa"/>
            <w:noWrap/>
            <w:hideMark/>
          </w:tcPr>
          <w:p w:rsidR="0040521B" w:rsidRDefault="0040521B" w:rsidP="0053283A">
            <w:pPr>
              <w:jc w:val="right"/>
              <w:rPr>
                <w:rFonts w:cs="Calibri"/>
                <w:color w:val="000000"/>
              </w:rPr>
            </w:pPr>
            <w:r>
              <w:rPr>
                <w:rFonts w:cs="Calibri"/>
                <w:color w:val="000000"/>
              </w:rPr>
              <w:t>4</w:t>
            </w:r>
          </w:p>
        </w:tc>
        <w:tc>
          <w:tcPr>
            <w:tcW w:w="1559" w:type="dxa"/>
            <w:noWrap/>
            <w:hideMark/>
          </w:tcPr>
          <w:p w:rsidR="0040521B" w:rsidRDefault="0040521B" w:rsidP="0053283A">
            <w:pPr>
              <w:jc w:val="right"/>
              <w:rPr>
                <w:rFonts w:cs="Calibri"/>
                <w:color w:val="000000"/>
              </w:rPr>
            </w:pPr>
            <w:r>
              <w:rPr>
                <w:rFonts w:cs="Calibri"/>
                <w:color w:val="000000"/>
              </w:rPr>
              <w:t>1</w:t>
            </w:r>
          </w:p>
        </w:tc>
        <w:tc>
          <w:tcPr>
            <w:tcW w:w="1701" w:type="dxa"/>
            <w:noWrap/>
            <w:hideMark/>
          </w:tcPr>
          <w:p w:rsidR="0040521B" w:rsidRDefault="0040521B" w:rsidP="0053283A">
            <w:pPr>
              <w:jc w:val="right"/>
              <w:rPr>
                <w:rFonts w:cs="Calibri"/>
                <w:color w:val="000000"/>
              </w:rPr>
            </w:pPr>
            <w:r>
              <w:rPr>
                <w:rFonts w:cs="Calibri"/>
                <w:color w:val="000000"/>
              </w:rPr>
              <w:t>8</w:t>
            </w:r>
          </w:p>
        </w:tc>
        <w:tc>
          <w:tcPr>
            <w:tcW w:w="1559" w:type="dxa"/>
            <w:noWrap/>
            <w:hideMark/>
          </w:tcPr>
          <w:p w:rsidR="0040521B" w:rsidRDefault="0040521B" w:rsidP="0053283A">
            <w:pPr>
              <w:jc w:val="right"/>
              <w:rPr>
                <w:rFonts w:cs="Calibri"/>
                <w:color w:val="000000"/>
              </w:rPr>
            </w:pPr>
            <w:r>
              <w:rPr>
                <w:rFonts w:cs="Calibri"/>
                <w:color w:val="000000"/>
              </w:rPr>
              <w:t>0%</w:t>
            </w:r>
          </w:p>
        </w:tc>
      </w:tr>
      <w:tr w:rsidR="0040521B" w:rsidRPr="001713B7" w:rsidTr="0053283A">
        <w:trPr>
          <w:trHeight w:val="300"/>
        </w:trPr>
        <w:tc>
          <w:tcPr>
            <w:tcW w:w="683" w:type="dxa"/>
            <w:noWrap/>
            <w:hideMark/>
          </w:tcPr>
          <w:p w:rsidR="0040521B" w:rsidRDefault="0040521B" w:rsidP="0053283A">
            <w:pPr>
              <w:rPr>
                <w:rFonts w:cs="Calibri"/>
                <w:b/>
                <w:bCs/>
                <w:color w:val="000000"/>
              </w:rPr>
            </w:pPr>
            <w:r>
              <w:rPr>
                <w:rFonts w:cs="Calibri"/>
                <w:b/>
                <w:bCs/>
                <w:color w:val="000000"/>
              </w:rPr>
              <w:t>12</w:t>
            </w:r>
          </w:p>
        </w:tc>
        <w:tc>
          <w:tcPr>
            <w:tcW w:w="1444" w:type="dxa"/>
            <w:noWrap/>
            <w:hideMark/>
          </w:tcPr>
          <w:p w:rsidR="0040521B" w:rsidRDefault="0040521B" w:rsidP="0053283A">
            <w:pPr>
              <w:jc w:val="right"/>
              <w:rPr>
                <w:rFonts w:cs="Calibri"/>
                <w:color w:val="000000"/>
              </w:rPr>
            </w:pPr>
            <w:r>
              <w:rPr>
                <w:rFonts w:cs="Calibri"/>
                <w:color w:val="000000"/>
              </w:rPr>
              <w:t>12</w:t>
            </w:r>
          </w:p>
        </w:tc>
        <w:tc>
          <w:tcPr>
            <w:tcW w:w="1701" w:type="dxa"/>
            <w:noWrap/>
            <w:hideMark/>
          </w:tcPr>
          <w:p w:rsidR="0040521B" w:rsidRDefault="0040521B" w:rsidP="0053283A">
            <w:pPr>
              <w:jc w:val="right"/>
              <w:rPr>
                <w:rFonts w:cs="Calibri"/>
                <w:color w:val="000000"/>
              </w:rPr>
            </w:pPr>
            <w:r>
              <w:rPr>
                <w:rFonts w:cs="Calibri"/>
                <w:color w:val="000000"/>
              </w:rPr>
              <w:t>9</w:t>
            </w:r>
          </w:p>
        </w:tc>
        <w:tc>
          <w:tcPr>
            <w:tcW w:w="1559" w:type="dxa"/>
            <w:noWrap/>
            <w:hideMark/>
          </w:tcPr>
          <w:p w:rsidR="0040521B" w:rsidRDefault="0040521B" w:rsidP="0053283A">
            <w:pPr>
              <w:jc w:val="right"/>
              <w:rPr>
                <w:rFonts w:cs="Calibri"/>
                <w:color w:val="000000"/>
              </w:rPr>
            </w:pPr>
            <w:r>
              <w:rPr>
                <w:rFonts w:cs="Calibri"/>
                <w:color w:val="000000"/>
              </w:rPr>
              <w:t>5</w:t>
            </w:r>
          </w:p>
        </w:tc>
        <w:tc>
          <w:tcPr>
            <w:tcW w:w="1701" w:type="dxa"/>
            <w:noWrap/>
            <w:hideMark/>
          </w:tcPr>
          <w:p w:rsidR="0040521B" w:rsidRDefault="0040521B" w:rsidP="0053283A">
            <w:pPr>
              <w:jc w:val="right"/>
              <w:rPr>
                <w:rFonts w:cs="Calibri"/>
                <w:color w:val="000000"/>
              </w:rPr>
            </w:pPr>
            <w:r>
              <w:rPr>
                <w:rFonts w:cs="Calibri"/>
                <w:color w:val="000000"/>
              </w:rPr>
              <w:t>23</w:t>
            </w:r>
          </w:p>
        </w:tc>
        <w:tc>
          <w:tcPr>
            <w:tcW w:w="1559" w:type="dxa"/>
            <w:noWrap/>
            <w:hideMark/>
          </w:tcPr>
          <w:p w:rsidR="0040521B" w:rsidRDefault="0040521B" w:rsidP="0053283A">
            <w:pPr>
              <w:jc w:val="right"/>
              <w:rPr>
                <w:rFonts w:cs="Calibri"/>
                <w:color w:val="000000"/>
              </w:rPr>
            </w:pPr>
            <w:r>
              <w:rPr>
                <w:rFonts w:cs="Calibri"/>
                <w:color w:val="000000"/>
              </w:rPr>
              <w:t>1%</w:t>
            </w:r>
          </w:p>
        </w:tc>
      </w:tr>
      <w:tr w:rsidR="0040521B" w:rsidRPr="001713B7" w:rsidTr="0053283A">
        <w:trPr>
          <w:trHeight w:val="300"/>
        </w:trPr>
        <w:tc>
          <w:tcPr>
            <w:tcW w:w="683" w:type="dxa"/>
            <w:noWrap/>
            <w:hideMark/>
          </w:tcPr>
          <w:p w:rsidR="0040521B" w:rsidRDefault="0040521B" w:rsidP="0053283A">
            <w:pPr>
              <w:rPr>
                <w:rFonts w:cs="Calibri"/>
                <w:b/>
                <w:bCs/>
                <w:color w:val="000000"/>
              </w:rPr>
            </w:pPr>
            <w:r>
              <w:rPr>
                <w:rFonts w:cs="Calibri"/>
                <w:b/>
                <w:bCs/>
                <w:color w:val="000000"/>
              </w:rPr>
              <w:t>13</w:t>
            </w:r>
          </w:p>
        </w:tc>
        <w:tc>
          <w:tcPr>
            <w:tcW w:w="1444" w:type="dxa"/>
            <w:noWrap/>
            <w:hideMark/>
          </w:tcPr>
          <w:p w:rsidR="0040521B" w:rsidRDefault="0040521B" w:rsidP="0053283A">
            <w:pPr>
              <w:jc w:val="right"/>
              <w:rPr>
                <w:rFonts w:cs="Calibri"/>
                <w:color w:val="000000"/>
              </w:rPr>
            </w:pPr>
            <w:r>
              <w:rPr>
                <w:rFonts w:cs="Calibri"/>
                <w:color w:val="000000"/>
              </w:rPr>
              <w:t>70</w:t>
            </w:r>
          </w:p>
        </w:tc>
        <w:tc>
          <w:tcPr>
            <w:tcW w:w="1701" w:type="dxa"/>
            <w:noWrap/>
            <w:hideMark/>
          </w:tcPr>
          <w:p w:rsidR="0040521B" w:rsidRDefault="0040521B" w:rsidP="0053283A">
            <w:pPr>
              <w:jc w:val="right"/>
              <w:rPr>
                <w:rFonts w:cs="Calibri"/>
                <w:color w:val="000000"/>
              </w:rPr>
            </w:pPr>
            <w:r>
              <w:rPr>
                <w:rFonts w:cs="Calibri"/>
                <w:color w:val="000000"/>
              </w:rPr>
              <w:t>77</w:t>
            </w:r>
          </w:p>
        </w:tc>
        <w:tc>
          <w:tcPr>
            <w:tcW w:w="1559" w:type="dxa"/>
            <w:noWrap/>
            <w:hideMark/>
          </w:tcPr>
          <w:p w:rsidR="0040521B" w:rsidRDefault="0040521B" w:rsidP="0053283A">
            <w:pPr>
              <w:jc w:val="right"/>
              <w:rPr>
                <w:rFonts w:cs="Calibri"/>
                <w:color w:val="000000"/>
              </w:rPr>
            </w:pPr>
            <w:r>
              <w:rPr>
                <w:rFonts w:cs="Calibri"/>
                <w:color w:val="000000"/>
              </w:rPr>
              <w:t>19</w:t>
            </w:r>
          </w:p>
        </w:tc>
        <w:tc>
          <w:tcPr>
            <w:tcW w:w="1701" w:type="dxa"/>
            <w:noWrap/>
            <w:hideMark/>
          </w:tcPr>
          <w:p w:rsidR="0040521B" w:rsidRDefault="0040521B" w:rsidP="0053283A">
            <w:pPr>
              <w:jc w:val="right"/>
              <w:rPr>
                <w:rFonts w:cs="Calibri"/>
                <w:color w:val="000000"/>
              </w:rPr>
            </w:pPr>
            <w:r>
              <w:rPr>
                <w:rFonts w:cs="Calibri"/>
                <w:color w:val="000000"/>
              </w:rPr>
              <w:t>160</w:t>
            </w:r>
          </w:p>
        </w:tc>
        <w:tc>
          <w:tcPr>
            <w:tcW w:w="1559" w:type="dxa"/>
            <w:noWrap/>
            <w:hideMark/>
          </w:tcPr>
          <w:p w:rsidR="0040521B" w:rsidRDefault="0040521B" w:rsidP="0053283A">
            <w:pPr>
              <w:jc w:val="right"/>
              <w:rPr>
                <w:rFonts w:cs="Calibri"/>
                <w:color w:val="000000"/>
              </w:rPr>
            </w:pPr>
            <w:r>
              <w:rPr>
                <w:rFonts w:cs="Calibri"/>
                <w:color w:val="000000"/>
              </w:rPr>
              <w:t>5%</w:t>
            </w:r>
          </w:p>
        </w:tc>
      </w:tr>
      <w:tr w:rsidR="0040521B" w:rsidRPr="001713B7" w:rsidTr="0053283A">
        <w:trPr>
          <w:trHeight w:val="300"/>
        </w:trPr>
        <w:tc>
          <w:tcPr>
            <w:tcW w:w="683" w:type="dxa"/>
            <w:noWrap/>
            <w:hideMark/>
          </w:tcPr>
          <w:p w:rsidR="0040521B" w:rsidRDefault="0040521B" w:rsidP="0053283A">
            <w:pPr>
              <w:rPr>
                <w:rFonts w:cs="Calibri"/>
                <w:b/>
                <w:bCs/>
                <w:color w:val="000000"/>
              </w:rPr>
            </w:pPr>
            <w:r>
              <w:rPr>
                <w:rFonts w:cs="Calibri"/>
                <w:b/>
                <w:bCs/>
                <w:color w:val="000000"/>
              </w:rPr>
              <w:t>14</w:t>
            </w:r>
          </w:p>
        </w:tc>
        <w:tc>
          <w:tcPr>
            <w:tcW w:w="1444" w:type="dxa"/>
            <w:noWrap/>
            <w:hideMark/>
          </w:tcPr>
          <w:p w:rsidR="0040521B" w:rsidRDefault="0040521B" w:rsidP="0053283A">
            <w:pPr>
              <w:jc w:val="right"/>
              <w:rPr>
                <w:rFonts w:cs="Calibri"/>
                <w:color w:val="000000"/>
              </w:rPr>
            </w:pPr>
            <w:r>
              <w:rPr>
                <w:rFonts w:cs="Calibri"/>
                <w:color w:val="000000"/>
              </w:rPr>
              <w:t>118</w:t>
            </w:r>
          </w:p>
        </w:tc>
        <w:tc>
          <w:tcPr>
            <w:tcW w:w="1701" w:type="dxa"/>
            <w:noWrap/>
            <w:hideMark/>
          </w:tcPr>
          <w:p w:rsidR="0040521B" w:rsidRDefault="0040521B" w:rsidP="0053283A">
            <w:pPr>
              <w:jc w:val="right"/>
              <w:rPr>
                <w:rFonts w:cs="Calibri"/>
                <w:color w:val="000000"/>
              </w:rPr>
            </w:pPr>
            <w:r>
              <w:rPr>
                <w:rFonts w:cs="Calibri"/>
                <w:color w:val="000000"/>
              </w:rPr>
              <w:t>187</w:t>
            </w:r>
          </w:p>
        </w:tc>
        <w:tc>
          <w:tcPr>
            <w:tcW w:w="1559" w:type="dxa"/>
            <w:noWrap/>
            <w:hideMark/>
          </w:tcPr>
          <w:p w:rsidR="0040521B" w:rsidRDefault="0040521B" w:rsidP="0053283A">
            <w:pPr>
              <w:jc w:val="right"/>
              <w:rPr>
                <w:rFonts w:cs="Calibri"/>
                <w:color w:val="000000"/>
              </w:rPr>
            </w:pPr>
            <w:r>
              <w:rPr>
                <w:rFonts w:cs="Calibri"/>
                <w:color w:val="000000"/>
              </w:rPr>
              <w:t>87</w:t>
            </w:r>
          </w:p>
        </w:tc>
        <w:tc>
          <w:tcPr>
            <w:tcW w:w="1701" w:type="dxa"/>
            <w:noWrap/>
            <w:hideMark/>
          </w:tcPr>
          <w:p w:rsidR="0040521B" w:rsidRDefault="0040521B" w:rsidP="0053283A">
            <w:pPr>
              <w:jc w:val="right"/>
              <w:rPr>
                <w:rFonts w:cs="Calibri"/>
                <w:color w:val="000000"/>
              </w:rPr>
            </w:pPr>
            <w:r>
              <w:rPr>
                <w:rFonts w:cs="Calibri"/>
                <w:color w:val="000000"/>
              </w:rPr>
              <w:t>382</w:t>
            </w:r>
          </w:p>
        </w:tc>
        <w:tc>
          <w:tcPr>
            <w:tcW w:w="1559" w:type="dxa"/>
            <w:noWrap/>
            <w:hideMark/>
          </w:tcPr>
          <w:p w:rsidR="0040521B" w:rsidRDefault="0040521B" w:rsidP="0053283A">
            <w:pPr>
              <w:jc w:val="right"/>
              <w:rPr>
                <w:rFonts w:cs="Calibri"/>
                <w:color w:val="000000"/>
              </w:rPr>
            </w:pPr>
            <w:r>
              <w:rPr>
                <w:rFonts w:cs="Calibri"/>
                <w:color w:val="000000"/>
              </w:rPr>
              <w:t>11%</w:t>
            </w:r>
          </w:p>
        </w:tc>
      </w:tr>
      <w:tr w:rsidR="0040521B" w:rsidRPr="001713B7" w:rsidTr="0053283A">
        <w:trPr>
          <w:trHeight w:val="300"/>
        </w:trPr>
        <w:tc>
          <w:tcPr>
            <w:tcW w:w="683" w:type="dxa"/>
            <w:noWrap/>
            <w:hideMark/>
          </w:tcPr>
          <w:p w:rsidR="0040521B" w:rsidRDefault="0040521B" w:rsidP="0053283A">
            <w:pPr>
              <w:rPr>
                <w:rFonts w:cs="Calibri"/>
                <w:b/>
                <w:bCs/>
                <w:color w:val="000000"/>
              </w:rPr>
            </w:pPr>
            <w:r>
              <w:rPr>
                <w:rFonts w:cs="Calibri"/>
                <w:b/>
                <w:bCs/>
                <w:color w:val="000000"/>
              </w:rPr>
              <w:t>15</w:t>
            </w:r>
          </w:p>
        </w:tc>
        <w:tc>
          <w:tcPr>
            <w:tcW w:w="1444" w:type="dxa"/>
            <w:noWrap/>
            <w:hideMark/>
          </w:tcPr>
          <w:p w:rsidR="0040521B" w:rsidRDefault="0040521B" w:rsidP="0053283A">
            <w:pPr>
              <w:jc w:val="right"/>
              <w:rPr>
                <w:rFonts w:cs="Calibri"/>
                <w:color w:val="000000"/>
              </w:rPr>
            </w:pPr>
            <w:r>
              <w:rPr>
                <w:rFonts w:cs="Calibri"/>
                <w:color w:val="000000"/>
              </w:rPr>
              <w:t>106</w:t>
            </w:r>
          </w:p>
        </w:tc>
        <w:tc>
          <w:tcPr>
            <w:tcW w:w="1701" w:type="dxa"/>
            <w:noWrap/>
            <w:hideMark/>
          </w:tcPr>
          <w:p w:rsidR="0040521B" w:rsidRDefault="0040521B" w:rsidP="0053283A">
            <w:pPr>
              <w:jc w:val="right"/>
              <w:rPr>
                <w:rFonts w:cs="Calibri"/>
                <w:color w:val="000000"/>
              </w:rPr>
            </w:pPr>
            <w:r>
              <w:rPr>
                <w:rFonts w:cs="Calibri"/>
                <w:color w:val="000000"/>
              </w:rPr>
              <w:t>265</w:t>
            </w:r>
          </w:p>
        </w:tc>
        <w:tc>
          <w:tcPr>
            <w:tcW w:w="1559" w:type="dxa"/>
            <w:noWrap/>
            <w:hideMark/>
          </w:tcPr>
          <w:p w:rsidR="0040521B" w:rsidRDefault="0040521B" w:rsidP="0053283A">
            <w:pPr>
              <w:jc w:val="right"/>
              <w:rPr>
                <w:rFonts w:cs="Calibri"/>
                <w:color w:val="000000"/>
              </w:rPr>
            </w:pPr>
            <w:r>
              <w:rPr>
                <w:rFonts w:cs="Calibri"/>
                <w:color w:val="000000"/>
              </w:rPr>
              <w:t>170</w:t>
            </w:r>
          </w:p>
        </w:tc>
        <w:tc>
          <w:tcPr>
            <w:tcW w:w="1701" w:type="dxa"/>
            <w:noWrap/>
            <w:hideMark/>
          </w:tcPr>
          <w:p w:rsidR="0040521B" w:rsidRDefault="0040521B" w:rsidP="0053283A">
            <w:pPr>
              <w:jc w:val="right"/>
              <w:rPr>
                <w:rFonts w:cs="Calibri"/>
                <w:color w:val="000000"/>
              </w:rPr>
            </w:pPr>
            <w:r>
              <w:rPr>
                <w:rFonts w:cs="Calibri"/>
                <w:color w:val="000000"/>
              </w:rPr>
              <w:t>522</w:t>
            </w:r>
          </w:p>
        </w:tc>
        <w:tc>
          <w:tcPr>
            <w:tcW w:w="1559" w:type="dxa"/>
            <w:noWrap/>
            <w:hideMark/>
          </w:tcPr>
          <w:p w:rsidR="0040521B" w:rsidRDefault="0040521B" w:rsidP="0053283A">
            <w:pPr>
              <w:jc w:val="right"/>
              <w:rPr>
                <w:rFonts w:cs="Calibri"/>
                <w:color w:val="000000"/>
              </w:rPr>
            </w:pPr>
            <w:r>
              <w:rPr>
                <w:rFonts w:cs="Calibri"/>
                <w:color w:val="000000"/>
              </w:rPr>
              <w:t>15%</w:t>
            </w:r>
          </w:p>
        </w:tc>
      </w:tr>
      <w:tr w:rsidR="0040521B" w:rsidRPr="001713B7" w:rsidTr="0053283A">
        <w:trPr>
          <w:trHeight w:val="300"/>
        </w:trPr>
        <w:tc>
          <w:tcPr>
            <w:tcW w:w="683" w:type="dxa"/>
            <w:noWrap/>
            <w:hideMark/>
          </w:tcPr>
          <w:p w:rsidR="0040521B" w:rsidRDefault="0040521B" w:rsidP="0053283A">
            <w:pPr>
              <w:rPr>
                <w:rFonts w:cs="Calibri"/>
                <w:b/>
                <w:bCs/>
                <w:color w:val="000000"/>
              </w:rPr>
            </w:pPr>
            <w:r>
              <w:rPr>
                <w:rFonts w:cs="Calibri"/>
                <w:b/>
                <w:bCs/>
                <w:color w:val="000000"/>
              </w:rPr>
              <w:t>16</w:t>
            </w:r>
          </w:p>
        </w:tc>
        <w:tc>
          <w:tcPr>
            <w:tcW w:w="1444" w:type="dxa"/>
            <w:noWrap/>
            <w:hideMark/>
          </w:tcPr>
          <w:p w:rsidR="0040521B" w:rsidRDefault="0040521B" w:rsidP="0053283A">
            <w:pPr>
              <w:jc w:val="right"/>
              <w:rPr>
                <w:rFonts w:cs="Calibri"/>
                <w:color w:val="000000"/>
              </w:rPr>
            </w:pPr>
            <w:r>
              <w:rPr>
                <w:rFonts w:cs="Calibri"/>
                <w:color w:val="000000"/>
              </w:rPr>
              <w:t>97</w:t>
            </w:r>
          </w:p>
        </w:tc>
        <w:tc>
          <w:tcPr>
            <w:tcW w:w="1701" w:type="dxa"/>
            <w:noWrap/>
            <w:hideMark/>
          </w:tcPr>
          <w:p w:rsidR="0040521B" w:rsidRDefault="0040521B" w:rsidP="0053283A">
            <w:pPr>
              <w:jc w:val="right"/>
              <w:rPr>
                <w:rFonts w:cs="Calibri"/>
                <w:color w:val="000000"/>
              </w:rPr>
            </w:pPr>
            <w:r>
              <w:rPr>
                <w:rFonts w:cs="Calibri"/>
                <w:color w:val="000000"/>
              </w:rPr>
              <w:t>280</w:t>
            </w:r>
          </w:p>
        </w:tc>
        <w:tc>
          <w:tcPr>
            <w:tcW w:w="1559" w:type="dxa"/>
            <w:noWrap/>
            <w:hideMark/>
          </w:tcPr>
          <w:p w:rsidR="0040521B" w:rsidRDefault="0040521B" w:rsidP="0053283A">
            <w:pPr>
              <w:jc w:val="right"/>
              <w:rPr>
                <w:rFonts w:cs="Calibri"/>
                <w:color w:val="000000"/>
              </w:rPr>
            </w:pPr>
            <w:r>
              <w:rPr>
                <w:rFonts w:cs="Calibri"/>
                <w:color w:val="000000"/>
              </w:rPr>
              <w:t>342</w:t>
            </w:r>
          </w:p>
        </w:tc>
        <w:tc>
          <w:tcPr>
            <w:tcW w:w="1701" w:type="dxa"/>
            <w:noWrap/>
            <w:hideMark/>
          </w:tcPr>
          <w:p w:rsidR="0040521B" w:rsidRDefault="0040521B" w:rsidP="0053283A">
            <w:pPr>
              <w:jc w:val="right"/>
              <w:rPr>
                <w:rFonts w:cs="Calibri"/>
                <w:color w:val="000000"/>
              </w:rPr>
            </w:pPr>
            <w:r>
              <w:rPr>
                <w:rFonts w:cs="Calibri"/>
                <w:color w:val="000000"/>
              </w:rPr>
              <w:t>702</w:t>
            </w:r>
          </w:p>
        </w:tc>
        <w:tc>
          <w:tcPr>
            <w:tcW w:w="1559" w:type="dxa"/>
            <w:noWrap/>
            <w:hideMark/>
          </w:tcPr>
          <w:p w:rsidR="0040521B" w:rsidRDefault="0040521B" w:rsidP="0053283A">
            <w:pPr>
              <w:jc w:val="right"/>
              <w:rPr>
                <w:rFonts w:cs="Calibri"/>
                <w:color w:val="000000"/>
              </w:rPr>
            </w:pPr>
            <w:r>
              <w:rPr>
                <w:rFonts w:cs="Calibri"/>
                <w:color w:val="000000"/>
              </w:rPr>
              <w:t>21%</w:t>
            </w:r>
          </w:p>
        </w:tc>
      </w:tr>
      <w:tr w:rsidR="0040521B" w:rsidRPr="001713B7" w:rsidTr="0053283A">
        <w:trPr>
          <w:trHeight w:val="300"/>
        </w:trPr>
        <w:tc>
          <w:tcPr>
            <w:tcW w:w="683" w:type="dxa"/>
            <w:noWrap/>
            <w:hideMark/>
          </w:tcPr>
          <w:p w:rsidR="0040521B" w:rsidRDefault="0040521B" w:rsidP="0053283A">
            <w:pPr>
              <w:rPr>
                <w:rFonts w:cs="Calibri"/>
                <w:b/>
                <w:bCs/>
                <w:color w:val="000000"/>
              </w:rPr>
            </w:pPr>
            <w:r>
              <w:rPr>
                <w:rFonts w:cs="Calibri"/>
                <w:b/>
                <w:bCs/>
                <w:color w:val="000000"/>
              </w:rPr>
              <w:t>17</w:t>
            </w:r>
          </w:p>
        </w:tc>
        <w:tc>
          <w:tcPr>
            <w:tcW w:w="1444" w:type="dxa"/>
            <w:noWrap/>
            <w:hideMark/>
          </w:tcPr>
          <w:p w:rsidR="0040521B" w:rsidRDefault="0040521B" w:rsidP="0053283A">
            <w:pPr>
              <w:jc w:val="right"/>
              <w:rPr>
                <w:rFonts w:cs="Calibri"/>
                <w:color w:val="000000"/>
              </w:rPr>
            </w:pPr>
            <w:r>
              <w:rPr>
                <w:rFonts w:cs="Calibri"/>
                <w:color w:val="000000"/>
              </w:rPr>
              <w:t>53</w:t>
            </w:r>
          </w:p>
        </w:tc>
        <w:tc>
          <w:tcPr>
            <w:tcW w:w="1701" w:type="dxa"/>
            <w:noWrap/>
            <w:hideMark/>
          </w:tcPr>
          <w:p w:rsidR="0040521B" w:rsidRDefault="0040521B" w:rsidP="0053283A">
            <w:pPr>
              <w:jc w:val="right"/>
              <w:rPr>
                <w:rFonts w:cs="Calibri"/>
                <w:color w:val="000000"/>
              </w:rPr>
            </w:pPr>
            <w:r>
              <w:rPr>
                <w:rFonts w:cs="Calibri"/>
                <w:color w:val="000000"/>
              </w:rPr>
              <w:t>189</w:t>
            </w:r>
          </w:p>
        </w:tc>
        <w:tc>
          <w:tcPr>
            <w:tcW w:w="1559" w:type="dxa"/>
            <w:noWrap/>
            <w:hideMark/>
          </w:tcPr>
          <w:p w:rsidR="0040521B" w:rsidRDefault="0040521B" w:rsidP="0053283A">
            <w:pPr>
              <w:jc w:val="right"/>
              <w:rPr>
                <w:rFonts w:cs="Calibri"/>
                <w:color w:val="000000"/>
              </w:rPr>
            </w:pPr>
            <w:r>
              <w:rPr>
                <w:rFonts w:cs="Calibri"/>
                <w:color w:val="000000"/>
              </w:rPr>
              <w:t>525</w:t>
            </w:r>
          </w:p>
        </w:tc>
        <w:tc>
          <w:tcPr>
            <w:tcW w:w="1701" w:type="dxa"/>
            <w:noWrap/>
            <w:hideMark/>
          </w:tcPr>
          <w:p w:rsidR="0040521B" w:rsidRDefault="0040521B" w:rsidP="0053283A">
            <w:pPr>
              <w:jc w:val="right"/>
              <w:rPr>
                <w:rFonts w:cs="Calibri"/>
                <w:color w:val="000000"/>
              </w:rPr>
            </w:pPr>
            <w:r>
              <w:rPr>
                <w:rFonts w:cs="Calibri"/>
                <w:color w:val="000000"/>
              </w:rPr>
              <w:t>778</w:t>
            </w:r>
          </w:p>
        </w:tc>
        <w:tc>
          <w:tcPr>
            <w:tcW w:w="1559" w:type="dxa"/>
            <w:noWrap/>
            <w:hideMark/>
          </w:tcPr>
          <w:p w:rsidR="0040521B" w:rsidRDefault="0040521B" w:rsidP="0053283A">
            <w:pPr>
              <w:jc w:val="right"/>
              <w:rPr>
                <w:rFonts w:cs="Calibri"/>
                <w:color w:val="000000"/>
              </w:rPr>
            </w:pPr>
            <w:r>
              <w:rPr>
                <w:rFonts w:cs="Calibri"/>
                <w:color w:val="000000"/>
              </w:rPr>
              <w:t>23%</w:t>
            </w:r>
          </w:p>
        </w:tc>
      </w:tr>
      <w:tr w:rsidR="0040521B" w:rsidRPr="001713B7" w:rsidTr="0053283A">
        <w:trPr>
          <w:trHeight w:val="300"/>
        </w:trPr>
        <w:tc>
          <w:tcPr>
            <w:tcW w:w="683" w:type="dxa"/>
            <w:noWrap/>
            <w:hideMark/>
          </w:tcPr>
          <w:p w:rsidR="0040521B" w:rsidRDefault="0040521B" w:rsidP="0053283A">
            <w:pPr>
              <w:rPr>
                <w:rFonts w:cs="Calibri"/>
                <w:b/>
                <w:bCs/>
                <w:color w:val="000000"/>
              </w:rPr>
            </w:pPr>
            <w:r>
              <w:rPr>
                <w:rFonts w:cs="Calibri"/>
                <w:b/>
                <w:bCs/>
                <w:color w:val="000000"/>
              </w:rPr>
              <w:t>18</w:t>
            </w:r>
          </w:p>
        </w:tc>
        <w:tc>
          <w:tcPr>
            <w:tcW w:w="1444" w:type="dxa"/>
            <w:noWrap/>
            <w:hideMark/>
          </w:tcPr>
          <w:p w:rsidR="0040521B" w:rsidRDefault="0040521B" w:rsidP="0053283A">
            <w:pPr>
              <w:jc w:val="right"/>
              <w:rPr>
                <w:rFonts w:cs="Calibri"/>
                <w:color w:val="000000"/>
              </w:rPr>
            </w:pPr>
            <w:r>
              <w:rPr>
                <w:rFonts w:cs="Calibri"/>
                <w:color w:val="000000"/>
              </w:rPr>
              <w:t>15</w:t>
            </w:r>
          </w:p>
        </w:tc>
        <w:tc>
          <w:tcPr>
            <w:tcW w:w="1701" w:type="dxa"/>
            <w:noWrap/>
            <w:hideMark/>
          </w:tcPr>
          <w:p w:rsidR="0040521B" w:rsidRDefault="0040521B" w:rsidP="0053283A">
            <w:pPr>
              <w:jc w:val="right"/>
              <w:rPr>
                <w:rFonts w:cs="Calibri"/>
                <w:color w:val="000000"/>
              </w:rPr>
            </w:pPr>
            <w:r>
              <w:rPr>
                <w:rFonts w:cs="Calibri"/>
                <w:color w:val="000000"/>
              </w:rPr>
              <w:t>79</w:t>
            </w:r>
          </w:p>
        </w:tc>
        <w:tc>
          <w:tcPr>
            <w:tcW w:w="1559" w:type="dxa"/>
            <w:noWrap/>
            <w:hideMark/>
          </w:tcPr>
          <w:p w:rsidR="0040521B" w:rsidRDefault="0040521B" w:rsidP="0053283A">
            <w:pPr>
              <w:jc w:val="right"/>
              <w:rPr>
                <w:rFonts w:cs="Calibri"/>
                <w:color w:val="000000"/>
              </w:rPr>
            </w:pPr>
            <w:r>
              <w:rPr>
                <w:rFonts w:cs="Calibri"/>
                <w:color w:val="000000"/>
              </w:rPr>
              <w:t>384</w:t>
            </w:r>
          </w:p>
        </w:tc>
        <w:tc>
          <w:tcPr>
            <w:tcW w:w="1701" w:type="dxa"/>
            <w:noWrap/>
            <w:hideMark/>
          </w:tcPr>
          <w:p w:rsidR="0040521B" w:rsidRDefault="0040521B" w:rsidP="0053283A">
            <w:pPr>
              <w:jc w:val="right"/>
              <w:rPr>
                <w:rFonts w:cs="Calibri"/>
                <w:color w:val="000000"/>
              </w:rPr>
            </w:pPr>
            <w:r>
              <w:rPr>
                <w:rFonts w:cs="Calibri"/>
                <w:color w:val="000000"/>
              </w:rPr>
              <w:t>490</w:t>
            </w:r>
          </w:p>
        </w:tc>
        <w:tc>
          <w:tcPr>
            <w:tcW w:w="1559" w:type="dxa"/>
            <w:noWrap/>
            <w:hideMark/>
          </w:tcPr>
          <w:p w:rsidR="0040521B" w:rsidRDefault="0040521B" w:rsidP="0053283A">
            <w:pPr>
              <w:jc w:val="right"/>
              <w:rPr>
                <w:rFonts w:cs="Calibri"/>
                <w:color w:val="000000"/>
              </w:rPr>
            </w:pPr>
            <w:r>
              <w:rPr>
                <w:rFonts w:cs="Calibri"/>
                <w:color w:val="000000"/>
              </w:rPr>
              <w:t>14%</w:t>
            </w:r>
          </w:p>
        </w:tc>
      </w:tr>
      <w:tr w:rsidR="0040521B" w:rsidRPr="001713B7" w:rsidTr="0053283A">
        <w:trPr>
          <w:trHeight w:val="300"/>
        </w:trPr>
        <w:tc>
          <w:tcPr>
            <w:tcW w:w="683" w:type="dxa"/>
            <w:noWrap/>
            <w:hideMark/>
          </w:tcPr>
          <w:p w:rsidR="0040521B" w:rsidRDefault="0040521B" w:rsidP="0053283A">
            <w:pPr>
              <w:rPr>
                <w:rFonts w:cs="Calibri"/>
                <w:b/>
                <w:bCs/>
                <w:color w:val="000000"/>
              </w:rPr>
            </w:pPr>
            <w:r>
              <w:rPr>
                <w:rFonts w:cs="Calibri"/>
                <w:b/>
                <w:bCs/>
                <w:color w:val="000000"/>
              </w:rPr>
              <w:t>19</w:t>
            </w:r>
          </w:p>
        </w:tc>
        <w:tc>
          <w:tcPr>
            <w:tcW w:w="1444" w:type="dxa"/>
            <w:noWrap/>
            <w:hideMark/>
          </w:tcPr>
          <w:p w:rsidR="0040521B" w:rsidRDefault="0040521B" w:rsidP="0053283A">
            <w:pPr>
              <w:jc w:val="right"/>
              <w:rPr>
                <w:rFonts w:cs="Calibri"/>
                <w:color w:val="000000"/>
              </w:rPr>
            </w:pPr>
            <w:r>
              <w:rPr>
                <w:rFonts w:cs="Calibri"/>
                <w:color w:val="000000"/>
              </w:rPr>
              <w:t>1</w:t>
            </w:r>
          </w:p>
        </w:tc>
        <w:tc>
          <w:tcPr>
            <w:tcW w:w="1701" w:type="dxa"/>
            <w:noWrap/>
            <w:hideMark/>
          </w:tcPr>
          <w:p w:rsidR="0040521B" w:rsidRDefault="0040521B" w:rsidP="0053283A">
            <w:pPr>
              <w:jc w:val="right"/>
              <w:rPr>
                <w:rFonts w:cs="Calibri"/>
                <w:color w:val="000000"/>
              </w:rPr>
            </w:pPr>
            <w:r>
              <w:rPr>
                <w:rFonts w:cs="Calibri"/>
                <w:color w:val="000000"/>
              </w:rPr>
              <w:t>28</w:t>
            </w:r>
          </w:p>
        </w:tc>
        <w:tc>
          <w:tcPr>
            <w:tcW w:w="1559" w:type="dxa"/>
            <w:noWrap/>
            <w:hideMark/>
          </w:tcPr>
          <w:p w:rsidR="0040521B" w:rsidRDefault="0040521B" w:rsidP="0053283A">
            <w:pPr>
              <w:jc w:val="right"/>
              <w:rPr>
                <w:rFonts w:cs="Calibri"/>
                <w:color w:val="000000"/>
              </w:rPr>
            </w:pPr>
            <w:r>
              <w:rPr>
                <w:rFonts w:cs="Calibri"/>
                <w:color w:val="000000"/>
              </w:rPr>
              <w:t>228</w:t>
            </w:r>
          </w:p>
        </w:tc>
        <w:tc>
          <w:tcPr>
            <w:tcW w:w="1701" w:type="dxa"/>
            <w:noWrap/>
            <w:hideMark/>
          </w:tcPr>
          <w:p w:rsidR="0040521B" w:rsidRDefault="0040521B" w:rsidP="0053283A">
            <w:pPr>
              <w:jc w:val="right"/>
              <w:rPr>
                <w:rFonts w:cs="Calibri"/>
                <w:color w:val="000000"/>
              </w:rPr>
            </w:pPr>
            <w:r>
              <w:rPr>
                <w:rFonts w:cs="Calibri"/>
                <w:color w:val="000000"/>
              </w:rPr>
              <w:t>261</w:t>
            </w:r>
          </w:p>
        </w:tc>
        <w:tc>
          <w:tcPr>
            <w:tcW w:w="1559" w:type="dxa"/>
            <w:noWrap/>
            <w:hideMark/>
          </w:tcPr>
          <w:p w:rsidR="0040521B" w:rsidRDefault="0040521B" w:rsidP="0053283A">
            <w:pPr>
              <w:jc w:val="right"/>
              <w:rPr>
                <w:rFonts w:cs="Calibri"/>
                <w:color w:val="000000"/>
              </w:rPr>
            </w:pPr>
            <w:r>
              <w:rPr>
                <w:rFonts w:cs="Calibri"/>
                <w:color w:val="000000"/>
              </w:rPr>
              <w:t>8%</w:t>
            </w:r>
          </w:p>
        </w:tc>
      </w:tr>
      <w:tr w:rsidR="0040521B" w:rsidRPr="001713B7" w:rsidTr="0053283A">
        <w:trPr>
          <w:trHeight w:val="300"/>
        </w:trPr>
        <w:tc>
          <w:tcPr>
            <w:tcW w:w="683" w:type="dxa"/>
            <w:noWrap/>
            <w:hideMark/>
          </w:tcPr>
          <w:p w:rsidR="0040521B" w:rsidRDefault="0040521B" w:rsidP="0053283A">
            <w:pPr>
              <w:rPr>
                <w:rFonts w:cs="Calibri"/>
                <w:b/>
                <w:bCs/>
                <w:color w:val="000000"/>
              </w:rPr>
            </w:pPr>
            <w:r>
              <w:rPr>
                <w:rFonts w:cs="Calibri"/>
                <w:b/>
                <w:bCs/>
                <w:color w:val="000000"/>
              </w:rPr>
              <w:t>20</w:t>
            </w:r>
          </w:p>
        </w:tc>
        <w:tc>
          <w:tcPr>
            <w:tcW w:w="1444" w:type="dxa"/>
            <w:noWrap/>
            <w:hideMark/>
          </w:tcPr>
          <w:p w:rsidR="0040521B" w:rsidRDefault="0040521B" w:rsidP="0053283A">
            <w:pPr>
              <w:jc w:val="right"/>
              <w:rPr>
                <w:rFonts w:cs="Calibri"/>
                <w:color w:val="000000"/>
              </w:rPr>
            </w:pPr>
            <w:r>
              <w:rPr>
                <w:rFonts w:cs="Calibri"/>
                <w:color w:val="000000"/>
              </w:rPr>
              <w:t>1</w:t>
            </w:r>
          </w:p>
        </w:tc>
        <w:tc>
          <w:tcPr>
            <w:tcW w:w="1701" w:type="dxa"/>
            <w:noWrap/>
            <w:hideMark/>
          </w:tcPr>
          <w:p w:rsidR="0040521B" w:rsidRDefault="0040521B" w:rsidP="0053283A">
            <w:pPr>
              <w:jc w:val="right"/>
              <w:rPr>
                <w:rFonts w:cs="Calibri"/>
                <w:color w:val="000000"/>
              </w:rPr>
            </w:pPr>
            <w:r>
              <w:rPr>
                <w:rFonts w:cs="Calibri"/>
                <w:color w:val="000000"/>
              </w:rPr>
              <w:t>8</w:t>
            </w:r>
          </w:p>
        </w:tc>
        <w:tc>
          <w:tcPr>
            <w:tcW w:w="1559" w:type="dxa"/>
            <w:noWrap/>
            <w:hideMark/>
          </w:tcPr>
          <w:p w:rsidR="0040521B" w:rsidRDefault="0040521B" w:rsidP="0053283A">
            <w:pPr>
              <w:jc w:val="right"/>
              <w:rPr>
                <w:rFonts w:cs="Calibri"/>
                <w:color w:val="000000"/>
              </w:rPr>
            </w:pPr>
            <w:r>
              <w:rPr>
                <w:rFonts w:cs="Calibri"/>
                <w:color w:val="000000"/>
              </w:rPr>
              <w:t>33</w:t>
            </w:r>
          </w:p>
        </w:tc>
        <w:tc>
          <w:tcPr>
            <w:tcW w:w="1701" w:type="dxa"/>
            <w:noWrap/>
            <w:hideMark/>
          </w:tcPr>
          <w:p w:rsidR="0040521B" w:rsidRDefault="0040521B" w:rsidP="0053283A">
            <w:pPr>
              <w:jc w:val="right"/>
              <w:rPr>
                <w:rFonts w:cs="Calibri"/>
                <w:color w:val="000000"/>
              </w:rPr>
            </w:pPr>
            <w:r>
              <w:rPr>
                <w:rFonts w:cs="Calibri"/>
                <w:color w:val="000000"/>
              </w:rPr>
              <w:t>43</w:t>
            </w:r>
          </w:p>
        </w:tc>
        <w:tc>
          <w:tcPr>
            <w:tcW w:w="1559" w:type="dxa"/>
            <w:noWrap/>
            <w:hideMark/>
          </w:tcPr>
          <w:p w:rsidR="0040521B" w:rsidRDefault="0040521B" w:rsidP="0053283A">
            <w:pPr>
              <w:jc w:val="right"/>
              <w:rPr>
                <w:rFonts w:cs="Calibri"/>
                <w:color w:val="000000"/>
              </w:rPr>
            </w:pPr>
            <w:r>
              <w:rPr>
                <w:rFonts w:cs="Calibri"/>
                <w:color w:val="000000"/>
              </w:rPr>
              <w:t>1%</w:t>
            </w:r>
          </w:p>
        </w:tc>
      </w:tr>
      <w:tr w:rsidR="0040521B" w:rsidRPr="001713B7" w:rsidTr="0053283A">
        <w:trPr>
          <w:trHeight w:val="300"/>
        </w:trPr>
        <w:tc>
          <w:tcPr>
            <w:tcW w:w="683" w:type="dxa"/>
            <w:noWrap/>
            <w:hideMark/>
          </w:tcPr>
          <w:p w:rsidR="0040521B" w:rsidRDefault="0040521B" w:rsidP="0053283A">
            <w:pPr>
              <w:rPr>
                <w:rFonts w:cs="Calibri"/>
                <w:b/>
                <w:bCs/>
                <w:color w:val="000000"/>
              </w:rPr>
            </w:pPr>
            <w:r>
              <w:rPr>
                <w:rFonts w:cs="Calibri"/>
                <w:b/>
                <w:bCs/>
                <w:color w:val="000000"/>
              </w:rPr>
              <w:t>21</w:t>
            </w:r>
          </w:p>
        </w:tc>
        <w:tc>
          <w:tcPr>
            <w:tcW w:w="1444" w:type="dxa"/>
            <w:noWrap/>
            <w:hideMark/>
          </w:tcPr>
          <w:p w:rsidR="0040521B" w:rsidRDefault="0040521B" w:rsidP="0053283A">
            <w:pPr>
              <w:jc w:val="right"/>
              <w:rPr>
                <w:rFonts w:cs="Calibri"/>
                <w:color w:val="000000"/>
              </w:rPr>
            </w:pPr>
            <w:r>
              <w:rPr>
                <w:rFonts w:cs="Calibri"/>
                <w:color w:val="000000"/>
              </w:rPr>
              <w:t>0</w:t>
            </w:r>
          </w:p>
        </w:tc>
        <w:tc>
          <w:tcPr>
            <w:tcW w:w="1701" w:type="dxa"/>
            <w:noWrap/>
            <w:hideMark/>
          </w:tcPr>
          <w:p w:rsidR="0040521B" w:rsidRDefault="0040521B" w:rsidP="0053283A">
            <w:pPr>
              <w:jc w:val="right"/>
              <w:rPr>
                <w:rFonts w:cs="Calibri"/>
                <w:color w:val="000000"/>
              </w:rPr>
            </w:pPr>
            <w:r>
              <w:rPr>
                <w:rFonts w:cs="Calibri"/>
                <w:color w:val="000000"/>
              </w:rPr>
              <w:t>0</w:t>
            </w:r>
          </w:p>
        </w:tc>
        <w:tc>
          <w:tcPr>
            <w:tcW w:w="1559" w:type="dxa"/>
            <w:noWrap/>
            <w:hideMark/>
          </w:tcPr>
          <w:p w:rsidR="0040521B" w:rsidRDefault="0040521B" w:rsidP="0053283A">
            <w:pPr>
              <w:jc w:val="right"/>
              <w:rPr>
                <w:rFonts w:cs="Calibri"/>
                <w:color w:val="000000"/>
              </w:rPr>
            </w:pPr>
            <w:r>
              <w:rPr>
                <w:rFonts w:cs="Calibri"/>
                <w:color w:val="000000"/>
              </w:rPr>
              <w:t>5</w:t>
            </w:r>
          </w:p>
        </w:tc>
        <w:tc>
          <w:tcPr>
            <w:tcW w:w="1701" w:type="dxa"/>
            <w:noWrap/>
            <w:hideMark/>
          </w:tcPr>
          <w:p w:rsidR="0040521B" w:rsidRDefault="0040521B" w:rsidP="0053283A">
            <w:pPr>
              <w:jc w:val="right"/>
              <w:rPr>
                <w:rFonts w:cs="Calibri"/>
                <w:color w:val="000000"/>
              </w:rPr>
            </w:pPr>
            <w:r>
              <w:rPr>
                <w:rFonts w:cs="Calibri"/>
                <w:color w:val="000000"/>
              </w:rPr>
              <w:t>5</w:t>
            </w:r>
          </w:p>
        </w:tc>
        <w:tc>
          <w:tcPr>
            <w:tcW w:w="1559" w:type="dxa"/>
            <w:noWrap/>
            <w:hideMark/>
          </w:tcPr>
          <w:p w:rsidR="0040521B" w:rsidRDefault="0040521B" w:rsidP="0053283A">
            <w:pPr>
              <w:jc w:val="right"/>
              <w:rPr>
                <w:rFonts w:cs="Calibri"/>
                <w:color w:val="000000"/>
              </w:rPr>
            </w:pPr>
            <w:r>
              <w:rPr>
                <w:rFonts w:cs="Calibri"/>
                <w:color w:val="000000"/>
              </w:rPr>
              <w:t>0%</w:t>
            </w:r>
          </w:p>
        </w:tc>
      </w:tr>
      <w:tr w:rsidR="0040521B" w:rsidRPr="001713B7" w:rsidTr="0053283A">
        <w:trPr>
          <w:trHeight w:val="300"/>
        </w:trPr>
        <w:tc>
          <w:tcPr>
            <w:tcW w:w="683" w:type="dxa"/>
            <w:noWrap/>
            <w:hideMark/>
          </w:tcPr>
          <w:p w:rsidR="0040521B" w:rsidRDefault="0040521B" w:rsidP="0053283A">
            <w:pPr>
              <w:rPr>
                <w:rFonts w:cs="Calibri"/>
                <w:b/>
                <w:bCs/>
                <w:color w:val="000000"/>
              </w:rPr>
            </w:pPr>
            <w:r>
              <w:rPr>
                <w:rFonts w:cs="Calibri"/>
                <w:b/>
                <w:bCs/>
                <w:color w:val="000000"/>
              </w:rPr>
              <w:t>22</w:t>
            </w:r>
          </w:p>
        </w:tc>
        <w:tc>
          <w:tcPr>
            <w:tcW w:w="1444" w:type="dxa"/>
            <w:noWrap/>
            <w:hideMark/>
          </w:tcPr>
          <w:p w:rsidR="0040521B" w:rsidRDefault="0040521B" w:rsidP="0053283A">
            <w:pPr>
              <w:jc w:val="right"/>
              <w:rPr>
                <w:rFonts w:cs="Calibri"/>
                <w:color w:val="000000"/>
              </w:rPr>
            </w:pPr>
            <w:r>
              <w:rPr>
                <w:rFonts w:cs="Calibri"/>
                <w:color w:val="000000"/>
              </w:rPr>
              <w:t>0</w:t>
            </w:r>
          </w:p>
        </w:tc>
        <w:tc>
          <w:tcPr>
            <w:tcW w:w="1701" w:type="dxa"/>
            <w:noWrap/>
            <w:hideMark/>
          </w:tcPr>
          <w:p w:rsidR="0040521B" w:rsidRDefault="0040521B" w:rsidP="0053283A">
            <w:pPr>
              <w:jc w:val="right"/>
              <w:rPr>
                <w:rFonts w:cs="Calibri"/>
                <w:color w:val="000000"/>
              </w:rPr>
            </w:pPr>
            <w:r>
              <w:rPr>
                <w:rFonts w:cs="Calibri"/>
                <w:color w:val="000000"/>
              </w:rPr>
              <w:t>0</w:t>
            </w:r>
          </w:p>
        </w:tc>
        <w:tc>
          <w:tcPr>
            <w:tcW w:w="1559" w:type="dxa"/>
            <w:noWrap/>
            <w:hideMark/>
          </w:tcPr>
          <w:p w:rsidR="0040521B" w:rsidRDefault="0040521B" w:rsidP="0053283A">
            <w:pPr>
              <w:jc w:val="right"/>
              <w:rPr>
                <w:rFonts w:cs="Calibri"/>
                <w:color w:val="000000"/>
              </w:rPr>
            </w:pPr>
            <w:r>
              <w:rPr>
                <w:rFonts w:cs="Calibri"/>
                <w:color w:val="000000"/>
              </w:rPr>
              <w:t>1</w:t>
            </w:r>
          </w:p>
        </w:tc>
        <w:tc>
          <w:tcPr>
            <w:tcW w:w="1701" w:type="dxa"/>
            <w:noWrap/>
            <w:hideMark/>
          </w:tcPr>
          <w:p w:rsidR="0040521B" w:rsidRDefault="0040521B" w:rsidP="0053283A">
            <w:pPr>
              <w:jc w:val="right"/>
              <w:rPr>
                <w:rFonts w:cs="Calibri"/>
                <w:color w:val="000000"/>
              </w:rPr>
            </w:pPr>
            <w:r>
              <w:rPr>
                <w:rFonts w:cs="Calibri"/>
                <w:color w:val="000000"/>
              </w:rPr>
              <w:t>1</w:t>
            </w:r>
          </w:p>
        </w:tc>
        <w:tc>
          <w:tcPr>
            <w:tcW w:w="1559" w:type="dxa"/>
            <w:noWrap/>
            <w:hideMark/>
          </w:tcPr>
          <w:p w:rsidR="0040521B" w:rsidRDefault="0040521B" w:rsidP="0053283A">
            <w:pPr>
              <w:jc w:val="right"/>
              <w:rPr>
                <w:rFonts w:cs="Calibri"/>
                <w:color w:val="000000"/>
              </w:rPr>
            </w:pPr>
            <w:r>
              <w:rPr>
                <w:rFonts w:cs="Calibri"/>
                <w:color w:val="000000"/>
              </w:rPr>
              <w:t>0%</w:t>
            </w:r>
          </w:p>
        </w:tc>
      </w:tr>
      <w:tr w:rsidR="0040521B" w:rsidRPr="001713B7" w:rsidTr="0053283A">
        <w:trPr>
          <w:trHeight w:val="300"/>
        </w:trPr>
        <w:tc>
          <w:tcPr>
            <w:tcW w:w="683" w:type="dxa"/>
            <w:noWrap/>
            <w:hideMark/>
          </w:tcPr>
          <w:p w:rsidR="0040521B" w:rsidRDefault="0040521B" w:rsidP="0053283A">
            <w:pPr>
              <w:rPr>
                <w:rFonts w:cs="Calibri"/>
                <w:b/>
                <w:bCs/>
                <w:color w:val="000000"/>
              </w:rPr>
            </w:pPr>
            <w:r>
              <w:rPr>
                <w:rFonts w:cs="Calibri"/>
                <w:b/>
                <w:bCs/>
                <w:color w:val="000000"/>
              </w:rPr>
              <w:t>23</w:t>
            </w:r>
          </w:p>
        </w:tc>
        <w:tc>
          <w:tcPr>
            <w:tcW w:w="1444" w:type="dxa"/>
            <w:noWrap/>
            <w:hideMark/>
          </w:tcPr>
          <w:p w:rsidR="0040521B" w:rsidRDefault="0040521B" w:rsidP="0053283A">
            <w:pPr>
              <w:jc w:val="right"/>
              <w:rPr>
                <w:rFonts w:cs="Calibri"/>
                <w:color w:val="000000"/>
              </w:rPr>
            </w:pPr>
            <w:r>
              <w:rPr>
                <w:rFonts w:cs="Calibri"/>
                <w:color w:val="000000"/>
              </w:rPr>
              <w:t>0</w:t>
            </w:r>
          </w:p>
        </w:tc>
        <w:tc>
          <w:tcPr>
            <w:tcW w:w="1701" w:type="dxa"/>
            <w:noWrap/>
            <w:hideMark/>
          </w:tcPr>
          <w:p w:rsidR="0040521B" w:rsidRDefault="0040521B" w:rsidP="0053283A">
            <w:pPr>
              <w:jc w:val="right"/>
              <w:rPr>
                <w:rFonts w:cs="Calibri"/>
                <w:color w:val="000000"/>
              </w:rPr>
            </w:pPr>
            <w:r>
              <w:rPr>
                <w:rFonts w:cs="Calibri"/>
                <w:color w:val="000000"/>
              </w:rPr>
              <w:t>0</w:t>
            </w:r>
          </w:p>
        </w:tc>
        <w:tc>
          <w:tcPr>
            <w:tcW w:w="1559" w:type="dxa"/>
            <w:noWrap/>
            <w:hideMark/>
          </w:tcPr>
          <w:p w:rsidR="0040521B" w:rsidRDefault="0040521B" w:rsidP="0053283A">
            <w:pPr>
              <w:jc w:val="right"/>
              <w:rPr>
                <w:rFonts w:cs="Calibri"/>
                <w:color w:val="000000"/>
              </w:rPr>
            </w:pPr>
            <w:r>
              <w:rPr>
                <w:rFonts w:cs="Calibri"/>
                <w:color w:val="000000"/>
              </w:rPr>
              <w:t>1</w:t>
            </w:r>
          </w:p>
        </w:tc>
        <w:tc>
          <w:tcPr>
            <w:tcW w:w="1701" w:type="dxa"/>
            <w:noWrap/>
            <w:hideMark/>
          </w:tcPr>
          <w:p w:rsidR="0040521B" w:rsidRDefault="0040521B" w:rsidP="0053283A">
            <w:pPr>
              <w:jc w:val="right"/>
              <w:rPr>
                <w:rFonts w:cs="Calibri"/>
                <w:color w:val="000000"/>
              </w:rPr>
            </w:pPr>
            <w:r>
              <w:rPr>
                <w:rFonts w:cs="Calibri"/>
                <w:color w:val="000000"/>
              </w:rPr>
              <w:t>1</w:t>
            </w:r>
          </w:p>
        </w:tc>
        <w:tc>
          <w:tcPr>
            <w:tcW w:w="1559" w:type="dxa"/>
            <w:noWrap/>
            <w:hideMark/>
          </w:tcPr>
          <w:p w:rsidR="0040521B" w:rsidRDefault="0040521B" w:rsidP="0053283A">
            <w:pPr>
              <w:jc w:val="right"/>
              <w:rPr>
                <w:rFonts w:cs="Calibri"/>
                <w:color w:val="000000"/>
              </w:rPr>
            </w:pPr>
            <w:r>
              <w:rPr>
                <w:rFonts w:cs="Calibri"/>
                <w:color w:val="000000"/>
              </w:rPr>
              <w:t>0%</w:t>
            </w:r>
          </w:p>
        </w:tc>
      </w:tr>
      <w:tr w:rsidR="0040521B" w:rsidRPr="001713B7" w:rsidTr="0053283A">
        <w:trPr>
          <w:trHeight w:val="300"/>
        </w:trPr>
        <w:tc>
          <w:tcPr>
            <w:tcW w:w="683" w:type="dxa"/>
            <w:noWrap/>
            <w:hideMark/>
          </w:tcPr>
          <w:p w:rsidR="0040521B" w:rsidRDefault="0040521B" w:rsidP="0053283A">
            <w:pPr>
              <w:rPr>
                <w:rFonts w:cs="Calibri"/>
                <w:b/>
                <w:bCs/>
                <w:color w:val="000000"/>
              </w:rPr>
            </w:pPr>
            <w:r>
              <w:rPr>
                <w:rFonts w:cs="Calibri"/>
                <w:b/>
                <w:bCs/>
                <w:color w:val="000000"/>
              </w:rPr>
              <w:t>24</w:t>
            </w:r>
          </w:p>
        </w:tc>
        <w:tc>
          <w:tcPr>
            <w:tcW w:w="1444" w:type="dxa"/>
            <w:noWrap/>
            <w:hideMark/>
          </w:tcPr>
          <w:p w:rsidR="0040521B" w:rsidRDefault="0040521B" w:rsidP="0053283A">
            <w:pPr>
              <w:jc w:val="right"/>
              <w:rPr>
                <w:rFonts w:cs="Calibri"/>
                <w:color w:val="000000"/>
              </w:rPr>
            </w:pPr>
            <w:r>
              <w:rPr>
                <w:rFonts w:cs="Calibri"/>
                <w:color w:val="000000"/>
              </w:rPr>
              <w:t>0</w:t>
            </w:r>
          </w:p>
        </w:tc>
        <w:tc>
          <w:tcPr>
            <w:tcW w:w="1701" w:type="dxa"/>
            <w:noWrap/>
            <w:hideMark/>
          </w:tcPr>
          <w:p w:rsidR="0040521B" w:rsidRDefault="0040521B" w:rsidP="0053283A">
            <w:pPr>
              <w:jc w:val="right"/>
              <w:rPr>
                <w:rFonts w:cs="Calibri"/>
                <w:color w:val="000000"/>
              </w:rPr>
            </w:pPr>
            <w:r>
              <w:rPr>
                <w:rFonts w:cs="Calibri"/>
                <w:color w:val="000000"/>
              </w:rPr>
              <w:t>0</w:t>
            </w:r>
          </w:p>
        </w:tc>
        <w:tc>
          <w:tcPr>
            <w:tcW w:w="1559" w:type="dxa"/>
            <w:noWrap/>
            <w:hideMark/>
          </w:tcPr>
          <w:p w:rsidR="0040521B" w:rsidRDefault="0040521B" w:rsidP="0053283A">
            <w:pPr>
              <w:jc w:val="right"/>
              <w:rPr>
                <w:rFonts w:cs="Calibri"/>
                <w:color w:val="000000"/>
              </w:rPr>
            </w:pPr>
            <w:r>
              <w:rPr>
                <w:rFonts w:cs="Calibri"/>
                <w:color w:val="000000"/>
              </w:rPr>
              <w:t>0</w:t>
            </w:r>
          </w:p>
        </w:tc>
        <w:tc>
          <w:tcPr>
            <w:tcW w:w="1701" w:type="dxa"/>
            <w:noWrap/>
            <w:hideMark/>
          </w:tcPr>
          <w:p w:rsidR="0040521B" w:rsidRDefault="0040521B" w:rsidP="0053283A">
            <w:pPr>
              <w:jc w:val="right"/>
              <w:rPr>
                <w:rFonts w:cs="Calibri"/>
                <w:color w:val="000000"/>
              </w:rPr>
            </w:pPr>
            <w:r>
              <w:rPr>
                <w:rFonts w:cs="Calibri"/>
                <w:color w:val="000000"/>
              </w:rPr>
              <w:t>0</w:t>
            </w:r>
          </w:p>
        </w:tc>
        <w:tc>
          <w:tcPr>
            <w:tcW w:w="1559" w:type="dxa"/>
            <w:noWrap/>
            <w:hideMark/>
          </w:tcPr>
          <w:p w:rsidR="0040521B" w:rsidRDefault="0040521B" w:rsidP="0053283A">
            <w:pPr>
              <w:jc w:val="right"/>
              <w:rPr>
                <w:rFonts w:cs="Calibri"/>
                <w:color w:val="000000"/>
              </w:rPr>
            </w:pPr>
            <w:r>
              <w:rPr>
                <w:rFonts w:cs="Calibri"/>
                <w:color w:val="000000"/>
              </w:rPr>
              <w:t>0%</w:t>
            </w:r>
          </w:p>
        </w:tc>
      </w:tr>
      <w:tr w:rsidR="0040521B" w:rsidRPr="001713B7" w:rsidTr="0053283A">
        <w:trPr>
          <w:trHeight w:val="300"/>
        </w:trPr>
        <w:tc>
          <w:tcPr>
            <w:tcW w:w="683" w:type="dxa"/>
            <w:noWrap/>
            <w:hideMark/>
          </w:tcPr>
          <w:p w:rsidR="0040521B" w:rsidRDefault="0040521B" w:rsidP="0053283A">
            <w:pPr>
              <w:rPr>
                <w:rFonts w:cs="Calibri"/>
                <w:b/>
                <w:bCs/>
                <w:color w:val="000000"/>
              </w:rPr>
            </w:pPr>
            <w:r>
              <w:rPr>
                <w:rFonts w:cs="Calibri"/>
                <w:b/>
                <w:bCs/>
                <w:color w:val="000000"/>
              </w:rPr>
              <w:t>25</w:t>
            </w:r>
          </w:p>
        </w:tc>
        <w:tc>
          <w:tcPr>
            <w:tcW w:w="1444" w:type="dxa"/>
            <w:noWrap/>
            <w:hideMark/>
          </w:tcPr>
          <w:p w:rsidR="0040521B" w:rsidRDefault="0040521B" w:rsidP="0053283A">
            <w:pPr>
              <w:jc w:val="right"/>
              <w:rPr>
                <w:rFonts w:cs="Calibri"/>
                <w:color w:val="000000"/>
              </w:rPr>
            </w:pPr>
            <w:r>
              <w:rPr>
                <w:rFonts w:cs="Calibri"/>
                <w:color w:val="000000"/>
              </w:rPr>
              <w:t>0</w:t>
            </w:r>
          </w:p>
        </w:tc>
        <w:tc>
          <w:tcPr>
            <w:tcW w:w="1701" w:type="dxa"/>
            <w:noWrap/>
            <w:hideMark/>
          </w:tcPr>
          <w:p w:rsidR="0040521B" w:rsidRDefault="0040521B" w:rsidP="0053283A">
            <w:pPr>
              <w:jc w:val="right"/>
              <w:rPr>
                <w:rFonts w:cs="Calibri"/>
                <w:color w:val="000000"/>
              </w:rPr>
            </w:pPr>
            <w:r>
              <w:rPr>
                <w:rFonts w:cs="Calibri"/>
                <w:color w:val="000000"/>
              </w:rPr>
              <w:t>0</w:t>
            </w:r>
          </w:p>
        </w:tc>
        <w:tc>
          <w:tcPr>
            <w:tcW w:w="1559" w:type="dxa"/>
            <w:noWrap/>
            <w:hideMark/>
          </w:tcPr>
          <w:p w:rsidR="0040521B" w:rsidRDefault="0040521B" w:rsidP="0053283A">
            <w:pPr>
              <w:jc w:val="right"/>
              <w:rPr>
                <w:rFonts w:cs="Calibri"/>
                <w:color w:val="000000"/>
              </w:rPr>
            </w:pPr>
            <w:r>
              <w:rPr>
                <w:rFonts w:cs="Calibri"/>
                <w:color w:val="000000"/>
              </w:rPr>
              <w:t>1</w:t>
            </w:r>
          </w:p>
        </w:tc>
        <w:tc>
          <w:tcPr>
            <w:tcW w:w="1701" w:type="dxa"/>
            <w:noWrap/>
            <w:hideMark/>
          </w:tcPr>
          <w:p w:rsidR="0040521B" w:rsidRDefault="0040521B" w:rsidP="0053283A">
            <w:pPr>
              <w:jc w:val="right"/>
              <w:rPr>
                <w:rFonts w:cs="Calibri"/>
                <w:color w:val="000000"/>
              </w:rPr>
            </w:pPr>
            <w:r>
              <w:rPr>
                <w:rFonts w:cs="Calibri"/>
                <w:color w:val="000000"/>
              </w:rPr>
              <w:t>1</w:t>
            </w:r>
          </w:p>
        </w:tc>
        <w:tc>
          <w:tcPr>
            <w:tcW w:w="1559" w:type="dxa"/>
            <w:noWrap/>
            <w:hideMark/>
          </w:tcPr>
          <w:p w:rsidR="0040521B" w:rsidRDefault="0040521B" w:rsidP="0053283A">
            <w:pPr>
              <w:jc w:val="right"/>
              <w:rPr>
                <w:rFonts w:cs="Calibri"/>
                <w:color w:val="000000"/>
              </w:rPr>
            </w:pPr>
            <w:r>
              <w:rPr>
                <w:rFonts w:cs="Calibri"/>
                <w:color w:val="000000"/>
              </w:rPr>
              <w:t>0%</w:t>
            </w:r>
          </w:p>
        </w:tc>
      </w:tr>
    </w:tbl>
    <w:p w:rsidR="0040521B" w:rsidRDefault="0040521B" w:rsidP="0040521B">
      <w:pPr>
        <w:tabs>
          <w:tab w:val="left" w:pos="1680"/>
        </w:tabs>
      </w:pPr>
    </w:p>
    <w:p w:rsidR="0040521B" w:rsidRDefault="0040521B" w:rsidP="00FF3E7A">
      <w:pPr>
        <w:pStyle w:val="Heading3"/>
      </w:pPr>
      <w:r>
        <w:t>Table 6: National</w:t>
      </w:r>
      <w:r w:rsidRPr="00580A81">
        <w:t xml:space="preserve"> – Age of Participants</w:t>
      </w:r>
    </w:p>
    <w:tbl>
      <w:tblPr>
        <w:tblStyle w:val="TableGrid"/>
        <w:tblW w:w="0" w:type="auto"/>
        <w:tblLook w:val="04A0" w:firstRow="1" w:lastRow="0" w:firstColumn="1" w:lastColumn="0" w:noHBand="0" w:noVBand="1"/>
        <w:tblDescription w:val="Table 6: National – Age of Participants"/>
      </w:tblPr>
      <w:tblGrid>
        <w:gridCol w:w="518"/>
        <w:gridCol w:w="1619"/>
        <w:gridCol w:w="1619"/>
        <w:gridCol w:w="1619"/>
        <w:gridCol w:w="1619"/>
        <w:gridCol w:w="1619"/>
      </w:tblGrid>
      <w:tr w:rsidR="0040521B" w:rsidRPr="00580A81" w:rsidTr="0058742A">
        <w:trPr>
          <w:tblHeader/>
        </w:trPr>
        <w:tc>
          <w:tcPr>
            <w:tcW w:w="518" w:type="dxa"/>
            <w:shd w:val="clear" w:color="auto" w:fill="DBE5F1" w:themeFill="accent1" w:themeFillTint="33"/>
          </w:tcPr>
          <w:p w:rsidR="0040521B" w:rsidRPr="00580A81" w:rsidRDefault="0040521B" w:rsidP="0053283A">
            <w:pPr>
              <w:tabs>
                <w:tab w:val="left" w:pos="6153"/>
              </w:tabs>
              <w:jc w:val="center"/>
              <w:rPr>
                <w:b/>
              </w:rPr>
            </w:pPr>
          </w:p>
        </w:tc>
        <w:tc>
          <w:tcPr>
            <w:tcW w:w="1619" w:type="dxa"/>
            <w:shd w:val="clear" w:color="auto" w:fill="DBE5F1" w:themeFill="accent1" w:themeFillTint="33"/>
          </w:tcPr>
          <w:p w:rsidR="0040521B" w:rsidRPr="00580A81" w:rsidRDefault="0040521B" w:rsidP="0053283A">
            <w:pPr>
              <w:tabs>
                <w:tab w:val="left" w:pos="6153"/>
              </w:tabs>
              <w:jc w:val="center"/>
              <w:rPr>
                <w:b/>
              </w:rPr>
            </w:pPr>
            <w:r w:rsidRPr="00580A81">
              <w:rPr>
                <w:b/>
              </w:rPr>
              <w:t>Level 1</w:t>
            </w:r>
          </w:p>
        </w:tc>
        <w:tc>
          <w:tcPr>
            <w:tcW w:w="1619" w:type="dxa"/>
            <w:shd w:val="clear" w:color="auto" w:fill="DBE5F1" w:themeFill="accent1" w:themeFillTint="33"/>
          </w:tcPr>
          <w:p w:rsidR="0040521B" w:rsidRPr="00580A81" w:rsidRDefault="0040521B" w:rsidP="0053283A">
            <w:pPr>
              <w:tabs>
                <w:tab w:val="left" w:pos="6153"/>
              </w:tabs>
              <w:jc w:val="center"/>
              <w:rPr>
                <w:b/>
              </w:rPr>
            </w:pPr>
            <w:r w:rsidRPr="00580A81">
              <w:rPr>
                <w:b/>
              </w:rPr>
              <w:t xml:space="preserve">Level </w:t>
            </w:r>
            <w:proofErr w:type="spellStart"/>
            <w:r w:rsidRPr="00580A81">
              <w:rPr>
                <w:b/>
              </w:rPr>
              <w:t>2a</w:t>
            </w:r>
            <w:proofErr w:type="spellEnd"/>
          </w:p>
        </w:tc>
        <w:tc>
          <w:tcPr>
            <w:tcW w:w="1619" w:type="dxa"/>
            <w:shd w:val="clear" w:color="auto" w:fill="DBE5F1" w:themeFill="accent1" w:themeFillTint="33"/>
          </w:tcPr>
          <w:p w:rsidR="0040521B" w:rsidRPr="00580A81" w:rsidRDefault="0040521B" w:rsidP="0053283A">
            <w:pPr>
              <w:tabs>
                <w:tab w:val="left" w:pos="6153"/>
              </w:tabs>
              <w:jc w:val="center"/>
              <w:rPr>
                <w:b/>
              </w:rPr>
            </w:pPr>
            <w:r w:rsidRPr="00580A81">
              <w:rPr>
                <w:b/>
              </w:rPr>
              <w:t xml:space="preserve">Level </w:t>
            </w:r>
            <w:proofErr w:type="spellStart"/>
            <w:r w:rsidRPr="00580A81">
              <w:rPr>
                <w:b/>
              </w:rPr>
              <w:t>2b</w:t>
            </w:r>
            <w:proofErr w:type="spellEnd"/>
          </w:p>
        </w:tc>
        <w:tc>
          <w:tcPr>
            <w:tcW w:w="1619" w:type="dxa"/>
            <w:shd w:val="clear" w:color="auto" w:fill="DBE5F1" w:themeFill="accent1" w:themeFillTint="33"/>
          </w:tcPr>
          <w:p w:rsidR="0040521B" w:rsidRPr="00580A81" w:rsidRDefault="0040521B" w:rsidP="0053283A">
            <w:pPr>
              <w:tabs>
                <w:tab w:val="left" w:pos="6153"/>
              </w:tabs>
              <w:jc w:val="center"/>
              <w:rPr>
                <w:b/>
              </w:rPr>
            </w:pPr>
            <w:r w:rsidRPr="00580A81">
              <w:rPr>
                <w:b/>
              </w:rPr>
              <w:t>Total</w:t>
            </w:r>
          </w:p>
        </w:tc>
        <w:tc>
          <w:tcPr>
            <w:tcW w:w="1619" w:type="dxa"/>
            <w:shd w:val="clear" w:color="auto" w:fill="DBE5F1" w:themeFill="accent1" w:themeFillTint="33"/>
          </w:tcPr>
          <w:p w:rsidR="0040521B" w:rsidRPr="00580A81" w:rsidRDefault="0040521B" w:rsidP="0053283A">
            <w:pPr>
              <w:tabs>
                <w:tab w:val="left" w:pos="6153"/>
              </w:tabs>
              <w:jc w:val="center"/>
              <w:rPr>
                <w:b/>
              </w:rPr>
            </w:pPr>
            <w:r w:rsidRPr="00580A81">
              <w:rPr>
                <w:b/>
              </w:rPr>
              <w:t>%</w:t>
            </w:r>
          </w:p>
        </w:tc>
      </w:tr>
      <w:tr w:rsidR="0040521B" w:rsidTr="0053283A">
        <w:tc>
          <w:tcPr>
            <w:tcW w:w="518" w:type="dxa"/>
            <w:vAlign w:val="bottom"/>
          </w:tcPr>
          <w:p w:rsidR="0040521B" w:rsidRPr="00B44C9D" w:rsidRDefault="0040521B" w:rsidP="0053283A">
            <w:pPr>
              <w:rPr>
                <w:rFonts w:cs="Calibri"/>
                <w:b/>
                <w:color w:val="000000"/>
              </w:rPr>
            </w:pPr>
            <w:r w:rsidRPr="00B44C9D">
              <w:rPr>
                <w:rFonts w:cs="Calibri"/>
                <w:b/>
                <w:color w:val="000000"/>
              </w:rPr>
              <w:t>8</w:t>
            </w:r>
          </w:p>
        </w:tc>
        <w:tc>
          <w:tcPr>
            <w:tcW w:w="1619" w:type="dxa"/>
            <w:vAlign w:val="bottom"/>
          </w:tcPr>
          <w:p w:rsidR="0040521B" w:rsidRDefault="0040521B" w:rsidP="0053283A">
            <w:pPr>
              <w:jc w:val="right"/>
              <w:rPr>
                <w:rFonts w:cs="Calibri"/>
                <w:color w:val="000000"/>
              </w:rPr>
            </w:pPr>
            <w:r>
              <w:rPr>
                <w:rFonts w:cs="Calibri"/>
                <w:color w:val="000000"/>
              </w:rPr>
              <w:t>13</w:t>
            </w:r>
          </w:p>
        </w:tc>
        <w:tc>
          <w:tcPr>
            <w:tcW w:w="1619" w:type="dxa"/>
            <w:vAlign w:val="bottom"/>
          </w:tcPr>
          <w:p w:rsidR="0040521B" w:rsidRDefault="0040521B" w:rsidP="0053283A">
            <w:pPr>
              <w:jc w:val="right"/>
              <w:rPr>
                <w:rFonts w:cs="Calibri"/>
                <w:color w:val="000000"/>
              </w:rPr>
            </w:pPr>
            <w:r>
              <w:rPr>
                <w:rFonts w:cs="Calibri"/>
                <w:color w:val="000000"/>
              </w:rPr>
              <w:t>1</w:t>
            </w:r>
          </w:p>
        </w:tc>
        <w:tc>
          <w:tcPr>
            <w:tcW w:w="1619" w:type="dxa"/>
            <w:vAlign w:val="bottom"/>
          </w:tcPr>
          <w:p w:rsidR="0040521B" w:rsidRDefault="0040521B" w:rsidP="0053283A">
            <w:pPr>
              <w:jc w:val="right"/>
              <w:rPr>
                <w:rFonts w:cs="Calibri"/>
                <w:color w:val="000000"/>
              </w:rPr>
            </w:pPr>
            <w:r>
              <w:rPr>
                <w:rFonts w:cs="Calibri"/>
                <w:color w:val="000000"/>
              </w:rPr>
              <w:t>1</w:t>
            </w:r>
          </w:p>
        </w:tc>
        <w:tc>
          <w:tcPr>
            <w:tcW w:w="1619" w:type="dxa"/>
            <w:vAlign w:val="bottom"/>
          </w:tcPr>
          <w:p w:rsidR="0040521B" w:rsidRDefault="0040521B" w:rsidP="0053283A">
            <w:pPr>
              <w:jc w:val="right"/>
              <w:rPr>
                <w:rFonts w:cs="Calibri"/>
                <w:color w:val="000000"/>
              </w:rPr>
            </w:pPr>
            <w:r>
              <w:rPr>
                <w:rFonts w:cs="Calibri"/>
                <w:color w:val="000000"/>
              </w:rPr>
              <w:t>16</w:t>
            </w:r>
          </w:p>
        </w:tc>
        <w:tc>
          <w:tcPr>
            <w:tcW w:w="1619" w:type="dxa"/>
            <w:vAlign w:val="bottom"/>
          </w:tcPr>
          <w:p w:rsidR="0040521B" w:rsidRDefault="0040521B" w:rsidP="0053283A">
            <w:pPr>
              <w:jc w:val="right"/>
              <w:rPr>
                <w:rFonts w:cs="Calibri"/>
                <w:color w:val="000000"/>
              </w:rPr>
            </w:pPr>
            <w:r>
              <w:rPr>
                <w:rFonts w:cs="Calibri"/>
                <w:color w:val="000000"/>
              </w:rPr>
              <w:t>0%</w:t>
            </w:r>
          </w:p>
        </w:tc>
      </w:tr>
      <w:tr w:rsidR="0040521B" w:rsidTr="0053283A">
        <w:tc>
          <w:tcPr>
            <w:tcW w:w="518" w:type="dxa"/>
            <w:vAlign w:val="bottom"/>
          </w:tcPr>
          <w:p w:rsidR="0040521B" w:rsidRPr="00B44C9D" w:rsidRDefault="0040521B" w:rsidP="0053283A">
            <w:pPr>
              <w:rPr>
                <w:rFonts w:cs="Calibri"/>
                <w:b/>
                <w:color w:val="000000"/>
              </w:rPr>
            </w:pPr>
            <w:r w:rsidRPr="00B44C9D">
              <w:rPr>
                <w:rFonts w:cs="Calibri"/>
                <w:b/>
                <w:color w:val="000000"/>
              </w:rPr>
              <w:t>9</w:t>
            </w:r>
          </w:p>
        </w:tc>
        <w:tc>
          <w:tcPr>
            <w:tcW w:w="1619" w:type="dxa"/>
            <w:vAlign w:val="bottom"/>
          </w:tcPr>
          <w:p w:rsidR="0040521B" w:rsidRDefault="0040521B" w:rsidP="0053283A">
            <w:pPr>
              <w:jc w:val="right"/>
              <w:rPr>
                <w:rFonts w:cs="Calibri"/>
                <w:color w:val="000000"/>
              </w:rPr>
            </w:pPr>
            <w:r>
              <w:rPr>
                <w:rFonts w:cs="Calibri"/>
                <w:color w:val="000000"/>
              </w:rPr>
              <w:t>51</w:t>
            </w:r>
          </w:p>
        </w:tc>
        <w:tc>
          <w:tcPr>
            <w:tcW w:w="1619" w:type="dxa"/>
            <w:vAlign w:val="bottom"/>
          </w:tcPr>
          <w:p w:rsidR="0040521B" w:rsidRDefault="0040521B" w:rsidP="0053283A">
            <w:pPr>
              <w:jc w:val="right"/>
              <w:rPr>
                <w:rFonts w:cs="Calibri"/>
                <w:color w:val="000000"/>
              </w:rPr>
            </w:pPr>
            <w:r>
              <w:rPr>
                <w:rFonts w:cs="Calibri"/>
                <w:color w:val="000000"/>
              </w:rPr>
              <w:t>9</w:t>
            </w:r>
          </w:p>
        </w:tc>
        <w:tc>
          <w:tcPr>
            <w:tcW w:w="1619" w:type="dxa"/>
            <w:vAlign w:val="bottom"/>
          </w:tcPr>
          <w:p w:rsidR="0040521B" w:rsidRDefault="0040521B" w:rsidP="0053283A">
            <w:pPr>
              <w:jc w:val="right"/>
              <w:rPr>
                <w:rFonts w:cs="Calibri"/>
                <w:color w:val="000000"/>
              </w:rPr>
            </w:pPr>
            <w:r>
              <w:rPr>
                <w:rFonts w:cs="Calibri"/>
                <w:color w:val="000000"/>
              </w:rPr>
              <w:t>3</w:t>
            </w:r>
          </w:p>
        </w:tc>
        <w:tc>
          <w:tcPr>
            <w:tcW w:w="1619" w:type="dxa"/>
            <w:vAlign w:val="bottom"/>
          </w:tcPr>
          <w:p w:rsidR="0040521B" w:rsidRDefault="0040521B" w:rsidP="0053283A">
            <w:pPr>
              <w:jc w:val="right"/>
              <w:rPr>
                <w:rFonts w:cs="Calibri"/>
                <w:color w:val="000000"/>
              </w:rPr>
            </w:pPr>
            <w:r>
              <w:rPr>
                <w:rFonts w:cs="Calibri"/>
                <w:color w:val="000000"/>
              </w:rPr>
              <w:t>63</w:t>
            </w:r>
          </w:p>
        </w:tc>
        <w:tc>
          <w:tcPr>
            <w:tcW w:w="1619" w:type="dxa"/>
            <w:vAlign w:val="bottom"/>
          </w:tcPr>
          <w:p w:rsidR="0040521B" w:rsidRDefault="0040521B" w:rsidP="0053283A">
            <w:pPr>
              <w:jc w:val="right"/>
              <w:rPr>
                <w:rFonts w:cs="Calibri"/>
                <w:color w:val="000000"/>
              </w:rPr>
            </w:pPr>
            <w:r>
              <w:rPr>
                <w:rFonts w:cs="Calibri"/>
                <w:color w:val="000000"/>
              </w:rPr>
              <w:t>0%</w:t>
            </w:r>
          </w:p>
        </w:tc>
      </w:tr>
      <w:tr w:rsidR="0040521B" w:rsidTr="0053283A">
        <w:tc>
          <w:tcPr>
            <w:tcW w:w="518" w:type="dxa"/>
            <w:vAlign w:val="bottom"/>
          </w:tcPr>
          <w:p w:rsidR="0040521B" w:rsidRPr="00B44C9D" w:rsidRDefault="0040521B" w:rsidP="0053283A">
            <w:pPr>
              <w:rPr>
                <w:rFonts w:cs="Calibri"/>
                <w:b/>
                <w:color w:val="000000"/>
              </w:rPr>
            </w:pPr>
            <w:r w:rsidRPr="00B44C9D">
              <w:rPr>
                <w:rFonts w:cs="Calibri"/>
                <w:b/>
                <w:color w:val="000000"/>
              </w:rPr>
              <w:t>10</w:t>
            </w:r>
          </w:p>
        </w:tc>
        <w:tc>
          <w:tcPr>
            <w:tcW w:w="1619" w:type="dxa"/>
            <w:vAlign w:val="bottom"/>
          </w:tcPr>
          <w:p w:rsidR="0040521B" w:rsidRDefault="0040521B" w:rsidP="0053283A">
            <w:pPr>
              <w:jc w:val="right"/>
              <w:rPr>
                <w:rFonts w:cs="Calibri"/>
                <w:color w:val="000000"/>
              </w:rPr>
            </w:pPr>
            <w:r>
              <w:rPr>
                <w:rFonts w:cs="Calibri"/>
                <w:color w:val="000000"/>
              </w:rPr>
              <w:t>232</w:t>
            </w:r>
          </w:p>
        </w:tc>
        <w:tc>
          <w:tcPr>
            <w:tcW w:w="1619" w:type="dxa"/>
            <w:vAlign w:val="bottom"/>
          </w:tcPr>
          <w:p w:rsidR="0040521B" w:rsidRDefault="0040521B" w:rsidP="0053283A">
            <w:pPr>
              <w:jc w:val="right"/>
              <w:rPr>
                <w:rFonts w:cs="Calibri"/>
                <w:color w:val="000000"/>
              </w:rPr>
            </w:pPr>
            <w:r>
              <w:rPr>
                <w:rFonts w:cs="Calibri"/>
                <w:color w:val="000000"/>
              </w:rPr>
              <w:t>70</w:t>
            </w:r>
          </w:p>
        </w:tc>
        <w:tc>
          <w:tcPr>
            <w:tcW w:w="1619" w:type="dxa"/>
            <w:vAlign w:val="bottom"/>
          </w:tcPr>
          <w:p w:rsidR="0040521B" w:rsidRDefault="0040521B" w:rsidP="0053283A">
            <w:pPr>
              <w:jc w:val="right"/>
              <w:rPr>
                <w:rFonts w:cs="Calibri"/>
                <w:color w:val="000000"/>
              </w:rPr>
            </w:pPr>
            <w:r>
              <w:rPr>
                <w:rFonts w:cs="Calibri"/>
                <w:color w:val="000000"/>
              </w:rPr>
              <w:t>13</w:t>
            </w:r>
          </w:p>
        </w:tc>
        <w:tc>
          <w:tcPr>
            <w:tcW w:w="1619" w:type="dxa"/>
            <w:vAlign w:val="bottom"/>
          </w:tcPr>
          <w:p w:rsidR="0040521B" w:rsidRDefault="0040521B" w:rsidP="0053283A">
            <w:pPr>
              <w:jc w:val="right"/>
              <w:rPr>
                <w:rFonts w:cs="Calibri"/>
                <w:color w:val="000000"/>
              </w:rPr>
            </w:pPr>
            <w:r>
              <w:rPr>
                <w:rFonts w:cs="Calibri"/>
                <w:color w:val="000000"/>
              </w:rPr>
              <w:t>303</w:t>
            </w:r>
          </w:p>
        </w:tc>
        <w:tc>
          <w:tcPr>
            <w:tcW w:w="1619" w:type="dxa"/>
            <w:vAlign w:val="bottom"/>
          </w:tcPr>
          <w:p w:rsidR="0040521B" w:rsidRDefault="0040521B" w:rsidP="0053283A">
            <w:pPr>
              <w:jc w:val="right"/>
              <w:rPr>
                <w:rFonts w:cs="Calibri"/>
                <w:color w:val="000000"/>
              </w:rPr>
            </w:pPr>
            <w:r>
              <w:rPr>
                <w:rFonts w:cs="Calibri"/>
                <w:color w:val="000000"/>
              </w:rPr>
              <w:t>1%</w:t>
            </w:r>
          </w:p>
        </w:tc>
      </w:tr>
      <w:tr w:rsidR="0040521B" w:rsidTr="0053283A">
        <w:tc>
          <w:tcPr>
            <w:tcW w:w="518" w:type="dxa"/>
            <w:vAlign w:val="bottom"/>
          </w:tcPr>
          <w:p w:rsidR="0040521B" w:rsidRPr="00B44C9D" w:rsidRDefault="0040521B" w:rsidP="0053283A">
            <w:pPr>
              <w:rPr>
                <w:rFonts w:cs="Calibri"/>
                <w:b/>
                <w:color w:val="000000"/>
              </w:rPr>
            </w:pPr>
            <w:r w:rsidRPr="00B44C9D">
              <w:rPr>
                <w:rFonts w:cs="Calibri"/>
                <w:b/>
                <w:color w:val="000000"/>
              </w:rPr>
              <w:t>11</w:t>
            </w:r>
          </w:p>
        </w:tc>
        <w:tc>
          <w:tcPr>
            <w:tcW w:w="1619" w:type="dxa"/>
            <w:vAlign w:val="bottom"/>
          </w:tcPr>
          <w:p w:rsidR="0040521B" w:rsidRDefault="0040521B" w:rsidP="0053283A">
            <w:pPr>
              <w:jc w:val="right"/>
              <w:rPr>
                <w:rFonts w:cs="Calibri"/>
                <w:color w:val="000000"/>
              </w:rPr>
            </w:pPr>
            <w:r>
              <w:rPr>
                <w:rFonts w:cs="Calibri"/>
                <w:color w:val="000000"/>
              </w:rPr>
              <w:t>718</w:t>
            </w:r>
          </w:p>
        </w:tc>
        <w:tc>
          <w:tcPr>
            <w:tcW w:w="1619" w:type="dxa"/>
            <w:vAlign w:val="bottom"/>
          </w:tcPr>
          <w:p w:rsidR="0040521B" w:rsidRDefault="0040521B" w:rsidP="0053283A">
            <w:pPr>
              <w:jc w:val="right"/>
              <w:rPr>
                <w:rFonts w:cs="Calibri"/>
                <w:color w:val="000000"/>
              </w:rPr>
            </w:pPr>
            <w:r>
              <w:rPr>
                <w:rFonts w:cs="Calibri"/>
                <w:color w:val="000000"/>
              </w:rPr>
              <w:t>223</w:t>
            </w:r>
          </w:p>
        </w:tc>
        <w:tc>
          <w:tcPr>
            <w:tcW w:w="1619" w:type="dxa"/>
            <w:vAlign w:val="bottom"/>
          </w:tcPr>
          <w:p w:rsidR="0040521B" w:rsidRDefault="0040521B" w:rsidP="0053283A">
            <w:pPr>
              <w:jc w:val="right"/>
              <w:rPr>
                <w:rFonts w:cs="Calibri"/>
                <w:color w:val="000000"/>
              </w:rPr>
            </w:pPr>
            <w:r>
              <w:rPr>
                <w:rFonts w:cs="Calibri"/>
                <w:color w:val="000000"/>
              </w:rPr>
              <w:t>39</w:t>
            </w:r>
          </w:p>
        </w:tc>
        <w:tc>
          <w:tcPr>
            <w:tcW w:w="1619" w:type="dxa"/>
            <w:vAlign w:val="bottom"/>
          </w:tcPr>
          <w:p w:rsidR="0040521B" w:rsidRDefault="0040521B" w:rsidP="0053283A">
            <w:pPr>
              <w:jc w:val="right"/>
              <w:rPr>
                <w:rFonts w:cs="Calibri"/>
                <w:color w:val="000000"/>
              </w:rPr>
            </w:pPr>
            <w:r>
              <w:rPr>
                <w:rFonts w:cs="Calibri"/>
                <w:color w:val="000000"/>
              </w:rPr>
              <w:t>935</w:t>
            </w:r>
          </w:p>
        </w:tc>
        <w:tc>
          <w:tcPr>
            <w:tcW w:w="1619" w:type="dxa"/>
            <w:vAlign w:val="bottom"/>
          </w:tcPr>
          <w:p w:rsidR="0040521B" w:rsidRDefault="0040521B" w:rsidP="0053283A">
            <w:pPr>
              <w:jc w:val="right"/>
              <w:rPr>
                <w:rFonts w:cs="Calibri"/>
                <w:color w:val="000000"/>
              </w:rPr>
            </w:pPr>
            <w:r>
              <w:rPr>
                <w:rFonts w:cs="Calibri"/>
                <w:color w:val="000000"/>
              </w:rPr>
              <w:t>2%</w:t>
            </w:r>
          </w:p>
        </w:tc>
      </w:tr>
      <w:tr w:rsidR="0040521B" w:rsidTr="0053283A">
        <w:tc>
          <w:tcPr>
            <w:tcW w:w="518" w:type="dxa"/>
            <w:vAlign w:val="bottom"/>
          </w:tcPr>
          <w:p w:rsidR="0040521B" w:rsidRPr="00B44C9D" w:rsidRDefault="0040521B" w:rsidP="0053283A">
            <w:pPr>
              <w:rPr>
                <w:rFonts w:cs="Calibri"/>
                <w:b/>
                <w:color w:val="000000"/>
              </w:rPr>
            </w:pPr>
            <w:r w:rsidRPr="00B44C9D">
              <w:rPr>
                <w:rFonts w:cs="Calibri"/>
                <w:b/>
                <w:color w:val="000000"/>
              </w:rPr>
              <w:t>12</w:t>
            </w:r>
          </w:p>
        </w:tc>
        <w:tc>
          <w:tcPr>
            <w:tcW w:w="1619" w:type="dxa"/>
            <w:vAlign w:val="bottom"/>
          </w:tcPr>
          <w:p w:rsidR="0040521B" w:rsidRDefault="0040521B" w:rsidP="0053283A">
            <w:pPr>
              <w:jc w:val="right"/>
              <w:rPr>
                <w:rFonts w:cs="Calibri"/>
                <w:color w:val="000000"/>
              </w:rPr>
            </w:pPr>
            <w:r>
              <w:rPr>
                <w:rFonts w:cs="Calibri"/>
                <w:color w:val="000000"/>
              </w:rPr>
              <w:t>1105</w:t>
            </w:r>
          </w:p>
        </w:tc>
        <w:tc>
          <w:tcPr>
            <w:tcW w:w="1619" w:type="dxa"/>
            <w:vAlign w:val="bottom"/>
          </w:tcPr>
          <w:p w:rsidR="0040521B" w:rsidRDefault="0040521B" w:rsidP="0053283A">
            <w:pPr>
              <w:jc w:val="right"/>
              <w:rPr>
                <w:rFonts w:cs="Calibri"/>
                <w:color w:val="000000"/>
              </w:rPr>
            </w:pPr>
            <w:r>
              <w:rPr>
                <w:rFonts w:cs="Calibri"/>
                <w:color w:val="000000"/>
              </w:rPr>
              <w:t>617</w:t>
            </w:r>
          </w:p>
        </w:tc>
        <w:tc>
          <w:tcPr>
            <w:tcW w:w="1619" w:type="dxa"/>
            <w:vAlign w:val="bottom"/>
          </w:tcPr>
          <w:p w:rsidR="0040521B" w:rsidRDefault="0040521B" w:rsidP="0053283A">
            <w:pPr>
              <w:jc w:val="right"/>
              <w:rPr>
                <w:rFonts w:cs="Calibri"/>
                <w:color w:val="000000"/>
              </w:rPr>
            </w:pPr>
            <w:r>
              <w:rPr>
                <w:rFonts w:cs="Calibri"/>
                <w:color w:val="000000"/>
              </w:rPr>
              <w:t>142</w:t>
            </w:r>
          </w:p>
        </w:tc>
        <w:tc>
          <w:tcPr>
            <w:tcW w:w="1619" w:type="dxa"/>
            <w:vAlign w:val="bottom"/>
          </w:tcPr>
          <w:p w:rsidR="0040521B" w:rsidRDefault="0040521B" w:rsidP="0053283A">
            <w:pPr>
              <w:jc w:val="right"/>
              <w:rPr>
                <w:rFonts w:cs="Calibri"/>
                <w:color w:val="000000"/>
              </w:rPr>
            </w:pPr>
            <w:r>
              <w:rPr>
                <w:rFonts w:cs="Calibri"/>
                <w:color w:val="000000"/>
              </w:rPr>
              <w:t>1757</w:t>
            </w:r>
          </w:p>
        </w:tc>
        <w:tc>
          <w:tcPr>
            <w:tcW w:w="1619" w:type="dxa"/>
            <w:vAlign w:val="bottom"/>
          </w:tcPr>
          <w:p w:rsidR="0040521B" w:rsidRDefault="0040521B" w:rsidP="0053283A">
            <w:pPr>
              <w:jc w:val="right"/>
              <w:rPr>
                <w:rFonts w:cs="Calibri"/>
                <w:color w:val="000000"/>
              </w:rPr>
            </w:pPr>
            <w:r>
              <w:rPr>
                <w:rFonts w:cs="Calibri"/>
                <w:color w:val="000000"/>
              </w:rPr>
              <w:t>3%</w:t>
            </w:r>
          </w:p>
        </w:tc>
      </w:tr>
      <w:tr w:rsidR="0040521B" w:rsidTr="0053283A">
        <w:tc>
          <w:tcPr>
            <w:tcW w:w="518" w:type="dxa"/>
            <w:vAlign w:val="bottom"/>
          </w:tcPr>
          <w:p w:rsidR="0040521B" w:rsidRPr="00B44C9D" w:rsidRDefault="0040521B" w:rsidP="0053283A">
            <w:pPr>
              <w:rPr>
                <w:rFonts w:cs="Calibri"/>
                <w:b/>
                <w:color w:val="000000"/>
              </w:rPr>
            </w:pPr>
            <w:r w:rsidRPr="00B44C9D">
              <w:rPr>
                <w:rFonts w:cs="Calibri"/>
                <w:b/>
                <w:color w:val="000000"/>
              </w:rPr>
              <w:t>13</w:t>
            </w:r>
          </w:p>
        </w:tc>
        <w:tc>
          <w:tcPr>
            <w:tcW w:w="1619" w:type="dxa"/>
            <w:vAlign w:val="bottom"/>
          </w:tcPr>
          <w:p w:rsidR="0040521B" w:rsidRDefault="0040521B" w:rsidP="0053283A">
            <w:pPr>
              <w:jc w:val="right"/>
              <w:rPr>
                <w:rFonts w:cs="Calibri"/>
                <w:color w:val="000000"/>
              </w:rPr>
            </w:pPr>
            <w:r>
              <w:rPr>
                <w:rFonts w:cs="Calibri"/>
                <w:color w:val="000000"/>
              </w:rPr>
              <w:t>2328</w:t>
            </w:r>
          </w:p>
        </w:tc>
        <w:tc>
          <w:tcPr>
            <w:tcW w:w="1619" w:type="dxa"/>
            <w:vAlign w:val="bottom"/>
          </w:tcPr>
          <w:p w:rsidR="0040521B" w:rsidRDefault="0040521B" w:rsidP="0053283A">
            <w:pPr>
              <w:jc w:val="right"/>
              <w:rPr>
                <w:rFonts w:cs="Calibri"/>
                <w:color w:val="000000"/>
              </w:rPr>
            </w:pPr>
            <w:r>
              <w:rPr>
                <w:rFonts w:cs="Calibri"/>
                <w:color w:val="000000"/>
              </w:rPr>
              <w:t>1884</w:t>
            </w:r>
          </w:p>
        </w:tc>
        <w:tc>
          <w:tcPr>
            <w:tcW w:w="1619" w:type="dxa"/>
            <w:vAlign w:val="bottom"/>
          </w:tcPr>
          <w:p w:rsidR="0040521B" w:rsidRDefault="0040521B" w:rsidP="0053283A">
            <w:pPr>
              <w:jc w:val="right"/>
              <w:rPr>
                <w:rFonts w:cs="Calibri"/>
                <w:color w:val="000000"/>
              </w:rPr>
            </w:pPr>
            <w:r>
              <w:rPr>
                <w:rFonts w:cs="Calibri"/>
                <w:color w:val="000000"/>
              </w:rPr>
              <w:t>672</w:t>
            </w:r>
          </w:p>
        </w:tc>
        <w:tc>
          <w:tcPr>
            <w:tcW w:w="1619" w:type="dxa"/>
            <w:vAlign w:val="bottom"/>
          </w:tcPr>
          <w:p w:rsidR="0040521B" w:rsidRDefault="0040521B" w:rsidP="0053283A">
            <w:pPr>
              <w:jc w:val="right"/>
              <w:rPr>
                <w:rFonts w:cs="Calibri"/>
                <w:color w:val="000000"/>
              </w:rPr>
            </w:pPr>
            <w:r>
              <w:rPr>
                <w:rFonts w:cs="Calibri"/>
                <w:color w:val="000000"/>
              </w:rPr>
              <w:t>4585</w:t>
            </w:r>
          </w:p>
        </w:tc>
        <w:tc>
          <w:tcPr>
            <w:tcW w:w="1619" w:type="dxa"/>
            <w:vAlign w:val="bottom"/>
          </w:tcPr>
          <w:p w:rsidR="0040521B" w:rsidRDefault="0040521B" w:rsidP="0053283A">
            <w:pPr>
              <w:jc w:val="right"/>
              <w:rPr>
                <w:rFonts w:cs="Calibri"/>
                <w:color w:val="000000"/>
              </w:rPr>
            </w:pPr>
            <w:r>
              <w:rPr>
                <w:rFonts w:cs="Calibri"/>
                <w:color w:val="000000"/>
              </w:rPr>
              <w:t>8%</w:t>
            </w:r>
          </w:p>
        </w:tc>
      </w:tr>
      <w:tr w:rsidR="0040521B" w:rsidTr="0053283A">
        <w:tc>
          <w:tcPr>
            <w:tcW w:w="518" w:type="dxa"/>
            <w:vAlign w:val="bottom"/>
          </w:tcPr>
          <w:p w:rsidR="0040521B" w:rsidRPr="00B44C9D" w:rsidRDefault="0040521B" w:rsidP="0053283A">
            <w:pPr>
              <w:rPr>
                <w:rFonts w:cs="Calibri"/>
                <w:b/>
                <w:color w:val="000000"/>
              </w:rPr>
            </w:pPr>
            <w:r w:rsidRPr="00B44C9D">
              <w:rPr>
                <w:rFonts w:cs="Calibri"/>
                <w:b/>
                <w:color w:val="000000"/>
              </w:rPr>
              <w:t>14</w:t>
            </w:r>
          </w:p>
        </w:tc>
        <w:tc>
          <w:tcPr>
            <w:tcW w:w="1619" w:type="dxa"/>
            <w:vAlign w:val="bottom"/>
          </w:tcPr>
          <w:p w:rsidR="0040521B" w:rsidRDefault="0040521B" w:rsidP="0053283A">
            <w:pPr>
              <w:jc w:val="right"/>
              <w:rPr>
                <w:rFonts w:cs="Calibri"/>
                <w:color w:val="000000"/>
              </w:rPr>
            </w:pPr>
            <w:r>
              <w:rPr>
                <w:rFonts w:cs="Calibri"/>
                <w:color w:val="000000"/>
              </w:rPr>
              <w:t>3619</w:t>
            </w:r>
          </w:p>
        </w:tc>
        <w:tc>
          <w:tcPr>
            <w:tcW w:w="1619" w:type="dxa"/>
            <w:vAlign w:val="bottom"/>
          </w:tcPr>
          <w:p w:rsidR="0040521B" w:rsidRDefault="0040521B" w:rsidP="0053283A">
            <w:pPr>
              <w:jc w:val="right"/>
              <w:rPr>
                <w:rFonts w:cs="Calibri"/>
                <w:color w:val="000000"/>
              </w:rPr>
            </w:pPr>
            <w:r>
              <w:rPr>
                <w:rFonts w:cs="Calibri"/>
                <w:color w:val="000000"/>
              </w:rPr>
              <w:t>4444</w:t>
            </w:r>
          </w:p>
        </w:tc>
        <w:tc>
          <w:tcPr>
            <w:tcW w:w="1619" w:type="dxa"/>
            <w:vAlign w:val="bottom"/>
          </w:tcPr>
          <w:p w:rsidR="0040521B" w:rsidRDefault="0040521B" w:rsidP="0053283A">
            <w:pPr>
              <w:jc w:val="right"/>
              <w:rPr>
                <w:rFonts w:cs="Calibri"/>
                <w:color w:val="000000"/>
              </w:rPr>
            </w:pPr>
            <w:r>
              <w:rPr>
                <w:rFonts w:cs="Calibri"/>
                <w:color w:val="000000"/>
              </w:rPr>
              <w:t>2035</w:t>
            </w:r>
          </w:p>
        </w:tc>
        <w:tc>
          <w:tcPr>
            <w:tcW w:w="1619" w:type="dxa"/>
            <w:vAlign w:val="bottom"/>
          </w:tcPr>
          <w:p w:rsidR="0040521B" w:rsidRDefault="0040521B" w:rsidP="0053283A">
            <w:pPr>
              <w:jc w:val="right"/>
              <w:rPr>
                <w:rFonts w:cs="Calibri"/>
                <w:color w:val="000000"/>
              </w:rPr>
            </w:pPr>
            <w:r>
              <w:rPr>
                <w:rFonts w:cs="Calibri"/>
                <w:color w:val="000000"/>
              </w:rPr>
              <w:t>9449</w:t>
            </w:r>
          </w:p>
        </w:tc>
        <w:tc>
          <w:tcPr>
            <w:tcW w:w="1619" w:type="dxa"/>
            <w:vAlign w:val="bottom"/>
          </w:tcPr>
          <w:p w:rsidR="0040521B" w:rsidRDefault="0040521B" w:rsidP="0053283A">
            <w:pPr>
              <w:jc w:val="right"/>
              <w:rPr>
                <w:rFonts w:cs="Calibri"/>
                <w:color w:val="000000"/>
              </w:rPr>
            </w:pPr>
            <w:r>
              <w:rPr>
                <w:rFonts w:cs="Calibri"/>
                <w:color w:val="000000"/>
              </w:rPr>
              <w:t>17%</w:t>
            </w:r>
          </w:p>
        </w:tc>
      </w:tr>
      <w:tr w:rsidR="0040521B" w:rsidTr="0053283A">
        <w:tc>
          <w:tcPr>
            <w:tcW w:w="518" w:type="dxa"/>
            <w:vAlign w:val="bottom"/>
          </w:tcPr>
          <w:p w:rsidR="0040521B" w:rsidRPr="00B44C9D" w:rsidRDefault="0040521B" w:rsidP="0053283A">
            <w:pPr>
              <w:rPr>
                <w:rFonts w:cs="Calibri"/>
                <w:b/>
                <w:color w:val="000000"/>
              </w:rPr>
            </w:pPr>
            <w:r w:rsidRPr="00B44C9D">
              <w:rPr>
                <w:rFonts w:cs="Calibri"/>
                <w:b/>
                <w:color w:val="000000"/>
              </w:rPr>
              <w:t>15</w:t>
            </w:r>
          </w:p>
        </w:tc>
        <w:tc>
          <w:tcPr>
            <w:tcW w:w="1619" w:type="dxa"/>
            <w:vAlign w:val="bottom"/>
          </w:tcPr>
          <w:p w:rsidR="0040521B" w:rsidRDefault="0040521B" w:rsidP="0053283A">
            <w:pPr>
              <w:jc w:val="right"/>
              <w:rPr>
                <w:rFonts w:cs="Calibri"/>
                <w:color w:val="000000"/>
              </w:rPr>
            </w:pPr>
            <w:r>
              <w:rPr>
                <w:rFonts w:cs="Calibri"/>
                <w:color w:val="000000"/>
              </w:rPr>
              <w:t>3669</w:t>
            </w:r>
          </w:p>
        </w:tc>
        <w:tc>
          <w:tcPr>
            <w:tcW w:w="1619" w:type="dxa"/>
            <w:vAlign w:val="bottom"/>
          </w:tcPr>
          <w:p w:rsidR="0040521B" w:rsidRDefault="0040521B" w:rsidP="0053283A">
            <w:pPr>
              <w:jc w:val="right"/>
              <w:rPr>
                <w:rFonts w:cs="Calibri"/>
                <w:color w:val="000000"/>
              </w:rPr>
            </w:pPr>
            <w:r>
              <w:rPr>
                <w:rFonts w:cs="Calibri"/>
                <w:color w:val="000000"/>
              </w:rPr>
              <w:t>5820</w:t>
            </w:r>
          </w:p>
        </w:tc>
        <w:tc>
          <w:tcPr>
            <w:tcW w:w="1619" w:type="dxa"/>
            <w:vAlign w:val="bottom"/>
          </w:tcPr>
          <w:p w:rsidR="0040521B" w:rsidRDefault="0040521B" w:rsidP="0053283A">
            <w:pPr>
              <w:jc w:val="right"/>
              <w:rPr>
                <w:rFonts w:cs="Calibri"/>
                <w:color w:val="000000"/>
              </w:rPr>
            </w:pPr>
            <w:r>
              <w:rPr>
                <w:rFonts w:cs="Calibri"/>
                <w:color w:val="000000"/>
              </w:rPr>
              <w:t>3705</w:t>
            </w:r>
          </w:p>
        </w:tc>
        <w:tc>
          <w:tcPr>
            <w:tcW w:w="1619" w:type="dxa"/>
            <w:vAlign w:val="bottom"/>
          </w:tcPr>
          <w:p w:rsidR="0040521B" w:rsidRDefault="0040521B" w:rsidP="0053283A">
            <w:pPr>
              <w:jc w:val="right"/>
              <w:rPr>
                <w:rFonts w:cs="Calibri"/>
                <w:color w:val="000000"/>
              </w:rPr>
            </w:pPr>
            <w:r>
              <w:rPr>
                <w:rFonts w:cs="Calibri"/>
                <w:color w:val="000000"/>
              </w:rPr>
              <w:t>12,482</w:t>
            </w:r>
          </w:p>
        </w:tc>
        <w:tc>
          <w:tcPr>
            <w:tcW w:w="1619" w:type="dxa"/>
            <w:vAlign w:val="bottom"/>
          </w:tcPr>
          <w:p w:rsidR="0040521B" w:rsidRDefault="0040521B" w:rsidP="0053283A">
            <w:pPr>
              <w:jc w:val="right"/>
              <w:rPr>
                <w:rFonts w:cs="Calibri"/>
                <w:color w:val="000000"/>
              </w:rPr>
            </w:pPr>
            <w:r>
              <w:rPr>
                <w:rFonts w:cs="Calibri"/>
                <w:color w:val="000000"/>
              </w:rPr>
              <w:t>22%</w:t>
            </w:r>
          </w:p>
        </w:tc>
      </w:tr>
      <w:tr w:rsidR="0040521B" w:rsidTr="0053283A">
        <w:tc>
          <w:tcPr>
            <w:tcW w:w="518" w:type="dxa"/>
            <w:vAlign w:val="bottom"/>
          </w:tcPr>
          <w:p w:rsidR="0040521B" w:rsidRPr="00B44C9D" w:rsidRDefault="0040521B" w:rsidP="0053283A">
            <w:pPr>
              <w:rPr>
                <w:rFonts w:cs="Calibri"/>
                <w:b/>
                <w:color w:val="000000"/>
              </w:rPr>
            </w:pPr>
            <w:r w:rsidRPr="00B44C9D">
              <w:rPr>
                <w:rFonts w:cs="Calibri"/>
                <w:b/>
                <w:color w:val="000000"/>
              </w:rPr>
              <w:t>16</w:t>
            </w:r>
          </w:p>
        </w:tc>
        <w:tc>
          <w:tcPr>
            <w:tcW w:w="1619" w:type="dxa"/>
            <w:vAlign w:val="bottom"/>
          </w:tcPr>
          <w:p w:rsidR="0040521B" w:rsidRDefault="0040521B" w:rsidP="0053283A">
            <w:pPr>
              <w:jc w:val="right"/>
              <w:rPr>
                <w:rFonts w:cs="Calibri"/>
                <w:color w:val="000000"/>
              </w:rPr>
            </w:pPr>
            <w:r>
              <w:rPr>
                <w:rFonts w:cs="Calibri"/>
                <w:color w:val="000000"/>
              </w:rPr>
              <w:t>2062</w:t>
            </w:r>
          </w:p>
        </w:tc>
        <w:tc>
          <w:tcPr>
            <w:tcW w:w="1619" w:type="dxa"/>
            <w:vAlign w:val="bottom"/>
          </w:tcPr>
          <w:p w:rsidR="0040521B" w:rsidRDefault="0040521B" w:rsidP="0053283A">
            <w:pPr>
              <w:jc w:val="right"/>
              <w:rPr>
                <w:rFonts w:cs="Calibri"/>
                <w:color w:val="000000"/>
              </w:rPr>
            </w:pPr>
            <w:r>
              <w:rPr>
                <w:rFonts w:cs="Calibri"/>
                <w:color w:val="000000"/>
              </w:rPr>
              <w:t>4222</w:t>
            </w:r>
          </w:p>
        </w:tc>
        <w:tc>
          <w:tcPr>
            <w:tcW w:w="1619" w:type="dxa"/>
            <w:vAlign w:val="bottom"/>
          </w:tcPr>
          <w:p w:rsidR="0040521B" w:rsidRDefault="0040521B" w:rsidP="0053283A">
            <w:pPr>
              <w:jc w:val="right"/>
              <w:rPr>
                <w:rFonts w:cs="Calibri"/>
                <w:color w:val="000000"/>
              </w:rPr>
            </w:pPr>
            <w:r>
              <w:rPr>
                <w:rFonts w:cs="Calibri"/>
                <w:color w:val="000000"/>
              </w:rPr>
              <w:t>5842</w:t>
            </w:r>
          </w:p>
        </w:tc>
        <w:tc>
          <w:tcPr>
            <w:tcW w:w="1619" w:type="dxa"/>
            <w:vAlign w:val="bottom"/>
          </w:tcPr>
          <w:p w:rsidR="0040521B" w:rsidRDefault="0040521B" w:rsidP="0053283A">
            <w:pPr>
              <w:jc w:val="right"/>
              <w:rPr>
                <w:rFonts w:cs="Calibri"/>
                <w:color w:val="000000"/>
              </w:rPr>
            </w:pPr>
            <w:r>
              <w:rPr>
                <w:rFonts w:cs="Calibri"/>
                <w:color w:val="000000"/>
              </w:rPr>
              <w:t>11,905</w:t>
            </w:r>
          </w:p>
        </w:tc>
        <w:tc>
          <w:tcPr>
            <w:tcW w:w="1619" w:type="dxa"/>
            <w:vAlign w:val="bottom"/>
          </w:tcPr>
          <w:p w:rsidR="0040521B" w:rsidRDefault="0040521B" w:rsidP="0053283A">
            <w:pPr>
              <w:jc w:val="right"/>
              <w:rPr>
                <w:rFonts w:cs="Calibri"/>
                <w:color w:val="000000"/>
              </w:rPr>
            </w:pPr>
            <w:r>
              <w:rPr>
                <w:rFonts w:cs="Calibri"/>
                <w:color w:val="000000"/>
              </w:rPr>
              <w:t>21%</w:t>
            </w:r>
          </w:p>
        </w:tc>
      </w:tr>
      <w:tr w:rsidR="0040521B" w:rsidTr="0053283A">
        <w:tc>
          <w:tcPr>
            <w:tcW w:w="518" w:type="dxa"/>
            <w:vAlign w:val="bottom"/>
          </w:tcPr>
          <w:p w:rsidR="0040521B" w:rsidRPr="00B44C9D" w:rsidRDefault="0040521B" w:rsidP="0053283A">
            <w:pPr>
              <w:rPr>
                <w:rFonts w:cs="Calibri"/>
                <w:b/>
                <w:color w:val="000000"/>
              </w:rPr>
            </w:pPr>
            <w:r w:rsidRPr="00B44C9D">
              <w:rPr>
                <w:rFonts w:cs="Calibri"/>
                <w:b/>
                <w:color w:val="000000"/>
              </w:rPr>
              <w:t>17</w:t>
            </w:r>
          </w:p>
        </w:tc>
        <w:tc>
          <w:tcPr>
            <w:tcW w:w="1619" w:type="dxa"/>
            <w:vAlign w:val="bottom"/>
          </w:tcPr>
          <w:p w:rsidR="0040521B" w:rsidRDefault="0040521B" w:rsidP="0053283A">
            <w:pPr>
              <w:jc w:val="right"/>
              <w:rPr>
                <w:rFonts w:cs="Calibri"/>
                <w:color w:val="000000"/>
              </w:rPr>
            </w:pPr>
            <w:r>
              <w:rPr>
                <w:rFonts w:cs="Calibri"/>
                <w:color w:val="000000"/>
              </w:rPr>
              <w:t>932</w:t>
            </w:r>
          </w:p>
        </w:tc>
        <w:tc>
          <w:tcPr>
            <w:tcW w:w="1619" w:type="dxa"/>
            <w:vAlign w:val="bottom"/>
          </w:tcPr>
          <w:p w:rsidR="0040521B" w:rsidRDefault="0040521B" w:rsidP="0053283A">
            <w:pPr>
              <w:jc w:val="right"/>
              <w:rPr>
                <w:rFonts w:cs="Calibri"/>
                <w:color w:val="000000"/>
              </w:rPr>
            </w:pPr>
            <w:r>
              <w:rPr>
                <w:rFonts w:cs="Calibri"/>
                <w:color w:val="000000"/>
              </w:rPr>
              <w:t>2105</w:t>
            </w:r>
          </w:p>
        </w:tc>
        <w:tc>
          <w:tcPr>
            <w:tcW w:w="1619" w:type="dxa"/>
            <w:vAlign w:val="bottom"/>
          </w:tcPr>
          <w:p w:rsidR="0040521B" w:rsidRDefault="0040521B" w:rsidP="0053283A">
            <w:pPr>
              <w:jc w:val="right"/>
              <w:rPr>
                <w:rFonts w:cs="Calibri"/>
                <w:color w:val="000000"/>
              </w:rPr>
            </w:pPr>
            <w:r>
              <w:rPr>
                <w:rFonts w:cs="Calibri"/>
                <w:color w:val="000000"/>
              </w:rPr>
              <w:t>5185</w:t>
            </w:r>
          </w:p>
        </w:tc>
        <w:tc>
          <w:tcPr>
            <w:tcW w:w="1619" w:type="dxa"/>
            <w:vAlign w:val="bottom"/>
          </w:tcPr>
          <w:p w:rsidR="0040521B" w:rsidRDefault="0040521B" w:rsidP="0053283A">
            <w:pPr>
              <w:jc w:val="right"/>
              <w:rPr>
                <w:rFonts w:cs="Calibri"/>
                <w:color w:val="000000"/>
              </w:rPr>
            </w:pPr>
            <w:r>
              <w:rPr>
                <w:rFonts w:cs="Calibri"/>
                <w:color w:val="000000"/>
              </w:rPr>
              <w:t>8261</w:t>
            </w:r>
          </w:p>
        </w:tc>
        <w:tc>
          <w:tcPr>
            <w:tcW w:w="1619" w:type="dxa"/>
            <w:vAlign w:val="bottom"/>
          </w:tcPr>
          <w:p w:rsidR="0040521B" w:rsidRDefault="0040521B" w:rsidP="0053283A">
            <w:pPr>
              <w:jc w:val="right"/>
              <w:rPr>
                <w:rFonts w:cs="Calibri"/>
                <w:color w:val="000000"/>
              </w:rPr>
            </w:pPr>
            <w:r>
              <w:rPr>
                <w:rFonts w:cs="Calibri"/>
                <w:color w:val="000000"/>
              </w:rPr>
              <w:t>15%</w:t>
            </w:r>
          </w:p>
        </w:tc>
      </w:tr>
      <w:tr w:rsidR="0040521B" w:rsidTr="0053283A">
        <w:tc>
          <w:tcPr>
            <w:tcW w:w="518" w:type="dxa"/>
            <w:vAlign w:val="bottom"/>
          </w:tcPr>
          <w:p w:rsidR="0040521B" w:rsidRPr="00B44C9D" w:rsidRDefault="0040521B" w:rsidP="0053283A">
            <w:pPr>
              <w:rPr>
                <w:rFonts w:cs="Calibri"/>
                <w:b/>
                <w:color w:val="000000"/>
              </w:rPr>
            </w:pPr>
            <w:r w:rsidRPr="00B44C9D">
              <w:rPr>
                <w:rFonts w:cs="Calibri"/>
                <w:b/>
                <w:color w:val="000000"/>
              </w:rPr>
              <w:t>18</w:t>
            </w:r>
          </w:p>
        </w:tc>
        <w:tc>
          <w:tcPr>
            <w:tcW w:w="1619" w:type="dxa"/>
            <w:vAlign w:val="bottom"/>
          </w:tcPr>
          <w:p w:rsidR="0040521B" w:rsidRDefault="0040521B" w:rsidP="0053283A">
            <w:pPr>
              <w:jc w:val="right"/>
              <w:rPr>
                <w:rFonts w:cs="Calibri"/>
                <w:color w:val="000000"/>
              </w:rPr>
            </w:pPr>
            <w:r>
              <w:rPr>
                <w:rFonts w:cs="Calibri"/>
                <w:color w:val="000000"/>
              </w:rPr>
              <w:t>227</w:t>
            </w:r>
          </w:p>
        </w:tc>
        <w:tc>
          <w:tcPr>
            <w:tcW w:w="1619" w:type="dxa"/>
            <w:vAlign w:val="bottom"/>
          </w:tcPr>
          <w:p w:rsidR="0040521B" w:rsidRDefault="0040521B" w:rsidP="0053283A">
            <w:pPr>
              <w:jc w:val="right"/>
              <w:rPr>
                <w:rFonts w:cs="Calibri"/>
                <w:color w:val="000000"/>
              </w:rPr>
            </w:pPr>
            <w:r>
              <w:rPr>
                <w:rFonts w:cs="Calibri"/>
                <w:color w:val="000000"/>
              </w:rPr>
              <w:t>606</w:t>
            </w:r>
          </w:p>
        </w:tc>
        <w:tc>
          <w:tcPr>
            <w:tcW w:w="1619" w:type="dxa"/>
            <w:vAlign w:val="bottom"/>
          </w:tcPr>
          <w:p w:rsidR="0040521B" w:rsidRDefault="0040521B" w:rsidP="0053283A">
            <w:pPr>
              <w:jc w:val="right"/>
              <w:rPr>
                <w:rFonts w:cs="Calibri"/>
                <w:color w:val="000000"/>
              </w:rPr>
            </w:pPr>
            <w:r>
              <w:rPr>
                <w:rFonts w:cs="Calibri"/>
                <w:color w:val="000000"/>
              </w:rPr>
              <w:t>2853</w:t>
            </w:r>
          </w:p>
        </w:tc>
        <w:tc>
          <w:tcPr>
            <w:tcW w:w="1619" w:type="dxa"/>
            <w:vAlign w:val="bottom"/>
          </w:tcPr>
          <w:p w:rsidR="0040521B" w:rsidRDefault="0040521B" w:rsidP="0053283A">
            <w:pPr>
              <w:jc w:val="right"/>
              <w:rPr>
                <w:rFonts w:cs="Calibri"/>
                <w:color w:val="000000"/>
              </w:rPr>
            </w:pPr>
            <w:r>
              <w:rPr>
                <w:rFonts w:cs="Calibri"/>
                <w:color w:val="000000"/>
              </w:rPr>
              <w:t>3783</w:t>
            </w:r>
          </w:p>
        </w:tc>
        <w:tc>
          <w:tcPr>
            <w:tcW w:w="1619" w:type="dxa"/>
            <w:vAlign w:val="bottom"/>
          </w:tcPr>
          <w:p w:rsidR="0040521B" w:rsidRDefault="0040521B" w:rsidP="0053283A">
            <w:pPr>
              <w:jc w:val="right"/>
              <w:rPr>
                <w:rFonts w:cs="Calibri"/>
                <w:color w:val="000000"/>
              </w:rPr>
            </w:pPr>
            <w:r>
              <w:rPr>
                <w:rFonts w:cs="Calibri"/>
                <w:color w:val="000000"/>
              </w:rPr>
              <w:t>7%</w:t>
            </w:r>
          </w:p>
        </w:tc>
      </w:tr>
      <w:tr w:rsidR="0040521B" w:rsidTr="0053283A">
        <w:tc>
          <w:tcPr>
            <w:tcW w:w="518" w:type="dxa"/>
            <w:vAlign w:val="bottom"/>
          </w:tcPr>
          <w:p w:rsidR="0040521B" w:rsidRPr="00B44C9D" w:rsidRDefault="0040521B" w:rsidP="0053283A">
            <w:pPr>
              <w:rPr>
                <w:rFonts w:cs="Calibri"/>
                <w:b/>
                <w:color w:val="000000"/>
              </w:rPr>
            </w:pPr>
            <w:r w:rsidRPr="00B44C9D">
              <w:rPr>
                <w:rFonts w:cs="Calibri"/>
                <w:b/>
                <w:color w:val="000000"/>
              </w:rPr>
              <w:t>19</w:t>
            </w:r>
          </w:p>
        </w:tc>
        <w:tc>
          <w:tcPr>
            <w:tcW w:w="1619" w:type="dxa"/>
            <w:vAlign w:val="bottom"/>
          </w:tcPr>
          <w:p w:rsidR="0040521B" w:rsidRDefault="0040521B" w:rsidP="0053283A">
            <w:pPr>
              <w:jc w:val="right"/>
              <w:rPr>
                <w:rFonts w:cs="Calibri"/>
                <w:color w:val="000000"/>
              </w:rPr>
            </w:pPr>
            <w:r>
              <w:rPr>
                <w:rFonts w:cs="Calibri"/>
                <w:color w:val="000000"/>
              </w:rPr>
              <w:t>59</w:t>
            </w:r>
          </w:p>
        </w:tc>
        <w:tc>
          <w:tcPr>
            <w:tcW w:w="1619" w:type="dxa"/>
            <w:vAlign w:val="bottom"/>
          </w:tcPr>
          <w:p w:rsidR="0040521B" w:rsidRDefault="0040521B" w:rsidP="0053283A">
            <w:pPr>
              <w:jc w:val="right"/>
              <w:rPr>
                <w:rFonts w:cs="Calibri"/>
                <w:color w:val="000000"/>
              </w:rPr>
            </w:pPr>
            <w:r>
              <w:rPr>
                <w:rFonts w:cs="Calibri"/>
                <w:color w:val="000000"/>
              </w:rPr>
              <w:t>169</w:t>
            </w:r>
          </w:p>
        </w:tc>
        <w:tc>
          <w:tcPr>
            <w:tcW w:w="1619" w:type="dxa"/>
            <w:vAlign w:val="bottom"/>
          </w:tcPr>
          <w:p w:rsidR="0040521B" w:rsidRDefault="0040521B" w:rsidP="0053283A">
            <w:pPr>
              <w:jc w:val="right"/>
              <w:rPr>
                <w:rFonts w:cs="Calibri"/>
                <w:color w:val="000000"/>
              </w:rPr>
            </w:pPr>
            <w:r>
              <w:rPr>
                <w:rFonts w:cs="Calibri"/>
                <w:color w:val="000000"/>
              </w:rPr>
              <w:t>1354</w:t>
            </w:r>
          </w:p>
        </w:tc>
        <w:tc>
          <w:tcPr>
            <w:tcW w:w="1619" w:type="dxa"/>
            <w:vAlign w:val="bottom"/>
          </w:tcPr>
          <w:p w:rsidR="0040521B" w:rsidRDefault="0040521B" w:rsidP="0053283A">
            <w:pPr>
              <w:jc w:val="right"/>
              <w:rPr>
                <w:rFonts w:cs="Calibri"/>
                <w:color w:val="000000"/>
              </w:rPr>
            </w:pPr>
            <w:r>
              <w:rPr>
                <w:rFonts w:cs="Calibri"/>
                <w:color w:val="000000"/>
              </w:rPr>
              <w:t>1627</w:t>
            </w:r>
          </w:p>
        </w:tc>
        <w:tc>
          <w:tcPr>
            <w:tcW w:w="1619" w:type="dxa"/>
            <w:vAlign w:val="bottom"/>
          </w:tcPr>
          <w:p w:rsidR="0040521B" w:rsidRDefault="0040521B" w:rsidP="0053283A">
            <w:pPr>
              <w:jc w:val="right"/>
              <w:rPr>
                <w:rFonts w:cs="Calibri"/>
                <w:color w:val="000000"/>
              </w:rPr>
            </w:pPr>
            <w:r>
              <w:rPr>
                <w:rFonts w:cs="Calibri"/>
                <w:color w:val="000000"/>
              </w:rPr>
              <w:t>3%</w:t>
            </w:r>
          </w:p>
        </w:tc>
      </w:tr>
      <w:tr w:rsidR="0040521B" w:rsidTr="0053283A">
        <w:tc>
          <w:tcPr>
            <w:tcW w:w="518" w:type="dxa"/>
            <w:vAlign w:val="bottom"/>
          </w:tcPr>
          <w:p w:rsidR="0040521B" w:rsidRPr="00B44C9D" w:rsidRDefault="0040521B" w:rsidP="0053283A">
            <w:pPr>
              <w:rPr>
                <w:rFonts w:cs="Calibri"/>
                <w:b/>
                <w:color w:val="000000"/>
              </w:rPr>
            </w:pPr>
            <w:r w:rsidRPr="00B44C9D">
              <w:rPr>
                <w:rFonts w:cs="Calibri"/>
                <w:b/>
                <w:color w:val="000000"/>
              </w:rPr>
              <w:t>20</w:t>
            </w:r>
          </w:p>
        </w:tc>
        <w:tc>
          <w:tcPr>
            <w:tcW w:w="1619" w:type="dxa"/>
            <w:vAlign w:val="bottom"/>
          </w:tcPr>
          <w:p w:rsidR="0040521B" w:rsidRDefault="0040521B" w:rsidP="0053283A">
            <w:pPr>
              <w:jc w:val="right"/>
              <w:rPr>
                <w:rFonts w:cs="Calibri"/>
                <w:color w:val="000000"/>
              </w:rPr>
            </w:pPr>
            <w:r>
              <w:rPr>
                <w:rFonts w:cs="Calibri"/>
                <w:color w:val="000000"/>
              </w:rPr>
              <w:t>15</w:t>
            </w:r>
          </w:p>
        </w:tc>
        <w:tc>
          <w:tcPr>
            <w:tcW w:w="1619" w:type="dxa"/>
            <w:vAlign w:val="bottom"/>
          </w:tcPr>
          <w:p w:rsidR="0040521B" w:rsidRDefault="0040521B" w:rsidP="0053283A">
            <w:pPr>
              <w:jc w:val="right"/>
              <w:rPr>
                <w:rFonts w:cs="Calibri"/>
                <w:color w:val="000000"/>
              </w:rPr>
            </w:pPr>
            <w:r>
              <w:rPr>
                <w:rFonts w:cs="Calibri"/>
                <w:color w:val="000000"/>
              </w:rPr>
              <w:t>34</w:t>
            </w:r>
          </w:p>
        </w:tc>
        <w:tc>
          <w:tcPr>
            <w:tcW w:w="1619" w:type="dxa"/>
            <w:vAlign w:val="bottom"/>
          </w:tcPr>
          <w:p w:rsidR="0040521B" w:rsidRDefault="0040521B" w:rsidP="0053283A">
            <w:pPr>
              <w:jc w:val="right"/>
              <w:rPr>
                <w:rFonts w:cs="Calibri"/>
                <w:color w:val="000000"/>
              </w:rPr>
            </w:pPr>
            <w:r>
              <w:rPr>
                <w:rFonts w:cs="Calibri"/>
                <w:color w:val="000000"/>
              </w:rPr>
              <w:t>263</w:t>
            </w:r>
          </w:p>
        </w:tc>
        <w:tc>
          <w:tcPr>
            <w:tcW w:w="1619" w:type="dxa"/>
            <w:vAlign w:val="bottom"/>
          </w:tcPr>
          <w:p w:rsidR="0040521B" w:rsidRDefault="0040521B" w:rsidP="0053283A">
            <w:pPr>
              <w:jc w:val="right"/>
              <w:rPr>
                <w:rFonts w:cs="Calibri"/>
                <w:color w:val="000000"/>
              </w:rPr>
            </w:pPr>
            <w:r>
              <w:rPr>
                <w:rFonts w:cs="Calibri"/>
                <w:color w:val="000000"/>
              </w:rPr>
              <w:t>318</w:t>
            </w:r>
          </w:p>
        </w:tc>
        <w:tc>
          <w:tcPr>
            <w:tcW w:w="1619" w:type="dxa"/>
            <w:vAlign w:val="bottom"/>
          </w:tcPr>
          <w:p w:rsidR="0040521B" w:rsidRDefault="0040521B" w:rsidP="0053283A">
            <w:pPr>
              <w:jc w:val="right"/>
              <w:rPr>
                <w:rFonts w:cs="Calibri"/>
                <w:color w:val="000000"/>
              </w:rPr>
            </w:pPr>
            <w:r>
              <w:rPr>
                <w:rFonts w:cs="Calibri"/>
                <w:color w:val="000000"/>
              </w:rPr>
              <w:t>1%</w:t>
            </w:r>
          </w:p>
        </w:tc>
      </w:tr>
      <w:tr w:rsidR="0040521B" w:rsidTr="0053283A">
        <w:tc>
          <w:tcPr>
            <w:tcW w:w="518" w:type="dxa"/>
            <w:vAlign w:val="bottom"/>
          </w:tcPr>
          <w:p w:rsidR="0040521B" w:rsidRPr="00B44C9D" w:rsidRDefault="0040521B" w:rsidP="0053283A">
            <w:pPr>
              <w:rPr>
                <w:rFonts w:cs="Calibri"/>
                <w:b/>
                <w:color w:val="000000"/>
              </w:rPr>
            </w:pPr>
            <w:r w:rsidRPr="00B44C9D">
              <w:rPr>
                <w:rFonts w:cs="Calibri"/>
                <w:b/>
                <w:color w:val="000000"/>
              </w:rPr>
              <w:t>21</w:t>
            </w:r>
          </w:p>
        </w:tc>
        <w:tc>
          <w:tcPr>
            <w:tcW w:w="1619" w:type="dxa"/>
            <w:vAlign w:val="bottom"/>
          </w:tcPr>
          <w:p w:rsidR="0040521B" w:rsidRDefault="0040521B" w:rsidP="0053283A">
            <w:pPr>
              <w:jc w:val="right"/>
              <w:rPr>
                <w:rFonts w:cs="Calibri"/>
                <w:color w:val="000000"/>
              </w:rPr>
            </w:pPr>
            <w:r>
              <w:rPr>
                <w:rFonts w:cs="Calibri"/>
                <w:color w:val="000000"/>
              </w:rPr>
              <w:t>2</w:t>
            </w:r>
          </w:p>
        </w:tc>
        <w:tc>
          <w:tcPr>
            <w:tcW w:w="1619" w:type="dxa"/>
            <w:vAlign w:val="bottom"/>
          </w:tcPr>
          <w:p w:rsidR="0040521B" w:rsidRDefault="0040521B" w:rsidP="0053283A">
            <w:pPr>
              <w:jc w:val="right"/>
              <w:rPr>
                <w:rFonts w:cs="Calibri"/>
                <w:color w:val="000000"/>
              </w:rPr>
            </w:pPr>
            <w:r>
              <w:rPr>
                <w:rFonts w:cs="Calibri"/>
                <w:color w:val="000000"/>
              </w:rPr>
              <w:t>9</w:t>
            </w:r>
          </w:p>
        </w:tc>
        <w:tc>
          <w:tcPr>
            <w:tcW w:w="1619" w:type="dxa"/>
            <w:vAlign w:val="bottom"/>
          </w:tcPr>
          <w:p w:rsidR="0040521B" w:rsidRDefault="0040521B" w:rsidP="0053283A">
            <w:pPr>
              <w:jc w:val="right"/>
              <w:rPr>
                <w:rFonts w:cs="Calibri"/>
                <w:color w:val="000000"/>
              </w:rPr>
            </w:pPr>
            <w:r>
              <w:rPr>
                <w:rFonts w:cs="Calibri"/>
                <w:color w:val="000000"/>
              </w:rPr>
              <w:t>42</w:t>
            </w:r>
          </w:p>
        </w:tc>
        <w:tc>
          <w:tcPr>
            <w:tcW w:w="1619" w:type="dxa"/>
            <w:vAlign w:val="bottom"/>
          </w:tcPr>
          <w:p w:rsidR="0040521B" w:rsidRDefault="0040521B" w:rsidP="0053283A">
            <w:pPr>
              <w:jc w:val="right"/>
              <w:rPr>
                <w:rFonts w:cs="Calibri"/>
                <w:color w:val="000000"/>
              </w:rPr>
            </w:pPr>
            <w:r>
              <w:rPr>
                <w:rFonts w:cs="Calibri"/>
                <w:color w:val="000000"/>
              </w:rPr>
              <w:t>55</w:t>
            </w:r>
          </w:p>
        </w:tc>
        <w:tc>
          <w:tcPr>
            <w:tcW w:w="1619" w:type="dxa"/>
            <w:vAlign w:val="bottom"/>
          </w:tcPr>
          <w:p w:rsidR="0040521B" w:rsidRDefault="0040521B" w:rsidP="0053283A">
            <w:pPr>
              <w:jc w:val="right"/>
              <w:rPr>
                <w:rFonts w:cs="Calibri"/>
                <w:color w:val="000000"/>
              </w:rPr>
            </w:pPr>
            <w:r>
              <w:rPr>
                <w:rFonts w:cs="Calibri"/>
                <w:color w:val="000000"/>
              </w:rPr>
              <w:t>0%</w:t>
            </w:r>
          </w:p>
        </w:tc>
      </w:tr>
      <w:tr w:rsidR="0040521B" w:rsidTr="0053283A">
        <w:tc>
          <w:tcPr>
            <w:tcW w:w="518" w:type="dxa"/>
            <w:vAlign w:val="bottom"/>
          </w:tcPr>
          <w:p w:rsidR="0040521B" w:rsidRPr="00B44C9D" w:rsidRDefault="0040521B" w:rsidP="0053283A">
            <w:pPr>
              <w:rPr>
                <w:rFonts w:cs="Calibri"/>
                <w:b/>
                <w:color w:val="000000"/>
              </w:rPr>
            </w:pPr>
            <w:r w:rsidRPr="00B44C9D">
              <w:rPr>
                <w:rFonts w:cs="Calibri"/>
                <w:b/>
                <w:color w:val="000000"/>
              </w:rPr>
              <w:t>22</w:t>
            </w:r>
          </w:p>
        </w:tc>
        <w:tc>
          <w:tcPr>
            <w:tcW w:w="1619" w:type="dxa"/>
            <w:vAlign w:val="bottom"/>
          </w:tcPr>
          <w:p w:rsidR="0040521B" w:rsidRDefault="0040521B" w:rsidP="0053283A">
            <w:pPr>
              <w:jc w:val="right"/>
              <w:rPr>
                <w:rFonts w:cs="Calibri"/>
                <w:color w:val="000000"/>
              </w:rPr>
            </w:pPr>
            <w:r>
              <w:rPr>
                <w:rFonts w:cs="Calibri"/>
                <w:color w:val="000000"/>
              </w:rPr>
              <w:t>1</w:t>
            </w:r>
          </w:p>
        </w:tc>
        <w:tc>
          <w:tcPr>
            <w:tcW w:w="1619" w:type="dxa"/>
            <w:vAlign w:val="bottom"/>
          </w:tcPr>
          <w:p w:rsidR="0040521B" w:rsidRDefault="0040521B" w:rsidP="0053283A">
            <w:pPr>
              <w:jc w:val="right"/>
              <w:rPr>
                <w:rFonts w:cs="Calibri"/>
                <w:color w:val="000000"/>
              </w:rPr>
            </w:pPr>
            <w:r>
              <w:rPr>
                <w:rFonts w:cs="Calibri"/>
                <w:color w:val="000000"/>
              </w:rPr>
              <w:t>6</w:t>
            </w:r>
          </w:p>
        </w:tc>
        <w:tc>
          <w:tcPr>
            <w:tcW w:w="1619" w:type="dxa"/>
            <w:vAlign w:val="bottom"/>
          </w:tcPr>
          <w:p w:rsidR="0040521B" w:rsidRDefault="0040521B" w:rsidP="0053283A">
            <w:pPr>
              <w:jc w:val="right"/>
              <w:rPr>
                <w:rFonts w:cs="Calibri"/>
                <w:color w:val="000000"/>
              </w:rPr>
            </w:pPr>
            <w:r>
              <w:rPr>
                <w:rFonts w:cs="Calibri"/>
                <w:color w:val="000000"/>
              </w:rPr>
              <w:t>15</w:t>
            </w:r>
          </w:p>
        </w:tc>
        <w:tc>
          <w:tcPr>
            <w:tcW w:w="1619" w:type="dxa"/>
            <w:vAlign w:val="bottom"/>
          </w:tcPr>
          <w:p w:rsidR="0040521B" w:rsidRDefault="0040521B" w:rsidP="0053283A">
            <w:pPr>
              <w:jc w:val="right"/>
              <w:rPr>
                <w:rFonts w:cs="Calibri"/>
                <w:color w:val="000000"/>
              </w:rPr>
            </w:pPr>
            <w:r>
              <w:rPr>
                <w:rFonts w:cs="Calibri"/>
                <w:color w:val="000000"/>
              </w:rPr>
              <w:t>23</w:t>
            </w:r>
          </w:p>
        </w:tc>
        <w:tc>
          <w:tcPr>
            <w:tcW w:w="1619" w:type="dxa"/>
            <w:vAlign w:val="bottom"/>
          </w:tcPr>
          <w:p w:rsidR="0040521B" w:rsidRDefault="0040521B" w:rsidP="0053283A">
            <w:pPr>
              <w:jc w:val="right"/>
              <w:rPr>
                <w:rFonts w:cs="Calibri"/>
                <w:color w:val="000000"/>
              </w:rPr>
            </w:pPr>
            <w:r>
              <w:rPr>
                <w:rFonts w:cs="Calibri"/>
                <w:color w:val="000000"/>
              </w:rPr>
              <w:t>0%</w:t>
            </w:r>
          </w:p>
        </w:tc>
      </w:tr>
      <w:tr w:rsidR="0040521B" w:rsidTr="0053283A">
        <w:tc>
          <w:tcPr>
            <w:tcW w:w="518" w:type="dxa"/>
            <w:vAlign w:val="bottom"/>
          </w:tcPr>
          <w:p w:rsidR="0040521B" w:rsidRPr="00B44C9D" w:rsidRDefault="0040521B" w:rsidP="0053283A">
            <w:pPr>
              <w:rPr>
                <w:rFonts w:cs="Calibri"/>
                <w:b/>
                <w:color w:val="000000"/>
              </w:rPr>
            </w:pPr>
            <w:r w:rsidRPr="00B44C9D">
              <w:rPr>
                <w:rFonts w:cs="Calibri"/>
                <w:b/>
                <w:color w:val="000000"/>
              </w:rPr>
              <w:t>23</w:t>
            </w:r>
          </w:p>
        </w:tc>
        <w:tc>
          <w:tcPr>
            <w:tcW w:w="1619" w:type="dxa"/>
            <w:vAlign w:val="bottom"/>
          </w:tcPr>
          <w:p w:rsidR="0040521B" w:rsidRDefault="0040521B" w:rsidP="0053283A">
            <w:pPr>
              <w:jc w:val="right"/>
              <w:rPr>
                <w:rFonts w:cs="Calibri"/>
                <w:color w:val="000000"/>
              </w:rPr>
            </w:pPr>
            <w:r>
              <w:rPr>
                <w:rFonts w:cs="Calibri"/>
                <w:color w:val="000000"/>
              </w:rPr>
              <w:t>0</w:t>
            </w:r>
          </w:p>
        </w:tc>
        <w:tc>
          <w:tcPr>
            <w:tcW w:w="1619" w:type="dxa"/>
            <w:vAlign w:val="bottom"/>
          </w:tcPr>
          <w:p w:rsidR="0040521B" w:rsidRDefault="0040521B" w:rsidP="0053283A">
            <w:pPr>
              <w:jc w:val="right"/>
              <w:rPr>
                <w:rFonts w:cs="Calibri"/>
                <w:color w:val="000000"/>
              </w:rPr>
            </w:pPr>
            <w:r>
              <w:rPr>
                <w:rFonts w:cs="Calibri"/>
                <w:color w:val="000000"/>
              </w:rPr>
              <w:t>1</w:t>
            </w:r>
          </w:p>
        </w:tc>
        <w:tc>
          <w:tcPr>
            <w:tcW w:w="1619" w:type="dxa"/>
            <w:vAlign w:val="bottom"/>
          </w:tcPr>
          <w:p w:rsidR="0040521B" w:rsidRDefault="0040521B" w:rsidP="0053283A">
            <w:pPr>
              <w:jc w:val="right"/>
              <w:rPr>
                <w:rFonts w:cs="Calibri"/>
                <w:color w:val="000000"/>
              </w:rPr>
            </w:pPr>
            <w:r>
              <w:rPr>
                <w:rFonts w:cs="Calibri"/>
                <w:color w:val="000000"/>
              </w:rPr>
              <w:t>7</w:t>
            </w:r>
          </w:p>
        </w:tc>
        <w:tc>
          <w:tcPr>
            <w:tcW w:w="1619" w:type="dxa"/>
            <w:vAlign w:val="bottom"/>
          </w:tcPr>
          <w:p w:rsidR="0040521B" w:rsidRDefault="0040521B" w:rsidP="0053283A">
            <w:pPr>
              <w:jc w:val="right"/>
              <w:rPr>
                <w:rFonts w:cs="Calibri"/>
                <w:color w:val="000000"/>
              </w:rPr>
            </w:pPr>
            <w:r>
              <w:rPr>
                <w:rFonts w:cs="Calibri"/>
                <w:color w:val="000000"/>
              </w:rPr>
              <w:t>8</w:t>
            </w:r>
          </w:p>
        </w:tc>
        <w:tc>
          <w:tcPr>
            <w:tcW w:w="1619" w:type="dxa"/>
            <w:vAlign w:val="bottom"/>
          </w:tcPr>
          <w:p w:rsidR="0040521B" w:rsidRDefault="0040521B" w:rsidP="0053283A">
            <w:pPr>
              <w:jc w:val="right"/>
              <w:rPr>
                <w:rFonts w:cs="Calibri"/>
                <w:color w:val="000000"/>
              </w:rPr>
            </w:pPr>
            <w:r>
              <w:rPr>
                <w:rFonts w:cs="Calibri"/>
                <w:color w:val="000000"/>
              </w:rPr>
              <w:t>0%</w:t>
            </w:r>
          </w:p>
        </w:tc>
      </w:tr>
      <w:tr w:rsidR="0040521B" w:rsidTr="0053283A">
        <w:tc>
          <w:tcPr>
            <w:tcW w:w="518" w:type="dxa"/>
            <w:vAlign w:val="bottom"/>
          </w:tcPr>
          <w:p w:rsidR="0040521B" w:rsidRPr="00B44C9D" w:rsidRDefault="0040521B" w:rsidP="0053283A">
            <w:pPr>
              <w:rPr>
                <w:rFonts w:cs="Calibri"/>
                <w:b/>
                <w:color w:val="000000"/>
              </w:rPr>
            </w:pPr>
            <w:r w:rsidRPr="00B44C9D">
              <w:rPr>
                <w:rFonts w:cs="Calibri"/>
                <w:b/>
                <w:color w:val="000000"/>
              </w:rPr>
              <w:t>24</w:t>
            </w:r>
          </w:p>
        </w:tc>
        <w:tc>
          <w:tcPr>
            <w:tcW w:w="1619" w:type="dxa"/>
            <w:vAlign w:val="bottom"/>
          </w:tcPr>
          <w:p w:rsidR="0040521B" w:rsidRDefault="0040521B" w:rsidP="0053283A">
            <w:pPr>
              <w:jc w:val="right"/>
              <w:rPr>
                <w:rFonts w:cs="Calibri"/>
                <w:color w:val="000000"/>
              </w:rPr>
            </w:pPr>
            <w:r>
              <w:rPr>
                <w:rFonts w:cs="Calibri"/>
                <w:color w:val="000000"/>
              </w:rPr>
              <w:t>0</w:t>
            </w:r>
          </w:p>
        </w:tc>
        <w:tc>
          <w:tcPr>
            <w:tcW w:w="1619" w:type="dxa"/>
            <w:vAlign w:val="bottom"/>
          </w:tcPr>
          <w:p w:rsidR="0040521B" w:rsidRDefault="0040521B" w:rsidP="0053283A">
            <w:pPr>
              <w:jc w:val="right"/>
              <w:rPr>
                <w:rFonts w:cs="Calibri"/>
                <w:color w:val="000000"/>
              </w:rPr>
            </w:pPr>
            <w:r>
              <w:rPr>
                <w:rFonts w:cs="Calibri"/>
                <w:color w:val="000000"/>
              </w:rPr>
              <w:t>1</w:t>
            </w:r>
          </w:p>
        </w:tc>
        <w:tc>
          <w:tcPr>
            <w:tcW w:w="1619" w:type="dxa"/>
            <w:vAlign w:val="bottom"/>
          </w:tcPr>
          <w:p w:rsidR="0040521B" w:rsidRDefault="0040521B" w:rsidP="0053283A">
            <w:pPr>
              <w:jc w:val="right"/>
              <w:rPr>
                <w:rFonts w:cs="Calibri"/>
                <w:color w:val="000000"/>
              </w:rPr>
            </w:pPr>
            <w:r>
              <w:rPr>
                <w:rFonts w:cs="Calibri"/>
                <w:color w:val="000000"/>
              </w:rPr>
              <w:t>2</w:t>
            </w:r>
          </w:p>
        </w:tc>
        <w:tc>
          <w:tcPr>
            <w:tcW w:w="1619" w:type="dxa"/>
            <w:vAlign w:val="bottom"/>
          </w:tcPr>
          <w:p w:rsidR="0040521B" w:rsidRDefault="0040521B" w:rsidP="0053283A">
            <w:pPr>
              <w:jc w:val="right"/>
              <w:rPr>
                <w:rFonts w:cs="Calibri"/>
                <w:color w:val="000000"/>
              </w:rPr>
            </w:pPr>
            <w:r>
              <w:rPr>
                <w:rFonts w:cs="Calibri"/>
                <w:color w:val="000000"/>
              </w:rPr>
              <w:t>4</w:t>
            </w:r>
          </w:p>
        </w:tc>
        <w:tc>
          <w:tcPr>
            <w:tcW w:w="1619" w:type="dxa"/>
            <w:vAlign w:val="bottom"/>
          </w:tcPr>
          <w:p w:rsidR="0040521B" w:rsidRDefault="0040521B" w:rsidP="0053283A">
            <w:pPr>
              <w:jc w:val="right"/>
              <w:rPr>
                <w:rFonts w:cs="Calibri"/>
                <w:color w:val="000000"/>
              </w:rPr>
            </w:pPr>
            <w:r>
              <w:rPr>
                <w:rFonts w:cs="Calibri"/>
                <w:color w:val="000000"/>
              </w:rPr>
              <w:t>0%</w:t>
            </w:r>
          </w:p>
        </w:tc>
      </w:tr>
      <w:tr w:rsidR="0040521B" w:rsidTr="0053283A">
        <w:tc>
          <w:tcPr>
            <w:tcW w:w="518" w:type="dxa"/>
            <w:vAlign w:val="bottom"/>
          </w:tcPr>
          <w:p w:rsidR="0040521B" w:rsidRPr="00B44C9D" w:rsidRDefault="0040521B" w:rsidP="0053283A">
            <w:pPr>
              <w:rPr>
                <w:rFonts w:cs="Calibri"/>
                <w:b/>
                <w:color w:val="000000"/>
              </w:rPr>
            </w:pPr>
            <w:r w:rsidRPr="00B44C9D">
              <w:rPr>
                <w:rFonts w:cs="Calibri"/>
                <w:b/>
                <w:color w:val="000000"/>
              </w:rPr>
              <w:t>25</w:t>
            </w:r>
          </w:p>
        </w:tc>
        <w:tc>
          <w:tcPr>
            <w:tcW w:w="1619" w:type="dxa"/>
            <w:vAlign w:val="bottom"/>
          </w:tcPr>
          <w:p w:rsidR="0040521B" w:rsidRDefault="0040521B" w:rsidP="0053283A">
            <w:pPr>
              <w:jc w:val="right"/>
              <w:rPr>
                <w:rFonts w:cs="Calibri"/>
                <w:color w:val="000000"/>
              </w:rPr>
            </w:pPr>
            <w:r>
              <w:rPr>
                <w:rFonts w:cs="Calibri"/>
                <w:color w:val="000000"/>
              </w:rPr>
              <w:t>1</w:t>
            </w:r>
          </w:p>
        </w:tc>
        <w:tc>
          <w:tcPr>
            <w:tcW w:w="1619" w:type="dxa"/>
            <w:vAlign w:val="bottom"/>
          </w:tcPr>
          <w:p w:rsidR="0040521B" w:rsidRDefault="0040521B" w:rsidP="0053283A">
            <w:pPr>
              <w:jc w:val="right"/>
              <w:rPr>
                <w:rFonts w:cs="Calibri"/>
                <w:color w:val="000000"/>
              </w:rPr>
            </w:pPr>
            <w:r>
              <w:rPr>
                <w:rFonts w:cs="Calibri"/>
                <w:color w:val="000000"/>
              </w:rPr>
              <w:t>1</w:t>
            </w:r>
          </w:p>
        </w:tc>
        <w:tc>
          <w:tcPr>
            <w:tcW w:w="1619" w:type="dxa"/>
            <w:vAlign w:val="bottom"/>
          </w:tcPr>
          <w:p w:rsidR="0040521B" w:rsidRDefault="0040521B" w:rsidP="0053283A">
            <w:pPr>
              <w:jc w:val="right"/>
              <w:rPr>
                <w:rFonts w:cs="Calibri"/>
                <w:color w:val="000000"/>
              </w:rPr>
            </w:pPr>
            <w:r>
              <w:rPr>
                <w:rFonts w:cs="Calibri"/>
                <w:color w:val="000000"/>
              </w:rPr>
              <w:t>3</w:t>
            </w:r>
          </w:p>
        </w:tc>
        <w:tc>
          <w:tcPr>
            <w:tcW w:w="1619" w:type="dxa"/>
            <w:vAlign w:val="bottom"/>
          </w:tcPr>
          <w:p w:rsidR="0040521B" w:rsidRDefault="0040521B" w:rsidP="0053283A">
            <w:pPr>
              <w:jc w:val="right"/>
              <w:rPr>
                <w:rFonts w:cs="Calibri"/>
                <w:color w:val="000000"/>
              </w:rPr>
            </w:pPr>
            <w:r>
              <w:rPr>
                <w:rFonts w:cs="Calibri"/>
                <w:color w:val="000000"/>
              </w:rPr>
              <w:t>5</w:t>
            </w:r>
          </w:p>
        </w:tc>
        <w:tc>
          <w:tcPr>
            <w:tcW w:w="1619" w:type="dxa"/>
            <w:vAlign w:val="bottom"/>
          </w:tcPr>
          <w:p w:rsidR="0040521B" w:rsidRDefault="0040521B" w:rsidP="0053283A">
            <w:pPr>
              <w:jc w:val="right"/>
              <w:rPr>
                <w:rFonts w:cs="Calibri"/>
                <w:color w:val="000000"/>
              </w:rPr>
            </w:pPr>
            <w:r>
              <w:rPr>
                <w:rFonts w:cs="Calibri"/>
                <w:color w:val="000000"/>
              </w:rPr>
              <w:t>0%</w:t>
            </w:r>
          </w:p>
        </w:tc>
      </w:tr>
    </w:tbl>
    <w:p w:rsidR="0040521B" w:rsidRDefault="0040521B" w:rsidP="0040521B">
      <w:pPr>
        <w:tabs>
          <w:tab w:val="left" w:pos="6153"/>
        </w:tabs>
      </w:pPr>
    </w:p>
    <w:p w:rsidR="00FF3E7A" w:rsidRDefault="00FF3E7A">
      <w:pPr>
        <w:spacing w:after="200"/>
      </w:pPr>
      <w:r>
        <w:br w:type="page"/>
      </w:r>
    </w:p>
    <w:p w:rsidR="0040521B" w:rsidRDefault="0040521B" w:rsidP="00FF3E7A">
      <w:pPr>
        <w:pStyle w:val="Heading4"/>
      </w:pPr>
      <w:r w:rsidRPr="00D36A5C">
        <w:lastRenderedPageBreak/>
        <w:t xml:space="preserve">Figure </w:t>
      </w:r>
      <w:r>
        <w:t>3</w:t>
      </w:r>
      <w:r w:rsidRPr="00D36A5C">
        <w:t xml:space="preserve">: </w:t>
      </w:r>
      <w:r>
        <w:t>SA</w:t>
      </w:r>
      <w:r w:rsidRPr="00D36A5C">
        <w:t xml:space="preserve"> Age profile by Connection Level</w:t>
      </w:r>
    </w:p>
    <w:p w:rsidR="0040521B" w:rsidRDefault="0040521B" w:rsidP="0040521B">
      <w:pPr>
        <w:rPr>
          <w:b/>
          <w:bCs/>
          <w:color w:val="4F81BD" w:themeColor="accent1"/>
          <w:sz w:val="18"/>
          <w:szCs w:val="18"/>
        </w:rPr>
      </w:pPr>
      <w:r>
        <w:rPr>
          <w:noProof/>
          <w:lang w:eastAsia="en-AU"/>
        </w:rPr>
        <w:drawing>
          <wp:inline distT="0" distB="0" distL="0" distR="0" wp14:anchorId="28DD15BF" wp14:editId="4498004D">
            <wp:extent cx="6124754" cy="4071668"/>
            <wp:effectExtent l="0" t="0" r="9525" b="24130"/>
            <wp:docPr id="15" name="Chart 15" descr="SA Age profile by connection level, graphic representation of table 5 abov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F3E7A" w:rsidRDefault="0040521B" w:rsidP="00FF3E7A">
      <w:pPr>
        <w:pStyle w:val="Heading4"/>
      </w:pPr>
      <w:r w:rsidRPr="00904FAE">
        <w:t xml:space="preserve"> </w:t>
      </w:r>
      <w:r w:rsidRPr="00CE02B7">
        <w:t>Figure 4: National Age profile by Connection Level</w:t>
      </w:r>
    </w:p>
    <w:p w:rsidR="0040521B" w:rsidRDefault="0040521B" w:rsidP="0040521B">
      <w:r>
        <w:rPr>
          <w:noProof/>
          <w:lang w:eastAsia="en-AU"/>
        </w:rPr>
        <w:drawing>
          <wp:inline distT="0" distB="0" distL="0" distR="0" wp14:anchorId="1650617E" wp14:editId="24B8D83F">
            <wp:extent cx="6357668" cy="4166559"/>
            <wp:effectExtent l="0" t="0" r="24130" b="24765"/>
            <wp:docPr id="16" name="Chart 16" descr="National Age profile by connection level, graphic representation of table 6 abov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br w:type="page"/>
      </w:r>
    </w:p>
    <w:p w:rsidR="0040521B" w:rsidRDefault="0040521B" w:rsidP="0053283A">
      <w:pPr>
        <w:pStyle w:val="Heading4"/>
      </w:pPr>
      <w:r w:rsidRPr="00904FAE">
        <w:lastRenderedPageBreak/>
        <w:t>Figure 5: Percentage of Participants who have been identified as having a characteristic</w:t>
      </w:r>
    </w:p>
    <w:p w:rsidR="0040521B" w:rsidRDefault="0040521B" w:rsidP="0040521B">
      <w:r>
        <w:rPr>
          <w:noProof/>
          <w:lang w:eastAsia="en-AU"/>
        </w:rPr>
        <w:drawing>
          <wp:inline distT="0" distB="0" distL="0" distR="0" wp14:anchorId="624CA893" wp14:editId="31EBF861">
            <wp:extent cx="5881689" cy="6072188"/>
            <wp:effectExtent l="0" t="0" r="5080" b="5080"/>
            <wp:docPr id="20" name="Chart 20" descr="SA and National percentage of participants who have been identified as having a characteristic, graphic representation of table 7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0521B" w:rsidRDefault="0040521B" w:rsidP="0053283A">
      <w:pPr>
        <w:pStyle w:val="Heading3"/>
      </w:pPr>
      <w:r>
        <w:t>Table 7:</w:t>
      </w:r>
      <w:r w:rsidRPr="00D36A5C">
        <w:t xml:space="preserve"> </w:t>
      </w:r>
      <w:r>
        <w:t>Percentage of Participants who have been identified as having a characteristic</w:t>
      </w:r>
    </w:p>
    <w:tbl>
      <w:tblPr>
        <w:tblStyle w:val="TableGrid"/>
        <w:tblW w:w="0" w:type="auto"/>
        <w:tblLook w:val="04A0" w:firstRow="1" w:lastRow="0" w:firstColumn="1" w:lastColumn="0" w:noHBand="0" w:noVBand="1"/>
        <w:tblDescription w:val="Table 7: Percentage of Participants who have been identified as having a characteristic"/>
      </w:tblPr>
      <w:tblGrid>
        <w:gridCol w:w="2517"/>
        <w:gridCol w:w="1702"/>
        <w:gridCol w:w="1701"/>
        <w:gridCol w:w="1843"/>
        <w:gridCol w:w="1843"/>
      </w:tblGrid>
      <w:tr w:rsidR="0040521B" w:rsidRPr="00580A81" w:rsidTr="0058742A">
        <w:trPr>
          <w:tblHeader/>
        </w:trPr>
        <w:tc>
          <w:tcPr>
            <w:tcW w:w="2517" w:type="dxa"/>
            <w:shd w:val="clear" w:color="auto" w:fill="DBE5F1" w:themeFill="accent1" w:themeFillTint="33"/>
          </w:tcPr>
          <w:p w:rsidR="0040521B" w:rsidRPr="00580A81" w:rsidRDefault="0040521B" w:rsidP="0053283A">
            <w:pPr>
              <w:tabs>
                <w:tab w:val="left" w:pos="6153"/>
              </w:tabs>
              <w:jc w:val="center"/>
              <w:rPr>
                <w:b/>
              </w:rPr>
            </w:pPr>
          </w:p>
        </w:tc>
        <w:tc>
          <w:tcPr>
            <w:tcW w:w="1702" w:type="dxa"/>
            <w:shd w:val="clear" w:color="auto" w:fill="DBE5F1" w:themeFill="accent1" w:themeFillTint="33"/>
          </w:tcPr>
          <w:p w:rsidR="0040521B" w:rsidRPr="00580A81" w:rsidRDefault="0040521B" w:rsidP="0053283A">
            <w:pPr>
              <w:tabs>
                <w:tab w:val="left" w:pos="6153"/>
              </w:tabs>
              <w:jc w:val="center"/>
              <w:rPr>
                <w:b/>
              </w:rPr>
            </w:pPr>
            <w:r>
              <w:rPr>
                <w:b/>
              </w:rPr>
              <w:t>SA</w:t>
            </w:r>
          </w:p>
        </w:tc>
        <w:tc>
          <w:tcPr>
            <w:tcW w:w="1701" w:type="dxa"/>
            <w:shd w:val="clear" w:color="auto" w:fill="DBE5F1" w:themeFill="accent1" w:themeFillTint="33"/>
          </w:tcPr>
          <w:p w:rsidR="0040521B" w:rsidRPr="00580A81" w:rsidRDefault="0040521B" w:rsidP="0053283A">
            <w:pPr>
              <w:tabs>
                <w:tab w:val="left" w:pos="6153"/>
              </w:tabs>
              <w:jc w:val="center"/>
              <w:rPr>
                <w:b/>
              </w:rPr>
            </w:pPr>
            <w:r>
              <w:rPr>
                <w:b/>
              </w:rPr>
              <w:t>% SA</w:t>
            </w:r>
          </w:p>
        </w:tc>
        <w:tc>
          <w:tcPr>
            <w:tcW w:w="1843" w:type="dxa"/>
            <w:shd w:val="clear" w:color="auto" w:fill="DBE5F1" w:themeFill="accent1" w:themeFillTint="33"/>
          </w:tcPr>
          <w:p w:rsidR="0040521B" w:rsidRPr="00580A81" w:rsidRDefault="0040521B" w:rsidP="0053283A">
            <w:pPr>
              <w:tabs>
                <w:tab w:val="left" w:pos="6153"/>
              </w:tabs>
              <w:jc w:val="center"/>
              <w:rPr>
                <w:b/>
              </w:rPr>
            </w:pPr>
            <w:r>
              <w:rPr>
                <w:b/>
              </w:rPr>
              <w:t>National</w:t>
            </w:r>
          </w:p>
        </w:tc>
        <w:tc>
          <w:tcPr>
            <w:tcW w:w="1843" w:type="dxa"/>
            <w:shd w:val="clear" w:color="auto" w:fill="DBE5F1" w:themeFill="accent1" w:themeFillTint="33"/>
          </w:tcPr>
          <w:p w:rsidR="0040521B" w:rsidRPr="00580A81" w:rsidRDefault="0040521B" w:rsidP="0053283A">
            <w:pPr>
              <w:tabs>
                <w:tab w:val="left" w:pos="6153"/>
              </w:tabs>
              <w:jc w:val="center"/>
              <w:rPr>
                <w:b/>
              </w:rPr>
            </w:pPr>
            <w:r>
              <w:rPr>
                <w:b/>
              </w:rPr>
              <w:t>% National</w:t>
            </w:r>
          </w:p>
        </w:tc>
      </w:tr>
      <w:tr w:rsidR="0040521B" w:rsidTr="0053283A">
        <w:tc>
          <w:tcPr>
            <w:tcW w:w="2517" w:type="dxa"/>
            <w:vAlign w:val="bottom"/>
          </w:tcPr>
          <w:p w:rsidR="0040521B" w:rsidRDefault="0040521B" w:rsidP="0053283A">
            <w:pPr>
              <w:rPr>
                <w:rFonts w:cs="Calibri"/>
                <w:color w:val="000000"/>
              </w:rPr>
            </w:pPr>
            <w:r>
              <w:rPr>
                <w:rFonts w:cs="Calibri"/>
                <w:color w:val="000000"/>
              </w:rPr>
              <w:t>Culturally and linguistically diverse</w:t>
            </w:r>
          </w:p>
        </w:tc>
        <w:tc>
          <w:tcPr>
            <w:tcW w:w="1702" w:type="dxa"/>
            <w:vAlign w:val="bottom"/>
          </w:tcPr>
          <w:p w:rsidR="0040521B" w:rsidRDefault="0040521B" w:rsidP="0053283A">
            <w:pPr>
              <w:jc w:val="right"/>
              <w:rPr>
                <w:rFonts w:cs="Calibri"/>
                <w:color w:val="000000"/>
              </w:rPr>
            </w:pPr>
            <w:r>
              <w:rPr>
                <w:rFonts w:cs="Calibri"/>
                <w:color w:val="000000"/>
              </w:rPr>
              <w:t>78</w:t>
            </w:r>
          </w:p>
        </w:tc>
        <w:tc>
          <w:tcPr>
            <w:tcW w:w="1701" w:type="dxa"/>
            <w:vAlign w:val="bottom"/>
          </w:tcPr>
          <w:p w:rsidR="0040521B" w:rsidRDefault="0040521B" w:rsidP="0053283A">
            <w:pPr>
              <w:jc w:val="right"/>
              <w:rPr>
                <w:rFonts w:cs="Calibri"/>
                <w:color w:val="000000"/>
              </w:rPr>
            </w:pPr>
            <w:r>
              <w:rPr>
                <w:rFonts w:cs="Calibri"/>
                <w:color w:val="000000"/>
              </w:rPr>
              <w:t>2%</w:t>
            </w:r>
          </w:p>
        </w:tc>
        <w:tc>
          <w:tcPr>
            <w:tcW w:w="1843" w:type="dxa"/>
            <w:vAlign w:val="bottom"/>
          </w:tcPr>
          <w:p w:rsidR="0040521B" w:rsidRDefault="0040521B" w:rsidP="0053283A">
            <w:pPr>
              <w:jc w:val="right"/>
              <w:rPr>
                <w:rFonts w:cs="Calibri"/>
                <w:color w:val="000000"/>
              </w:rPr>
            </w:pPr>
            <w:r>
              <w:rPr>
                <w:rFonts w:cs="Calibri"/>
                <w:color w:val="000000"/>
              </w:rPr>
              <w:t>3779</w:t>
            </w:r>
          </w:p>
        </w:tc>
        <w:tc>
          <w:tcPr>
            <w:tcW w:w="1843" w:type="dxa"/>
            <w:vAlign w:val="bottom"/>
          </w:tcPr>
          <w:p w:rsidR="0040521B" w:rsidRDefault="0040521B" w:rsidP="0053283A">
            <w:pPr>
              <w:jc w:val="right"/>
              <w:rPr>
                <w:rFonts w:cs="Calibri"/>
                <w:color w:val="000000"/>
              </w:rPr>
            </w:pPr>
            <w:r>
              <w:rPr>
                <w:rFonts w:cs="Calibri"/>
                <w:color w:val="000000"/>
              </w:rPr>
              <w:t>7%</w:t>
            </w:r>
          </w:p>
        </w:tc>
      </w:tr>
      <w:tr w:rsidR="0040521B" w:rsidTr="0053283A">
        <w:tc>
          <w:tcPr>
            <w:tcW w:w="2517" w:type="dxa"/>
            <w:vAlign w:val="bottom"/>
          </w:tcPr>
          <w:p w:rsidR="0040521B" w:rsidRDefault="0040521B" w:rsidP="0053283A">
            <w:pPr>
              <w:rPr>
                <w:rFonts w:cs="Calibri"/>
                <w:color w:val="000000"/>
              </w:rPr>
            </w:pPr>
            <w:r>
              <w:rPr>
                <w:rFonts w:cs="Calibri"/>
                <w:color w:val="000000"/>
              </w:rPr>
              <w:t>Disability</w:t>
            </w:r>
          </w:p>
        </w:tc>
        <w:tc>
          <w:tcPr>
            <w:tcW w:w="1702" w:type="dxa"/>
            <w:vAlign w:val="bottom"/>
          </w:tcPr>
          <w:p w:rsidR="0040521B" w:rsidRDefault="0040521B" w:rsidP="0053283A">
            <w:pPr>
              <w:jc w:val="right"/>
              <w:rPr>
                <w:rFonts w:cs="Calibri"/>
                <w:color w:val="000000"/>
              </w:rPr>
            </w:pPr>
            <w:r>
              <w:rPr>
                <w:rFonts w:cs="Calibri"/>
                <w:color w:val="000000"/>
              </w:rPr>
              <w:t>237</w:t>
            </w:r>
          </w:p>
        </w:tc>
        <w:tc>
          <w:tcPr>
            <w:tcW w:w="1701" w:type="dxa"/>
            <w:vAlign w:val="bottom"/>
          </w:tcPr>
          <w:p w:rsidR="0040521B" w:rsidRDefault="0040521B" w:rsidP="0053283A">
            <w:pPr>
              <w:jc w:val="right"/>
              <w:rPr>
                <w:rFonts w:cs="Calibri"/>
                <w:color w:val="000000"/>
              </w:rPr>
            </w:pPr>
            <w:r>
              <w:rPr>
                <w:rFonts w:cs="Calibri"/>
                <w:color w:val="000000"/>
              </w:rPr>
              <w:t>7%</w:t>
            </w:r>
          </w:p>
        </w:tc>
        <w:tc>
          <w:tcPr>
            <w:tcW w:w="1843" w:type="dxa"/>
            <w:vAlign w:val="bottom"/>
          </w:tcPr>
          <w:p w:rsidR="0040521B" w:rsidRDefault="0040521B" w:rsidP="0053283A">
            <w:pPr>
              <w:jc w:val="right"/>
              <w:rPr>
                <w:rFonts w:cs="Calibri"/>
                <w:color w:val="000000"/>
              </w:rPr>
            </w:pPr>
            <w:r>
              <w:rPr>
                <w:rFonts w:cs="Calibri"/>
                <w:color w:val="000000"/>
              </w:rPr>
              <w:t>2451</w:t>
            </w:r>
          </w:p>
        </w:tc>
        <w:tc>
          <w:tcPr>
            <w:tcW w:w="1843" w:type="dxa"/>
            <w:vAlign w:val="bottom"/>
          </w:tcPr>
          <w:p w:rsidR="0040521B" w:rsidRDefault="0040521B" w:rsidP="0053283A">
            <w:pPr>
              <w:jc w:val="right"/>
              <w:rPr>
                <w:rFonts w:cs="Calibri"/>
                <w:color w:val="000000"/>
              </w:rPr>
            </w:pPr>
            <w:r>
              <w:rPr>
                <w:rFonts w:cs="Calibri"/>
                <w:color w:val="000000"/>
              </w:rPr>
              <w:t>4%</w:t>
            </w:r>
          </w:p>
        </w:tc>
      </w:tr>
      <w:tr w:rsidR="0040521B" w:rsidTr="0053283A">
        <w:tc>
          <w:tcPr>
            <w:tcW w:w="2517" w:type="dxa"/>
            <w:vAlign w:val="bottom"/>
          </w:tcPr>
          <w:p w:rsidR="0040521B" w:rsidRDefault="0040521B" w:rsidP="0053283A">
            <w:pPr>
              <w:rPr>
                <w:rFonts w:cs="Calibri"/>
                <w:color w:val="000000"/>
              </w:rPr>
            </w:pPr>
            <w:r>
              <w:rPr>
                <w:rFonts w:cs="Calibri"/>
                <w:color w:val="000000"/>
              </w:rPr>
              <w:t>Humanitarian Refugee</w:t>
            </w:r>
          </w:p>
        </w:tc>
        <w:tc>
          <w:tcPr>
            <w:tcW w:w="1702" w:type="dxa"/>
            <w:vAlign w:val="bottom"/>
          </w:tcPr>
          <w:p w:rsidR="0040521B" w:rsidRDefault="0040521B" w:rsidP="0053283A">
            <w:pPr>
              <w:jc w:val="right"/>
              <w:rPr>
                <w:rFonts w:cs="Calibri"/>
                <w:color w:val="000000"/>
              </w:rPr>
            </w:pPr>
            <w:r>
              <w:rPr>
                <w:rFonts w:cs="Calibri"/>
                <w:color w:val="000000"/>
              </w:rPr>
              <w:t>49</w:t>
            </w:r>
          </w:p>
        </w:tc>
        <w:tc>
          <w:tcPr>
            <w:tcW w:w="1701" w:type="dxa"/>
            <w:vAlign w:val="bottom"/>
          </w:tcPr>
          <w:p w:rsidR="0040521B" w:rsidRDefault="0040521B" w:rsidP="0053283A">
            <w:pPr>
              <w:jc w:val="right"/>
              <w:rPr>
                <w:rFonts w:cs="Calibri"/>
                <w:color w:val="000000"/>
              </w:rPr>
            </w:pPr>
            <w:r>
              <w:rPr>
                <w:rFonts w:cs="Calibri"/>
                <w:color w:val="000000"/>
              </w:rPr>
              <w:t>1%</w:t>
            </w:r>
          </w:p>
        </w:tc>
        <w:tc>
          <w:tcPr>
            <w:tcW w:w="1843" w:type="dxa"/>
            <w:vAlign w:val="bottom"/>
          </w:tcPr>
          <w:p w:rsidR="0040521B" w:rsidRDefault="0040521B" w:rsidP="0053283A">
            <w:pPr>
              <w:jc w:val="right"/>
              <w:rPr>
                <w:rFonts w:cs="Calibri"/>
                <w:color w:val="000000"/>
              </w:rPr>
            </w:pPr>
            <w:r>
              <w:rPr>
                <w:rFonts w:cs="Calibri"/>
                <w:color w:val="000000"/>
              </w:rPr>
              <w:t>825</w:t>
            </w:r>
          </w:p>
        </w:tc>
        <w:tc>
          <w:tcPr>
            <w:tcW w:w="1843" w:type="dxa"/>
            <w:vAlign w:val="bottom"/>
          </w:tcPr>
          <w:p w:rsidR="0040521B" w:rsidRDefault="0040521B" w:rsidP="0053283A">
            <w:pPr>
              <w:jc w:val="right"/>
              <w:rPr>
                <w:rFonts w:cs="Calibri"/>
                <w:color w:val="000000"/>
              </w:rPr>
            </w:pPr>
            <w:r>
              <w:rPr>
                <w:rFonts w:cs="Calibri"/>
                <w:color w:val="000000"/>
              </w:rPr>
              <w:t>1%</w:t>
            </w:r>
          </w:p>
        </w:tc>
      </w:tr>
      <w:tr w:rsidR="0040521B" w:rsidTr="0053283A">
        <w:tc>
          <w:tcPr>
            <w:tcW w:w="2517" w:type="dxa"/>
            <w:vAlign w:val="bottom"/>
          </w:tcPr>
          <w:p w:rsidR="0040521B" w:rsidRDefault="0040521B" w:rsidP="0053283A">
            <w:pPr>
              <w:rPr>
                <w:rFonts w:cs="Calibri"/>
                <w:color w:val="000000"/>
              </w:rPr>
            </w:pPr>
            <w:r>
              <w:rPr>
                <w:rFonts w:cs="Calibri"/>
                <w:color w:val="000000"/>
              </w:rPr>
              <w:t>Indigenous Australian</w:t>
            </w:r>
          </w:p>
        </w:tc>
        <w:tc>
          <w:tcPr>
            <w:tcW w:w="1702" w:type="dxa"/>
            <w:vAlign w:val="bottom"/>
          </w:tcPr>
          <w:p w:rsidR="0040521B" w:rsidRDefault="0040521B" w:rsidP="0053283A">
            <w:pPr>
              <w:jc w:val="right"/>
              <w:rPr>
                <w:rFonts w:cs="Calibri"/>
                <w:color w:val="000000"/>
              </w:rPr>
            </w:pPr>
            <w:r>
              <w:rPr>
                <w:rFonts w:cs="Calibri"/>
                <w:color w:val="000000"/>
              </w:rPr>
              <w:t>488</w:t>
            </w:r>
          </w:p>
        </w:tc>
        <w:tc>
          <w:tcPr>
            <w:tcW w:w="1701" w:type="dxa"/>
            <w:vAlign w:val="bottom"/>
          </w:tcPr>
          <w:p w:rsidR="0040521B" w:rsidRDefault="0040521B" w:rsidP="0053283A">
            <w:pPr>
              <w:jc w:val="right"/>
              <w:rPr>
                <w:rFonts w:cs="Calibri"/>
                <w:color w:val="000000"/>
              </w:rPr>
            </w:pPr>
            <w:r>
              <w:rPr>
                <w:rFonts w:cs="Calibri"/>
                <w:color w:val="000000"/>
              </w:rPr>
              <w:t>14%</w:t>
            </w:r>
          </w:p>
        </w:tc>
        <w:tc>
          <w:tcPr>
            <w:tcW w:w="1843" w:type="dxa"/>
            <w:vAlign w:val="bottom"/>
          </w:tcPr>
          <w:p w:rsidR="0040521B" w:rsidRDefault="0040521B" w:rsidP="0053283A">
            <w:pPr>
              <w:jc w:val="right"/>
              <w:rPr>
                <w:rFonts w:cs="Calibri"/>
                <w:color w:val="000000"/>
              </w:rPr>
            </w:pPr>
            <w:r>
              <w:rPr>
                <w:rFonts w:cs="Calibri"/>
                <w:color w:val="000000"/>
              </w:rPr>
              <w:t>10,420</w:t>
            </w:r>
          </w:p>
        </w:tc>
        <w:tc>
          <w:tcPr>
            <w:tcW w:w="1843" w:type="dxa"/>
            <w:vAlign w:val="bottom"/>
          </w:tcPr>
          <w:p w:rsidR="0040521B" w:rsidRDefault="0040521B" w:rsidP="0053283A">
            <w:pPr>
              <w:jc w:val="right"/>
              <w:rPr>
                <w:rFonts w:cs="Calibri"/>
                <w:color w:val="000000"/>
              </w:rPr>
            </w:pPr>
            <w:r>
              <w:rPr>
                <w:rFonts w:cs="Calibri"/>
                <w:color w:val="000000"/>
              </w:rPr>
              <w:t>19%</w:t>
            </w:r>
          </w:p>
        </w:tc>
      </w:tr>
      <w:tr w:rsidR="0040521B" w:rsidTr="0053283A">
        <w:tc>
          <w:tcPr>
            <w:tcW w:w="2517" w:type="dxa"/>
            <w:vAlign w:val="bottom"/>
          </w:tcPr>
          <w:p w:rsidR="0040521B" w:rsidRDefault="0040521B" w:rsidP="0053283A">
            <w:pPr>
              <w:rPr>
                <w:rFonts w:cs="Calibri"/>
                <w:color w:val="000000"/>
              </w:rPr>
            </w:pPr>
            <w:r>
              <w:rPr>
                <w:rFonts w:cs="Calibri"/>
                <w:color w:val="000000"/>
              </w:rPr>
              <w:t>Parent</w:t>
            </w:r>
          </w:p>
        </w:tc>
        <w:tc>
          <w:tcPr>
            <w:tcW w:w="1702" w:type="dxa"/>
            <w:vAlign w:val="bottom"/>
          </w:tcPr>
          <w:p w:rsidR="0040521B" w:rsidRDefault="0040521B" w:rsidP="0053283A">
            <w:pPr>
              <w:jc w:val="right"/>
              <w:rPr>
                <w:rFonts w:cs="Calibri"/>
                <w:color w:val="000000"/>
              </w:rPr>
            </w:pPr>
            <w:r>
              <w:rPr>
                <w:rFonts w:cs="Calibri"/>
                <w:color w:val="000000"/>
              </w:rPr>
              <w:t>94</w:t>
            </w:r>
          </w:p>
        </w:tc>
        <w:tc>
          <w:tcPr>
            <w:tcW w:w="1701" w:type="dxa"/>
            <w:vAlign w:val="bottom"/>
          </w:tcPr>
          <w:p w:rsidR="0040521B" w:rsidRDefault="0040521B" w:rsidP="0053283A">
            <w:pPr>
              <w:jc w:val="right"/>
              <w:rPr>
                <w:rFonts w:cs="Calibri"/>
                <w:color w:val="000000"/>
              </w:rPr>
            </w:pPr>
            <w:r>
              <w:rPr>
                <w:rFonts w:cs="Calibri"/>
                <w:color w:val="000000"/>
              </w:rPr>
              <w:t>3%</w:t>
            </w:r>
          </w:p>
        </w:tc>
        <w:tc>
          <w:tcPr>
            <w:tcW w:w="1843" w:type="dxa"/>
            <w:vAlign w:val="bottom"/>
          </w:tcPr>
          <w:p w:rsidR="0040521B" w:rsidRDefault="0040521B" w:rsidP="0053283A">
            <w:pPr>
              <w:jc w:val="right"/>
              <w:rPr>
                <w:rFonts w:cs="Calibri"/>
                <w:color w:val="000000"/>
              </w:rPr>
            </w:pPr>
            <w:r>
              <w:rPr>
                <w:rFonts w:cs="Calibri"/>
                <w:color w:val="000000"/>
              </w:rPr>
              <w:t>1136</w:t>
            </w:r>
          </w:p>
        </w:tc>
        <w:tc>
          <w:tcPr>
            <w:tcW w:w="1843" w:type="dxa"/>
            <w:vAlign w:val="bottom"/>
          </w:tcPr>
          <w:p w:rsidR="0040521B" w:rsidRDefault="0040521B" w:rsidP="0053283A">
            <w:pPr>
              <w:jc w:val="right"/>
              <w:rPr>
                <w:rFonts w:cs="Calibri"/>
                <w:color w:val="000000"/>
              </w:rPr>
            </w:pPr>
            <w:r>
              <w:rPr>
                <w:rFonts w:cs="Calibri"/>
                <w:color w:val="000000"/>
              </w:rPr>
              <w:t>2%</w:t>
            </w:r>
          </w:p>
        </w:tc>
      </w:tr>
      <w:tr w:rsidR="0040521B" w:rsidTr="0053283A">
        <w:tc>
          <w:tcPr>
            <w:tcW w:w="2517" w:type="dxa"/>
            <w:vAlign w:val="bottom"/>
          </w:tcPr>
          <w:p w:rsidR="0040521B" w:rsidRDefault="0040521B" w:rsidP="0053283A">
            <w:pPr>
              <w:rPr>
                <w:rFonts w:cs="Calibri"/>
                <w:color w:val="000000"/>
              </w:rPr>
            </w:pPr>
            <w:r>
              <w:rPr>
                <w:rFonts w:cs="Calibri"/>
                <w:color w:val="000000"/>
              </w:rPr>
              <w:t>Refugee Background</w:t>
            </w:r>
          </w:p>
        </w:tc>
        <w:tc>
          <w:tcPr>
            <w:tcW w:w="1702" w:type="dxa"/>
            <w:vAlign w:val="bottom"/>
          </w:tcPr>
          <w:p w:rsidR="0040521B" w:rsidRDefault="0040521B" w:rsidP="0053283A">
            <w:pPr>
              <w:jc w:val="right"/>
              <w:rPr>
                <w:rFonts w:cs="Calibri"/>
                <w:color w:val="000000"/>
              </w:rPr>
            </w:pPr>
            <w:r>
              <w:rPr>
                <w:rFonts w:cs="Calibri"/>
                <w:color w:val="000000"/>
              </w:rPr>
              <w:t>1749</w:t>
            </w:r>
          </w:p>
        </w:tc>
        <w:tc>
          <w:tcPr>
            <w:tcW w:w="1701" w:type="dxa"/>
            <w:vAlign w:val="bottom"/>
          </w:tcPr>
          <w:p w:rsidR="0040521B" w:rsidRDefault="0040521B" w:rsidP="0053283A">
            <w:pPr>
              <w:jc w:val="right"/>
              <w:rPr>
                <w:rFonts w:cs="Calibri"/>
                <w:color w:val="000000"/>
              </w:rPr>
            </w:pPr>
            <w:r>
              <w:rPr>
                <w:rFonts w:cs="Calibri"/>
                <w:color w:val="000000"/>
              </w:rPr>
              <w:t>52%</w:t>
            </w:r>
          </w:p>
        </w:tc>
        <w:tc>
          <w:tcPr>
            <w:tcW w:w="1843" w:type="dxa"/>
            <w:vAlign w:val="bottom"/>
          </w:tcPr>
          <w:p w:rsidR="0040521B" w:rsidRDefault="0040521B" w:rsidP="0053283A">
            <w:pPr>
              <w:jc w:val="right"/>
              <w:rPr>
                <w:rFonts w:cs="Calibri"/>
                <w:color w:val="000000"/>
              </w:rPr>
            </w:pPr>
            <w:r>
              <w:rPr>
                <w:rFonts w:cs="Calibri"/>
                <w:color w:val="000000"/>
              </w:rPr>
              <w:t>17,359</w:t>
            </w:r>
          </w:p>
        </w:tc>
        <w:tc>
          <w:tcPr>
            <w:tcW w:w="1843" w:type="dxa"/>
            <w:vAlign w:val="bottom"/>
          </w:tcPr>
          <w:p w:rsidR="0040521B" w:rsidRDefault="0040521B" w:rsidP="0053283A">
            <w:pPr>
              <w:jc w:val="right"/>
              <w:rPr>
                <w:rFonts w:cs="Calibri"/>
                <w:color w:val="000000"/>
              </w:rPr>
            </w:pPr>
            <w:r>
              <w:rPr>
                <w:rFonts w:cs="Calibri"/>
                <w:color w:val="000000"/>
              </w:rPr>
              <w:t>31%</w:t>
            </w:r>
          </w:p>
        </w:tc>
      </w:tr>
      <w:tr w:rsidR="0040521B" w:rsidTr="0053283A">
        <w:tc>
          <w:tcPr>
            <w:tcW w:w="2517" w:type="dxa"/>
            <w:vAlign w:val="bottom"/>
          </w:tcPr>
          <w:p w:rsidR="0040521B" w:rsidRDefault="0040521B" w:rsidP="0053283A">
            <w:pPr>
              <w:rPr>
                <w:rFonts w:cs="Calibri"/>
                <w:color w:val="000000"/>
              </w:rPr>
            </w:pPr>
            <w:r>
              <w:rPr>
                <w:rFonts w:cs="Calibri"/>
                <w:color w:val="000000"/>
              </w:rPr>
              <w:t>Receiving Centrelink Income Support</w:t>
            </w:r>
          </w:p>
        </w:tc>
        <w:tc>
          <w:tcPr>
            <w:tcW w:w="1702" w:type="dxa"/>
            <w:vAlign w:val="bottom"/>
          </w:tcPr>
          <w:p w:rsidR="0040521B" w:rsidRDefault="0040521B" w:rsidP="0053283A">
            <w:pPr>
              <w:jc w:val="right"/>
              <w:rPr>
                <w:rFonts w:cs="Calibri"/>
                <w:color w:val="000000"/>
              </w:rPr>
            </w:pPr>
            <w:r>
              <w:rPr>
                <w:rFonts w:cs="Calibri"/>
                <w:color w:val="000000"/>
              </w:rPr>
              <w:t>28</w:t>
            </w:r>
          </w:p>
        </w:tc>
        <w:tc>
          <w:tcPr>
            <w:tcW w:w="1701" w:type="dxa"/>
            <w:vAlign w:val="bottom"/>
          </w:tcPr>
          <w:p w:rsidR="0040521B" w:rsidRDefault="0040521B" w:rsidP="0053283A">
            <w:pPr>
              <w:jc w:val="right"/>
              <w:rPr>
                <w:rFonts w:cs="Calibri"/>
                <w:color w:val="000000"/>
              </w:rPr>
            </w:pPr>
            <w:r>
              <w:rPr>
                <w:rFonts w:cs="Calibri"/>
                <w:color w:val="000000"/>
              </w:rPr>
              <w:t>1%</w:t>
            </w:r>
          </w:p>
        </w:tc>
        <w:tc>
          <w:tcPr>
            <w:tcW w:w="1843" w:type="dxa"/>
            <w:vAlign w:val="bottom"/>
          </w:tcPr>
          <w:p w:rsidR="0040521B" w:rsidRDefault="0040521B" w:rsidP="0053283A">
            <w:pPr>
              <w:jc w:val="right"/>
              <w:rPr>
                <w:rFonts w:cs="Calibri"/>
                <w:color w:val="000000"/>
              </w:rPr>
            </w:pPr>
            <w:r>
              <w:rPr>
                <w:rFonts w:cs="Calibri"/>
                <w:color w:val="000000"/>
              </w:rPr>
              <w:t>319</w:t>
            </w:r>
          </w:p>
        </w:tc>
        <w:tc>
          <w:tcPr>
            <w:tcW w:w="1843" w:type="dxa"/>
            <w:vAlign w:val="bottom"/>
          </w:tcPr>
          <w:p w:rsidR="0040521B" w:rsidRDefault="0040521B" w:rsidP="0053283A">
            <w:pPr>
              <w:jc w:val="right"/>
              <w:rPr>
                <w:rFonts w:cs="Calibri"/>
                <w:color w:val="000000"/>
              </w:rPr>
            </w:pPr>
            <w:r>
              <w:rPr>
                <w:rFonts w:cs="Calibri"/>
                <w:color w:val="000000"/>
              </w:rPr>
              <w:t>1%</w:t>
            </w:r>
          </w:p>
        </w:tc>
      </w:tr>
      <w:tr w:rsidR="0040521B" w:rsidTr="0053283A">
        <w:tc>
          <w:tcPr>
            <w:tcW w:w="2517" w:type="dxa"/>
            <w:vAlign w:val="bottom"/>
          </w:tcPr>
          <w:p w:rsidR="0040521B" w:rsidRDefault="0040521B" w:rsidP="0053283A">
            <w:pPr>
              <w:rPr>
                <w:rFonts w:cs="Calibri"/>
                <w:color w:val="000000"/>
              </w:rPr>
            </w:pPr>
            <w:r>
              <w:rPr>
                <w:rFonts w:cs="Calibri"/>
                <w:color w:val="000000"/>
              </w:rPr>
              <w:t>Suspected or diagnosed mental health issue</w:t>
            </w:r>
          </w:p>
        </w:tc>
        <w:tc>
          <w:tcPr>
            <w:tcW w:w="1702" w:type="dxa"/>
            <w:vAlign w:val="bottom"/>
          </w:tcPr>
          <w:p w:rsidR="0040521B" w:rsidRDefault="0040521B" w:rsidP="0053283A">
            <w:pPr>
              <w:jc w:val="right"/>
              <w:rPr>
                <w:rFonts w:cs="Calibri"/>
                <w:color w:val="000000"/>
              </w:rPr>
            </w:pPr>
            <w:r>
              <w:rPr>
                <w:rFonts w:cs="Calibri"/>
                <w:color w:val="000000"/>
              </w:rPr>
              <w:t>1084</w:t>
            </w:r>
          </w:p>
        </w:tc>
        <w:tc>
          <w:tcPr>
            <w:tcW w:w="1701" w:type="dxa"/>
            <w:vAlign w:val="bottom"/>
          </w:tcPr>
          <w:p w:rsidR="0040521B" w:rsidRDefault="0040521B" w:rsidP="0053283A">
            <w:pPr>
              <w:jc w:val="right"/>
              <w:rPr>
                <w:rFonts w:cs="Calibri"/>
                <w:color w:val="000000"/>
              </w:rPr>
            </w:pPr>
            <w:r>
              <w:rPr>
                <w:rFonts w:cs="Calibri"/>
                <w:color w:val="000000"/>
              </w:rPr>
              <w:t>32%</w:t>
            </w:r>
          </w:p>
        </w:tc>
        <w:tc>
          <w:tcPr>
            <w:tcW w:w="1843" w:type="dxa"/>
            <w:vAlign w:val="bottom"/>
          </w:tcPr>
          <w:p w:rsidR="0040521B" w:rsidRDefault="0040521B" w:rsidP="0053283A">
            <w:pPr>
              <w:jc w:val="right"/>
              <w:rPr>
                <w:rFonts w:cs="Calibri"/>
                <w:color w:val="000000"/>
              </w:rPr>
            </w:pPr>
            <w:r>
              <w:rPr>
                <w:rFonts w:cs="Calibri"/>
                <w:color w:val="000000"/>
              </w:rPr>
              <w:t>11,902</w:t>
            </w:r>
          </w:p>
        </w:tc>
        <w:tc>
          <w:tcPr>
            <w:tcW w:w="1843" w:type="dxa"/>
            <w:vAlign w:val="bottom"/>
          </w:tcPr>
          <w:p w:rsidR="0040521B" w:rsidRDefault="0040521B" w:rsidP="0053283A">
            <w:pPr>
              <w:jc w:val="right"/>
              <w:rPr>
                <w:rFonts w:cs="Calibri"/>
                <w:color w:val="000000"/>
              </w:rPr>
            </w:pPr>
            <w:r>
              <w:rPr>
                <w:rFonts w:cs="Calibri"/>
                <w:color w:val="000000"/>
              </w:rPr>
              <w:t>21%</w:t>
            </w:r>
          </w:p>
        </w:tc>
      </w:tr>
      <w:tr w:rsidR="0040521B" w:rsidTr="0053283A">
        <w:tc>
          <w:tcPr>
            <w:tcW w:w="2517" w:type="dxa"/>
            <w:vAlign w:val="bottom"/>
          </w:tcPr>
          <w:p w:rsidR="0040521B" w:rsidRDefault="0040521B" w:rsidP="0053283A">
            <w:pPr>
              <w:rPr>
                <w:rFonts w:cs="Calibri"/>
                <w:color w:val="000000"/>
              </w:rPr>
            </w:pPr>
            <w:r>
              <w:rPr>
                <w:rFonts w:cs="Calibri"/>
                <w:color w:val="000000"/>
              </w:rPr>
              <w:t>Young Carer</w:t>
            </w:r>
          </w:p>
        </w:tc>
        <w:tc>
          <w:tcPr>
            <w:tcW w:w="1702" w:type="dxa"/>
            <w:vAlign w:val="bottom"/>
          </w:tcPr>
          <w:p w:rsidR="0040521B" w:rsidRDefault="0040521B" w:rsidP="0053283A">
            <w:pPr>
              <w:jc w:val="right"/>
              <w:rPr>
                <w:rFonts w:cs="Calibri"/>
                <w:color w:val="000000"/>
              </w:rPr>
            </w:pPr>
            <w:r>
              <w:rPr>
                <w:rFonts w:cs="Calibri"/>
                <w:color w:val="000000"/>
              </w:rPr>
              <w:t>90</w:t>
            </w:r>
          </w:p>
        </w:tc>
        <w:tc>
          <w:tcPr>
            <w:tcW w:w="1701" w:type="dxa"/>
            <w:vAlign w:val="bottom"/>
          </w:tcPr>
          <w:p w:rsidR="0040521B" w:rsidRDefault="0040521B" w:rsidP="0053283A">
            <w:pPr>
              <w:jc w:val="right"/>
              <w:rPr>
                <w:rFonts w:cs="Calibri"/>
                <w:color w:val="000000"/>
              </w:rPr>
            </w:pPr>
            <w:r>
              <w:rPr>
                <w:rFonts w:cs="Calibri"/>
                <w:color w:val="000000"/>
              </w:rPr>
              <w:t>3%</w:t>
            </w:r>
          </w:p>
        </w:tc>
        <w:tc>
          <w:tcPr>
            <w:tcW w:w="1843" w:type="dxa"/>
            <w:vAlign w:val="bottom"/>
          </w:tcPr>
          <w:p w:rsidR="0040521B" w:rsidRDefault="0040521B" w:rsidP="0053283A">
            <w:pPr>
              <w:jc w:val="right"/>
              <w:rPr>
                <w:rFonts w:cs="Calibri"/>
                <w:color w:val="000000"/>
              </w:rPr>
            </w:pPr>
            <w:r>
              <w:rPr>
                <w:rFonts w:cs="Calibri"/>
                <w:color w:val="000000"/>
              </w:rPr>
              <w:t>1171</w:t>
            </w:r>
          </w:p>
        </w:tc>
        <w:tc>
          <w:tcPr>
            <w:tcW w:w="1843" w:type="dxa"/>
            <w:vAlign w:val="bottom"/>
          </w:tcPr>
          <w:p w:rsidR="0040521B" w:rsidRDefault="0040521B" w:rsidP="0053283A">
            <w:pPr>
              <w:jc w:val="right"/>
              <w:rPr>
                <w:rFonts w:cs="Calibri"/>
                <w:color w:val="000000"/>
              </w:rPr>
            </w:pPr>
            <w:r>
              <w:rPr>
                <w:rFonts w:cs="Calibri"/>
                <w:color w:val="000000"/>
              </w:rPr>
              <w:t>2%</w:t>
            </w:r>
          </w:p>
        </w:tc>
      </w:tr>
    </w:tbl>
    <w:p w:rsidR="001E6A9D" w:rsidRDefault="0040521B" w:rsidP="001E6A9D">
      <w:pPr>
        <w:pStyle w:val="Heading4"/>
      </w:pPr>
      <w:r>
        <w:br w:type="page"/>
      </w:r>
      <w:r w:rsidRPr="00904CBE">
        <w:lastRenderedPageBreak/>
        <w:t>Figure 6: Percentage of Participants identified as having a barrier</w:t>
      </w:r>
    </w:p>
    <w:p w:rsidR="0040521B" w:rsidRDefault="0040521B" w:rsidP="0040521B">
      <w:pPr>
        <w:rPr>
          <w:noProof/>
        </w:rPr>
      </w:pPr>
      <w:r>
        <w:rPr>
          <w:noProof/>
        </w:rPr>
        <w:t xml:space="preserve"> </w:t>
      </w:r>
      <w:r>
        <w:rPr>
          <w:noProof/>
          <w:lang w:eastAsia="en-AU"/>
        </w:rPr>
        <w:drawing>
          <wp:inline distT="0" distB="0" distL="0" distR="0" wp14:anchorId="44A46712" wp14:editId="72130277">
            <wp:extent cx="6047117" cy="8643668"/>
            <wp:effectExtent l="0" t="0" r="10795" b="24130"/>
            <wp:docPr id="21" name="Chart 21" descr="SA and National percentage of participants who have been identified as having a barrier, graphic representation of table 8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0521B" w:rsidRDefault="0040521B" w:rsidP="001E6A9D">
      <w:pPr>
        <w:pStyle w:val="Heading3"/>
      </w:pPr>
      <w:r>
        <w:lastRenderedPageBreak/>
        <w:t>Table 8:</w:t>
      </w:r>
      <w:r w:rsidRPr="00D36A5C">
        <w:t xml:space="preserve"> </w:t>
      </w:r>
      <w:r w:rsidRPr="003E33C6">
        <w:t>Percentage of Participants identified as having a barrier</w:t>
      </w:r>
    </w:p>
    <w:tbl>
      <w:tblPr>
        <w:tblW w:w="8329" w:type="dxa"/>
        <w:tblInd w:w="93" w:type="dxa"/>
        <w:tblLook w:val="04A0" w:firstRow="1" w:lastRow="0" w:firstColumn="1" w:lastColumn="0" w:noHBand="0" w:noVBand="1"/>
      </w:tblPr>
      <w:tblGrid>
        <w:gridCol w:w="5840"/>
        <w:gridCol w:w="1220"/>
        <w:gridCol w:w="1269"/>
      </w:tblGrid>
      <w:tr w:rsidR="0040521B" w:rsidRPr="00904CBE" w:rsidTr="0053283A">
        <w:trPr>
          <w:trHeight w:val="348"/>
        </w:trPr>
        <w:tc>
          <w:tcPr>
            <w:tcW w:w="58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40521B" w:rsidRPr="00904CBE" w:rsidRDefault="0040521B" w:rsidP="0053283A">
            <w:pPr>
              <w:jc w:val="center"/>
              <w:rPr>
                <w:rFonts w:cs="Calibri"/>
                <w:b/>
                <w:bCs/>
                <w:color w:val="000000"/>
              </w:rPr>
            </w:pPr>
            <w:r w:rsidRPr="00904CBE">
              <w:rPr>
                <w:rFonts w:cs="Calibri"/>
                <w:b/>
                <w:bCs/>
                <w:color w:val="000000"/>
              </w:rPr>
              <w:t>Barrier</w:t>
            </w:r>
          </w:p>
        </w:tc>
        <w:tc>
          <w:tcPr>
            <w:tcW w:w="1220" w:type="dxa"/>
            <w:tcBorders>
              <w:top w:val="single" w:sz="4" w:space="0" w:color="auto"/>
              <w:left w:val="nil"/>
              <w:bottom w:val="single" w:sz="4" w:space="0" w:color="auto"/>
              <w:right w:val="single" w:sz="4" w:space="0" w:color="auto"/>
            </w:tcBorders>
            <w:shd w:val="clear" w:color="DCE6F1" w:fill="DCE6F1"/>
            <w:noWrap/>
            <w:vAlign w:val="bottom"/>
            <w:hideMark/>
          </w:tcPr>
          <w:p w:rsidR="0040521B" w:rsidRPr="00904CBE" w:rsidRDefault="0040521B" w:rsidP="0053283A">
            <w:pPr>
              <w:jc w:val="center"/>
              <w:rPr>
                <w:rFonts w:cs="Calibri"/>
                <w:b/>
                <w:bCs/>
                <w:color w:val="000000"/>
              </w:rPr>
            </w:pPr>
            <w:r w:rsidRPr="00904CBE">
              <w:rPr>
                <w:rFonts w:cs="Calibri"/>
                <w:b/>
                <w:bCs/>
                <w:color w:val="000000"/>
              </w:rPr>
              <w:t>SA</w:t>
            </w:r>
          </w:p>
        </w:tc>
        <w:tc>
          <w:tcPr>
            <w:tcW w:w="1269" w:type="dxa"/>
            <w:tcBorders>
              <w:top w:val="single" w:sz="4" w:space="0" w:color="auto"/>
              <w:left w:val="nil"/>
              <w:bottom w:val="single" w:sz="4" w:space="0" w:color="auto"/>
              <w:right w:val="single" w:sz="4" w:space="0" w:color="auto"/>
            </w:tcBorders>
            <w:shd w:val="clear" w:color="DCE6F1" w:fill="DCE6F1"/>
            <w:noWrap/>
            <w:vAlign w:val="bottom"/>
            <w:hideMark/>
          </w:tcPr>
          <w:p w:rsidR="0040521B" w:rsidRPr="00904CBE" w:rsidRDefault="0040521B" w:rsidP="0053283A">
            <w:pPr>
              <w:jc w:val="center"/>
              <w:rPr>
                <w:rFonts w:cs="Calibri"/>
                <w:b/>
                <w:bCs/>
                <w:color w:val="000000"/>
              </w:rPr>
            </w:pPr>
            <w:r w:rsidRPr="00904CBE">
              <w:rPr>
                <w:rFonts w:cs="Calibri"/>
                <w:b/>
                <w:bCs/>
                <w:color w:val="000000"/>
              </w:rPr>
              <w:t>National</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Abuse/Domestic Violence issue</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16%</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10%</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Alcohol and/or drug misuse</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26%</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19%</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Anger management issues</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32%</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30%</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Behavioural problems</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42%</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50%</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Bullying</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26%</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25%</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Critical life event</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22%</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16%</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Current or previous Juvenile Justice Orders</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16%</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10%</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Disability</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6%</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5%</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Disconnection from cultural heritage</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3%</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5%</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Financial distress</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44%</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28%</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Gifted</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1%</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1%</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Homelessness</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7%</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4%</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In detention/previously in detention</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5%</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3%</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Inadequate family support</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37%</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27%</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Learning Difficulty</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10%</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8%</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Low literacy and/or numeracy</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50%</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49%</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Low Self Esteem</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57%</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55%</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Medical or other health issue</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13%</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10%</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Negative experience(s) with education and training</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16%</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11%</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Out of home care</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3%</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4%</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Parent/Pregnancy</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5%</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3%</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Petrol sniffing</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0%</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0%</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Socialisation issues</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46%</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42%</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Suspected or diagnosed mental health issue</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38%</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27%</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Unstable living arrangements</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26%</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18%</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Volatile substance misuse</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1%</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0%</w:t>
            </w:r>
          </w:p>
        </w:tc>
      </w:tr>
      <w:tr w:rsidR="0040521B" w:rsidRPr="00904CBE" w:rsidTr="0053283A">
        <w:trPr>
          <w:trHeight w:val="348"/>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rsidR="0040521B" w:rsidRPr="00904CBE" w:rsidRDefault="0040521B" w:rsidP="0053283A">
            <w:pPr>
              <w:rPr>
                <w:rFonts w:cs="Calibri"/>
                <w:color w:val="000000"/>
              </w:rPr>
            </w:pPr>
            <w:r w:rsidRPr="00904CBE">
              <w:rPr>
                <w:rFonts w:cs="Calibri"/>
                <w:color w:val="000000"/>
              </w:rPr>
              <w:t>Young Carer responsibilities</w:t>
            </w:r>
          </w:p>
        </w:tc>
        <w:tc>
          <w:tcPr>
            <w:tcW w:w="1220"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5%</w:t>
            </w:r>
          </w:p>
        </w:tc>
        <w:tc>
          <w:tcPr>
            <w:tcW w:w="1269" w:type="dxa"/>
            <w:tcBorders>
              <w:top w:val="nil"/>
              <w:left w:val="nil"/>
              <w:bottom w:val="single" w:sz="4" w:space="0" w:color="auto"/>
              <w:right w:val="single" w:sz="4" w:space="0" w:color="auto"/>
            </w:tcBorders>
            <w:shd w:val="clear" w:color="auto" w:fill="auto"/>
            <w:noWrap/>
            <w:vAlign w:val="bottom"/>
            <w:hideMark/>
          </w:tcPr>
          <w:p w:rsidR="0040521B" w:rsidRPr="00904CBE" w:rsidRDefault="0040521B" w:rsidP="0053283A">
            <w:pPr>
              <w:jc w:val="right"/>
              <w:rPr>
                <w:rFonts w:cs="Calibri"/>
                <w:color w:val="000000"/>
              </w:rPr>
            </w:pPr>
            <w:r w:rsidRPr="00904CBE">
              <w:rPr>
                <w:rFonts w:cs="Calibri"/>
                <w:color w:val="000000"/>
              </w:rPr>
              <w:t>4%</w:t>
            </w:r>
          </w:p>
        </w:tc>
      </w:tr>
    </w:tbl>
    <w:p w:rsidR="0040521B" w:rsidRDefault="0040521B" w:rsidP="0040521B">
      <w:pPr>
        <w:rPr>
          <w:noProof/>
        </w:rPr>
      </w:pPr>
    </w:p>
    <w:p w:rsidR="001E6A9D" w:rsidRDefault="001E6A9D">
      <w:pPr>
        <w:spacing w:after="200"/>
        <w:rPr>
          <w:noProof/>
        </w:rPr>
      </w:pPr>
      <w:r>
        <w:rPr>
          <w:noProof/>
        </w:rPr>
        <w:br w:type="page"/>
      </w:r>
    </w:p>
    <w:p w:rsidR="0040521B" w:rsidRDefault="0040521B" w:rsidP="001E6A9D">
      <w:pPr>
        <w:pStyle w:val="Heading4"/>
      </w:pPr>
      <w:r>
        <w:lastRenderedPageBreak/>
        <w:t>Figure 7</w:t>
      </w:r>
      <w:r w:rsidRPr="00BE6EBE">
        <w:t xml:space="preserve">: </w:t>
      </w:r>
      <w:r>
        <w:t>SA</w:t>
      </w:r>
      <w:r w:rsidRPr="00BE6EBE">
        <w:t xml:space="preserve"> Participant Barriers by</w:t>
      </w:r>
      <w:r>
        <w:t xml:space="preserve"> </w:t>
      </w:r>
      <w:r w:rsidRPr="00BE6EBE">
        <w:t>Connection Level</w:t>
      </w:r>
    </w:p>
    <w:p w:rsidR="001E6A9D" w:rsidRDefault="001E6A9D" w:rsidP="0040521B">
      <w:pPr>
        <w:rPr>
          <w:b/>
          <w:bCs/>
          <w:color w:val="4F81BD" w:themeColor="accent1"/>
          <w:sz w:val="18"/>
          <w:szCs w:val="18"/>
        </w:rPr>
      </w:pPr>
    </w:p>
    <w:p w:rsidR="0040521B" w:rsidRDefault="0040521B" w:rsidP="0040521B">
      <w:pPr>
        <w:rPr>
          <w:noProof/>
        </w:rPr>
      </w:pPr>
      <w:r>
        <w:rPr>
          <w:noProof/>
          <w:lang w:eastAsia="en-AU"/>
        </w:rPr>
        <w:drawing>
          <wp:inline distT="0" distB="0" distL="0" distR="0" wp14:anchorId="5E5282C5" wp14:editId="1E6F9CDB">
            <wp:extent cx="5783035" cy="8185378"/>
            <wp:effectExtent l="0" t="0" r="8255" b="6350"/>
            <wp:docPr id="5" name="Chart 5" descr="SA percentage of participants who have been identified as having a barrier, graphic representation of table 9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0521B" w:rsidRDefault="0040521B" w:rsidP="0040521B">
      <w:pPr>
        <w:rPr>
          <w:noProof/>
        </w:rPr>
      </w:pPr>
    </w:p>
    <w:p w:rsidR="0040521B" w:rsidRDefault="0040521B" w:rsidP="00934BC4">
      <w:pPr>
        <w:pStyle w:val="Heading3"/>
      </w:pPr>
      <w:r>
        <w:lastRenderedPageBreak/>
        <w:t>Table 9</w:t>
      </w:r>
      <w:r w:rsidRPr="001553A9">
        <w:t xml:space="preserve">: </w:t>
      </w:r>
      <w:r>
        <w:t xml:space="preserve">SA - </w:t>
      </w:r>
      <w:r w:rsidRPr="001553A9">
        <w:t>Percentage of participants identified as having barrier, by Connection Level</w:t>
      </w:r>
    </w:p>
    <w:tbl>
      <w:tblPr>
        <w:tblStyle w:val="TableGrid"/>
        <w:tblW w:w="0" w:type="auto"/>
        <w:tblLook w:val="04A0" w:firstRow="1" w:lastRow="0" w:firstColumn="1" w:lastColumn="0" w:noHBand="0" w:noVBand="1"/>
        <w:tblDescription w:val="Table 9: SA - Percentage of participants identified as having barrier, by Connection Level"/>
      </w:tblPr>
      <w:tblGrid>
        <w:gridCol w:w="6345"/>
        <w:gridCol w:w="993"/>
        <w:gridCol w:w="1134"/>
        <w:gridCol w:w="1134"/>
      </w:tblGrid>
      <w:tr w:rsidR="0040521B" w:rsidRPr="001553A9" w:rsidTr="0058742A">
        <w:trPr>
          <w:tblHeader/>
        </w:trPr>
        <w:tc>
          <w:tcPr>
            <w:tcW w:w="6345" w:type="dxa"/>
            <w:shd w:val="clear" w:color="auto" w:fill="C6D9F1" w:themeFill="text2" w:themeFillTint="33"/>
          </w:tcPr>
          <w:p w:rsidR="0040521B" w:rsidRPr="001553A9" w:rsidRDefault="0040521B" w:rsidP="0053283A">
            <w:pPr>
              <w:jc w:val="center"/>
              <w:rPr>
                <w:b/>
              </w:rPr>
            </w:pPr>
            <w:r w:rsidRPr="001553A9">
              <w:rPr>
                <w:b/>
              </w:rPr>
              <w:t>Barrier</w:t>
            </w:r>
          </w:p>
        </w:tc>
        <w:tc>
          <w:tcPr>
            <w:tcW w:w="993" w:type="dxa"/>
            <w:shd w:val="clear" w:color="auto" w:fill="C6D9F1" w:themeFill="text2" w:themeFillTint="33"/>
          </w:tcPr>
          <w:p w:rsidR="0040521B" w:rsidRPr="001553A9" w:rsidRDefault="0040521B" w:rsidP="0053283A">
            <w:pPr>
              <w:jc w:val="center"/>
              <w:rPr>
                <w:b/>
              </w:rPr>
            </w:pPr>
            <w:r>
              <w:rPr>
                <w:b/>
              </w:rPr>
              <w:t>SA</w:t>
            </w:r>
            <w:r w:rsidRPr="001553A9">
              <w:rPr>
                <w:b/>
              </w:rPr>
              <w:t xml:space="preserve"> Level 1</w:t>
            </w:r>
          </w:p>
        </w:tc>
        <w:tc>
          <w:tcPr>
            <w:tcW w:w="1134" w:type="dxa"/>
            <w:shd w:val="clear" w:color="auto" w:fill="C6D9F1" w:themeFill="text2" w:themeFillTint="33"/>
          </w:tcPr>
          <w:p w:rsidR="0040521B" w:rsidRPr="001553A9" w:rsidRDefault="0040521B" w:rsidP="0053283A">
            <w:pPr>
              <w:jc w:val="center"/>
              <w:rPr>
                <w:b/>
              </w:rPr>
            </w:pPr>
            <w:r>
              <w:rPr>
                <w:b/>
              </w:rPr>
              <w:t>SA</w:t>
            </w:r>
            <w:r w:rsidRPr="001553A9">
              <w:rPr>
                <w:b/>
              </w:rPr>
              <w:t xml:space="preserve"> Level </w:t>
            </w:r>
            <w:proofErr w:type="spellStart"/>
            <w:r w:rsidRPr="001553A9">
              <w:rPr>
                <w:b/>
              </w:rPr>
              <w:t>2a</w:t>
            </w:r>
            <w:proofErr w:type="spellEnd"/>
          </w:p>
        </w:tc>
        <w:tc>
          <w:tcPr>
            <w:tcW w:w="1134" w:type="dxa"/>
            <w:shd w:val="clear" w:color="auto" w:fill="C6D9F1" w:themeFill="text2" w:themeFillTint="33"/>
          </w:tcPr>
          <w:p w:rsidR="0040521B" w:rsidRPr="001553A9" w:rsidRDefault="0040521B" w:rsidP="0053283A">
            <w:pPr>
              <w:jc w:val="center"/>
              <w:rPr>
                <w:b/>
              </w:rPr>
            </w:pPr>
            <w:r>
              <w:rPr>
                <w:b/>
              </w:rPr>
              <w:t>SA</w:t>
            </w:r>
            <w:r w:rsidRPr="001553A9">
              <w:rPr>
                <w:b/>
              </w:rPr>
              <w:t xml:space="preserve"> Level </w:t>
            </w:r>
            <w:proofErr w:type="spellStart"/>
            <w:r w:rsidRPr="001553A9">
              <w:rPr>
                <w:b/>
              </w:rPr>
              <w:t>2b</w:t>
            </w:r>
            <w:proofErr w:type="spellEnd"/>
          </w:p>
        </w:tc>
      </w:tr>
      <w:tr w:rsidR="0040521B" w:rsidRPr="0051278F" w:rsidTr="0053283A">
        <w:tc>
          <w:tcPr>
            <w:tcW w:w="6345" w:type="dxa"/>
          </w:tcPr>
          <w:p w:rsidR="0040521B" w:rsidRPr="0051278F" w:rsidRDefault="0040521B" w:rsidP="0053283A">
            <w:r w:rsidRPr="0051278F">
              <w:t>Abuse/Domestic Violence issue</w:t>
            </w:r>
          </w:p>
        </w:tc>
        <w:tc>
          <w:tcPr>
            <w:tcW w:w="993" w:type="dxa"/>
            <w:vAlign w:val="bottom"/>
          </w:tcPr>
          <w:p w:rsidR="0040521B" w:rsidRDefault="0040521B" w:rsidP="0053283A">
            <w:pPr>
              <w:jc w:val="right"/>
              <w:rPr>
                <w:rFonts w:cs="Calibri"/>
                <w:color w:val="000000"/>
              </w:rPr>
            </w:pPr>
            <w:r>
              <w:rPr>
                <w:rFonts w:cs="Calibri"/>
                <w:color w:val="000000"/>
              </w:rPr>
              <w:t>12%</w:t>
            </w:r>
          </w:p>
        </w:tc>
        <w:tc>
          <w:tcPr>
            <w:tcW w:w="1134" w:type="dxa"/>
            <w:vAlign w:val="bottom"/>
          </w:tcPr>
          <w:p w:rsidR="0040521B" w:rsidRDefault="0040521B" w:rsidP="0053283A">
            <w:pPr>
              <w:jc w:val="right"/>
              <w:rPr>
                <w:rFonts w:cs="Calibri"/>
                <w:color w:val="000000"/>
              </w:rPr>
            </w:pPr>
            <w:r>
              <w:rPr>
                <w:rFonts w:cs="Calibri"/>
                <w:color w:val="000000"/>
              </w:rPr>
              <w:t>18%</w:t>
            </w:r>
          </w:p>
        </w:tc>
        <w:tc>
          <w:tcPr>
            <w:tcW w:w="1134" w:type="dxa"/>
            <w:vAlign w:val="bottom"/>
          </w:tcPr>
          <w:p w:rsidR="0040521B" w:rsidRDefault="0040521B" w:rsidP="0053283A">
            <w:pPr>
              <w:jc w:val="right"/>
              <w:rPr>
                <w:rFonts w:cs="Calibri"/>
                <w:color w:val="000000"/>
              </w:rPr>
            </w:pPr>
            <w:r>
              <w:rPr>
                <w:rFonts w:cs="Calibri"/>
                <w:color w:val="000000"/>
              </w:rPr>
              <w:t>16%</w:t>
            </w:r>
          </w:p>
        </w:tc>
      </w:tr>
      <w:tr w:rsidR="0040521B" w:rsidRPr="0051278F" w:rsidTr="0053283A">
        <w:tc>
          <w:tcPr>
            <w:tcW w:w="6345" w:type="dxa"/>
          </w:tcPr>
          <w:p w:rsidR="0040521B" w:rsidRPr="0051278F" w:rsidRDefault="0040521B" w:rsidP="0053283A">
            <w:r w:rsidRPr="0051278F">
              <w:t>Alcohol and/or drug misuse</w:t>
            </w:r>
          </w:p>
        </w:tc>
        <w:tc>
          <w:tcPr>
            <w:tcW w:w="993" w:type="dxa"/>
            <w:vAlign w:val="bottom"/>
          </w:tcPr>
          <w:p w:rsidR="0040521B" w:rsidRDefault="0040521B" w:rsidP="0053283A">
            <w:pPr>
              <w:jc w:val="right"/>
              <w:rPr>
                <w:rFonts w:cs="Calibri"/>
                <w:color w:val="000000"/>
              </w:rPr>
            </w:pPr>
            <w:r>
              <w:rPr>
                <w:rFonts w:cs="Calibri"/>
                <w:color w:val="000000"/>
              </w:rPr>
              <w:t>12%</w:t>
            </w:r>
          </w:p>
        </w:tc>
        <w:tc>
          <w:tcPr>
            <w:tcW w:w="1134" w:type="dxa"/>
            <w:vAlign w:val="bottom"/>
          </w:tcPr>
          <w:p w:rsidR="0040521B" w:rsidRDefault="0040521B" w:rsidP="0053283A">
            <w:pPr>
              <w:jc w:val="right"/>
              <w:rPr>
                <w:rFonts w:cs="Calibri"/>
                <w:color w:val="000000"/>
              </w:rPr>
            </w:pPr>
            <w:r>
              <w:rPr>
                <w:rFonts w:cs="Calibri"/>
                <w:color w:val="000000"/>
              </w:rPr>
              <w:t>23%</w:t>
            </w:r>
          </w:p>
        </w:tc>
        <w:tc>
          <w:tcPr>
            <w:tcW w:w="1134" w:type="dxa"/>
            <w:vAlign w:val="bottom"/>
          </w:tcPr>
          <w:p w:rsidR="0040521B" w:rsidRDefault="0040521B" w:rsidP="0053283A">
            <w:pPr>
              <w:jc w:val="right"/>
              <w:rPr>
                <w:rFonts w:cs="Calibri"/>
                <w:color w:val="000000"/>
              </w:rPr>
            </w:pPr>
            <w:r>
              <w:rPr>
                <w:rFonts w:cs="Calibri"/>
                <w:color w:val="000000"/>
              </w:rPr>
              <w:t>32%</w:t>
            </w:r>
          </w:p>
        </w:tc>
      </w:tr>
      <w:tr w:rsidR="0040521B" w:rsidRPr="0051278F" w:rsidTr="0053283A">
        <w:tc>
          <w:tcPr>
            <w:tcW w:w="6345" w:type="dxa"/>
          </w:tcPr>
          <w:p w:rsidR="0040521B" w:rsidRPr="0051278F" w:rsidRDefault="0040521B" w:rsidP="0053283A">
            <w:r w:rsidRPr="0051278F">
              <w:t>Anger management issues</w:t>
            </w:r>
          </w:p>
        </w:tc>
        <w:tc>
          <w:tcPr>
            <w:tcW w:w="993" w:type="dxa"/>
            <w:vAlign w:val="bottom"/>
          </w:tcPr>
          <w:p w:rsidR="0040521B" w:rsidRDefault="0040521B" w:rsidP="0053283A">
            <w:pPr>
              <w:jc w:val="right"/>
              <w:rPr>
                <w:rFonts w:cs="Calibri"/>
                <w:color w:val="000000"/>
              </w:rPr>
            </w:pPr>
            <w:r>
              <w:rPr>
                <w:rFonts w:cs="Calibri"/>
                <w:color w:val="000000"/>
              </w:rPr>
              <w:t>34%</w:t>
            </w:r>
          </w:p>
        </w:tc>
        <w:tc>
          <w:tcPr>
            <w:tcW w:w="1134" w:type="dxa"/>
            <w:vAlign w:val="bottom"/>
          </w:tcPr>
          <w:p w:rsidR="0040521B" w:rsidRDefault="0040521B" w:rsidP="0053283A">
            <w:pPr>
              <w:jc w:val="right"/>
              <w:rPr>
                <w:rFonts w:cs="Calibri"/>
                <w:color w:val="000000"/>
              </w:rPr>
            </w:pPr>
            <w:r>
              <w:rPr>
                <w:rFonts w:cs="Calibri"/>
                <w:color w:val="000000"/>
              </w:rPr>
              <w:t>35%</w:t>
            </w:r>
          </w:p>
        </w:tc>
        <w:tc>
          <w:tcPr>
            <w:tcW w:w="1134" w:type="dxa"/>
            <w:vAlign w:val="bottom"/>
          </w:tcPr>
          <w:p w:rsidR="0040521B" w:rsidRDefault="0040521B" w:rsidP="0053283A">
            <w:pPr>
              <w:jc w:val="right"/>
              <w:rPr>
                <w:rFonts w:cs="Calibri"/>
                <w:color w:val="000000"/>
              </w:rPr>
            </w:pPr>
            <w:r>
              <w:rPr>
                <w:rFonts w:cs="Calibri"/>
                <w:color w:val="000000"/>
              </w:rPr>
              <w:t>31%</w:t>
            </w:r>
          </w:p>
        </w:tc>
      </w:tr>
      <w:tr w:rsidR="0040521B" w:rsidRPr="0051278F" w:rsidTr="0053283A">
        <w:tc>
          <w:tcPr>
            <w:tcW w:w="6345" w:type="dxa"/>
          </w:tcPr>
          <w:p w:rsidR="0040521B" w:rsidRPr="0051278F" w:rsidRDefault="0040521B" w:rsidP="0053283A">
            <w:r w:rsidRPr="0051278F">
              <w:t>Behavioural problems</w:t>
            </w:r>
          </w:p>
        </w:tc>
        <w:tc>
          <w:tcPr>
            <w:tcW w:w="993" w:type="dxa"/>
            <w:vAlign w:val="bottom"/>
          </w:tcPr>
          <w:p w:rsidR="0040521B" w:rsidRDefault="0040521B" w:rsidP="0053283A">
            <w:pPr>
              <w:jc w:val="right"/>
              <w:rPr>
                <w:rFonts w:cs="Calibri"/>
                <w:color w:val="000000"/>
              </w:rPr>
            </w:pPr>
            <w:r>
              <w:rPr>
                <w:rFonts w:cs="Calibri"/>
                <w:color w:val="000000"/>
              </w:rPr>
              <w:t>54%</w:t>
            </w:r>
          </w:p>
        </w:tc>
        <w:tc>
          <w:tcPr>
            <w:tcW w:w="1134" w:type="dxa"/>
            <w:vAlign w:val="bottom"/>
          </w:tcPr>
          <w:p w:rsidR="0040521B" w:rsidRDefault="0040521B" w:rsidP="0053283A">
            <w:pPr>
              <w:jc w:val="right"/>
              <w:rPr>
                <w:rFonts w:cs="Calibri"/>
                <w:color w:val="000000"/>
              </w:rPr>
            </w:pPr>
            <w:r>
              <w:rPr>
                <w:rFonts w:cs="Calibri"/>
                <w:color w:val="000000"/>
              </w:rPr>
              <w:t>50%</w:t>
            </w:r>
          </w:p>
        </w:tc>
        <w:tc>
          <w:tcPr>
            <w:tcW w:w="1134" w:type="dxa"/>
            <w:vAlign w:val="bottom"/>
          </w:tcPr>
          <w:p w:rsidR="0040521B" w:rsidRDefault="0040521B" w:rsidP="0053283A">
            <w:pPr>
              <w:jc w:val="right"/>
              <w:rPr>
                <w:rFonts w:cs="Calibri"/>
                <w:color w:val="000000"/>
              </w:rPr>
            </w:pPr>
            <w:r>
              <w:rPr>
                <w:rFonts w:cs="Calibri"/>
                <w:color w:val="000000"/>
              </w:rPr>
              <w:t>36%</w:t>
            </w:r>
          </w:p>
        </w:tc>
      </w:tr>
      <w:tr w:rsidR="0040521B" w:rsidRPr="0051278F" w:rsidTr="0053283A">
        <w:tc>
          <w:tcPr>
            <w:tcW w:w="6345" w:type="dxa"/>
          </w:tcPr>
          <w:p w:rsidR="0040521B" w:rsidRPr="0051278F" w:rsidRDefault="0040521B" w:rsidP="0053283A">
            <w:r w:rsidRPr="0051278F">
              <w:t>Bullying</w:t>
            </w:r>
          </w:p>
        </w:tc>
        <w:tc>
          <w:tcPr>
            <w:tcW w:w="993" w:type="dxa"/>
            <w:vAlign w:val="bottom"/>
          </w:tcPr>
          <w:p w:rsidR="0040521B" w:rsidRDefault="0040521B" w:rsidP="0053283A">
            <w:pPr>
              <w:jc w:val="right"/>
              <w:rPr>
                <w:rFonts w:cs="Calibri"/>
                <w:color w:val="000000"/>
              </w:rPr>
            </w:pPr>
            <w:r>
              <w:rPr>
                <w:rFonts w:cs="Calibri"/>
                <w:color w:val="000000"/>
              </w:rPr>
              <w:t>35%</w:t>
            </w:r>
          </w:p>
        </w:tc>
        <w:tc>
          <w:tcPr>
            <w:tcW w:w="1134" w:type="dxa"/>
            <w:vAlign w:val="bottom"/>
          </w:tcPr>
          <w:p w:rsidR="0040521B" w:rsidRDefault="0040521B" w:rsidP="0053283A">
            <w:pPr>
              <w:jc w:val="right"/>
              <w:rPr>
                <w:rFonts w:cs="Calibri"/>
                <w:color w:val="000000"/>
              </w:rPr>
            </w:pPr>
            <w:r>
              <w:rPr>
                <w:rFonts w:cs="Calibri"/>
                <w:color w:val="000000"/>
              </w:rPr>
              <w:t>31%</w:t>
            </w:r>
          </w:p>
        </w:tc>
        <w:tc>
          <w:tcPr>
            <w:tcW w:w="1134" w:type="dxa"/>
            <w:vAlign w:val="bottom"/>
          </w:tcPr>
          <w:p w:rsidR="0040521B" w:rsidRDefault="0040521B" w:rsidP="0053283A">
            <w:pPr>
              <w:jc w:val="right"/>
              <w:rPr>
                <w:rFonts w:cs="Calibri"/>
                <w:color w:val="000000"/>
              </w:rPr>
            </w:pPr>
            <w:r>
              <w:rPr>
                <w:rFonts w:cs="Calibri"/>
                <w:color w:val="000000"/>
              </w:rPr>
              <w:t>21%</w:t>
            </w:r>
          </w:p>
        </w:tc>
      </w:tr>
      <w:tr w:rsidR="0040521B" w:rsidRPr="0051278F" w:rsidTr="0053283A">
        <w:tc>
          <w:tcPr>
            <w:tcW w:w="6345" w:type="dxa"/>
          </w:tcPr>
          <w:p w:rsidR="0040521B" w:rsidRPr="0051278F" w:rsidRDefault="0040521B" w:rsidP="0053283A">
            <w:r w:rsidRPr="0051278F">
              <w:t>Critical life event</w:t>
            </w:r>
          </w:p>
        </w:tc>
        <w:tc>
          <w:tcPr>
            <w:tcW w:w="993" w:type="dxa"/>
            <w:vAlign w:val="bottom"/>
          </w:tcPr>
          <w:p w:rsidR="0040521B" w:rsidRDefault="0040521B" w:rsidP="0053283A">
            <w:pPr>
              <w:jc w:val="right"/>
              <w:rPr>
                <w:rFonts w:cs="Calibri"/>
                <w:color w:val="000000"/>
              </w:rPr>
            </w:pPr>
            <w:r>
              <w:rPr>
                <w:rFonts w:cs="Calibri"/>
                <w:color w:val="000000"/>
              </w:rPr>
              <w:t>20%</w:t>
            </w:r>
          </w:p>
        </w:tc>
        <w:tc>
          <w:tcPr>
            <w:tcW w:w="1134" w:type="dxa"/>
            <w:vAlign w:val="bottom"/>
          </w:tcPr>
          <w:p w:rsidR="0040521B" w:rsidRDefault="0040521B" w:rsidP="0053283A">
            <w:pPr>
              <w:jc w:val="right"/>
              <w:rPr>
                <w:rFonts w:cs="Calibri"/>
                <w:color w:val="000000"/>
              </w:rPr>
            </w:pPr>
            <w:r>
              <w:rPr>
                <w:rFonts w:cs="Calibri"/>
                <w:color w:val="000000"/>
              </w:rPr>
              <w:t>24%</w:t>
            </w:r>
          </w:p>
        </w:tc>
        <w:tc>
          <w:tcPr>
            <w:tcW w:w="1134" w:type="dxa"/>
            <w:vAlign w:val="bottom"/>
          </w:tcPr>
          <w:p w:rsidR="0040521B" w:rsidRDefault="0040521B" w:rsidP="0053283A">
            <w:pPr>
              <w:jc w:val="right"/>
              <w:rPr>
                <w:rFonts w:cs="Calibri"/>
                <w:color w:val="000000"/>
              </w:rPr>
            </w:pPr>
            <w:r>
              <w:rPr>
                <w:rFonts w:cs="Calibri"/>
                <w:color w:val="000000"/>
              </w:rPr>
              <w:t>22%</w:t>
            </w:r>
          </w:p>
        </w:tc>
      </w:tr>
      <w:tr w:rsidR="0040521B" w:rsidRPr="0051278F" w:rsidTr="0053283A">
        <w:tc>
          <w:tcPr>
            <w:tcW w:w="6345" w:type="dxa"/>
          </w:tcPr>
          <w:p w:rsidR="0040521B" w:rsidRPr="0051278F" w:rsidRDefault="0040521B" w:rsidP="0053283A">
            <w:r w:rsidRPr="0051278F">
              <w:t>Current or previous Juvenile Justice Orders</w:t>
            </w:r>
          </w:p>
        </w:tc>
        <w:tc>
          <w:tcPr>
            <w:tcW w:w="993" w:type="dxa"/>
            <w:vAlign w:val="bottom"/>
          </w:tcPr>
          <w:p w:rsidR="0040521B" w:rsidRDefault="0040521B" w:rsidP="0053283A">
            <w:pPr>
              <w:jc w:val="right"/>
              <w:rPr>
                <w:rFonts w:cs="Calibri"/>
                <w:color w:val="000000"/>
              </w:rPr>
            </w:pPr>
            <w:r>
              <w:rPr>
                <w:rFonts w:cs="Calibri"/>
                <w:color w:val="000000"/>
              </w:rPr>
              <w:t>6%</w:t>
            </w:r>
          </w:p>
        </w:tc>
        <w:tc>
          <w:tcPr>
            <w:tcW w:w="1134" w:type="dxa"/>
            <w:vAlign w:val="bottom"/>
          </w:tcPr>
          <w:p w:rsidR="0040521B" w:rsidRDefault="0040521B" w:rsidP="0053283A">
            <w:pPr>
              <w:jc w:val="right"/>
              <w:rPr>
                <w:rFonts w:cs="Calibri"/>
                <w:color w:val="000000"/>
              </w:rPr>
            </w:pPr>
            <w:r>
              <w:rPr>
                <w:rFonts w:cs="Calibri"/>
                <w:color w:val="000000"/>
              </w:rPr>
              <w:t>11%</w:t>
            </w:r>
          </w:p>
        </w:tc>
        <w:tc>
          <w:tcPr>
            <w:tcW w:w="1134" w:type="dxa"/>
            <w:vAlign w:val="bottom"/>
          </w:tcPr>
          <w:p w:rsidR="0040521B" w:rsidRDefault="0040521B" w:rsidP="0053283A">
            <w:pPr>
              <w:jc w:val="right"/>
              <w:rPr>
                <w:rFonts w:cs="Calibri"/>
                <w:color w:val="000000"/>
              </w:rPr>
            </w:pPr>
            <w:r>
              <w:rPr>
                <w:rFonts w:cs="Calibri"/>
                <w:color w:val="000000"/>
              </w:rPr>
              <w:t>24%</w:t>
            </w:r>
          </w:p>
        </w:tc>
      </w:tr>
      <w:tr w:rsidR="0040521B" w:rsidRPr="0051278F" w:rsidTr="0053283A">
        <w:tc>
          <w:tcPr>
            <w:tcW w:w="6345" w:type="dxa"/>
          </w:tcPr>
          <w:p w:rsidR="0040521B" w:rsidRPr="0051278F" w:rsidRDefault="0040521B" w:rsidP="0053283A">
            <w:r w:rsidRPr="0051278F">
              <w:t>Disability</w:t>
            </w:r>
          </w:p>
        </w:tc>
        <w:tc>
          <w:tcPr>
            <w:tcW w:w="993" w:type="dxa"/>
            <w:vAlign w:val="bottom"/>
          </w:tcPr>
          <w:p w:rsidR="0040521B" w:rsidRDefault="0040521B" w:rsidP="0053283A">
            <w:pPr>
              <w:jc w:val="right"/>
              <w:rPr>
                <w:rFonts w:cs="Calibri"/>
                <w:color w:val="000000"/>
              </w:rPr>
            </w:pPr>
            <w:r>
              <w:rPr>
                <w:rFonts w:cs="Calibri"/>
                <w:color w:val="000000"/>
              </w:rPr>
              <w:t>9%</w:t>
            </w:r>
          </w:p>
        </w:tc>
        <w:tc>
          <w:tcPr>
            <w:tcW w:w="1134" w:type="dxa"/>
            <w:vAlign w:val="bottom"/>
          </w:tcPr>
          <w:p w:rsidR="0040521B" w:rsidRDefault="0040521B" w:rsidP="0053283A">
            <w:pPr>
              <w:jc w:val="right"/>
              <w:rPr>
                <w:rFonts w:cs="Calibri"/>
                <w:color w:val="000000"/>
              </w:rPr>
            </w:pPr>
            <w:r>
              <w:rPr>
                <w:rFonts w:cs="Calibri"/>
                <w:color w:val="000000"/>
              </w:rPr>
              <w:t>6%</w:t>
            </w:r>
          </w:p>
        </w:tc>
        <w:tc>
          <w:tcPr>
            <w:tcW w:w="1134" w:type="dxa"/>
            <w:vAlign w:val="bottom"/>
          </w:tcPr>
          <w:p w:rsidR="0040521B" w:rsidRDefault="0040521B" w:rsidP="0053283A">
            <w:pPr>
              <w:jc w:val="right"/>
              <w:rPr>
                <w:rFonts w:cs="Calibri"/>
                <w:color w:val="000000"/>
              </w:rPr>
            </w:pPr>
            <w:r>
              <w:rPr>
                <w:rFonts w:cs="Calibri"/>
                <w:color w:val="000000"/>
              </w:rPr>
              <w:t>6%</w:t>
            </w:r>
          </w:p>
        </w:tc>
      </w:tr>
      <w:tr w:rsidR="0040521B" w:rsidRPr="0051278F" w:rsidTr="0053283A">
        <w:tc>
          <w:tcPr>
            <w:tcW w:w="6345" w:type="dxa"/>
          </w:tcPr>
          <w:p w:rsidR="0040521B" w:rsidRPr="0051278F" w:rsidRDefault="0040521B" w:rsidP="0053283A">
            <w:r w:rsidRPr="0051278F">
              <w:t>Disconnection from cultural heritage</w:t>
            </w:r>
          </w:p>
        </w:tc>
        <w:tc>
          <w:tcPr>
            <w:tcW w:w="993" w:type="dxa"/>
            <w:vAlign w:val="bottom"/>
          </w:tcPr>
          <w:p w:rsidR="0040521B" w:rsidRDefault="0040521B" w:rsidP="0053283A">
            <w:pPr>
              <w:jc w:val="right"/>
              <w:rPr>
                <w:rFonts w:cs="Calibri"/>
                <w:color w:val="000000"/>
              </w:rPr>
            </w:pPr>
            <w:r>
              <w:rPr>
                <w:rFonts w:cs="Calibri"/>
                <w:color w:val="000000"/>
              </w:rPr>
              <w:t>3%</w:t>
            </w:r>
          </w:p>
        </w:tc>
        <w:tc>
          <w:tcPr>
            <w:tcW w:w="1134" w:type="dxa"/>
            <w:vAlign w:val="bottom"/>
          </w:tcPr>
          <w:p w:rsidR="0040521B" w:rsidRDefault="0040521B" w:rsidP="0053283A">
            <w:pPr>
              <w:jc w:val="right"/>
              <w:rPr>
                <w:rFonts w:cs="Calibri"/>
                <w:color w:val="000000"/>
              </w:rPr>
            </w:pPr>
            <w:r>
              <w:rPr>
                <w:rFonts w:cs="Calibri"/>
                <w:color w:val="000000"/>
              </w:rPr>
              <w:t>3%</w:t>
            </w:r>
          </w:p>
        </w:tc>
        <w:tc>
          <w:tcPr>
            <w:tcW w:w="1134" w:type="dxa"/>
            <w:vAlign w:val="bottom"/>
          </w:tcPr>
          <w:p w:rsidR="0040521B" w:rsidRDefault="0040521B" w:rsidP="0053283A">
            <w:pPr>
              <w:jc w:val="right"/>
              <w:rPr>
                <w:rFonts w:cs="Calibri"/>
                <w:color w:val="000000"/>
              </w:rPr>
            </w:pPr>
            <w:r>
              <w:rPr>
                <w:rFonts w:cs="Calibri"/>
                <w:color w:val="000000"/>
              </w:rPr>
              <w:t>3%</w:t>
            </w:r>
          </w:p>
        </w:tc>
      </w:tr>
      <w:tr w:rsidR="0040521B" w:rsidRPr="0051278F" w:rsidTr="0053283A">
        <w:tc>
          <w:tcPr>
            <w:tcW w:w="6345" w:type="dxa"/>
          </w:tcPr>
          <w:p w:rsidR="0040521B" w:rsidRPr="0051278F" w:rsidRDefault="0040521B" w:rsidP="0053283A">
            <w:r w:rsidRPr="0051278F">
              <w:t>Financial distress</w:t>
            </w:r>
          </w:p>
        </w:tc>
        <w:tc>
          <w:tcPr>
            <w:tcW w:w="993" w:type="dxa"/>
            <w:vAlign w:val="bottom"/>
          </w:tcPr>
          <w:p w:rsidR="0040521B" w:rsidRDefault="0040521B" w:rsidP="0053283A">
            <w:pPr>
              <w:jc w:val="right"/>
              <w:rPr>
                <w:rFonts w:cs="Calibri"/>
                <w:color w:val="000000"/>
              </w:rPr>
            </w:pPr>
            <w:r>
              <w:rPr>
                <w:rFonts w:cs="Calibri"/>
                <w:color w:val="000000"/>
              </w:rPr>
              <w:t>21%</w:t>
            </w:r>
          </w:p>
        </w:tc>
        <w:tc>
          <w:tcPr>
            <w:tcW w:w="1134" w:type="dxa"/>
            <w:vAlign w:val="bottom"/>
          </w:tcPr>
          <w:p w:rsidR="0040521B" w:rsidRDefault="0040521B" w:rsidP="0053283A">
            <w:pPr>
              <w:jc w:val="right"/>
              <w:rPr>
                <w:rFonts w:cs="Calibri"/>
                <w:color w:val="000000"/>
              </w:rPr>
            </w:pPr>
            <w:r>
              <w:rPr>
                <w:rFonts w:cs="Calibri"/>
                <w:color w:val="000000"/>
              </w:rPr>
              <w:t>40%</w:t>
            </w:r>
          </w:p>
        </w:tc>
        <w:tc>
          <w:tcPr>
            <w:tcW w:w="1134" w:type="dxa"/>
            <w:vAlign w:val="bottom"/>
          </w:tcPr>
          <w:p w:rsidR="0040521B" w:rsidRDefault="0040521B" w:rsidP="0053283A">
            <w:pPr>
              <w:jc w:val="right"/>
              <w:rPr>
                <w:rFonts w:cs="Calibri"/>
                <w:color w:val="000000"/>
              </w:rPr>
            </w:pPr>
            <w:r>
              <w:rPr>
                <w:rFonts w:cs="Calibri"/>
                <w:color w:val="000000"/>
              </w:rPr>
              <w:t>54%</w:t>
            </w:r>
          </w:p>
        </w:tc>
      </w:tr>
      <w:tr w:rsidR="0040521B" w:rsidRPr="0051278F" w:rsidTr="0053283A">
        <w:tc>
          <w:tcPr>
            <w:tcW w:w="6345" w:type="dxa"/>
          </w:tcPr>
          <w:p w:rsidR="0040521B" w:rsidRPr="0051278F" w:rsidRDefault="0040521B" w:rsidP="0053283A">
            <w:r w:rsidRPr="0051278F">
              <w:t>Gifted</w:t>
            </w:r>
          </w:p>
        </w:tc>
        <w:tc>
          <w:tcPr>
            <w:tcW w:w="993" w:type="dxa"/>
            <w:vAlign w:val="bottom"/>
          </w:tcPr>
          <w:p w:rsidR="0040521B" w:rsidRDefault="0040521B" w:rsidP="0053283A">
            <w:pPr>
              <w:jc w:val="right"/>
              <w:rPr>
                <w:rFonts w:cs="Calibri"/>
                <w:color w:val="000000"/>
              </w:rPr>
            </w:pPr>
            <w:r>
              <w:rPr>
                <w:rFonts w:cs="Calibri"/>
                <w:color w:val="000000"/>
              </w:rPr>
              <w:t>1%</w:t>
            </w:r>
          </w:p>
        </w:tc>
        <w:tc>
          <w:tcPr>
            <w:tcW w:w="1134" w:type="dxa"/>
            <w:vAlign w:val="bottom"/>
          </w:tcPr>
          <w:p w:rsidR="0040521B" w:rsidRDefault="0040521B" w:rsidP="0053283A">
            <w:pPr>
              <w:jc w:val="right"/>
              <w:rPr>
                <w:rFonts w:cs="Calibri"/>
                <w:color w:val="000000"/>
              </w:rPr>
            </w:pPr>
            <w:r>
              <w:rPr>
                <w:rFonts w:cs="Calibri"/>
                <w:color w:val="000000"/>
              </w:rPr>
              <w:t>2%</w:t>
            </w:r>
          </w:p>
        </w:tc>
        <w:tc>
          <w:tcPr>
            <w:tcW w:w="1134" w:type="dxa"/>
            <w:vAlign w:val="bottom"/>
          </w:tcPr>
          <w:p w:rsidR="0040521B" w:rsidRDefault="0040521B" w:rsidP="0053283A">
            <w:pPr>
              <w:jc w:val="right"/>
              <w:rPr>
                <w:rFonts w:cs="Calibri"/>
                <w:color w:val="000000"/>
              </w:rPr>
            </w:pPr>
            <w:r>
              <w:rPr>
                <w:rFonts w:cs="Calibri"/>
                <w:color w:val="000000"/>
              </w:rPr>
              <w:t>1%</w:t>
            </w:r>
          </w:p>
        </w:tc>
      </w:tr>
      <w:tr w:rsidR="0040521B" w:rsidRPr="0051278F" w:rsidTr="0053283A">
        <w:tc>
          <w:tcPr>
            <w:tcW w:w="6345" w:type="dxa"/>
          </w:tcPr>
          <w:p w:rsidR="0040521B" w:rsidRPr="0051278F" w:rsidRDefault="0040521B" w:rsidP="0053283A">
            <w:r w:rsidRPr="0051278F">
              <w:t>Homelessness</w:t>
            </w:r>
          </w:p>
        </w:tc>
        <w:tc>
          <w:tcPr>
            <w:tcW w:w="993" w:type="dxa"/>
            <w:vAlign w:val="bottom"/>
          </w:tcPr>
          <w:p w:rsidR="0040521B" w:rsidRDefault="0040521B" w:rsidP="0053283A">
            <w:pPr>
              <w:jc w:val="right"/>
              <w:rPr>
                <w:rFonts w:cs="Calibri"/>
                <w:color w:val="000000"/>
              </w:rPr>
            </w:pPr>
            <w:r>
              <w:rPr>
                <w:rFonts w:cs="Calibri"/>
                <w:color w:val="000000"/>
              </w:rPr>
              <w:t>3%</w:t>
            </w:r>
          </w:p>
        </w:tc>
        <w:tc>
          <w:tcPr>
            <w:tcW w:w="1134" w:type="dxa"/>
            <w:vAlign w:val="bottom"/>
          </w:tcPr>
          <w:p w:rsidR="0040521B" w:rsidRDefault="0040521B" w:rsidP="0053283A">
            <w:pPr>
              <w:jc w:val="right"/>
              <w:rPr>
                <w:rFonts w:cs="Calibri"/>
                <w:color w:val="000000"/>
              </w:rPr>
            </w:pPr>
            <w:r>
              <w:rPr>
                <w:rFonts w:cs="Calibri"/>
                <w:color w:val="000000"/>
              </w:rPr>
              <w:t>5%</w:t>
            </w:r>
          </w:p>
        </w:tc>
        <w:tc>
          <w:tcPr>
            <w:tcW w:w="1134" w:type="dxa"/>
            <w:vAlign w:val="bottom"/>
          </w:tcPr>
          <w:p w:rsidR="0040521B" w:rsidRDefault="0040521B" w:rsidP="0053283A">
            <w:pPr>
              <w:jc w:val="right"/>
              <w:rPr>
                <w:rFonts w:cs="Calibri"/>
                <w:color w:val="000000"/>
              </w:rPr>
            </w:pPr>
            <w:r>
              <w:rPr>
                <w:rFonts w:cs="Calibri"/>
                <w:color w:val="000000"/>
              </w:rPr>
              <w:t>9%</w:t>
            </w:r>
          </w:p>
        </w:tc>
      </w:tr>
      <w:tr w:rsidR="0040521B" w:rsidRPr="0051278F" w:rsidTr="0053283A">
        <w:tc>
          <w:tcPr>
            <w:tcW w:w="6345" w:type="dxa"/>
          </w:tcPr>
          <w:p w:rsidR="0040521B" w:rsidRPr="0051278F" w:rsidRDefault="0040521B" w:rsidP="0053283A">
            <w:r w:rsidRPr="0051278F">
              <w:t>In detention/previously in detention</w:t>
            </w:r>
          </w:p>
        </w:tc>
        <w:tc>
          <w:tcPr>
            <w:tcW w:w="993" w:type="dxa"/>
            <w:vAlign w:val="bottom"/>
          </w:tcPr>
          <w:p w:rsidR="0040521B" w:rsidRDefault="0040521B" w:rsidP="0053283A">
            <w:pPr>
              <w:jc w:val="right"/>
              <w:rPr>
                <w:rFonts w:cs="Calibri"/>
                <w:color w:val="000000"/>
              </w:rPr>
            </w:pPr>
            <w:r>
              <w:rPr>
                <w:rFonts w:cs="Calibri"/>
                <w:color w:val="000000"/>
              </w:rPr>
              <w:t>1%</w:t>
            </w:r>
          </w:p>
        </w:tc>
        <w:tc>
          <w:tcPr>
            <w:tcW w:w="1134" w:type="dxa"/>
            <w:vAlign w:val="bottom"/>
          </w:tcPr>
          <w:p w:rsidR="0040521B" w:rsidRDefault="0040521B" w:rsidP="0053283A">
            <w:pPr>
              <w:jc w:val="right"/>
              <w:rPr>
                <w:rFonts w:cs="Calibri"/>
                <w:color w:val="000000"/>
              </w:rPr>
            </w:pPr>
            <w:r>
              <w:rPr>
                <w:rFonts w:cs="Calibri"/>
                <w:color w:val="000000"/>
              </w:rPr>
              <w:t>1%</w:t>
            </w:r>
          </w:p>
        </w:tc>
        <w:tc>
          <w:tcPr>
            <w:tcW w:w="1134" w:type="dxa"/>
            <w:vAlign w:val="bottom"/>
          </w:tcPr>
          <w:p w:rsidR="0040521B" w:rsidRDefault="0040521B" w:rsidP="0053283A">
            <w:pPr>
              <w:jc w:val="right"/>
              <w:rPr>
                <w:rFonts w:cs="Calibri"/>
                <w:color w:val="000000"/>
              </w:rPr>
            </w:pPr>
            <w:r>
              <w:rPr>
                <w:rFonts w:cs="Calibri"/>
                <w:color w:val="000000"/>
              </w:rPr>
              <w:t>9%</w:t>
            </w:r>
          </w:p>
        </w:tc>
      </w:tr>
      <w:tr w:rsidR="0040521B" w:rsidRPr="0051278F" w:rsidTr="0053283A">
        <w:tc>
          <w:tcPr>
            <w:tcW w:w="6345" w:type="dxa"/>
          </w:tcPr>
          <w:p w:rsidR="0040521B" w:rsidRPr="0051278F" w:rsidRDefault="0040521B" w:rsidP="0053283A">
            <w:r w:rsidRPr="0051278F">
              <w:t>Inadequate family support</w:t>
            </w:r>
          </w:p>
        </w:tc>
        <w:tc>
          <w:tcPr>
            <w:tcW w:w="993" w:type="dxa"/>
            <w:vAlign w:val="bottom"/>
          </w:tcPr>
          <w:p w:rsidR="0040521B" w:rsidRDefault="0040521B" w:rsidP="0053283A">
            <w:pPr>
              <w:jc w:val="right"/>
              <w:rPr>
                <w:rFonts w:cs="Calibri"/>
                <w:color w:val="000000"/>
              </w:rPr>
            </w:pPr>
            <w:r>
              <w:rPr>
                <w:rFonts w:cs="Calibri"/>
                <w:color w:val="000000"/>
              </w:rPr>
              <w:t>24%</w:t>
            </w:r>
          </w:p>
        </w:tc>
        <w:tc>
          <w:tcPr>
            <w:tcW w:w="1134" w:type="dxa"/>
            <w:vAlign w:val="bottom"/>
          </w:tcPr>
          <w:p w:rsidR="0040521B" w:rsidRDefault="0040521B" w:rsidP="0053283A">
            <w:pPr>
              <w:jc w:val="right"/>
              <w:rPr>
                <w:rFonts w:cs="Calibri"/>
                <w:color w:val="000000"/>
              </w:rPr>
            </w:pPr>
            <w:r>
              <w:rPr>
                <w:rFonts w:cs="Calibri"/>
                <w:color w:val="000000"/>
              </w:rPr>
              <w:t>34%</w:t>
            </w:r>
          </w:p>
        </w:tc>
        <w:tc>
          <w:tcPr>
            <w:tcW w:w="1134" w:type="dxa"/>
            <w:vAlign w:val="bottom"/>
          </w:tcPr>
          <w:p w:rsidR="0040521B" w:rsidRDefault="0040521B" w:rsidP="0053283A">
            <w:pPr>
              <w:jc w:val="right"/>
              <w:rPr>
                <w:rFonts w:cs="Calibri"/>
                <w:color w:val="000000"/>
              </w:rPr>
            </w:pPr>
            <w:r>
              <w:rPr>
                <w:rFonts w:cs="Calibri"/>
                <w:color w:val="000000"/>
              </w:rPr>
              <w:t>43%</w:t>
            </w:r>
          </w:p>
        </w:tc>
      </w:tr>
      <w:tr w:rsidR="0040521B" w:rsidRPr="0051278F" w:rsidTr="0053283A">
        <w:tc>
          <w:tcPr>
            <w:tcW w:w="6345" w:type="dxa"/>
          </w:tcPr>
          <w:p w:rsidR="0040521B" w:rsidRPr="0051278F" w:rsidRDefault="0040521B" w:rsidP="0053283A">
            <w:r w:rsidRPr="0051278F">
              <w:t>Learning Difficulty</w:t>
            </w:r>
          </w:p>
        </w:tc>
        <w:tc>
          <w:tcPr>
            <w:tcW w:w="993" w:type="dxa"/>
            <w:vAlign w:val="bottom"/>
          </w:tcPr>
          <w:p w:rsidR="0040521B" w:rsidRDefault="0040521B" w:rsidP="0053283A">
            <w:pPr>
              <w:jc w:val="right"/>
              <w:rPr>
                <w:rFonts w:cs="Calibri"/>
                <w:color w:val="000000"/>
              </w:rPr>
            </w:pPr>
            <w:r>
              <w:rPr>
                <w:rFonts w:cs="Calibri"/>
                <w:color w:val="000000"/>
              </w:rPr>
              <w:t>14%</w:t>
            </w:r>
          </w:p>
        </w:tc>
        <w:tc>
          <w:tcPr>
            <w:tcW w:w="1134" w:type="dxa"/>
            <w:vAlign w:val="bottom"/>
          </w:tcPr>
          <w:p w:rsidR="0040521B" w:rsidRDefault="0040521B" w:rsidP="0053283A">
            <w:pPr>
              <w:jc w:val="right"/>
              <w:rPr>
                <w:rFonts w:cs="Calibri"/>
                <w:color w:val="000000"/>
              </w:rPr>
            </w:pPr>
            <w:r>
              <w:rPr>
                <w:rFonts w:cs="Calibri"/>
                <w:color w:val="000000"/>
              </w:rPr>
              <w:t>12%</w:t>
            </w:r>
          </w:p>
        </w:tc>
        <w:tc>
          <w:tcPr>
            <w:tcW w:w="1134" w:type="dxa"/>
            <w:vAlign w:val="bottom"/>
          </w:tcPr>
          <w:p w:rsidR="0040521B" w:rsidRDefault="0040521B" w:rsidP="0053283A">
            <w:pPr>
              <w:jc w:val="right"/>
              <w:rPr>
                <w:rFonts w:cs="Calibri"/>
                <w:color w:val="000000"/>
              </w:rPr>
            </w:pPr>
            <w:r>
              <w:rPr>
                <w:rFonts w:cs="Calibri"/>
                <w:color w:val="000000"/>
              </w:rPr>
              <w:t>8%</w:t>
            </w:r>
          </w:p>
        </w:tc>
      </w:tr>
      <w:tr w:rsidR="0040521B" w:rsidRPr="0051278F" w:rsidTr="0053283A">
        <w:tc>
          <w:tcPr>
            <w:tcW w:w="6345" w:type="dxa"/>
          </w:tcPr>
          <w:p w:rsidR="0040521B" w:rsidRPr="0051278F" w:rsidRDefault="0040521B" w:rsidP="0053283A">
            <w:r w:rsidRPr="0051278F">
              <w:t>Low literacy and/or numeracy</w:t>
            </w:r>
          </w:p>
        </w:tc>
        <w:tc>
          <w:tcPr>
            <w:tcW w:w="993" w:type="dxa"/>
            <w:vAlign w:val="bottom"/>
          </w:tcPr>
          <w:p w:rsidR="0040521B" w:rsidRDefault="0040521B" w:rsidP="0053283A">
            <w:pPr>
              <w:jc w:val="right"/>
              <w:rPr>
                <w:rFonts w:cs="Calibri"/>
                <w:color w:val="000000"/>
              </w:rPr>
            </w:pPr>
            <w:r>
              <w:rPr>
                <w:rFonts w:cs="Calibri"/>
                <w:color w:val="000000"/>
              </w:rPr>
              <w:t>49%</w:t>
            </w:r>
          </w:p>
        </w:tc>
        <w:tc>
          <w:tcPr>
            <w:tcW w:w="1134" w:type="dxa"/>
            <w:vAlign w:val="bottom"/>
          </w:tcPr>
          <w:p w:rsidR="0040521B" w:rsidRDefault="0040521B" w:rsidP="0053283A">
            <w:pPr>
              <w:jc w:val="right"/>
              <w:rPr>
                <w:rFonts w:cs="Calibri"/>
                <w:color w:val="000000"/>
              </w:rPr>
            </w:pPr>
            <w:r>
              <w:rPr>
                <w:rFonts w:cs="Calibri"/>
                <w:color w:val="000000"/>
              </w:rPr>
              <w:t>49%</w:t>
            </w:r>
          </w:p>
        </w:tc>
        <w:tc>
          <w:tcPr>
            <w:tcW w:w="1134" w:type="dxa"/>
            <w:vAlign w:val="bottom"/>
          </w:tcPr>
          <w:p w:rsidR="0040521B" w:rsidRDefault="0040521B" w:rsidP="0053283A">
            <w:pPr>
              <w:jc w:val="right"/>
              <w:rPr>
                <w:rFonts w:cs="Calibri"/>
                <w:color w:val="000000"/>
              </w:rPr>
            </w:pPr>
            <w:r>
              <w:rPr>
                <w:rFonts w:cs="Calibri"/>
                <w:color w:val="000000"/>
              </w:rPr>
              <w:t>54%</w:t>
            </w:r>
          </w:p>
        </w:tc>
      </w:tr>
      <w:tr w:rsidR="0040521B" w:rsidRPr="0051278F" w:rsidTr="0053283A">
        <w:tc>
          <w:tcPr>
            <w:tcW w:w="6345" w:type="dxa"/>
          </w:tcPr>
          <w:p w:rsidR="0040521B" w:rsidRPr="0051278F" w:rsidRDefault="0040521B" w:rsidP="0053283A">
            <w:r w:rsidRPr="0051278F">
              <w:t>Low Self Esteem</w:t>
            </w:r>
          </w:p>
        </w:tc>
        <w:tc>
          <w:tcPr>
            <w:tcW w:w="993" w:type="dxa"/>
            <w:vAlign w:val="bottom"/>
          </w:tcPr>
          <w:p w:rsidR="0040521B" w:rsidRDefault="0040521B" w:rsidP="0053283A">
            <w:pPr>
              <w:jc w:val="right"/>
              <w:rPr>
                <w:rFonts w:cs="Calibri"/>
                <w:color w:val="000000"/>
              </w:rPr>
            </w:pPr>
            <w:r>
              <w:rPr>
                <w:rFonts w:cs="Calibri"/>
                <w:color w:val="000000"/>
              </w:rPr>
              <w:t>60%</w:t>
            </w:r>
          </w:p>
        </w:tc>
        <w:tc>
          <w:tcPr>
            <w:tcW w:w="1134" w:type="dxa"/>
            <w:vAlign w:val="bottom"/>
          </w:tcPr>
          <w:p w:rsidR="0040521B" w:rsidRDefault="0040521B" w:rsidP="0053283A">
            <w:pPr>
              <w:jc w:val="right"/>
              <w:rPr>
                <w:rFonts w:cs="Calibri"/>
                <w:color w:val="000000"/>
              </w:rPr>
            </w:pPr>
            <w:r>
              <w:rPr>
                <w:rFonts w:cs="Calibri"/>
                <w:color w:val="000000"/>
              </w:rPr>
              <w:t>61%</w:t>
            </w:r>
          </w:p>
        </w:tc>
        <w:tc>
          <w:tcPr>
            <w:tcW w:w="1134" w:type="dxa"/>
            <w:vAlign w:val="bottom"/>
          </w:tcPr>
          <w:p w:rsidR="0040521B" w:rsidRDefault="0040521B" w:rsidP="0053283A">
            <w:pPr>
              <w:jc w:val="right"/>
              <w:rPr>
                <w:rFonts w:cs="Calibri"/>
                <w:color w:val="000000"/>
              </w:rPr>
            </w:pPr>
            <w:r>
              <w:rPr>
                <w:rFonts w:cs="Calibri"/>
                <w:color w:val="000000"/>
              </w:rPr>
              <w:t>57%</w:t>
            </w:r>
          </w:p>
        </w:tc>
      </w:tr>
      <w:tr w:rsidR="0040521B" w:rsidRPr="0051278F" w:rsidTr="0053283A">
        <w:tc>
          <w:tcPr>
            <w:tcW w:w="6345" w:type="dxa"/>
          </w:tcPr>
          <w:p w:rsidR="0040521B" w:rsidRPr="0051278F" w:rsidRDefault="0040521B" w:rsidP="0053283A">
            <w:r w:rsidRPr="0051278F">
              <w:t>Medical or other health issue</w:t>
            </w:r>
          </w:p>
        </w:tc>
        <w:tc>
          <w:tcPr>
            <w:tcW w:w="993" w:type="dxa"/>
            <w:vAlign w:val="bottom"/>
          </w:tcPr>
          <w:p w:rsidR="0040521B" w:rsidRDefault="0040521B" w:rsidP="0053283A">
            <w:pPr>
              <w:jc w:val="right"/>
              <w:rPr>
                <w:rFonts w:cs="Calibri"/>
                <w:color w:val="000000"/>
              </w:rPr>
            </w:pPr>
            <w:r>
              <w:rPr>
                <w:rFonts w:cs="Calibri"/>
                <w:color w:val="000000"/>
              </w:rPr>
              <w:t>13%</w:t>
            </w:r>
          </w:p>
        </w:tc>
        <w:tc>
          <w:tcPr>
            <w:tcW w:w="1134" w:type="dxa"/>
            <w:vAlign w:val="bottom"/>
          </w:tcPr>
          <w:p w:rsidR="0040521B" w:rsidRDefault="0040521B" w:rsidP="0053283A">
            <w:pPr>
              <w:jc w:val="right"/>
              <w:rPr>
                <w:rFonts w:cs="Calibri"/>
                <w:color w:val="000000"/>
              </w:rPr>
            </w:pPr>
            <w:r>
              <w:rPr>
                <w:rFonts w:cs="Calibri"/>
                <w:color w:val="000000"/>
              </w:rPr>
              <w:t>13%</w:t>
            </w:r>
          </w:p>
        </w:tc>
        <w:tc>
          <w:tcPr>
            <w:tcW w:w="1134" w:type="dxa"/>
            <w:vAlign w:val="bottom"/>
          </w:tcPr>
          <w:p w:rsidR="0040521B" w:rsidRDefault="0040521B" w:rsidP="0053283A">
            <w:pPr>
              <w:jc w:val="right"/>
              <w:rPr>
                <w:rFonts w:cs="Calibri"/>
                <w:color w:val="000000"/>
              </w:rPr>
            </w:pPr>
            <w:r>
              <w:rPr>
                <w:rFonts w:cs="Calibri"/>
                <w:color w:val="000000"/>
              </w:rPr>
              <w:t>14%</w:t>
            </w:r>
          </w:p>
        </w:tc>
      </w:tr>
      <w:tr w:rsidR="0040521B" w:rsidRPr="0051278F" w:rsidTr="0053283A">
        <w:tc>
          <w:tcPr>
            <w:tcW w:w="6345" w:type="dxa"/>
          </w:tcPr>
          <w:p w:rsidR="0040521B" w:rsidRPr="0051278F" w:rsidRDefault="0040521B" w:rsidP="0053283A">
            <w:r w:rsidRPr="0051278F">
              <w:t>Negative experience(s) with education and training</w:t>
            </w:r>
          </w:p>
        </w:tc>
        <w:tc>
          <w:tcPr>
            <w:tcW w:w="993" w:type="dxa"/>
            <w:vAlign w:val="bottom"/>
          </w:tcPr>
          <w:p w:rsidR="0040521B" w:rsidRDefault="0040521B" w:rsidP="0053283A">
            <w:pPr>
              <w:jc w:val="right"/>
              <w:rPr>
                <w:rFonts w:cs="Calibri"/>
                <w:color w:val="000000"/>
              </w:rPr>
            </w:pPr>
            <w:r>
              <w:rPr>
                <w:rFonts w:cs="Calibri"/>
                <w:color w:val="000000"/>
              </w:rPr>
              <w:t>16%</w:t>
            </w:r>
          </w:p>
        </w:tc>
        <w:tc>
          <w:tcPr>
            <w:tcW w:w="1134" w:type="dxa"/>
            <w:vAlign w:val="bottom"/>
          </w:tcPr>
          <w:p w:rsidR="0040521B" w:rsidRDefault="0040521B" w:rsidP="0053283A">
            <w:pPr>
              <w:jc w:val="right"/>
              <w:rPr>
                <w:rFonts w:cs="Calibri"/>
                <w:color w:val="000000"/>
              </w:rPr>
            </w:pPr>
            <w:r>
              <w:rPr>
                <w:rFonts w:cs="Calibri"/>
                <w:color w:val="000000"/>
              </w:rPr>
              <w:t>17%</w:t>
            </w:r>
          </w:p>
        </w:tc>
        <w:tc>
          <w:tcPr>
            <w:tcW w:w="1134" w:type="dxa"/>
            <w:vAlign w:val="bottom"/>
          </w:tcPr>
          <w:p w:rsidR="0040521B" w:rsidRDefault="0040521B" w:rsidP="0053283A">
            <w:pPr>
              <w:jc w:val="right"/>
              <w:rPr>
                <w:rFonts w:cs="Calibri"/>
                <w:color w:val="000000"/>
              </w:rPr>
            </w:pPr>
            <w:r>
              <w:rPr>
                <w:rFonts w:cs="Calibri"/>
                <w:color w:val="000000"/>
              </w:rPr>
              <w:t>16%</w:t>
            </w:r>
          </w:p>
        </w:tc>
      </w:tr>
      <w:tr w:rsidR="0040521B" w:rsidRPr="0051278F" w:rsidTr="0053283A">
        <w:tc>
          <w:tcPr>
            <w:tcW w:w="6345" w:type="dxa"/>
          </w:tcPr>
          <w:p w:rsidR="0040521B" w:rsidRPr="0051278F" w:rsidRDefault="0040521B" w:rsidP="0053283A">
            <w:r w:rsidRPr="0051278F">
              <w:t>Out of home care</w:t>
            </w:r>
          </w:p>
        </w:tc>
        <w:tc>
          <w:tcPr>
            <w:tcW w:w="993" w:type="dxa"/>
            <w:vAlign w:val="bottom"/>
          </w:tcPr>
          <w:p w:rsidR="0040521B" w:rsidRDefault="0040521B" w:rsidP="0053283A">
            <w:pPr>
              <w:jc w:val="right"/>
              <w:rPr>
                <w:rFonts w:cs="Calibri"/>
                <w:color w:val="000000"/>
              </w:rPr>
            </w:pPr>
            <w:r>
              <w:rPr>
                <w:rFonts w:cs="Calibri"/>
                <w:color w:val="000000"/>
              </w:rPr>
              <w:t>1%</w:t>
            </w:r>
          </w:p>
        </w:tc>
        <w:tc>
          <w:tcPr>
            <w:tcW w:w="1134" w:type="dxa"/>
            <w:vAlign w:val="bottom"/>
          </w:tcPr>
          <w:p w:rsidR="0040521B" w:rsidRDefault="0040521B" w:rsidP="0053283A">
            <w:pPr>
              <w:jc w:val="right"/>
              <w:rPr>
                <w:rFonts w:cs="Calibri"/>
                <w:color w:val="000000"/>
              </w:rPr>
            </w:pPr>
            <w:r>
              <w:rPr>
                <w:rFonts w:cs="Calibri"/>
                <w:color w:val="000000"/>
              </w:rPr>
              <w:t>3%</w:t>
            </w:r>
          </w:p>
        </w:tc>
        <w:tc>
          <w:tcPr>
            <w:tcW w:w="1134" w:type="dxa"/>
            <w:vAlign w:val="bottom"/>
          </w:tcPr>
          <w:p w:rsidR="0040521B" w:rsidRDefault="0040521B" w:rsidP="0053283A">
            <w:pPr>
              <w:jc w:val="right"/>
              <w:rPr>
                <w:rFonts w:cs="Calibri"/>
                <w:color w:val="000000"/>
              </w:rPr>
            </w:pPr>
            <w:r>
              <w:rPr>
                <w:rFonts w:cs="Calibri"/>
                <w:color w:val="000000"/>
              </w:rPr>
              <w:t>4%</w:t>
            </w:r>
          </w:p>
        </w:tc>
      </w:tr>
      <w:tr w:rsidR="0040521B" w:rsidRPr="0051278F" w:rsidTr="0053283A">
        <w:tc>
          <w:tcPr>
            <w:tcW w:w="6345" w:type="dxa"/>
          </w:tcPr>
          <w:p w:rsidR="0040521B" w:rsidRPr="0051278F" w:rsidRDefault="0040521B" w:rsidP="0053283A">
            <w:r w:rsidRPr="0051278F">
              <w:t>Parent/Pregnancy</w:t>
            </w:r>
          </w:p>
        </w:tc>
        <w:tc>
          <w:tcPr>
            <w:tcW w:w="993" w:type="dxa"/>
            <w:vAlign w:val="bottom"/>
          </w:tcPr>
          <w:p w:rsidR="0040521B" w:rsidRDefault="0040521B" w:rsidP="0053283A">
            <w:pPr>
              <w:jc w:val="right"/>
              <w:rPr>
                <w:rFonts w:cs="Calibri"/>
                <w:color w:val="000000"/>
              </w:rPr>
            </w:pPr>
            <w:r>
              <w:rPr>
                <w:rFonts w:cs="Calibri"/>
                <w:color w:val="000000"/>
              </w:rPr>
              <w:t>1%</w:t>
            </w:r>
          </w:p>
        </w:tc>
        <w:tc>
          <w:tcPr>
            <w:tcW w:w="1134" w:type="dxa"/>
            <w:vAlign w:val="bottom"/>
          </w:tcPr>
          <w:p w:rsidR="0040521B" w:rsidRDefault="0040521B" w:rsidP="0053283A">
            <w:pPr>
              <w:jc w:val="right"/>
              <w:rPr>
                <w:rFonts w:cs="Calibri"/>
                <w:color w:val="000000"/>
              </w:rPr>
            </w:pPr>
            <w:r>
              <w:rPr>
                <w:rFonts w:cs="Calibri"/>
                <w:color w:val="000000"/>
              </w:rPr>
              <w:t>3%</w:t>
            </w:r>
          </w:p>
        </w:tc>
        <w:tc>
          <w:tcPr>
            <w:tcW w:w="1134" w:type="dxa"/>
            <w:vAlign w:val="bottom"/>
          </w:tcPr>
          <w:p w:rsidR="0040521B" w:rsidRDefault="0040521B" w:rsidP="0053283A">
            <w:pPr>
              <w:jc w:val="right"/>
              <w:rPr>
                <w:rFonts w:cs="Calibri"/>
                <w:color w:val="000000"/>
              </w:rPr>
            </w:pPr>
            <w:r>
              <w:rPr>
                <w:rFonts w:cs="Calibri"/>
                <w:color w:val="000000"/>
              </w:rPr>
              <w:t>8%</w:t>
            </w:r>
          </w:p>
        </w:tc>
      </w:tr>
      <w:tr w:rsidR="0040521B" w:rsidRPr="0051278F" w:rsidTr="0053283A">
        <w:tc>
          <w:tcPr>
            <w:tcW w:w="6345" w:type="dxa"/>
          </w:tcPr>
          <w:p w:rsidR="0040521B" w:rsidRPr="0051278F" w:rsidRDefault="0040521B" w:rsidP="0053283A">
            <w:r w:rsidRPr="0051278F">
              <w:t>Petrol sniffing</w:t>
            </w:r>
          </w:p>
        </w:tc>
        <w:tc>
          <w:tcPr>
            <w:tcW w:w="993" w:type="dxa"/>
            <w:vAlign w:val="bottom"/>
          </w:tcPr>
          <w:p w:rsidR="0040521B" w:rsidRDefault="0040521B" w:rsidP="0053283A">
            <w:pPr>
              <w:jc w:val="right"/>
              <w:rPr>
                <w:rFonts w:cs="Calibri"/>
                <w:color w:val="000000"/>
              </w:rPr>
            </w:pPr>
            <w:r>
              <w:rPr>
                <w:rFonts w:cs="Calibri"/>
                <w:color w:val="000000"/>
              </w:rPr>
              <w:t>0%</w:t>
            </w:r>
          </w:p>
        </w:tc>
        <w:tc>
          <w:tcPr>
            <w:tcW w:w="1134" w:type="dxa"/>
            <w:vAlign w:val="bottom"/>
          </w:tcPr>
          <w:p w:rsidR="0040521B" w:rsidRDefault="0040521B" w:rsidP="0053283A">
            <w:pPr>
              <w:jc w:val="right"/>
              <w:rPr>
                <w:rFonts w:cs="Calibri"/>
                <w:color w:val="000000"/>
              </w:rPr>
            </w:pPr>
            <w:r>
              <w:rPr>
                <w:rFonts w:cs="Calibri"/>
                <w:color w:val="000000"/>
              </w:rPr>
              <w:t>0%</w:t>
            </w:r>
          </w:p>
        </w:tc>
        <w:tc>
          <w:tcPr>
            <w:tcW w:w="1134" w:type="dxa"/>
            <w:vAlign w:val="bottom"/>
          </w:tcPr>
          <w:p w:rsidR="0040521B" w:rsidRDefault="0040521B" w:rsidP="0053283A">
            <w:pPr>
              <w:jc w:val="right"/>
              <w:rPr>
                <w:rFonts w:cs="Calibri"/>
                <w:color w:val="000000"/>
              </w:rPr>
            </w:pPr>
            <w:r>
              <w:rPr>
                <w:rFonts w:cs="Calibri"/>
                <w:color w:val="000000"/>
              </w:rPr>
              <w:t>0%</w:t>
            </w:r>
          </w:p>
        </w:tc>
      </w:tr>
      <w:tr w:rsidR="0040521B" w:rsidRPr="0051278F" w:rsidTr="0053283A">
        <w:tc>
          <w:tcPr>
            <w:tcW w:w="6345" w:type="dxa"/>
          </w:tcPr>
          <w:p w:rsidR="0040521B" w:rsidRPr="0051278F" w:rsidRDefault="0040521B" w:rsidP="0053283A">
            <w:r w:rsidRPr="0051278F">
              <w:t>Socialisation issues</w:t>
            </w:r>
          </w:p>
        </w:tc>
        <w:tc>
          <w:tcPr>
            <w:tcW w:w="993" w:type="dxa"/>
            <w:vAlign w:val="bottom"/>
          </w:tcPr>
          <w:p w:rsidR="0040521B" w:rsidRDefault="0040521B" w:rsidP="0053283A">
            <w:pPr>
              <w:jc w:val="right"/>
              <w:rPr>
                <w:rFonts w:cs="Calibri"/>
                <w:color w:val="000000"/>
              </w:rPr>
            </w:pPr>
            <w:r>
              <w:rPr>
                <w:rFonts w:cs="Calibri"/>
                <w:color w:val="000000"/>
              </w:rPr>
              <w:t>48%</w:t>
            </w:r>
          </w:p>
        </w:tc>
        <w:tc>
          <w:tcPr>
            <w:tcW w:w="1134" w:type="dxa"/>
            <w:vAlign w:val="bottom"/>
          </w:tcPr>
          <w:p w:rsidR="0040521B" w:rsidRDefault="0040521B" w:rsidP="0053283A">
            <w:pPr>
              <w:jc w:val="right"/>
              <w:rPr>
                <w:rFonts w:cs="Calibri"/>
                <w:color w:val="000000"/>
              </w:rPr>
            </w:pPr>
            <w:r>
              <w:rPr>
                <w:rFonts w:cs="Calibri"/>
                <w:color w:val="000000"/>
              </w:rPr>
              <w:t>45%</w:t>
            </w:r>
          </w:p>
        </w:tc>
        <w:tc>
          <w:tcPr>
            <w:tcW w:w="1134" w:type="dxa"/>
            <w:vAlign w:val="bottom"/>
          </w:tcPr>
          <w:p w:rsidR="0040521B" w:rsidRDefault="0040521B" w:rsidP="0053283A">
            <w:pPr>
              <w:jc w:val="right"/>
              <w:rPr>
                <w:rFonts w:cs="Calibri"/>
                <w:color w:val="000000"/>
              </w:rPr>
            </w:pPr>
            <w:r>
              <w:rPr>
                <w:rFonts w:cs="Calibri"/>
                <w:color w:val="000000"/>
              </w:rPr>
              <w:t>48%</w:t>
            </w:r>
          </w:p>
        </w:tc>
      </w:tr>
      <w:tr w:rsidR="0040521B" w:rsidRPr="0051278F" w:rsidTr="0053283A">
        <w:tc>
          <w:tcPr>
            <w:tcW w:w="6345" w:type="dxa"/>
          </w:tcPr>
          <w:p w:rsidR="0040521B" w:rsidRPr="0051278F" w:rsidRDefault="0040521B" w:rsidP="0053283A">
            <w:r w:rsidRPr="0051278F">
              <w:t>Suspected or diagnosed mental health issue</w:t>
            </w:r>
          </w:p>
        </w:tc>
        <w:tc>
          <w:tcPr>
            <w:tcW w:w="993" w:type="dxa"/>
            <w:vAlign w:val="bottom"/>
          </w:tcPr>
          <w:p w:rsidR="0040521B" w:rsidRDefault="0040521B" w:rsidP="0053283A">
            <w:pPr>
              <w:jc w:val="right"/>
              <w:rPr>
                <w:rFonts w:cs="Calibri"/>
                <w:color w:val="000000"/>
              </w:rPr>
            </w:pPr>
            <w:r>
              <w:rPr>
                <w:rFonts w:cs="Calibri"/>
                <w:color w:val="000000"/>
              </w:rPr>
              <w:t>26%</w:t>
            </w:r>
          </w:p>
        </w:tc>
        <w:tc>
          <w:tcPr>
            <w:tcW w:w="1134" w:type="dxa"/>
            <w:vAlign w:val="bottom"/>
          </w:tcPr>
          <w:p w:rsidR="0040521B" w:rsidRDefault="0040521B" w:rsidP="0053283A">
            <w:pPr>
              <w:jc w:val="right"/>
              <w:rPr>
                <w:rFonts w:cs="Calibri"/>
                <w:color w:val="000000"/>
              </w:rPr>
            </w:pPr>
            <w:r>
              <w:rPr>
                <w:rFonts w:cs="Calibri"/>
                <w:color w:val="000000"/>
              </w:rPr>
              <w:t>42%</w:t>
            </w:r>
          </w:p>
        </w:tc>
        <w:tc>
          <w:tcPr>
            <w:tcW w:w="1134" w:type="dxa"/>
            <w:vAlign w:val="bottom"/>
          </w:tcPr>
          <w:p w:rsidR="0040521B" w:rsidRDefault="0040521B" w:rsidP="0053283A">
            <w:pPr>
              <w:jc w:val="right"/>
              <w:rPr>
                <w:rFonts w:cs="Calibri"/>
                <w:color w:val="000000"/>
              </w:rPr>
            </w:pPr>
            <w:r>
              <w:rPr>
                <w:rFonts w:cs="Calibri"/>
                <w:color w:val="000000"/>
              </w:rPr>
              <w:t>40%</w:t>
            </w:r>
          </w:p>
        </w:tc>
      </w:tr>
      <w:tr w:rsidR="0040521B" w:rsidRPr="0051278F" w:rsidTr="0053283A">
        <w:tc>
          <w:tcPr>
            <w:tcW w:w="6345" w:type="dxa"/>
          </w:tcPr>
          <w:p w:rsidR="0040521B" w:rsidRPr="0051278F" w:rsidRDefault="0040521B" w:rsidP="0053283A">
            <w:r w:rsidRPr="0051278F">
              <w:t>Unstable living arrangements</w:t>
            </w:r>
          </w:p>
        </w:tc>
        <w:tc>
          <w:tcPr>
            <w:tcW w:w="993" w:type="dxa"/>
            <w:vAlign w:val="bottom"/>
          </w:tcPr>
          <w:p w:rsidR="0040521B" w:rsidRDefault="0040521B" w:rsidP="0053283A">
            <w:pPr>
              <w:jc w:val="right"/>
              <w:rPr>
                <w:rFonts w:cs="Calibri"/>
                <w:color w:val="000000"/>
              </w:rPr>
            </w:pPr>
            <w:r>
              <w:rPr>
                <w:rFonts w:cs="Calibri"/>
                <w:color w:val="000000"/>
              </w:rPr>
              <w:t>11%</w:t>
            </w:r>
          </w:p>
        </w:tc>
        <w:tc>
          <w:tcPr>
            <w:tcW w:w="1134" w:type="dxa"/>
            <w:vAlign w:val="bottom"/>
          </w:tcPr>
          <w:p w:rsidR="0040521B" w:rsidRDefault="0040521B" w:rsidP="0053283A">
            <w:pPr>
              <w:jc w:val="right"/>
              <w:rPr>
                <w:rFonts w:cs="Calibri"/>
                <w:color w:val="000000"/>
              </w:rPr>
            </w:pPr>
            <w:r>
              <w:rPr>
                <w:rFonts w:cs="Calibri"/>
                <w:color w:val="000000"/>
              </w:rPr>
              <w:t>23%</w:t>
            </w:r>
          </w:p>
        </w:tc>
        <w:tc>
          <w:tcPr>
            <w:tcW w:w="1134" w:type="dxa"/>
            <w:vAlign w:val="bottom"/>
          </w:tcPr>
          <w:p w:rsidR="0040521B" w:rsidRDefault="0040521B" w:rsidP="0053283A">
            <w:pPr>
              <w:jc w:val="right"/>
              <w:rPr>
                <w:rFonts w:cs="Calibri"/>
                <w:color w:val="000000"/>
              </w:rPr>
            </w:pPr>
            <w:r>
              <w:rPr>
                <w:rFonts w:cs="Calibri"/>
                <w:color w:val="000000"/>
              </w:rPr>
              <w:t>33%</w:t>
            </w:r>
          </w:p>
        </w:tc>
      </w:tr>
      <w:tr w:rsidR="0040521B" w:rsidRPr="0051278F" w:rsidTr="0053283A">
        <w:tc>
          <w:tcPr>
            <w:tcW w:w="6345" w:type="dxa"/>
          </w:tcPr>
          <w:p w:rsidR="0040521B" w:rsidRPr="0051278F" w:rsidRDefault="0040521B" w:rsidP="0053283A">
            <w:r w:rsidRPr="0051278F">
              <w:t>Volatile substance misuse</w:t>
            </w:r>
          </w:p>
        </w:tc>
        <w:tc>
          <w:tcPr>
            <w:tcW w:w="993" w:type="dxa"/>
            <w:vAlign w:val="bottom"/>
          </w:tcPr>
          <w:p w:rsidR="0040521B" w:rsidRDefault="0040521B" w:rsidP="0053283A">
            <w:pPr>
              <w:jc w:val="right"/>
              <w:rPr>
                <w:rFonts w:cs="Calibri"/>
                <w:color w:val="000000"/>
              </w:rPr>
            </w:pPr>
            <w:r>
              <w:rPr>
                <w:rFonts w:cs="Calibri"/>
                <w:color w:val="000000"/>
              </w:rPr>
              <w:t>0%</w:t>
            </w:r>
          </w:p>
        </w:tc>
        <w:tc>
          <w:tcPr>
            <w:tcW w:w="1134" w:type="dxa"/>
            <w:vAlign w:val="bottom"/>
          </w:tcPr>
          <w:p w:rsidR="0040521B" w:rsidRDefault="0040521B" w:rsidP="0053283A">
            <w:pPr>
              <w:jc w:val="right"/>
              <w:rPr>
                <w:rFonts w:cs="Calibri"/>
                <w:color w:val="000000"/>
              </w:rPr>
            </w:pPr>
            <w:r>
              <w:rPr>
                <w:rFonts w:cs="Calibri"/>
                <w:color w:val="000000"/>
              </w:rPr>
              <w:t>1%</w:t>
            </w:r>
          </w:p>
        </w:tc>
        <w:tc>
          <w:tcPr>
            <w:tcW w:w="1134" w:type="dxa"/>
            <w:vAlign w:val="bottom"/>
          </w:tcPr>
          <w:p w:rsidR="0040521B" w:rsidRDefault="0040521B" w:rsidP="0053283A">
            <w:pPr>
              <w:jc w:val="right"/>
              <w:rPr>
                <w:rFonts w:cs="Calibri"/>
                <w:color w:val="000000"/>
              </w:rPr>
            </w:pPr>
            <w:r>
              <w:rPr>
                <w:rFonts w:cs="Calibri"/>
                <w:color w:val="000000"/>
              </w:rPr>
              <w:t>1%</w:t>
            </w:r>
          </w:p>
        </w:tc>
      </w:tr>
      <w:tr w:rsidR="0040521B" w:rsidRPr="0051278F" w:rsidTr="0053283A">
        <w:tc>
          <w:tcPr>
            <w:tcW w:w="6345" w:type="dxa"/>
          </w:tcPr>
          <w:p w:rsidR="0040521B" w:rsidRPr="0051278F" w:rsidRDefault="0040521B" w:rsidP="0053283A">
            <w:r>
              <w:t>Young Carer responsibilities</w:t>
            </w:r>
          </w:p>
        </w:tc>
        <w:tc>
          <w:tcPr>
            <w:tcW w:w="993" w:type="dxa"/>
            <w:vAlign w:val="bottom"/>
          </w:tcPr>
          <w:p w:rsidR="0040521B" w:rsidRDefault="0040521B" w:rsidP="0053283A">
            <w:pPr>
              <w:jc w:val="right"/>
              <w:rPr>
                <w:rFonts w:cs="Calibri"/>
                <w:color w:val="000000"/>
              </w:rPr>
            </w:pPr>
            <w:r>
              <w:rPr>
                <w:rFonts w:cs="Calibri"/>
                <w:color w:val="000000"/>
              </w:rPr>
              <w:t>6%</w:t>
            </w:r>
          </w:p>
        </w:tc>
        <w:tc>
          <w:tcPr>
            <w:tcW w:w="1134" w:type="dxa"/>
            <w:vAlign w:val="bottom"/>
          </w:tcPr>
          <w:p w:rsidR="0040521B" w:rsidRDefault="0040521B" w:rsidP="0053283A">
            <w:pPr>
              <w:jc w:val="right"/>
              <w:rPr>
                <w:rFonts w:cs="Calibri"/>
                <w:color w:val="000000"/>
              </w:rPr>
            </w:pPr>
            <w:r>
              <w:rPr>
                <w:rFonts w:cs="Calibri"/>
                <w:color w:val="000000"/>
              </w:rPr>
              <w:t>5%</w:t>
            </w:r>
          </w:p>
        </w:tc>
        <w:tc>
          <w:tcPr>
            <w:tcW w:w="1134" w:type="dxa"/>
            <w:vAlign w:val="bottom"/>
          </w:tcPr>
          <w:p w:rsidR="0040521B" w:rsidRDefault="0040521B" w:rsidP="0053283A">
            <w:pPr>
              <w:jc w:val="right"/>
              <w:rPr>
                <w:rFonts w:cs="Calibri"/>
                <w:color w:val="000000"/>
              </w:rPr>
            </w:pPr>
            <w:r>
              <w:rPr>
                <w:rFonts w:cs="Calibri"/>
                <w:color w:val="000000"/>
              </w:rPr>
              <w:t>4%</w:t>
            </w:r>
          </w:p>
        </w:tc>
      </w:tr>
    </w:tbl>
    <w:p w:rsidR="0040521B" w:rsidRDefault="0040521B" w:rsidP="0040521B">
      <w:pPr>
        <w:rPr>
          <w:noProof/>
        </w:rPr>
      </w:pPr>
    </w:p>
    <w:p w:rsidR="00934BC4" w:rsidRDefault="00934BC4">
      <w:pPr>
        <w:spacing w:after="200"/>
        <w:rPr>
          <w:b/>
          <w:bCs/>
          <w:color w:val="4F81BD" w:themeColor="accent1"/>
          <w:sz w:val="18"/>
          <w:szCs w:val="18"/>
        </w:rPr>
      </w:pPr>
      <w:r>
        <w:rPr>
          <w:b/>
          <w:bCs/>
          <w:color w:val="4F81BD" w:themeColor="accent1"/>
          <w:sz w:val="18"/>
          <w:szCs w:val="18"/>
        </w:rPr>
        <w:br w:type="page"/>
      </w:r>
    </w:p>
    <w:p w:rsidR="0040521B" w:rsidRDefault="0040521B" w:rsidP="00934BC4">
      <w:pPr>
        <w:pStyle w:val="Heading4"/>
      </w:pPr>
      <w:r w:rsidRPr="00EB0FF9">
        <w:lastRenderedPageBreak/>
        <w:t>Figure 8: National Participant Barriers by Connection Level</w:t>
      </w:r>
    </w:p>
    <w:p w:rsidR="0040521B" w:rsidRDefault="0040521B" w:rsidP="0040521B">
      <w:r>
        <w:rPr>
          <w:noProof/>
          <w:lang w:eastAsia="en-AU"/>
        </w:rPr>
        <w:drawing>
          <wp:inline distT="0" distB="0" distL="0" distR="0" wp14:anchorId="111BA267" wp14:editId="6C31F3E6">
            <wp:extent cx="5867400" cy="8601075"/>
            <wp:effectExtent l="0" t="0" r="0" b="0"/>
            <wp:docPr id="24" name="Chart 24" descr="National percentage of participants who have been identified as having a barrier, graphic representation of table 10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0521B" w:rsidRDefault="0040521B" w:rsidP="0040521B">
      <w:pPr>
        <w:ind w:left="-284" w:right="-567"/>
      </w:pPr>
      <w:r>
        <w:br w:type="page"/>
      </w:r>
    </w:p>
    <w:p w:rsidR="0040521B" w:rsidRPr="001553A9" w:rsidRDefault="0040521B" w:rsidP="00934BC4">
      <w:pPr>
        <w:pStyle w:val="Heading3"/>
      </w:pPr>
      <w:r>
        <w:lastRenderedPageBreak/>
        <w:t>Table 10</w:t>
      </w:r>
      <w:r w:rsidRPr="001553A9">
        <w:t xml:space="preserve">: </w:t>
      </w:r>
      <w:r>
        <w:t xml:space="preserve">National - </w:t>
      </w:r>
      <w:r w:rsidRPr="001553A9">
        <w:t>Percentage of participants identified as having barrier, by Connection Level</w:t>
      </w:r>
    </w:p>
    <w:tbl>
      <w:tblPr>
        <w:tblStyle w:val="TableGrid"/>
        <w:tblW w:w="0" w:type="auto"/>
        <w:tblLayout w:type="fixed"/>
        <w:tblLook w:val="04A0" w:firstRow="1" w:lastRow="0" w:firstColumn="1" w:lastColumn="0" w:noHBand="0" w:noVBand="1"/>
        <w:tblDescription w:val="Table 10: National - Percentage of participants identified as having barrier, by Connection Level"/>
      </w:tblPr>
      <w:tblGrid>
        <w:gridCol w:w="5353"/>
        <w:gridCol w:w="1418"/>
        <w:gridCol w:w="1417"/>
        <w:gridCol w:w="1559"/>
      </w:tblGrid>
      <w:tr w:rsidR="0040521B" w:rsidRPr="001553A9" w:rsidTr="0058742A">
        <w:trPr>
          <w:tblHeader/>
        </w:trPr>
        <w:tc>
          <w:tcPr>
            <w:tcW w:w="5353" w:type="dxa"/>
            <w:shd w:val="clear" w:color="auto" w:fill="C6D9F1" w:themeFill="text2" w:themeFillTint="33"/>
          </w:tcPr>
          <w:p w:rsidR="0040521B" w:rsidRPr="001553A9" w:rsidRDefault="0040521B" w:rsidP="0053283A">
            <w:pPr>
              <w:jc w:val="center"/>
              <w:rPr>
                <w:b/>
              </w:rPr>
            </w:pPr>
            <w:r w:rsidRPr="001553A9">
              <w:rPr>
                <w:b/>
              </w:rPr>
              <w:t>Barrier</w:t>
            </w:r>
          </w:p>
        </w:tc>
        <w:tc>
          <w:tcPr>
            <w:tcW w:w="1418" w:type="dxa"/>
            <w:shd w:val="clear" w:color="auto" w:fill="C6D9F1" w:themeFill="text2" w:themeFillTint="33"/>
          </w:tcPr>
          <w:p w:rsidR="0040521B" w:rsidRPr="001553A9" w:rsidRDefault="0040521B" w:rsidP="0053283A">
            <w:pPr>
              <w:jc w:val="center"/>
              <w:rPr>
                <w:b/>
              </w:rPr>
            </w:pPr>
            <w:r w:rsidRPr="001553A9">
              <w:rPr>
                <w:b/>
              </w:rPr>
              <w:t>National Level 1</w:t>
            </w:r>
          </w:p>
        </w:tc>
        <w:tc>
          <w:tcPr>
            <w:tcW w:w="1417" w:type="dxa"/>
            <w:shd w:val="clear" w:color="auto" w:fill="C6D9F1" w:themeFill="text2" w:themeFillTint="33"/>
          </w:tcPr>
          <w:p w:rsidR="0040521B" w:rsidRPr="001553A9" w:rsidRDefault="0040521B" w:rsidP="0053283A">
            <w:pPr>
              <w:jc w:val="center"/>
              <w:rPr>
                <w:b/>
              </w:rPr>
            </w:pPr>
            <w:r w:rsidRPr="001553A9">
              <w:rPr>
                <w:b/>
              </w:rPr>
              <w:t xml:space="preserve">National Level </w:t>
            </w:r>
            <w:proofErr w:type="spellStart"/>
            <w:r w:rsidRPr="001553A9">
              <w:rPr>
                <w:b/>
              </w:rPr>
              <w:t>2a</w:t>
            </w:r>
            <w:proofErr w:type="spellEnd"/>
          </w:p>
        </w:tc>
        <w:tc>
          <w:tcPr>
            <w:tcW w:w="1559" w:type="dxa"/>
            <w:shd w:val="clear" w:color="auto" w:fill="C6D9F1" w:themeFill="text2" w:themeFillTint="33"/>
          </w:tcPr>
          <w:p w:rsidR="0040521B" w:rsidRPr="001553A9" w:rsidRDefault="0040521B" w:rsidP="0053283A">
            <w:pPr>
              <w:jc w:val="center"/>
              <w:rPr>
                <w:b/>
              </w:rPr>
            </w:pPr>
            <w:r w:rsidRPr="001553A9">
              <w:rPr>
                <w:b/>
              </w:rPr>
              <w:t xml:space="preserve">National Level </w:t>
            </w:r>
            <w:proofErr w:type="spellStart"/>
            <w:r w:rsidRPr="001553A9">
              <w:rPr>
                <w:b/>
              </w:rPr>
              <w:t>2b</w:t>
            </w:r>
            <w:proofErr w:type="spellEnd"/>
          </w:p>
        </w:tc>
      </w:tr>
      <w:tr w:rsidR="0040521B" w:rsidTr="0053283A">
        <w:tc>
          <w:tcPr>
            <w:tcW w:w="5353" w:type="dxa"/>
          </w:tcPr>
          <w:p w:rsidR="0040521B" w:rsidRPr="0051278F" w:rsidRDefault="0040521B" w:rsidP="0053283A">
            <w:r w:rsidRPr="0051278F">
              <w:t>Abuse/Domestic Violence issue</w:t>
            </w:r>
          </w:p>
        </w:tc>
        <w:tc>
          <w:tcPr>
            <w:tcW w:w="1418" w:type="dxa"/>
            <w:vAlign w:val="bottom"/>
          </w:tcPr>
          <w:p w:rsidR="0040521B" w:rsidRDefault="0040521B" w:rsidP="0053283A">
            <w:pPr>
              <w:jc w:val="right"/>
              <w:rPr>
                <w:rFonts w:cs="Calibri"/>
                <w:color w:val="000000"/>
              </w:rPr>
            </w:pPr>
            <w:r>
              <w:rPr>
                <w:rFonts w:cs="Calibri"/>
                <w:color w:val="000000"/>
              </w:rPr>
              <w:t>6%</w:t>
            </w:r>
          </w:p>
        </w:tc>
        <w:tc>
          <w:tcPr>
            <w:tcW w:w="1417" w:type="dxa"/>
            <w:vAlign w:val="bottom"/>
          </w:tcPr>
          <w:p w:rsidR="0040521B" w:rsidRDefault="0040521B" w:rsidP="0053283A">
            <w:pPr>
              <w:jc w:val="right"/>
              <w:rPr>
                <w:rFonts w:cs="Calibri"/>
                <w:color w:val="000000"/>
              </w:rPr>
            </w:pPr>
            <w:r>
              <w:rPr>
                <w:rFonts w:cs="Calibri"/>
                <w:color w:val="000000"/>
              </w:rPr>
              <w:t>10%</w:t>
            </w:r>
          </w:p>
        </w:tc>
        <w:tc>
          <w:tcPr>
            <w:tcW w:w="1559" w:type="dxa"/>
            <w:vAlign w:val="bottom"/>
          </w:tcPr>
          <w:p w:rsidR="0040521B" w:rsidRDefault="0040521B" w:rsidP="0053283A">
            <w:pPr>
              <w:jc w:val="right"/>
              <w:rPr>
                <w:rFonts w:cs="Calibri"/>
                <w:color w:val="000000"/>
              </w:rPr>
            </w:pPr>
            <w:r>
              <w:rPr>
                <w:rFonts w:cs="Calibri"/>
                <w:color w:val="000000"/>
              </w:rPr>
              <w:t>12%</w:t>
            </w:r>
          </w:p>
        </w:tc>
      </w:tr>
      <w:tr w:rsidR="0040521B" w:rsidTr="0053283A">
        <w:tc>
          <w:tcPr>
            <w:tcW w:w="5353" w:type="dxa"/>
          </w:tcPr>
          <w:p w:rsidR="0040521B" w:rsidRPr="0051278F" w:rsidRDefault="0040521B" w:rsidP="0053283A">
            <w:r w:rsidRPr="0051278F">
              <w:t>Alcohol and/or drug misuse</w:t>
            </w:r>
          </w:p>
        </w:tc>
        <w:tc>
          <w:tcPr>
            <w:tcW w:w="1418" w:type="dxa"/>
            <w:vAlign w:val="bottom"/>
          </w:tcPr>
          <w:p w:rsidR="0040521B" w:rsidRDefault="0040521B" w:rsidP="0053283A">
            <w:pPr>
              <w:jc w:val="right"/>
              <w:rPr>
                <w:rFonts w:cs="Calibri"/>
                <w:color w:val="000000"/>
              </w:rPr>
            </w:pPr>
            <w:r>
              <w:rPr>
                <w:rFonts w:cs="Calibri"/>
                <w:color w:val="000000"/>
              </w:rPr>
              <w:t>9%</w:t>
            </w:r>
          </w:p>
        </w:tc>
        <w:tc>
          <w:tcPr>
            <w:tcW w:w="1417" w:type="dxa"/>
            <w:vAlign w:val="bottom"/>
          </w:tcPr>
          <w:p w:rsidR="0040521B" w:rsidRDefault="0040521B" w:rsidP="0053283A">
            <w:pPr>
              <w:jc w:val="right"/>
              <w:rPr>
                <w:rFonts w:cs="Calibri"/>
                <w:color w:val="000000"/>
              </w:rPr>
            </w:pPr>
            <w:r>
              <w:rPr>
                <w:rFonts w:cs="Calibri"/>
                <w:color w:val="000000"/>
              </w:rPr>
              <w:t>18%</w:t>
            </w:r>
          </w:p>
        </w:tc>
        <w:tc>
          <w:tcPr>
            <w:tcW w:w="1559" w:type="dxa"/>
            <w:vAlign w:val="bottom"/>
          </w:tcPr>
          <w:p w:rsidR="0040521B" w:rsidRDefault="0040521B" w:rsidP="0053283A">
            <w:pPr>
              <w:jc w:val="right"/>
              <w:rPr>
                <w:rFonts w:cs="Calibri"/>
                <w:color w:val="000000"/>
              </w:rPr>
            </w:pPr>
            <w:r>
              <w:rPr>
                <w:rFonts w:cs="Calibri"/>
                <w:color w:val="000000"/>
              </w:rPr>
              <w:t>26%</w:t>
            </w:r>
          </w:p>
        </w:tc>
      </w:tr>
      <w:tr w:rsidR="0040521B" w:rsidTr="0053283A">
        <w:tc>
          <w:tcPr>
            <w:tcW w:w="5353" w:type="dxa"/>
          </w:tcPr>
          <w:p w:rsidR="0040521B" w:rsidRPr="0051278F" w:rsidRDefault="0040521B" w:rsidP="0053283A">
            <w:r w:rsidRPr="0051278F">
              <w:t>Anger management issues</w:t>
            </w:r>
          </w:p>
        </w:tc>
        <w:tc>
          <w:tcPr>
            <w:tcW w:w="1418" w:type="dxa"/>
            <w:vAlign w:val="bottom"/>
          </w:tcPr>
          <w:p w:rsidR="0040521B" w:rsidRDefault="0040521B" w:rsidP="0053283A">
            <w:pPr>
              <w:jc w:val="right"/>
              <w:rPr>
                <w:rFonts w:cs="Calibri"/>
                <w:color w:val="000000"/>
              </w:rPr>
            </w:pPr>
            <w:r>
              <w:rPr>
                <w:rFonts w:cs="Calibri"/>
                <w:color w:val="000000"/>
              </w:rPr>
              <w:t>27%</w:t>
            </w:r>
          </w:p>
        </w:tc>
        <w:tc>
          <w:tcPr>
            <w:tcW w:w="1417" w:type="dxa"/>
            <w:vAlign w:val="bottom"/>
          </w:tcPr>
          <w:p w:rsidR="0040521B" w:rsidRDefault="0040521B" w:rsidP="0053283A">
            <w:pPr>
              <w:jc w:val="right"/>
              <w:rPr>
                <w:rFonts w:cs="Calibri"/>
                <w:color w:val="000000"/>
              </w:rPr>
            </w:pPr>
            <w:r>
              <w:rPr>
                <w:rFonts w:cs="Calibri"/>
                <w:color w:val="000000"/>
              </w:rPr>
              <w:t>35%</w:t>
            </w:r>
          </w:p>
        </w:tc>
        <w:tc>
          <w:tcPr>
            <w:tcW w:w="1559" w:type="dxa"/>
            <w:vAlign w:val="bottom"/>
          </w:tcPr>
          <w:p w:rsidR="0040521B" w:rsidRDefault="0040521B" w:rsidP="0053283A">
            <w:pPr>
              <w:jc w:val="right"/>
              <w:rPr>
                <w:rFonts w:cs="Calibri"/>
                <w:color w:val="000000"/>
              </w:rPr>
            </w:pPr>
            <w:r>
              <w:rPr>
                <w:rFonts w:cs="Calibri"/>
                <w:color w:val="000000"/>
              </w:rPr>
              <w:t>28%</w:t>
            </w:r>
          </w:p>
        </w:tc>
      </w:tr>
      <w:tr w:rsidR="0040521B" w:rsidTr="0053283A">
        <w:tc>
          <w:tcPr>
            <w:tcW w:w="5353" w:type="dxa"/>
          </w:tcPr>
          <w:p w:rsidR="0040521B" w:rsidRPr="0051278F" w:rsidRDefault="0040521B" w:rsidP="0053283A">
            <w:r w:rsidRPr="0051278F">
              <w:t>Behavioural problems</w:t>
            </w:r>
          </w:p>
        </w:tc>
        <w:tc>
          <w:tcPr>
            <w:tcW w:w="1418" w:type="dxa"/>
            <w:vAlign w:val="bottom"/>
          </w:tcPr>
          <w:p w:rsidR="0040521B" w:rsidRDefault="0040521B" w:rsidP="0053283A">
            <w:pPr>
              <w:jc w:val="right"/>
              <w:rPr>
                <w:rFonts w:cs="Calibri"/>
                <w:color w:val="000000"/>
              </w:rPr>
            </w:pPr>
            <w:r>
              <w:rPr>
                <w:rFonts w:cs="Calibri"/>
                <w:color w:val="000000"/>
              </w:rPr>
              <w:t>54%</w:t>
            </w:r>
          </w:p>
        </w:tc>
        <w:tc>
          <w:tcPr>
            <w:tcW w:w="1417" w:type="dxa"/>
            <w:vAlign w:val="bottom"/>
          </w:tcPr>
          <w:p w:rsidR="0040521B" w:rsidRDefault="0040521B" w:rsidP="0053283A">
            <w:pPr>
              <w:jc w:val="right"/>
              <w:rPr>
                <w:rFonts w:cs="Calibri"/>
                <w:color w:val="000000"/>
              </w:rPr>
            </w:pPr>
            <w:r>
              <w:rPr>
                <w:rFonts w:cs="Calibri"/>
                <w:color w:val="000000"/>
              </w:rPr>
              <w:t>59%</w:t>
            </w:r>
          </w:p>
        </w:tc>
        <w:tc>
          <w:tcPr>
            <w:tcW w:w="1559" w:type="dxa"/>
            <w:vAlign w:val="bottom"/>
          </w:tcPr>
          <w:p w:rsidR="0040521B" w:rsidRDefault="0040521B" w:rsidP="0053283A">
            <w:pPr>
              <w:jc w:val="right"/>
              <w:rPr>
                <w:rFonts w:cs="Calibri"/>
                <w:color w:val="000000"/>
              </w:rPr>
            </w:pPr>
            <w:r>
              <w:rPr>
                <w:rFonts w:cs="Calibri"/>
                <w:color w:val="000000"/>
              </w:rPr>
              <w:t>41%</w:t>
            </w:r>
          </w:p>
        </w:tc>
      </w:tr>
      <w:tr w:rsidR="0040521B" w:rsidTr="0053283A">
        <w:tc>
          <w:tcPr>
            <w:tcW w:w="5353" w:type="dxa"/>
          </w:tcPr>
          <w:p w:rsidR="0040521B" w:rsidRPr="0051278F" w:rsidRDefault="0040521B" w:rsidP="0053283A">
            <w:r w:rsidRPr="0051278F">
              <w:t>Bullying</w:t>
            </w:r>
          </w:p>
        </w:tc>
        <w:tc>
          <w:tcPr>
            <w:tcW w:w="1418" w:type="dxa"/>
            <w:vAlign w:val="bottom"/>
          </w:tcPr>
          <w:p w:rsidR="0040521B" w:rsidRDefault="0040521B" w:rsidP="0053283A">
            <w:pPr>
              <w:jc w:val="right"/>
              <w:rPr>
                <w:rFonts w:cs="Calibri"/>
                <w:color w:val="000000"/>
              </w:rPr>
            </w:pPr>
            <w:r>
              <w:rPr>
                <w:rFonts w:cs="Calibri"/>
                <w:color w:val="000000"/>
              </w:rPr>
              <w:t>27%</w:t>
            </w:r>
          </w:p>
        </w:tc>
        <w:tc>
          <w:tcPr>
            <w:tcW w:w="1417" w:type="dxa"/>
            <w:vAlign w:val="bottom"/>
          </w:tcPr>
          <w:p w:rsidR="0040521B" w:rsidRDefault="0040521B" w:rsidP="0053283A">
            <w:pPr>
              <w:jc w:val="right"/>
              <w:rPr>
                <w:rFonts w:cs="Calibri"/>
                <w:color w:val="000000"/>
              </w:rPr>
            </w:pPr>
            <w:r>
              <w:rPr>
                <w:rFonts w:cs="Calibri"/>
                <w:color w:val="000000"/>
              </w:rPr>
              <w:t>27%</w:t>
            </w:r>
          </w:p>
        </w:tc>
        <w:tc>
          <w:tcPr>
            <w:tcW w:w="1559" w:type="dxa"/>
            <w:vAlign w:val="bottom"/>
          </w:tcPr>
          <w:p w:rsidR="0040521B" w:rsidRDefault="0040521B" w:rsidP="0053283A">
            <w:pPr>
              <w:jc w:val="right"/>
              <w:rPr>
                <w:rFonts w:cs="Calibri"/>
                <w:color w:val="000000"/>
              </w:rPr>
            </w:pPr>
            <w:r>
              <w:rPr>
                <w:rFonts w:cs="Calibri"/>
                <w:color w:val="000000"/>
              </w:rPr>
              <w:t>21%</w:t>
            </w:r>
          </w:p>
        </w:tc>
      </w:tr>
      <w:tr w:rsidR="0040521B" w:rsidTr="0053283A">
        <w:tc>
          <w:tcPr>
            <w:tcW w:w="5353" w:type="dxa"/>
          </w:tcPr>
          <w:p w:rsidR="0040521B" w:rsidRPr="0051278F" w:rsidRDefault="0040521B" w:rsidP="0053283A">
            <w:r w:rsidRPr="0051278F">
              <w:t>Critical life event</w:t>
            </w:r>
          </w:p>
        </w:tc>
        <w:tc>
          <w:tcPr>
            <w:tcW w:w="1418" w:type="dxa"/>
            <w:vAlign w:val="bottom"/>
          </w:tcPr>
          <w:p w:rsidR="0040521B" w:rsidRDefault="0040521B" w:rsidP="0053283A">
            <w:pPr>
              <w:jc w:val="right"/>
              <w:rPr>
                <w:rFonts w:cs="Calibri"/>
                <w:color w:val="000000"/>
              </w:rPr>
            </w:pPr>
            <w:r>
              <w:rPr>
                <w:rFonts w:cs="Calibri"/>
                <w:color w:val="000000"/>
              </w:rPr>
              <w:t>12%</w:t>
            </w:r>
          </w:p>
        </w:tc>
        <w:tc>
          <w:tcPr>
            <w:tcW w:w="1417" w:type="dxa"/>
            <w:vAlign w:val="bottom"/>
          </w:tcPr>
          <w:p w:rsidR="0040521B" w:rsidRDefault="0040521B" w:rsidP="0053283A">
            <w:pPr>
              <w:jc w:val="right"/>
              <w:rPr>
                <w:rFonts w:cs="Calibri"/>
                <w:color w:val="000000"/>
              </w:rPr>
            </w:pPr>
            <w:r>
              <w:rPr>
                <w:rFonts w:cs="Calibri"/>
                <w:color w:val="000000"/>
              </w:rPr>
              <w:t>17%</w:t>
            </w:r>
          </w:p>
        </w:tc>
        <w:tc>
          <w:tcPr>
            <w:tcW w:w="1559" w:type="dxa"/>
            <w:vAlign w:val="bottom"/>
          </w:tcPr>
          <w:p w:rsidR="0040521B" w:rsidRDefault="0040521B" w:rsidP="0053283A">
            <w:pPr>
              <w:jc w:val="right"/>
              <w:rPr>
                <w:rFonts w:cs="Calibri"/>
                <w:color w:val="000000"/>
              </w:rPr>
            </w:pPr>
            <w:r>
              <w:rPr>
                <w:rFonts w:cs="Calibri"/>
                <w:color w:val="000000"/>
              </w:rPr>
              <w:t>18%</w:t>
            </w:r>
          </w:p>
        </w:tc>
      </w:tr>
      <w:tr w:rsidR="0040521B" w:rsidTr="0053283A">
        <w:tc>
          <w:tcPr>
            <w:tcW w:w="5353" w:type="dxa"/>
          </w:tcPr>
          <w:p w:rsidR="0040521B" w:rsidRPr="0051278F" w:rsidRDefault="0040521B" w:rsidP="0053283A">
            <w:r w:rsidRPr="0051278F">
              <w:t>Current or previous Juvenile Justice Orders</w:t>
            </w:r>
          </w:p>
        </w:tc>
        <w:tc>
          <w:tcPr>
            <w:tcW w:w="1418" w:type="dxa"/>
            <w:vAlign w:val="bottom"/>
          </w:tcPr>
          <w:p w:rsidR="0040521B" w:rsidRDefault="0040521B" w:rsidP="0053283A">
            <w:pPr>
              <w:jc w:val="right"/>
              <w:rPr>
                <w:rFonts w:cs="Calibri"/>
                <w:color w:val="000000"/>
              </w:rPr>
            </w:pPr>
            <w:r>
              <w:rPr>
                <w:rFonts w:cs="Calibri"/>
                <w:color w:val="000000"/>
              </w:rPr>
              <w:t>3%</w:t>
            </w:r>
          </w:p>
        </w:tc>
        <w:tc>
          <w:tcPr>
            <w:tcW w:w="1417" w:type="dxa"/>
            <w:vAlign w:val="bottom"/>
          </w:tcPr>
          <w:p w:rsidR="0040521B" w:rsidRDefault="0040521B" w:rsidP="0053283A">
            <w:pPr>
              <w:jc w:val="right"/>
              <w:rPr>
                <w:rFonts w:cs="Calibri"/>
                <w:color w:val="000000"/>
              </w:rPr>
            </w:pPr>
            <w:r>
              <w:rPr>
                <w:rFonts w:cs="Calibri"/>
                <w:color w:val="000000"/>
              </w:rPr>
              <w:t>7%</w:t>
            </w:r>
          </w:p>
        </w:tc>
        <w:tc>
          <w:tcPr>
            <w:tcW w:w="1559" w:type="dxa"/>
            <w:vAlign w:val="bottom"/>
          </w:tcPr>
          <w:p w:rsidR="0040521B" w:rsidRDefault="0040521B" w:rsidP="0053283A">
            <w:pPr>
              <w:jc w:val="right"/>
              <w:rPr>
                <w:rFonts w:cs="Calibri"/>
                <w:color w:val="000000"/>
              </w:rPr>
            </w:pPr>
            <w:r>
              <w:rPr>
                <w:rFonts w:cs="Calibri"/>
                <w:color w:val="000000"/>
              </w:rPr>
              <w:t>17%</w:t>
            </w:r>
          </w:p>
        </w:tc>
      </w:tr>
      <w:tr w:rsidR="0040521B" w:rsidTr="0053283A">
        <w:tc>
          <w:tcPr>
            <w:tcW w:w="5353" w:type="dxa"/>
          </w:tcPr>
          <w:p w:rsidR="0040521B" w:rsidRPr="0051278F" w:rsidRDefault="0040521B" w:rsidP="0053283A">
            <w:r w:rsidRPr="0051278F">
              <w:t>Disability</w:t>
            </w:r>
          </w:p>
        </w:tc>
        <w:tc>
          <w:tcPr>
            <w:tcW w:w="1418" w:type="dxa"/>
            <w:vAlign w:val="bottom"/>
          </w:tcPr>
          <w:p w:rsidR="0040521B" w:rsidRDefault="0040521B" w:rsidP="0053283A">
            <w:pPr>
              <w:jc w:val="right"/>
              <w:rPr>
                <w:rFonts w:cs="Calibri"/>
                <w:color w:val="000000"/>
              </w:rPr>
            </w:pPr>
            <w:r>
              <w:rPr>
                <w:rFonts w:cs="Calibri"/>
                <w:color w:val="000000"/>
              </w:rPr>
              <w:t>4%</w:t>
            </w:r>
          </w:p>
        </w:tc>
        <w:tc>
          <w:tcPr>
            <w:tcW w:w="1417" w:type="dxa"/>
            <w:vAlign w:val="bottom"/>
          </w:tcPr>
          <w:p w:rsidR="0040521B" w:rsidRDefault="0040521B" w:rsidP="0053283A">
            <w:pPr>
              <w:jc w:val="right"/>
              <w:rPr>
                <w:rFonts w:cs="Calibri"/>
                <w:color w:val="000000"/>
              </w:rPr>
            </w:pPr>
            <w:r>
              <w:rPr>
                <w:rFonts w:cs="Calibri"/>
                <w:color w:val="000000"/>
              </w:rPr>
              <w:t>5%</w:t>
            </w:r>
          </w:p>
        </w:tc>
        <w:tc>
          <w:tcPr>
            <w:tcW w:w="1559" w:type="dxa"/>
            <w:vAlign w:val="bottom"/>
          </w:tcPr>
          <w:p w:rsidR="0040521B" w:rsidRDefault="0040521B" w:rsidP="0053283A">
            <w:pPr>
              <w:jc w:val="right"/>
              <w:rPr>
                <w:rFonts w:cs="Calibri"/>
                <w:color w:val="000000"/>
              </w:rPr>
            </w:pPr>
            <w:r>
              <w:rPr>
                <w:rFonts w:cs="Calibri"/>
                <w:color w:val="000000"/>
              </w:rPr>
              <w:t>5%</w:t>
            </w:r>
          </w:p>
        </w:tc>
      </w:tr>
      <w:tr w:rsidR="0040521B" w:rsidTr="0053283A">
        <w:tc>
          <w:tcPr>
            <w:tcW w:w="5353" w:type="dxa"/>
          </w:tcPr>
          <w:p w:rsidR="0040521B" w:rsidRPr="0051278F" w:rsidRDefault="0040521B" w:rsidP="0053283A">
            <w:r w:rsidRPr="0051278F">
              <w:t>Disconnection from cultural heritage</w:t>
            </w:r>
          </w:p>
        </w:tc>
        <w:tc>
          <w:tcPr>
            <w:tcW w:w="1418" w:type="dxa"/>
            <w:vAlign w:val="bottom"/>
          </w:tcPr>
          <w:p w:rsidR="0040521B" w:rsidRDefault="0040521B" w:rsidP="0053283A">
            <w:pPr>
              <w:jc w:val="right"/>
              <w:rPr>
                <w:rFonts w:cs="Calibri"/>
                <w:color w:val="000000"/>
              </w:rPr>
            </w:pPr>
            <w:r>
              <w:rPr>
                <w:rFonts w:cs="Calibri"/>
                <w:color w:val="000000"/>
              </w:rPr>
              <w:t>5%</w:t>
            </w:r>
          </w:p>
        </w:tc>
        <w:tc>
          <w:tcPr>
            <w:tcW w:w="1417" w:type="dxa"/>
            <w:vAlign w:val="bottom"/>
          </w:tcPr>
          <w:p w:rsidR="0040521B" w:rsidRDefault="0040521B" w:rsidP="0053283A">
            <w:pPr>
              <w:jc w:val="right"/>
              <w:rPr>
                <w:rFonts w:cs="Calibri"/>
                <w:color w:val="000000"/>
              </w:rPr>
            </w:pPr>
            <w:r>
              <w:rPr>
                <w:rFonts w:cs="Calibri"/>
                <w:color w:val="000000"/>
              </w:rPr>
              <w:t>4%</w:t>
            </w:r>
          </w:p>
        </w:tc>
        <w:tc>
          <w:tcPr>
            <w:tcW w:w="1559" w:type="dxa"/>
            <w:vAlign w:val="bottom"/>
          </w:tcPr>
          <w:p w:rsidR="0040521B" w:rsidRDefault="0040521B" w:rsidP="0053283A">
            <w:pPr>
              <w:jc w:val="right"/>
              <w:rPr>
                <w:rFonts w:cs="Calibri"/>
                <w:color w:val="000000"/>
              </w:rPr>
            </w:pPr>
            <w:r>
              <w:rPr>
                <w:rFonts w:cs="Calibri"/>
                <w:color w:val="000000"/>
              </w:rPr>
              <w:t>5%</w:t>
            </w:r>
          </w:p>
        </w:tc>
      </w:tr>
      <w:tr w:rsidR="0040521B" w:rsidTr="0053283A">
        <w:tc>
          <w:tcPr>
            <w:tcW w:w="5353" w:type="dxa"/>
          </w:tcPr>
          <w:p w:rsidR="0040521B" w:rsidRPr="0051278F" w:rsidRDefault="0040521B" w:rsidP="0053283A">
            <w:r w:rsidRPr="0051278F">
              <w:t>Financial distress</w:t>
            </w:r>
          </w:p>
        </w:tc>
        <w:tc>
          <w:tcPr>
            <w:tcW w:w="1418" w:type="dxa"/>
            <w:vAlign w:val="bottom"/>
          </w:tcPr>
          <w:p w:rsidR="0040521B" w:rsidRDefault="0040521B" w:rsidP="0053283A">
            <w:pPr>
              <w:jc w:val="right"/>
              <w:rPr>
                <w:rFonts w:cs="Calibri"/>
                <w:color w:val="000000"/>
              </w:rPr>
            </w:pPr>
            <w:r>
              <w:rPr>
                <w:rFonts w:cs="Calibri"/>
                <w:color w:val="000000"/>
              </w:rPr>
              <w:t>14%</w:t>
            </w:r>
          </w:p>
        </w:tc>
        <w:tc>
          <w:tcPr>
            <w:tcW w:w="1417" w:type="dxa"/>
            <w:vAlign w:val="bottom"/>
          </w:tcPr>
          <w:p w:rsidR="0040521B" w:rsidRDefault="0040521B" w:rsidP="0053283A">
            <w:pPr>
              <w:jc w:val="right"/>
              <w:rPr>
                <w:rFonts w:cs="Calibri"/>
                <w:color w:val="000000"/>
              </w:rPr>
            </w:pPr>
            <w:r>
              <w:rPr>
                <w:rFonts w:cs="Calibri"/>
                <w:color w:val="000000"/>
              </w:rPr>
              <w:t>23%</w:t>
            </w:r>
          </w:p>
        </w:tc>
        <w:tc>
          <w:tcPr>
            <w:tcW w:w="1559" w:type="dxa"/>
            <w:vAlign w:val="bottom"/>
          </w:tcPr>
          <w:p w:rsidR="0040521B" w:rsidRDefault="0040521B" w:rsidP="0053283A">
            <w:pPr>
              <w:jc w:val="right"/>
              <w:rPr>
                <w:rFonts w:cs="Calibri"/>
                <w:color w:val="000000"/>
              </w:rPr>
            </w:pPr>
            <w:r>
              <w:rPr>
                <w:rFonts w:cs="Calibri"/>
                <w:color w:val="000000"/>
              </w:rPr>
              <w:t>42%</w:t>
            </w:r>
          </w:p>
        </w:tc>
      </w:tr>
      <w:tr w:rsidR="0040521B" w:rsidTr="0053283A">
        <w:tc>
          <w:tcPr>
            <w:tcW w:w="5353" w:type="dxa"/>
          </w:tcPr>
          <w:p w:rsidR="0040521B" w:rsidRPr="0051278F" w:rsidRDefault="0040521B" w:rsidP="0053283A">
            <w:r w:rsidRPr="0051278F">
              <w:t>Gifted</w:t>
            </w:r>
          </w:p>
        </w:tc>
        <w:tc>
          <w:tcPr>
            <w:tcW w:w="1418" w:type="dxa"/>
            <w:vAlign w:val="bottom"/>
          </w:tcPr>
          <w:p w:rsidR="0040521B" w:rsidRDefault="0040521B" w:rsidP="0053283A">
            <w:pPr>
              <w:jc w:val="right"/>
              <w:rPr>
                <w:rFonts w:cs="Calibri"/>
                <w:color w:val="000000"/>
              </w:rPr>
            </w:pPr>
            <w:r>
              <w:rPr>
                <w:rFonts w:cs="Calibri"/>
                <w:color w:val="000000"/>
              </w:rPr>
              <w:t>1%</w:t>
            </w:r>
          </w:p>
        </w:tc>
        <w:tc>
          <w:tcPr>
            <w:tcW w:w="1417" w:type="dxa"/>
            <w:vAlign w:val="bottom"/>
          </w:tcPr>
          <w:p w:rsidR="0040521B" w:rsidRDefault="0040521B" w:rsidP="0053283A">
            <w:pPr>
              <w:jc w:val="right"/>
              <w:rPr>
                <w:rFonts w:cs="Calibri"/>
                <w:color w:val="000000"/>
              </w:rPr>
            </w:pPr>
            <w:r>
              <w:rPr>
                <w:rFonts w:cs="Calibri"/>
                <w:color w:val="000000"/>
              </w:rPr>
              <w:t>1%</w:t>
            </w:r>
          </w:p>
        </w:tc>
        <w:tc>
          <w:tcPr>
            <w:tcW w:w="1559" w:type="dxa"/>
            <w:vAlign w:val="bottom"/>
          </w:tcPr>
          <w:p w:rsidR="0040521B" w:rsidRDefault="0040521B" w:rsidP="0053283A">
            <w:pPr>
              <w:jc w:val="right"/>
              <w:rPr>
                <w:rFonts w:cs="Calibri"/>
                <w:color w:val="000000"/>
              </w:rPr>
            </w:pPr>
            <w:r>
              <w:rPr>
                <w:rFonts w:cs="Calibri"/>
                <w:color w:val="000000"/>
              </w:rPr>
              <w:t>1%</w:t>
            </w:r>
          </w:p>
        </w:tc>
      </w:tr>
      <w:tr w:rsidR="0040521B" w:rsidTr="0053283A">
        <w:tc>
          <w:tcPr>
            <w:tcW w:w="5353" w:type="dxa"/>
          </w:tcPr>
          <w:p w:rsidR="0040521B" w:rsidRPr="0051278F" w:rsidRDefault="0040521B" w:rsidP="0053283A">
            <w:r w:rsidRPr="0051278F">
              <w:t>Homelessness</w:t>
            </w:r>
          </w:p>
        </w:tc>
        <w:tc>
          <w:tcPr>
            <w:tcW w:w="1418" w:type="dxa"/>
            <w:vAlign w:val="bottom"/>
          </w:tcPr>
          <w:p w:rsidR="0040521B" w:rsidRDefault="0040521B" w:rsidP="0053283A">
            <w:pPr>
              <w:jc w:val="right"/>
              <w:rPr>
                <w:rFonts w:cs="Calibri"/>
                <w:color w:val="000000"/>
              </w:rPr>
            </w:pPr>
            <w:r>
              <w:rPr>
                <w:rFonts w:cs="Calibri"/>
                <w:color w:val="000000"/>
              </w:rPr>
              <w:t>1%</w:t>
            </w:r>
          </w:p>
        </w:tc>
        <w:tc>
          <w:tcPr>
            <w:tcW w:w="1417" w:type="dxa"/>
            <w:vAlign w:val="bottom"/>
          </w:tcPr>
          <w:p w:rsidR="0040521B" w:rsidRDefault="0040521B" w:rsidP="0053283A">
            <w:pPr>
              <w:jc w:val="right"/>
              <w:rPr>
                <w:rFonts w:cs="Calibri"/>
                <w:color w:val="000000"/>
              </w:rPr>
            </w:pPr>
            <w:r>
              <w:rPr>
                <w:rFonts w:cs="Calibri"/>
                <w:color w:val="000000"/>
              </w:rPr>
              <w:t>3%</w:t>
            </w:r>
          </w:p>
        </w:tc>
        <w:tc>
          <w:tcPr>
            <w:tcW w:w="1559" w:type="dxa"/>
            <w:vAlign w:val="bottom"/>
          </w:tcPr>
          <w:p w:rsidR="0040521B" w:rsidRDefault="0040521B" w:rsidP="0053283A">
            <w:pPr>
              <w:jc w:val="right"/>
              <w:rPr>
                <w:rFonts w:cs="Calibri"/>
                <w:color w:val="000000"/>
              </w:rPr>
            </w:pPr>
            <w:r>
              <w:rPr>
                <w:rFonts w:cs="Calibri"/>
                <w:color w:val="000000"/>
              </w:rPr>
              <w:t>8%</w:t>
            </w:r>
          </w:p>
        </w:tc>
      </w:tr>
      <w:tr w:rsidR="0040521B" w:rsidTr="0053283A">
        <w:tc>
          <w:tcPr>
            <w:tcW w:w="5353" w:type="dxa"/>
          </w:tcPr>
          <w:p w:rsidR="0040521B" w:rsidRPr="0051278F" w:rsidRDefault="0040521B" w:rsidP="0053283A">
            <w:r w:rsidRPr="0051278F">
              <w:t>In detention/previously in detention</w:t>
            </w:r>
          </w:p>
        </w:tc>
        <w:tc>
          <w:tcPr>
            <w:tcW w:w="1418" w:type="dxa"/>
            <w:vAlign w:val="bottom"/>
          </w:tcPr>
          <w:p w:rsidR="0040521B" w:rsidRDefault="0040521B" w:rsidP="0053283A">
            <w:pPr>
              <w:jc w:val="right"/>
              <w:rPr>
                <w:rFonts w:cs="Calibri"/>
                <w:color w:val="000000"/>
              </w:rPr>
            </w:pPr>
            <w:r>
              <w:rPr>
                <w:rFonts w:cs="Calibri"/>
                <w:color w:val="000000"/>
              </w:rPr>
              <w:t>1%</w:t>
            </w:r>
          </w:p>
        </w:tc>
        <w:tc>
          <w:tcPr>
            <w:tcW w:w="1417" w:type="dxa"/>
            <w:vAlign w:val="bottom"/>
          </w:tcPr>
          <w:p w:rsidR="0040521B" w:rsidRDefault="0040521B" w:rsidP="0053283A">
            <w:pPr>
              <w:jc w:val="right"/>
              <w:rPr>
                <w:rFonts w:cs="Calibri"/>
                <w:color w:val="000000"/>
              </w:rPr>
            </w:pPr>
            <w:r>
              <w:rPr>
                <w:rFonts w:cs="Calibri"/>
                <w:color w:val="000000"/>
              </w:rPr>
              <w:t>2%</w:t>
            </w:r>
          </w:p>
        </w:tc>
        <w:tc>
          <w:tcPr>
            <w:tcW w:w="1559" w:type="dxa"/>
            <w:vAlign w:val="bottom"/>
          </w:tcPr>
          <w:p w:rsidR="0040521B" w:rsidRDefault="0040521B" w:rsidP="0053283A">
            <w:pPr>
              <w:jc w:val="right"/>
              <w:rPr>
                <w:rFonts w:cs="Calibri"/>
                <w:color w:val="000000"/>
              </w:rPr>
            </w:pPr>
            <w:r>
              <w:rPr>
                <w:rFonts w:cs="Calibri"/>
                <w:color w:val="000000"/>
              </w:rPr>
              <w:t>5%</w:t>
            </w:r>
          </w:p>
        </w:tc>
      </w:tr>
      <w:tr w:rsidR="0040521B" w:rsidTr="0053283A">
        <w:tc>
          <w:tcPr>
            <w:tcW w:w="5353" w:type="dxa"/>
          </w:tcPr>
          <w:p w:rsidR="0040521B" w:rsidRPr="0051278F" w:rsidRDefault="0040521B" w:rsidP="0053283A">
            <w:r w:rsidRPr="0051278F">
              <w:t>Inadequate family support</w:t>
            </w:r>
          </w:p>
        </w:tc>
        <w:tc>
          <w:tcPr>
            <w:tcW w:w="1418" w:type="dxa"/>
            <w:vAlign w:val="bottom"/>
          </w:tcPr>
          <w:p w:rsidR="0040521B" w:rsidRDefault="0040521B" w:rsidP="0053283A">
            <w:pPr>
              <w:jc w:val="right"/>
              <w:rPr>
                <w:rFonts w:cs="Calibri"/>
                <w:color w:val="000000"/>
              </w:rPr>
            </w:pPr>
            <w:r>
              <w:rPr>
                <w:rFonts w:cs="Calibri"/>
                <w:color w:val="000000"/>
              </w:rPr>
              <w:t>17%</w:t>
            </w:r>
          </w:p>
        </w:tc>
        <w:tc>
          <w:tcPr>
            <w:tcW w:w="1417" w:type="dxa"/>
            <w:vAlign w:val="bottom"/>
          </w:tcPr>
          <w:p w:rsidR="0040521B" w:rsidRDefault="0040521B" w:rsidP="0053283A">
            <w:pPr>
              <w:jc w:val="right"/>
              <w:rPr>
                <w:rFonts w:cs="Calibri"/>
                <w:color w:val="000000"/>
              </w:rPr>
            </w:pPr>
            <w:r>
              <w:rPr>
                <w:rFonts w:cs="Calibri"/>
                <w:color w:val="000000"/>
              </w:rPr>
              <w:t>25%</w:t>
            </w:r>
          </w:p>
        </w:tc>
        <w:tc>
          <w:tcPr>
            <w:tcW w:w="1559" w:type="dxa"/>
            <w:vAlign w:val="bottom"/>
          </w:tcPr>
          <w:p w:rsidR="0040521B" w:rsidRDefault="0040521B" w:rsidP="0053283A">
            <w:pPr>
              <w:jc w:val="right"/>
              <w:rPr>
                <w:rFonts w:cs="Calibri"/>
                <w:color w:val="000000"/>
              </w:rPr>
            </w:pPr>
            <w:r>
              <w:rPr>
                <w:rFonts w:cs="Calibri"/>
                <w:color w:val="000000"/>
              </w:rPr>
              <w:t>36%</w:t>
            </w:r>
          </w:p>
        </w:tc>
      </w:tr>
      <w:tr w:rsidR="0040521B" w:rsidTr="0053283A">
        <w:tc>
          <w:tcPr>
            <w:tcW w:w="5353" w:type="dxa"/>
          </w:tcPr>
          <w:p w:rsidR="0040521B" w:rsidRPr="0051278F" w:rsidRDefault="0040521B" w:rsidP="0053283A">
            <w:r w:rsidRPr="0051278F">
              <w:t>Learning Difficulty</w:t>
            </w:r>
          </w:p>
        </w:tc>
        <w:tc>
          <w:tcPr>
            <w:tcW w:w="1418" w:type="dxa"/>
            <w:vAlign w:val="bottom"/>
          </w:tcPr>
          <w:p w:rsidR="0040521B" w:rsidRDefault="0040521B" w:rsidP="0053283A">
            <w:pPr>
              <w:jc w:val="right"/>
              <w:rPr>
                <w:rFonts w:cs="Calibri"/>
                <w:color w:val="000000"/>
              </w:rPr>
            </w:pPr>
            <w:r>
              <w:rPr>
                <w:rFonts w:cs="Calibri"/>
                <w:color w:val="000000"/>
              </w:rPr>
              <w:t>7%</w:t>
            </w:r>
          </w:p>
        </w:tc>
        <w:tc>
          <w:tcPr>
            <w:tcW w:w="1417" w:type="dxa"/>
            <w:vAlign w:val="bottom"/>
          </w:tcPr>
          <w:p w:rsidR="0040521B" w:rsidRDefault="0040521B" w:rsidP="0053283A">
            <w:pPr>
              <w:jc w:val="right"/>
              <w:rPr>
                <w:rFonts w:cs="Calibri"/>
                <w:color w:val="000000"/>
              </w:rPr>
            </w:pPr>
            <w:r>
              <w:rPr>
                <w:rFonts w:cs="Calibri"/>
                <w:color w:val="000000"/>
              </w:rPr>
              <w:t>8%</w:t>
            </w:r>
          </w:p>
        </w:tc>
        <w:tc>
          <w:tcPr>
            <w:tcW w:w="1559" w:type="dxa"/>
            <w:vAlign w:val="bottom"/>
          </w:tcPr>
          <w:p w:rsidR="0040521B" w:rsidRDefault="0040521B" w:rsidP="0053283A">
            <w:pPr>
              <w:jc w:val="right"/>
              <w:rPr>
                <w:rFonts w:cs="Calibri"/>
                <w:color w:val="000000"/>
              </w:rPr>
            </w:pPr>
            <w:r>
              <w:rPr>
                <w:rFonts w:cs="Calibri"/>
                <w:color w:val="000000"/>
              </w:rPr>
              <w:t>8%</w:t>
            </w:r>
          </w:p>
        </w:tc>
      </w:tr>
      <w:tr w:rsidR="0040521B" w:rsidTr="0053283A">
        <w:tc>
          <w:tcPr>
            <w:tcW w:w="5353" w:type="dxa"/>
          </w:tcPr>
          <w:p w:rsidR="0040521B" w:rsidRPr="0051278F" w:rsidRDefault="0040521B" w:rsidP="0053283A">
            <w:r w:rsidRPr="0051278F">
              <w:t>Low literacy and/or numeracy</w:t>
            </w:r>
          </w:p>
        </w:tc>
        <w:tc>
          <w:tcPr>
            <w:tcW w:w="1418" w:type="dxa"/>
            <w:vAlign w:val="bottom"/>
          </w:tcPr>
          <w:p w:rsidR="0040521B" w:rsidRDefault="0040521B" w:rsidP="0053283A">
            <w:pPr>
              <w:jc w:val="right"/>
              <w:rPr>
                <w:rFonts w:cs="Calibri"/>
                <w:color w:val="000000"/>
              </w:rPr>
            </w:pPr>
            <w:r>
              <w:rPr>
                <w:rFonts w:cs="Calibri"/>
                <w:color w:val="000000"/>
              </w:rPr>
              <w:t>44%</w:t>
            </w:r>
          </w:p>
        </w:tc>
        <w:tc>
          <w:tcPr>
            <w:tcW w:w="1417" w:type="dxa"/>
            <w:vAlign w:val="bottom"/>
          </w:tcPr>
          <w:p w:rsidR="0040521B" w:rsidRDefault="0040521B" w:rsidP="0053283A">
            <w:pPr>
              <w:jc w:val="right"/>
              <w:rPr>
                <w:rFonts w:cs="Calibri"/>
                <w:color w:val="000000"/>
              </w:rPr>
            </w:pPr>
            <w:r>
              <w:rPr>
                <w:rFonts w:cs="Calibri"/>
                <w:color w:val="000000"/>
              </w:rPr>
              <w:t>51%</w:t>
            </w:r>
          </w:p>
        </w:tc>
        <w:tc>
          <w:tcPr>
            <w:tcW w:w="1559" w:type="dxa"/>
            <w:vAlign w:val="bottom"/>
          </w:tcPr>
          <w:p w:rsidR="0040521B" w:rsidRDefault="0040521B" w:rsidP="0053283A">
            <w:pPr>
              <w:jc w:val="right"/>
              <w:rPr>
                <w:rFonts w:cs="Calibri"/>
                <w:color w:val="000000"/>
              </w:rPr>
            </w:pPr>
            <w:r>
              <w:rPr>
                <w:rFonts w:cs="Calibri"/>
                <w:color w:val="000000"/>
              </w:rPr>
              <w:t>52%</w:t>
            </w:r>
          </w:p>
        </w:tc>
      </w:tr>
      <w:tr w:rsidR="0040521B" w:rsidTr="0053283A">
        <w:tc>
          <w:tcPr>
            <w:tcW w:w="5353" w:type="dxa"/>
          </w:tcPr>
          <w:p w:rsidR="0040521B" w:rsidRPr="0051278F" w:rsidRDefault="0040521B" w:rsidP="0053283A">
            <w:r w:rsidRPr="0051278F">
              <w:t>Low Self Esteem</w:t>
            </w:r>
          </w:p>
        </w:tc>
        <w:tc>
          <w:tcPr>
            <w:tcW w:w="1418" w:type="dxa"/>
            <w:vAlign w:val="bottom"/>
          </w:tcPr>
          <w:p w:rsidR="0040521B" w:rsidRDefault="0040521B" w:rsidP="0053283A">
            <w:pPr>
              <w:jc w:val="right"/>
              <w:rPr>
                <w:rFonts w:cs="Calibri"/>
                <w:color w:val="000000"/>
              </w:rPr>
            </w:pPr>
            <w:r>
              <w:rPr>
                <w:rFonts w:cs="Calibri"/>
                <w:color w:val="000000"/>
              </w:rPr>
              <w:t>54%</w:t>
            </w:r>
          </w:p>
        </w:tc>
        <w:tc>
          <w:tcPr>
            <w:tcW w:w="1417" w:type="dxa"/>
            <w:vAlign w:val="bottom"/>
          </w:tcPr>
          <w:p w:rsidR="0040521B" w:rsidRDefault="0040521B" w:rsidP="0053283A">
            <w:pPr>
              <w:jc w:val="right"/>
              <w:rPr>
                <w:rFonts w:cs="Calibri"/>
                <w:color w:val="000000"/>
              </w:rPr>
            </w:pPr>
            <w:r>
              <w:rPr>
                <w:rFonts w:cs="Calibri"/>
                <w:color w:val="000000"/>
              </w:rPr>
              <w:t>57%</w:t>
            </w:r>
          </w:p>
        </w:tc>
        <w:tc>
          <w:tcPr>
            <w:tcW w:w="1559" w:type="dxa"/>
            <w:vAlign w:val="bottom"/>
          </w:tcPr>
          <w:p w:rsidR="0040521B" w:rsidRDefault="0040521B" w:rsidP="0053283A">
            <w:pPr>
              <w:jc w:val="right"/>
              <w:rPr>
                <w:rFonts w:cs="Calibri"/>
                <w:color w:val="000000"/>
              </w:rPr>
            </w:pPr>
            <w:r>
              <w:rPr>
                <w:rFonts w:cs="Calibri"/>
                <w:color w:val="000000"/>
              </w:rPr>
              <w:t>56%</w:t>
            </w:r>
          </w:p>
        </w:tc>
      </w:tr>
      <w:tr w:rsidR="0040521B" w:rsidTr="0053283A">
        <w:tc>
          <w:tcPr>
            <w:tcW w:w="5353" w:type="dxa"/>
          </w:tcPr>
          <w:p w:rsidR="0040521B" w:rsidRPr="0051278F" w:rsidRDefault="0040521B" w:rsidP="0053283A">
            <w:r w:rsidRPr="0051278F">
              <w:t>Medical or other health issue</w:t>
            </w:r>
          </w:p>
        </w:tc>
        <w:tc>
          <w:tcPr>
            <w:tcW w:w="1418" w:type="dxa"/>
            <w:vAlign w:val="bottom"/>
          </w:tcPr>
          <w:p w:rsidR="0040521B" w:rsidRDefault="0040521B" w:rsidP="0053283A">
            <w:pPr>
              <w:jc w:val="right"/>
              <w:rPr>
                <w:rFonts w:cs="Calibri"/>
                <w:color w:val="000000"/>
              </w:rPr>
            </w:pPr>
            <w:r>
              <w:rPr>
                <w:rFonts w:cs="Calibri"/>
                <w:color w:val="000000"/>
              </w:rPr>
              <w:t>7%</w:t>
            </w:r>
          </w:p>
        </w:tc>
        <w:tc>
          <w:tcPr>
            <w:tcW w:w="1417" w:type="dxa"/>
            <w:vAlign w:val="bottom"/>
          </w:tcPr>
          <w:p w:rsidR="0040521B" w:rsidRDefault="0040521B" w:rsidP="0053283A">
            <w:pPr>
              <w:jc w:val="right"/>
              <w:rPr>
                <w:rFonts w:cs="Calibri"/>
                <w:color w:val="000000"/>
              </w:rPr>
            </w:pPr>
            <w:r>
              <w:rPr>
                <w:rFonts w:cs="Calibri"/>
                <w:color w:val="000000"/>
              </w:rPr>
              <w:t>10%</w:t>
            </w:r>
          </w:p>
        </w:tc>
        <w:tc>
          <w:tcPr>
            <w:tcW w:w="1559" w:type="dxa"/>
            <w:vAlign w:val="bottom"/>
          </w:tcPr>
          <w:p w:rsidR="0040521B" w:rsidRDefault="0040521B" w:rsidP="0053283A">
            <w:pPr>
              <w:jc w:val="right"/>
              <w:rPr>
                <w:rFonts w:cs="Calibri"/>
                <w:color w:val="000000"/>
              </w:rPr>
            </w:pPr>
            <w:r>
              <w:rPr>
                <w:rFonts w:cs="Calibri"/>
                <w:color w:val="000000"/>
              </w:rPr>
              <w:t>12%</w:t>
            </w:r>
          </w:p>
        </w:tc>
      </w:tr>
      <w:tr w:rsidR="0040521B" w:rsidTr="0053283A">
        <w:tc>
          <w:tcPr>
            <w:tcW w:w="5353" w:type="dxa"/>
          </w:tcPr>
          <w:p w:rsidR="0040521B" w:rsidRPr="0051278F" w:rsidRDefault="0040521B" w:rsidP="0053283A">
            <w:r w:rsidRPr="0051278F">
              <w:t>Negative experience(s) with education and training</w:t>
            </w:r>
          </w:p>
        </w:tc>
        <w:tc>
          <w:tcPr>
            <w:tcW w:w="1418" w:type="dxa"/>
            <w:vAlign w:val="bottom"/>
          </w:tcPr>
          <w:p w:rsidR="0040521B" w:rsidRDefault="0040521B" w:rsidP="0053283A">
            <w:pPr>
              <w:jc w:val="right"/>
              <w:rPr>
                <w:rFonts w:cs="Calibri"/>
                <w:color w:val="000000"/>
              </w:rPr>
            </w:pPr>
            <w:r>
              <w:rPr>
                <w:rFonts w:cs="Calibri"/>
                <w:color w:val="000000"/>
              </w:rPr>
              <w:t>9%</w:t>
            </w:r>
          </w:p>
        </w:tc>
        <w:tc>
          <w:tcPr>
            <w:tcW w:w="1417" w:type="dxa"/>
            <w:vAlign w:val="bottom"/>
          </w:tcPr>
          <w:p w:rsidR="0040521B" w:rsidRDefault="0040521B" w:rsidP="0053283A">
            <w:pPr>
              <w:jc w:val="right"/>
              <w:rPr>
                <w:rFonts w:cs="Calibri"/>
                <w:color w:val="000000"/>
              </w:rPr>
            </w:pPr>
            <w:r>
              <w:rPr>
                <w:rFonts w:cs="Calibri"/>
                <w:color w:val="000000"/>
              </w:rPr>
              <w:t>12%</w:t>
            </w:r>
          </w:p>
        </w:tc>
        <w:tc>
          <w:tcPr>
            <w:tcW w:w="1559" w:type="dxa"/>
            <w:vAlign w:val="bottom"/>
          </w:tcPr>
          <w:p w:rsidR="0040521B" w:rsidRDefault="0040521B" w:rsidP="0053283A">
            <w:pPr>
              <w:jc w:val="right"/>
              <w:rPr>
                <w:rFonts w:cs="Calibri"/>
                <w:color w:val="000000"/>
              </w:rPr>
            </w:pPr>
            <w:r>
              <w:rPr>
                <w:rFonts w:cs="Calibri"/>
                <w:color w:val="000000"/>
              </w:rPr>
              <w:t>12%</w:t>
            </w:r>
          </w:p>
        </w:tc>
      </w:tr>
      <w:tr w:rsidR="0040521B" w:rsidTr="0053283A">
        <w:tc>
          <w:tcPr>
            <w:tcW w:w="5353" w:type="dxa"/>
          </w:tcPr>
          <w:p w:rsidR="0040521B" w:rsidRPr="0051278F" w:rsidRDefault="0040521B" w:rsidP="0053283A">
            <w:r w:rsidRPr="0051278F">
              <w:t>Out of home care</w:t>
            </w:r>
          </w:p>
        </w:tc>
        <w:tc>
          <w:tcPr>
            <w:tcW w:w="1418" w:type="dxa"/>
            <w:vAlign w:val="bottom"/>
          </w:tcPr>
          <w:p w:rsidR="0040521B" w:rsidRDefault="0040521B" w:rsidP="0053283A">
            <w:pPr>
              <w:jc w:val="right"/>
              <w:rPr>
                <w:rFonts w:cs="Calibri"/>
                <w:color w:val="000000"/>
              </w:rPr>
            </w:pPr>
            <w:r>
              <w:rPr>
                <w:rFonts w:cs="Calibri"/>
                <w:color w:val="000000"/>
              </w:rPr>
              <w:t>2%</w:t>
            </w:r>
          </w:p>
        </w:tc>
        <w:tc>
          <w:tcPr>
            <w:tcW w:w="1417" w:type="dxa"/>
            <w:vAlign w:val="bottom"/>
          </w:tcPr>
          <w:p w:rsidR="0040521B" w:rsidRDefault="0040521B" w:rsidP="0053283A">
            <w:pPr>
              <w:jc w:val="right"/>
              <w:rPr>
                <w:rFonts w:cs="Calibri"/>
                <w:color w:val="000000"/>
              </w:rPr>
            </w:pPr>
            <w:r>
              <w:rPr>
                <w:rFonts w:cs="Calibri"/>
                <w:color w:val="000000"/>
              </w:rPr>
              <w:t>3%</w:t>
            </w:r>
          </w:p>
        </w:tc>
        <w:tc>
          <w:tcPr>
            <w:tcW w:w="1559" w:type="dxa"/>
            <w:vAlign w:val="bottom"/>
          </w:tcPr>
          <w:p w:rsidR="0040521B" w:rsidRDefault="0040521B" w:rsidP="0053283A">
            <w:pPr>
              <w:jc w:val="right"/>
              <w:rPr>
                <w:rFonts w:cs="Calibri"/>
                <w:color w:val="000000"/>
              </w:rPr>
            </w:pPr>
            <w:r>
              <w:rPr>
                <w:rFonts w:cs="Calibri"/>
                <w:color w:val="000000"/>
              </w:rPr>
              <w:t>5%</w:t>
            </w:r>
          </w:p>
        </w:tc>
      </w:tr>
      <w:tr w:rsidR="0040521B" w:rsidTr="0053283A">
        <w:tc>
          <w:tcPr>
            <w:tcW w:w="5353" w:type="dxa"/>
          </w:tcPr>
          <w:p w:rsidR="0040521B" w:rsidRPr="0051278F" w:rsidRDefault="0040521B" w:rsidP="0053283A">
            <w:r w:rsidRPr="0051278F">
              <w:t>Parent/Pregnancy</w:t>
            </w:r>
          </w:p>
        </w:tc>
        <w:tc>
          <w:tcPr>
            <w:tcW w:w="1418" w:type="dxa"/>
            <w:vAlign w:val="bottom"/>
          </w:tcPr>
          <w:p w:rsidR="0040521B" w:rsidRDefault="0040521B" w:rsidP="0053283A">
            <w:pPr>
              <w:jc w:val="right"/>
              <w:rPr>
                <w:rFonts w:cs="Calibri"/>
                <w:color w:val="000000"/>
              </w:rPr>
            </w:pPr>
            <w:r>
              <w:rPr>
                <w:rFonts w:cs="Calibri"/>
                <w:color w:val="000000"/>
              </w:rPr>
              <w:t>1%</w:t>
            </w:r>
          </w:p>
        </w:tc>
        <w:tc>
          <w:tcPr>
            <w:tcW w:w="1417" w:type="dxa"/>
            <w:vAlign w:val="bottom"/>
          </w:tcPr>
          <w:p w:rsidR="0040521B" w:rsidRDefault="0040521B" w:rsidP="0053283A">
            <w:pPr>
              <w:jc w:val="right"/>
              <w:rPr>
                <w:rFonts w:cs="Calibri"/>
                <w:color w:val="000000"/>
              </w:rPr>
            </w:pPr>
            <w:r>
              <w:rPr>
                <w:rFonts w:cs="Calibri"/>
                <w:color w:val="000000"/>
              </w:rPr>
              <w:t>2%</w:t>
            </w:r>
          </w:p>
        </w:tc>
        <w:tc>
          <w:tcPr>
            <w:tcW w:w="1559" w:type="dxa"/>
            <w:vAlign w:val="bottom"/>
          </w:tcPr>
          <w:p w:rsidR="0040521B" w:rsidRDefault="0040521B" w:rsidP="0053283A">
            <w:pPr>
              <w:jc w:val="right"/>
              <w:rPr>
                <w:rFonts w:cs="Calibri"/>
                <w:color w:val="000000"/>
              </w:rPr>
            </w:pPr>
            <w:r>
              <w:rPr>
                <w:rFonts w:cs="Calibri"/>
                <w:color w:val="000000"/>
              </w:rPr>
              <w:t>7%</w:t>
            </w:r>
          </w:p>
        </w:tc>
      </w:tr>
      <w:tr w:rsidR="0040521B" w:rsidTr="0053283A">
        <w:tc>
          <w:tcPr>
            <w:tcW w:w="5353" w:type="dxa"/>
          </w:tcPr>
          <w:p w:rsidR="0040521B" w:rsidRPr="0051278F" w:rsidRDefault="0040521B" w:rsidP="0053283A">
            <w:r w:rsidRPr="0051278F">
              <w:t>Petrol sniffing</w:t>
            </w:r>
          </w:p>
        </w:tc>
        <w:tc>
          <w:tcPr>
            <w:tcW w:w="1418" w:type="dxa"/>
            <w:vAlign w:val="bottom"/>
          </w:tcPr>
          <w:p w:rsidR="0040521B" w:rsidRDefault="0040521B" w:rsidP="0053283A">
            <w:pPr>
              <w:jc w:val="right"/>
              <w:rPr>
                <w:rFonts w:cs="Calibri"/>
                <w:color w:val="000000"/>
              </w:rPr>
            </w:pPr>
            <w:r>
              <w:rPr>
                <w:rFonts w:cs="Calibri"/>
                <w:color w:val="000000"/>
              </w:rPr>
              <w:t>0%</w:t>
            </w:r>
          </w:p>
        </w:tc>
        <w:tc>
          <w:tcPr>
            <w:tcW w:w="1417" w:type="dxa"/>
            <w:vAlign w:val="bottom"/>
          </w:tcPr>
          <w:p w:rsidR="0040521B" w:rsidRDefault="0040521B" w:rsidP="0053283A">
            <w:pPr>
              <w:jc w:val="right"/>
              <w:rPr>
                <w:rFonts w:cs="Calibri"/>
                <w:color w:val="000000"/>
              </w:rPr>
            </w:pPr>
            <w:r>
              <w:rPr>
                <w:rFonts w:cs="Calibri"/>
                <w:color w:val="000000"/>
              </w:rPr>
              <w:t>0%</w:t>
            </w:r>
          </w:p>
        </w:tc>
        <w:tc>
          <w:tcPr>
            <w:tcW w:w="1559" w:type="dxa"/>
            <w:vAlign w:val="bottom"/>
          </w:tcPr>
          <w:p w:rsidR="0040521B" w:rsidRDefault="0040521B" w:rsidP="0053283A">
            <w:pPr>
              <w:jc w:val="right"/>
              <w:rPr>
                <w:rFonts w:cs="Calibri"/>
                <w:color w:val="000000"/>
              </w:rPr>
            </w:pPr>
            <w:r>
              <w:rPr>
                <w:rFonts w:cs="Calibri"/>
                <w:color w:val="000000"/>
              </w:rPr>
              <w:t>0%</w:t>
            </w:r>
          </w:p>
        </w:tc>
      </w:tr>
      <w:tr w:rsidR="0040521B" w:rsidTr="0053283A">
        <w:tc>
          <w:tcPr>
            <w:tcW w:w="5353" w:type="dxa"/>
          </w:tcPr>
          <w:p w:rsidR="0040521B" w:rsidRPr="0051278F" w:rsidRDefault="0040521B" w:rsidP="0053283A">
            <w:r w:rsidRPr="0051278F">
              <w:t>Socialisation issues</w:t>
            </w:r>
          </w:p>
        </w:tc>
        <w:tc>
          <w:tcPr>
            <w:tcW w:w="1418" w:type="dxa"/>
            <w:vAlign w:val="bottom"/>
          </w:tcPr>
          <w:p w:rsidR="0040521B" w:rsidRDefault="0040521B" w:rsidP="0053283A">
            <w:pPr>
              <w:jc w:val="right"/>
              <w:rPr>
                <w:rFonts w:cs="Calibri"/>
                <w:color w:val="000000"/>
              </w:rPr>
            </w:pPr>
            <w:r>
              <w:rPr>
                <w:rFonts w:cs="Calibri"/>
                <w:color w:val="000000"/>
              </w:rPr>
              <w:t>38%</w:t>
            </w:r>
          </w:p>
        </w:tc>
        <w:tc>
          <w:tcPr>
            <w:tcW w:w="1417" w:type="dxa"/>
            <w:vAlign w:val="bottom"/>
          </w:tcPr>
          <w:p w:rsidR="0040521B" w:rsidRDefault="0040521B" w:rsidP="0053283A">
            <w:pPr>
              <w:jc w:val="right"/>
              <w:rPr>
                <w:rFonts w:cs="Calibri"/>
                <w:color w:val="000000"/>
              </w:rPr>
            </w:pPr>
            <w:r>
              <w:rPr>
                <w:rFonts w:cs="Calibri"/>
                <w:color w:val="000000"/>
              </w:rPr>
              <w:t>42%</w:t>
            </w:r>
          </w:p>
        </w:tc>
        <w:tc>
          <w:tcPr>
            <w:tcW w:w="1559" w:type="dxa"/>
            <w:vAlign w:val="bottom"/>
          </w:tcPr>
          <w:p w:rsidR="0040521B" w:rsidRDefault="0040521B" w:rsidP="0053283A">
            <w:pPr>
              <w:jc w:val="right"/>
              <w:rPr>
                <w:rFonts w:cs="Calibri"/>
                <w:color w:val="000000"/>
              </w:rPr>
            </w:pPr>
            <w:r>
              <w:rPr>
                <w:rFonts w:cs="Calibri"/>
                <w:color w:val="000000"/>
              </w:rPr>
              <w:t>44%</w:t>
            </w:r>
          </w:p>
        </w:tc>
      </w:tr>
      <w:tr w:rsidR="0040521B" w:rsidTr="0053283A">
        <w:tc>
          <w:tcPr>
            <w:tcW w:w="5353" w:type="dxa"/>
          </w:tcPr>
          <w:p w:rsidR="0040521B" w:rsidRPr="0051278F" w:rsidRDefault="0040521B" w:rsidP="0053283A">
            <w:r w:rsidRPr="0051278F">
              <w:t>Suspected or diagnosed mental health issue</w:t>
            </w:r>
          </w:p>
        </w:tc>
        <w:tc>
          <w:tcPr>
            <w:tcW w:w="1418" w:type="dxa"/>
            <w:vAlign w:val="bottom"/>
          </w:tcPr>
          <w:p w:rsidR="0040521B" w:rsidRDefault="0040521B" w:rsidP="0053283A">
            <w:pPr>
              <w:jc w:val="right"/>
              <w:rPr>
                <w:rFonts w:cs="Calibri"/>
                <w:color w:val="000000"/>
              </w:rPr>
            </w:pPr>
            <w:r>
              <w:rPr>
                <w:rFonts w:cs="Calibri"/>
                <w:color w:val="000000"/>
              </w:rPr>
              <w:t>16%</w:t>
            </w:r>
          </w:p>
        </w:tc>
        <w:tc>
          <w:tcPr>
            <w:tcW w:w="1417" w:type="dxa"/>
            <w:vAlign w:val="bottom"/>
          </w:tcPr>
          <w:p w:rsidR="0040521B" w:rsidRDefault="0040521B" w:rsidP="0053283A">
            <w:pPr>
              <w:jc w:val="right"/>
              <w:rPr>
                <w:rFonts w:cs="Calibri"/>
                <w:color w:val="000000"/>
              </w:rPr>
            </w:pPr>
            <w:r>
              <w:rPr>
                <w:rFonts w:cs="Calibri"/>
                <w:color w:val="000000"/>
              </w:rPr>
              <w:t>29%</w:t>
            </w:r>
          </w:p>
        </w:tc>
        <w:tc>
          <w:tcPr>
            <w:tcW w:w="1559" w:type="dxa"/>
            <w:vAlign w:val="bottom"/>
          </w:tcPr>
          <w:p w:rsidR="0040521B" w:rsidRDefault="0040521B" w:rsidP="0053283A">
            <w:pPr>
              <w:jc w:val="right"/>
              <w:rPr>
                <w:rFonts w:cs="Calibri"/>
                <w:color w:val="000000"/>
              </w:rPr>
            </w:pPr>
            <w:r>
              <w:rPr>
                <w:rFonts w:cs="Calibri"/>
                <w:color w:val="000000"/>
              </w:rPr>
              <w:t>32%</w:t>
            </w:r>
          </w:p>
        </w:tc>
      </w:tr>
      <w:tr w:rsidR="0040521B" w:rsidTr="0053283A">
        <w:tc>
          <w:tcPr>
            <w:tcW w:w="5353" w:type="dxa"/>
          </w:tcPr>
          <w:p w:rsidR="0040521B" w:rsidRPr="0051278F" w:rsidRDefault="0040521B" w:rsidP="0053283A">
            <w:r w:rsidRPr="0051278F">
              <w:t>Unstable living arrangements</w:t>
            </w:r>
          </w:p>
        </w:tc>
        <w:tc>
          <w:tcPr>
            <w:tcW w:w="1418" w:type="dxa"/>
            <w:vAlign w:val="bottom"/>
          </w:tcPr>
          <w:p w:rsidR="0040521B" w:rsidRDefault="0040521B" w:rsidP="0053283A">
            <w:pPr>
              <w:jc w:val="right"/>
              <w:rPr>
                <w:rFonts w:cs="Calibri"/>
                <w:color w:val="000000"/>
              </w:rPr>
            </w:pPr>
            <w:r>
              <w:rPr>
                <w:rFonts w:cs="Calibri"/>
                <w:color w:val="000000"/>
              </w:rPr>
              <w:t>7%</w:t>
            </w:r>
          </w:p>
        </w:tc>
        <w:tc>
          <w:tcPr>
            <w:tcW w:w="1417" w:type="dxa"/>
            <w:vAlign w:val="bottom"/>
          </w:tcPr>
          <w:p w:rsidR="0040521B" w:rsidRDefault="0040521B" w:rsidP="0053283A">
            <w:pPr>
              <w:jc w:val="right"/>
              <w:rPr>
                <w:rFonts w:cs="Calibri"/>
                <w:color w:val="000000"/>
              </w:rPr>
            </w:pPr>
            <w:r>
              <w:rPr>
                <w:rFonts w:cs="Calibri"/>
                <w:color w:val="000000"/>
              </w:rPr>
              <w:t>15%</w:t>
            </w:r>
          </w:p>
        </w:tc>
        <w:tc>
          <w:tcPr>
            <w:tcW w:w="1559" w:type="dxa"/>
            <w:vAlign w:val="bottom"/>
          </w:tcPr>
          <w:p w:rsidR="0040521B" w:rsidRDefault="0040521B" w:rsidP="0053283A">
            <w:pPr>
              <w:jc w:val="right"/>
              <w:rPr>
                <w:rFonts w:cs="Calibri"/>
                <w:color w:val="000000"/>
              </w:rPr>
            </w:pPr>
            <w:r>
              <w:rPr>
                <w:rFonts w:cs="Calibri"/>
                <w:color w:val="000000"/>
              </w:rPr>
              <w:t>26%</w:t>
            </w:r>
          </w:p>
        </w:tc>
      </w:tr>
      <w:tr w:rsidR="0040521B" w:rsidTr="0053283A">
        <w:tc>
          <w:tcPr>
            <w:tcW w:w="5353" w:type="dxa"/>
          </w:tcPr>
          <w:p w:rsidR="0040521B" w:rsidRPr="0051278F" w:rsidRDefault="0040521B" w:rsidP="0053283A">
            <w:r w:rsidRPr="0051278F">
              <w:t>Volatile substance misuse</w:t>
            </w:r>
          </w:p>
        </w:tc>
        <w:tc>
          <w:tcPr>
            <w:tcW w:w="1418" w:type="dxa"/>
            <w:vAlign w:val="bottom"/>
          </w:tcPr>
          <w:p w:rsidR="0040521B" w:rsidRDefault="0040521B" w:rsidP="0053283A">
            <w:pPr>
              <w:jc w:val="right"/>
              <w:rPr>
                <w:rFonts w:cs="Calibri"/>
                <w:color w:val="000000"/>
              </w:rPr>
            </w:pPr>
            <w:r>
              <w:rPr>
                <w:rFonts w:cs="Calibri"/>
                <w:color w:val="000000"/>
              </w:rPr>
              <w:t>0%</w:t>
            </w:r>
          </w:p>
        </w:tc>
        <w:tc>
          <w:tcPr>
            <w:tcW w:w="1417" w:type="dxa"/>
            <w:vAlign w:val="bottom"/>
          </w:tcPr>
          <w:p w:rsidR="0040521B" w:rsidRDefault="0040521B" w:rsidP="0053283A">
            <w:pPr>
              <w:jc w:val="right"/>
              <w:rPr>
                <w:rFonts w:cs="Calibri"/>
                <w:color w:val="000000"/>
              </w:rPr>
            </w:pPr>
            <w:r>
              <w:rPr>
                <w:rFonts w:cs="Calibri"/>
                <w:color w:val="000000"/>
              </w:rPr>
              <w:t>0%</w:t>
            </w:r>
          </w:p>
        </w:tc>
        <w:tc>
          <w:tcPr>
            <w:tcW w:w="1559" w:type="dxa"/>
            <w:vAlign w:val="bottom"/>
          </w:tcPr>
          <w:p w:rsidR="0040521B" w:rsidRDefault="0040521B" w:rsidP="0053283A">
            <w:pPr>
              <w:jc w:val="right"/>
              <w:rPr>
                <w:rFonts w:cs="Calibri"/>
                <w:color w:val="000000"/>
              </w:rPr>
            </w:pPr>
            <w:r>
              <w:rPr>
                <w:rFonts w:cs="Calibri"/>
                <w:color w:val="000000"/>
              </w:rPr>
              <w:t>1%</w:t>
            </w:r>
          </w:p>
        </w:tc>
      </w:tr>
      <w:tr w:rsidR="0040521B" w:rsidTr="0053283A">
        <w:tc>
          <w:tcPr>
            <w:tcW w:w="5353" w:type="dxa"/>
          </w:tcPr>
          <w:p w:rsidR="0040521B" w:rsidRPr="0051278F" w:rsidRDefault="0040521B" w:rsidP="0053283A">
            <w:r>
              <w:t>Young Carer responsibilities</w:t>
            </w:r>
          </w:p>
        </w:tc>
        <w:tc>
          <w:tcPr>
            <w:tcW w:w="1418" w:type="dxa"/>
            <w:vAlign w:val="bottom"/>
          </w:tcPr>
          <w:p w:rsidR="0040521B" w:rsidRDefault="0040521B" w:rsidP="0053283A">
            <w:pPr>
              <w:jc w:val="right"/>
              <w:rPr>
                <w:rFonts w:cs="Calibri"/>
                <w:color w:val="000000"/>
              </w:rPr>
            </w:pPr>
            <w:r>
              <w:rPr>
                <w:rFonts w:cs="Calibri"/>
                <w:color w:val="000000"/>
              </w:rPr>
              <w:t>3%</w:t>
            </w:r>
          </w:p>
        </w:tc>
        <w:tc>
          <w:tcPr>
            <w:tcW w:w="1417" w:type="dxa"/>
            <w:vAlign w:val="bottom"/>
          </w:tcPr>
          <w:p w:rsidR="0040521B" w:rsidRDefault="0040521B" w:rsidP="0053283A">
            <w:pPr>
              <w:jc w:val="right"/>
              <w:rPr>
                <w:rFonts w:cs="Calibri"/>
                <w:color w:val="000000"/>
              </w:rPr>
            </w:pPr>
            <w:r>
              <w:rPr>
                <w:rFonts w:cs="Calibri"/>
                <w:color w:val="000000"/>
              </w:rPr>
              <w:t>3%</w:t>
            </w:r>
          </w:p>
        </w:tc>
        <w:tc>
          <w:tcPr>
            <w:tcW w:w="1559" w:type="dxa"/>
            <w:vAlign w:val="bottom"/>
          </w:tcPr>
          <w:p w:rsidR="0040521B" w:rsidRDefault="0040521B" w:rsidP="0053283A">
            <w:pPr>
              <w:jc w:val="right"/>
              <w:rPr>
                <w:rFonts w:cs="Calibri"/>
                <w:color w:val="000000"/>
              </w:rPr>
            </w:pPr>
            <w:r>
              <w:rPr>
                <w:rFonts w:cs="Calibri"/>
                <w:color w:val="000000"/>
              </w:rPr>
              <w:t>4%</w:t>
            </w:r>
          </w:p>
        </w:tc>
      </w:tr>
    </w:tbl>
    <w:p w:rsidR="0040521B" w:rsidRDefault="0040521B" w:rsidP="00934BC4">
      <w:pPr>
        <w:pStyle w:val="Heading2"/>
      </w:pPr>
      <w:bookmarkStart w:id="42" w:name="_Toc384038242"/>
      <w:r>
        <w:t>Outcomes</w:t>
      </w:r>
      <w:bookmarkEnd w:id="42"/>
    </w:p>
    <w:p w:rsidR="0040521B" w:rsidRPr="008A4267" w:rsidRDefault="0040521B" w:rsidP="00934BC4">
      <w:pPr>
        <w:pStyle w:val="Heading3"/>
      </w:pPr>
      <w:r>
        <w:t>Table 11</w:t>
      </w:r>
      <w:r w:rsidRPr="008A4267">
        <w:t>: Participant Outcomes – All participants (current and exited)</w:t>
      </w:r>
    </w:p>
    <w:tbl>
      <w:tblPr>
        <w:tblStyle w:val="TableGrid"/>
        <w:tblW w:w="0" w:type="auto"/>
        <w:tblLook w:val="04A0" w:firstRow="1" w:lastRow="0" w:firstColumn="1" w:lastColumn="0" w:noHBand="0" w:noVBand="1"/>
        <w:tblDescription w:val="Table 11: Participant Outcomes – All participants (current and exited)"/>
      </w:tblPr>
      <w:tblGrid>
        <w:gridCol w:w="3794"/>
        <w:gridCol w:w="1480"/>
        <w:gridCol w:w="1480"/>
        <w:gridCol w:w="1480"/>
        <w:gridCol w:w="1480"/>
      </w:tblGrid>
      <w:tr w:rsidR="0040521B" w:rsidRPr="00DE704A" w:rsidTr="0053283A">
        <w:trPr>
          <w:tblHeader/>
        </w:trPr>
        <w:tc>
          <w:tcPr>
            <w:tcW w:w="3794" w:type="dxa"/>
            <w:shd w:val="clear" w:color="auto" w:fill="C6D9F1" w:themeFill="text2" w:themeFillTint="33"/>
          </w:tcPr>
          <w:p w:rsidR="0040521B" w:rsidRPr="00DE704A" w:rsidRDefault="0040521B" w:rsidP="0053283A">
            <w:pPr>
              <w:jc w:val="center"/>
              <w:rPr>
                <w:rFonts w:cs="Calibri"/>
                <w:b/>
                <w:bCs/>
                <w:color w:val="000000"/>
              </w:rPr>
            </w:pPr>
            <w:r>
              <w:rPr>
                <w:rFonts w:cs="Calibri"/>
                <w:b/>
                <w:bCs/>
                <w:color w:val="000000"/>
              </w:rPr>
              <w:t>Participant outcomes</w:t>
            </w:r>
          </w:p>
        </w:tc>
        <w:tc>
          <w:tcPr>
            <w:tcW w:w="1480" w:type="dxa"/>
            <w:shd w:val="clear" w:color="auto" w:fill="C6D9F1" w:themeFill="text2" w:themeFillTint="33"/>
            <w:vAlign w:val="bottom"/>
          </w:tcPr>
          <w:p w:rsidR="0040521B" w:rsidRDefault="0040521B" w:rsidP="0053283A">
            <w:pPr>
              <w:jc w:val="center"/>
              <w:rPr>
                <w:rFonts w:cs="Calibri"/>
                <w:b/>
                <w:bCs/>
                <w:color w:val="000000"/>
              </w:rPr>
            </w:pPr>
            <w:r>
              <w:rPr>
                <w:rFonts w:cs="Calibri"/>
                <w:b/>
                <w:bCs/>
                <w:color w:val="000000"/>
              </w:rPr>
              <w:t>SA</w:t>
            </w:r>
          </w:p>
        </w:tc>
        <w:tc>
          <w:tcPr>
            <w:tcW w:w="1480" w:type="dxa"/>
            <w:shd w:val="clear" w:color="auto" w:fill="C6D9F1" w:themeFill="text2" w:themeFillTint="33"/>
            <w:vAlign w:val="bottom"/>
          </w:tcPr>
          <w:p w:rsidR="0040521B" w:rsidRDefault="0040521B" w:rsidP="0053283A">
            <w:pPr>
              <w:jc w:val="center"/>
              <w:rPr>
                <w:rFonts w:cs="Calibri"/>
                <w:b/>
                <w:bCs/>
                <w:color w:val="000000"/>
              </w:rPr>
            </w:pPr>
            <w:r>
              <w:rPr>
                <w:rFonts w:cs="Calibri"/>
                <w:b/>
                <w:bCs/>
                <w:color w:val="000000"/>
              </w:rPr>
              <w:t>SA %</w:t>
            </w:r>
          </w:p>
        </w:tc>
        <w:tc>
          <w:tcPr>
            <w:tcW w:w="1480" w:type="dxa"/>
            <w:shd w:val="clear" w:color="auto" w:fill="C6D9F1" w:themeFill="text2" w:themeFillTint="33"/>
            <w:vAlign w:val="bottom"/>
          </w:tcPr>
          <w:p w:rsidR="0040521B" w:rsidRDefault="0040521B" w:rsidP="0053283A">
            <w:pPr>
              <w:jc w:val="center"/>
              <w:rPr>
                <w:rFonts w:cs="Calibri"/>
                <w:b/>
                <w:bCs/>
                <w:color w:val="000000"/>
              </w:rPr>
            </w:pPr>
            <w:r>
              <w:rPr>
                <w:rFonts w:cs="Calibri"/>
                <w:b/>
                <w:bCs/>
                <w:color w:val="000000"/>
              </w:rPr>
              <w:t>National</w:t>
            </w:r>
          </w:p>
        </w:tc>
        <w:tc>
          <w:tcPr>
            <w:tcW w:w="1480" w:type="dxa"/>
            <w:shd w:val="clear" w:color="auto" w:fill="C6D9F1" w:themeFill="text2" w:themeFillTint="33"/>
            <w:vAlign w:val="bottom"/>
          </w:tcPr>
          <w:p w:rsidR="0040521B" w:rsidRDefault="0040521B" w:rsidP="0053283A">
            <w:pPr>
              <w:jc w:val="center"/>
              <w:rPr>
                <w:rFonts w:cs="Calibri"/>
                <w:b/>
                <w:bCs/>
                <w:color w:val="000000"/>
              </w:rPr>
            </w:pPr>
            <w:r>
              <w:rPr>
                <w:rFonts w:cs="Calibri"/>
                <w:b/>
                <w:bCs/>
                <w:color w:val="000000"/>
              </w:rPr>
              <w:t>National %</w:t>
            </w:r>
          </w:p>
        </w:tc>
      </w:tr>
      <w:tr w:rsidR="0040521B" w:rsidTr="0053283A">
        <w:tc>
          <w:tcPr>
            <w:tcW w:w="3794" w:type="dxa"/>
          </w:tcPr>
          <w:p w:rsidR="0040521B" w:rsidRDefault="0040521B" w:rsidP="0053283A">
            <w:r>
              <w:t>Young people enrolled in individual support services</w:t>
            </w:r>
          </w:p>
        </w:tc>
        <w:tc>
          <w:tcPr>
            <w:tcW w:w="1480" w:type="dxa"/>
            <w:vAlign w:val="center"/>
          </w:tcPr>
          <w:p w:rsidR="0040521B" w:rsidRDefault="0040521B" w:rsidP="0053283A">
            <w:pPr>
              <w:jc w:val="center"/>
              <w:rPr>
                <w:rFonts w:cs="Calibri"/>
                <w:color w:val="000000"/>
              </w:rPr>
            </w:pPr>
            <w:r>
              <w:rPr>
                <w:rFonts w:cs="Calibri"/>
                <w:color w:val="000000"/>
              </w:rPr>
              <w:t>3390</w:t>
            </w:r>
          </w:p>
        </w:tc>
        <w:tc>
          <w:tcPr>
            <w:tcW w:w="1480" w:type="dxa"/>
            <w:vAlign w:val="center"/>
          </w:tcPr>
          <w:p w:rsidR="0040521B" w:rsidRDefault="0040521B" w:rsidP="0053283A">
            <w:pPr>
              <w:jc w:val="center"/>
              <w:rPr>
                <w:rFonts w:cs="Calibri"/>
                <w:color w:val="000000"/>
              </w:rPr>
            </w:pPr>
            <w:r>
              <w:rPr>
                <w:rFonts w:cs="Calibri"/>
                <w:color w:val="000000"/>
              </w:rPr>
              <w:t>-</w:t>
            </w:r>
          </w:p>
        </w:tc>
        <w:tc>
          <w:tcPr>
            <w:tcW w:w="1480" w:type="dxa"/>
            <w:vAlign w:val="center"/>
          </w:tcPr>
          <w:p w:rsidR="0040521B" w:rsidRDefault="0040521B" w:rsidP="0053283A">
            <w:pPr>
              <w:jc w:val="center"/>
              <w:rPr>
                <w:rFonts w:cs="Calibri"/>
                <w:color w:val="000000"/>
              </w:rPr>
            </w:pPr>
            <w:r>
              <w:rPr>
                <w:rFonts w:cs="Calibri"/>
                <w:color w:val="000000"/>
              </w:rPr>
              <w:t>58,408</w:t>
            </w:r>
          </w:p>
        </w:tc>
        <w:tc>
          <w:tcPr>
            <w:tcW w:w="1480" w:type="dxa"/>
            <w:vAlign w:val="center"/>
          </w:tcPr>
          <w:p w:rsidR="0040521B" w:rsidRDefault="0040521B" w:rsidP="0053283A">
            <w:pPr>
              <w:jc w:val="center"/>
              <w:rPr>
                <w:rFonts w:cs="Calibri"/>
                <w:color w:val="000000"/>
              </w:rPr>
            </w:pPr>
            <w:r>
              <w:rPr>
                <w:rFonts w:cs="Calibri"/>
                <w:color w:val="000000"/>
              </w:rPr>
              <w:t>-</w:t>
            </w:r>
          </w:p>
        </w:tc>
      </w:tr>
      <w:tr w:rsidR="0040521B" w:rsidTr="0053283A">
        <w:tc>
          <w:tcPr>
            <w:tcW w:w="3794" w:type="dxa"/>
          </w:tcPr>
          <w:p w:rsidR="0040521B" w:rsidRDefault="0040521B" w:rsidP="0053283A">
            <w:r>
              <w:t>Young people who have achieved a progressive outcome*</w:t>
            </w:r>
          </w:p>
        </w:tc>
        <w:tc>
          <w:tcPr>
            <w:tcW w:w="1480" w:type="dxa"/>
            <w:vAlign w:val="center"/>
          </w:tcPr>
          <w:p w:rsidR="0040521B" w:rsidRDefault="0040521B" w:rsidP="0053283A">
            <w:pPr>
              <w:jc w:val="center"/>
              <w:rPr>
                <w:rFonts w:cs="Calibri"/>
                <w:color w:val="000000"/>
              </w:rPr>
            </w:pPr>
            <w:r>
              <w:rPr>
                <w:rFonts w:cs="Calibri"/>
                <w:color w:val="000000"/>
              </w:rPr>
              <w:t>2269</w:t>
            </w:r>
          </w:p>
        </w:tc>
        <w:tc>
          <w:tcPr>
            <w:tcW w:w="1480" w:type="dxa"/>
            <w:vAlign w:val="center"/>
          </w:tcPr>
          <w:p w:rsidR="0040521B" w:rsidRDefault="0040521B" w:rsidP="0053283A">
            <w:pPr>
              <w:jc w:val="center"/>
              <w:rPr>
                <w:rFonts w:cs="Calibri"/>
                <w:color w:val="000000"/>
              </w:rPr>
            </w:pPr>
            <w:r>
              <w:rPr>
                <w:rFonts w:cs="Calibri"/>
                <w:color w:val="000000"/>
              </w:rPr>
              <w:t>67%</w:t>
            </w:r>
          </w:p>
        </w:tc>
        <w:tc>
          <w:tcPr>
            <w:tcW w:w="1480" w:type="dxa"/>
            <w:vAlign w:val="center"/>
          </w:tcPr>
          <w:p w:rsidR="0040521B" w:rsidRDefault="0040521B" w:rsidP="0053283A">
            <w:pPr>
              <w:jc w:val="center"/>
              <w:rPr>
                <w:rFonts w:cs="Calibri"/>
                <w:color w:val="000000"/>
              </w:rPr>
            </w:pPr>
            <w:r>
              <w:rPr>
                <w:rFonts w:cs="Calibri"/>
                <w:color w:val="000000"/>
              </w:rPr>
              <w:t>42,873</w:t>
            </w:r>
          </w:p>
        </w:tc>
        <w:tc>
          <w:tcPr>
            <w:tcW w:w="1480" w:type="dxa"/>
            <w:vAlign w:val="center"/>
          </w:tcPr>
          <w:p w:rsidR="0040521B" w:rsidRDefault="0040521B" w:rsidP="0053283A">
            <w:pPr>
              <w:jc w:val="center"/>
              <w:rPr>
                <w:rFonts w:cs="Calibri"/>
                <w:color w:val="000000"/>
              </w:rPr>
            </w:pPr>
            <w:r>
              <w:rPr>
                <w:rFonts w:cs="Calibri"/>
                <w:color w:val="000000"/>
              </w:rPr>
              <w:t>73%</w:t>
            </w:r>
          </w:p>
        </w:tc>
      </w:tr>
      <w:tr w:rsidR="0040521B" w:rsidTr="0053283A">
        <w:tc>
          <w:tcPr>
            <w:tcW w:w="3794" w:type="dxa"/>
          </w:tcPr>
          <w:p w:rsidR="0040521B" w:rsidRDefault="0040521B" w:rsidP="0053283A">
            <w:r>
              <w:t>Young people who have achieved a final outcome**</w:t>
            </w:r>
          </w:p>
        </w:tc>
        <w:tc>
          <w:tcPr>
            <w:tcW w:w="1480" w:type="dxa"/>
            <w:vAlign w:val="center"/>
          </w:tcPr>
          <w:p w:rsidR="0040521B" w:rsidRDefault="0040521B" w:rsidP="0053283A">
            <w:pPr>
              <w:jc w:val="center"/>
              <w:rPr>
                <w:rFonts w:cs="Calibri"/>
                <w:color w:val="000000"/>
              </w:rPr>
            </w:pPr>
            <w:r>
              <w:rPr>
                <w:rFonts w:cs="Calibri"/>
                <w:color w:val="000000"/>
              </w:rPr>
              <w:t>1676</w:t>
            </w:r>
          </w:p>
        </w:tc>
        <w:tc>
          <w:tcPr>
            <w:tcW w:w="1480" w:type="dxa"/>
            <w:vAlign w:val="center"/>
          </w:tcPr>
          <w:p w:rsidR="0040521B" w:rsidRDefault="0040521B" w:rsidP="0053283A">
            <w:pPr>
              <w:jc w:val="center"/>
              <w:rPr>
                <w:rFonts w:cs="Calibri"/>
                <w:color w:val="000000"/>
              </w:rPr>
            </w:pPr>
            <w:r>
              <w:rPr>
                <w:rFonts w:cs="Calibri"/>
                <w:color w:val="000000"/>
              </w:rPr>
              <w:t>49%</w:t>
            </w:r>
          </w:p>
        </w:tc>
        <w:tc>
          <w:tcPr>
            <w:tcW w:w="1480" w:type="dxa"/>
            <w:vAlign w:val="center"/>
          </w:tcPr>
          <w:p w:rsidR="0040521B" w:rsidRDefault="0040521B" w:rsidP="0053283A">
            <w:pPr>
              <w:jc w:val="center"/>
              <w:rPr>
                <w:rFonts w:cs="Calibri"/>
                <w:color w:val="000000"/>
              </w:rPr>
            </w:pPr>
            <w:r>
              <w:rPr>
                <w:rFonts w:cs="Calibri"/>
                <w:color w:val="000000"/>
              </w:rPr>
              <w:t>34,793</w:t>
            </w:r>
          </w:p>
        </w:tc>
        <w:tc>
          <w:tcPr>
            <w:tcW w:w="1480" w:type="dxa"/>
            <w:vAlign w:val="center"/>
          </w:tcPr>
          <w:p w:rsidR="0040521B" w:rsidRDefault="0040521B" w:rsidP="0053283A">
            <w:pPr>
              <w:jc w:val="center"/>
              <w:rPr>
                <w:rFonts w:cs="Calibri"/>
                <w:color w:val="000000"/>
              </w:rPr>
            </w:pPr>
            <w:r>
              <w:rPr>
                <w:rFonts w:cs="Calibri"/>
                <w:color w:val="000000"/>
              </w:rPr>
              <w:t>60%</w:t>
            </w:r>
          </w:p>
        </w:tc>
      </w:tr>
    </w:tbl>
    <w:p w:rsidR="0040521B" w:rsidRDefault="0040521B" w:rsidP="0040521B"/>
    <w:p w:rsidR="00934BC4" w:rsidRDefault="00934BC4">
      <w:pPr>
        <w:spacing w:after="200"/>
        <w:rPr>
          <w:rFonts w:ascii="Arial" w:eastAsiaTheme="majorEastAsia" w:hAnsi="Arial" w:cstheme="majorBidi"/>
          <w:b/>
          <w:bCs/>
        </w:rPr>
      </w:pPr>
      <w:r>
        <w:br w:type="page"/>
      </w:r>
    </w:p>
    <w:p w:rsidR="0040521B" w:rsidRPr="008A4267" w:rsidRDefault="0040521B" w:rsidP="00934BC4">
      <w:pPr>
        <w:pStyle w:val="Heading3"/>
      </w:pPr>
      <w:r>
        <w:lastRenderedPageBreak/>
        <w:t xml:space="preserve">Table 12: </w:t>
      </w:r>
      <w:r w:rsidRPr="008A4267">
        <w:t>Participant Outcomes – exited participants</w:t>
      </w:r>
    </w:p>
    <w:tbl>
      <w:tblPr>
        <w:tblStyle w:val="TableGrid"/>
        <w:tblW w:w="0" w:type="auto"/>
        <w:tblLook w:val="04A0" w:firstRow="1" w:lastRow="0" w:firstColumn="1" w:lastColumn="0" w:noHBand="0" w:noVBand="1"/>
        <w:tblDescription w:val="Table 12: Participant Outcomes – exited participants"/>
      </w:tblPr>
      <w:tblGrid>
        <w:gridCol w:w="3794"/>
        <w:gridCol w:w="1480"/>
        <w:gridCol w:w="1480"/>
        <w:gridCol w:w="1480"/>
        <w:gridCol w:w="1480"/>
      </w:tblGrid>
      <w:tr w:rsidR="0040521B" w:rsidRPr="00DE704A" w:rsidTr="0053283A">
        <w:trPr>
          <w:tblHeader/>
        </w:trPr>
        <w:tc>
          <w:tcPr>
            <w:tcW w:w="3794" w:type="dxa"/>
            <w:shd w:val="clear" w:color="auto" w:fill="C6D9F1" w:themeFill="text2" w:themeFillTint="33"/>
          </w:tcPr>
          <w:p w:rsidR="0040521B" w:rsidRPr="00DE704A" w:rsidRDefault="0040521B" w:rsidP="0053283A">
            <w:pPr>
              <w:jc w:val="center"/>
              <w:rPr>
                <w:rFonts w:cs="Calibri"/>
                <w:b/>
                <w:bCs/>
                <w:color w:val="000000"/>
              </w:rPr>
            </w:pPr>
            <w:r>
              <w:rPr>
                <w:rFonts w:cs="Calibri"/>
                <w:b/>
                <w:bCs/>
                <w:color w:val="000000"/>
              </w:rPr>
              <w:t>Participant outcomes</w:t>
            </w:r>
          </w:p>
        </w:tc>
        <w:tc>
          <w:tcPr>
            <w:tcW w:w="1480" w:type="dxa"/>
            <w:shd w:val="clear" w:color="auto" w:fill="C6D9F1" w:themeFill="text2" w:themeFillTint="33"/>
            <w:vAlign w:val="bottom"/>
          </w:tcPr>
          <w:p w:rsidR="0040521B" w:rsidRDefault="0040521B" w:rsidP="0053283A">
            <w:pPr>
              <w:jc w:val="center"/>
              <w:rPr>
                <w:rFonts w:cs="Calibri"/>
                <w:b/>
                <w:bCs/>
                <w:color w:val="000000"/>
              </w:rPr>
            </w:pPr>
            <w:r>
              <w:rPr>
                <w:rFonts w:cs="Calibri"/>
                <w:b/>
                <w:bCs/>
                <w:color w:val="000000"/>
              </w:rPr>
              <w:t>SA</w:t>
            </w:r>
          </w:p>
        </w:tc>
        <w:tc>
          <w:tcPr>
            <w:tcW w:w="1480" w:type="dxa"/>
            <w:shd w:val="clear" w:color="auto" w:fill="C6D9F1" w:themeFill="text2" w:themeFillTint="33"/>
            <w:vAlign w:val="bottom"/>
          </w:tcPr>
          <w:p w:rsidR="0040521B" w:rsidRDefault="0040521B" w:rsidP="0053283A">
            <w:pPr>
              <w:jc w:val="center"/>
              <w:rPr>
                <w:rFonts w:cs="Calibri"/>
                <w:b/>
                <w:bCs/>
                <w:color w:val="000000"/>
              </w:rPr>
            </w:pPr>
            <w:r>
              <w:rPr>
                <w:rFonts w:cs="Calibri"/>
                <w:b/>
                <w:bCs/>
                <w:color w:val="000000"/>
              </w:rPr>
              <w:t>SA %</w:t>
            </w:r>
          </w:p>
        </w:tc>
        <w:tc>
          <w:tcPr>
            <w:tcW w:w="1480" w:type="dxa"/>
            <w:shd w:val="clear" w:color="auto" w:fill="C6D9F1" w:themeFill="text2" w:themeFillTint="33"/>
            <w:vAlign w:val="bottom"/>
          </w:tcPr>
          <w:p w:rsidR="0040521B" w:rsidRDefault="0040521B" w:rsidP="0053283A">
            <w:pPr>
              <w:jc w:val="center"/>
              <w:rPr>
                <w:rFonts w:cs="Calibri"/>
                <w:b/>
                <w:bCs/>
                <w:color w:val="000000"/>
              </w:rPr>
            </w:pPr>
            <w:r>
              <w:rPr>
                <w:rFonts w:cs="Calibri"/>
                <w:b/>
                <w:bCs/>
                <w:color w:val="000000"/>
              </w:rPr>
              <w:t>National</w:t>
            </w:r>
          </w:p>
        </w:tc>
        <w:tc>
          <w:tcPr>
            <w:tcW w:w="1480" w:type="dxa"/>
            <w:shd w:val="clear" w:color="auto" w:fill="C6D9F1" w:themeFill="text2" w:themeFillTint="33"/>
            <w:vAlign w:val="bottom"/>
          </w:tcPr>
          <w:p w:rsidR="0040521B" w:rsidRDefault="0040521B" w:rsidP="0053283A">
            <w:pPr>
              <w:jc w:val="center"/>
              <w:rPr>
                <w:rFonts w:cs="Calibri"/>
                <w:b/>
                <w:bCs/>
                <w:color w:val="000000"/>
              </w:rPr>
            </w:pPr>
            <w:r>
              <w:rPr>
                <w:rFonts w:cs="Calibri"/>
                <w:b/>
                <w:bCs/>
                <w:color w:val="000000"/>
              </w:rPr>
              <w:t>National %</w:t>
            </w:r>
          </w:p>
        </w:tc>
      </w:tr>
      <w:tr w:rsidR="0040521B" w:rsidTr="0053283A">
        <w:tc>
          <w:tcPr>
            <w:tcW w:w="3794" w:type="dxa"/>
          </w:tcPr>
          <w:p w:rsidR="0040521B" w:rsidRDefault="0040521B" w:rsidP="0053283A">
            <w:r>
              <w:t>Young people enrolled in individual support services</w:t>
            </w:r>
          </w:p>
        </w:tc>
        <w:tc>
          <w:tcPr>
            <w:tcW w:w="1480" w:type="dxa"/>
            <w:vAlign w:val="center"/>
          </w:tcPr>
          <w:p w:rsidR="0040521B" w:rsidRDefault="0040521B" w:rsidP="0053283A">
            <w:pPr>
              <w:jc w:val="center"/>
              <w:rPr>
                <w:rFonts w:cs="Calibri"/>
                <w:color w:val="000000"/>
              </w:rPr>
            </w:pPr>
            <w:r>
              <w:rPr>
                <w:rFonts w:cs="Calibri"/>
                <w:color w:val="000000"/>
              </w:rPr>
              <w:t>2854</w:t>
            </w:r>
          </w:p>
        </w:tc>
        <w:tc>
          <w:tcPr>
            <w:tcW w:w="1480" w:type="dxa"/>
            <w:vAlign w:val="center"/>
          </w:tcPr>
          <w:p w:rsidR="0040521B" w:rsidRDefault="0040521B" w:rsidP="0053283A">
            <w:pPr>
              <w:jc w:val="center"/>
              <w:rPr>
                <w:rFonts w:cs="Calibri"/>
                <w:color w:val="000000"/>
              </w:rPr>
            </w:pPr>
            <w:r>
              <w:rPr>
                <w:rFonts w:cs="Calibri"/>
                <w:color w:val="000000"/>
              </w:rPr>
              <w:t>-</w:t>
            </w:r>
          </w:p>
        </w:tc>
        <w:tc>
          <w:tcPr>
            <w:tcW w:w="1480" w:type="dxa"/>
            <w:vAlign w:val="center"/>
          </w:tcPr>
          <w:p w:rsidR="0040521B" w:rsidRDefault="0040521B" w:rsidP="0053283A">
            <w:pPr>
              <w:jc w:val="center"/>
              <w:rPr>
                <w:rFonts w:cs="Calibri"/>
                <w:color w:val="000000"/>
              </w:rPr>
            </w:pPr>
            <w:r>
              <w:rPr>
                <w:rFonts w:cs="Calibri"/>
                <w:color w:val="000000"/>
              </w:rPr>
              <w:t>52,189</w:t>
            </w:r>
          </w:p>
        </w:tc>
        <w:tc>
          <w:tcPr>
            <w:tcW w:w="1480" w:type="dxa"/>
            <w:vAlign w:val="center"/>
          </w:tcPr>
          <w:p w:rsidR="0040521B" w:rsidRDefault="0040521B" w:rsidP="0053283A">
            <w:pPr>
              <w:jc w:val="center"/>
              <w:rPr>
                <w:rFonts w:cs="Calibri"/>
                <w:color w:val="000000"/>
              </w:rPr>
            </w:pPr>
            <w:r>
              <w:rPr>
                <w:rFonts w:cs="Calibri"/>
                <w:color w:val="000000"/>
              </w:rPr>
              <w:t>-</w:t>
            </w:r>
          </w:p>
        </w:tc>
      </w:tr>
      <w:tr w:rsidR="0040521B" w:rsidTr="0053283A">
        <w:tc>
          <w:tcPr>
            <w:tcW w:w="3794" w:type="dxa"/>
          </w:tcPr>
          <w:p w:rsidR="0040521B" w:rsidRDefault="0040521B" w:rsidP="0053283A">
            <w:r>
              <w:t>Young people who have achieved a progressive outcome</w:t>
            </w:r>
          </w:p>
        </w:tc>
        <w:tc>
          <w:tcPr>
            <w:tcW w:w="1480" w:type="dxa"/>
            <w:vAlign w:val="center"/>
          </w:tcPr>
          <w:p w:rsidR="0040521B" w:rsidRDefault="0040521B" w:rsidP="0053283A">
            <w:pPr>
              <w:jc w:val="center"/>
              <w:rPr>
                <w:rFonts w:cs="Calibri"/>
                <w:color w:val="000000"/>
              </w:rPr>
            </w:pPr>
            <w:r>
              <w:rPr>
                <w:rFonts w:cs="Calibri"/>
                <w:color w:val="000000"/>
              </w:rPr>
              <w:t>1968</w:t>
            </w:r>
          </w:p>
        </w:tc>
        <w:tc>
          <w:tcPr>
            <w:tcW w:w="1480" w:type="dxa"/>
            <w:vAlign w:val="center"/>
          </w:tcPr>
          <w:p w:rsidR="0040521B" w:rsidRDefault="0040521B" w:rsidP="0053283A">
            <w:pPr>
              <w:jc w:val="center"/>
              <w:rPr>
                <w:rFonts w:cs="Calibri"/>
                <w:color w:val="000000"/>
              </w:rPr>
            </w:pPr>
            <w:r>
              <w:rPr>
                <w:rFonts w:cs="Calibri"/>
                <w:color w:val="000000"/>
              </w:rPr>
              <w:t>69%</w:t>
            </w:r>
          </w:p>
        </w:tc>
        <w:tc>
          <w:tcPr>
            <w:tcW w:w="1480" w:type="dxa"/>
            <w:vAlign w:val="center"/>
          </w:tcPr>
          <w:p w:rsidR="0040521B" w:rsidRDefault="0040521B" w:rsidP="0053283A">
            <w:pPr>
              <w:jc w:val="center"/>
              <w:rPr>
                <w:rFonts w:cs="Calibri"/>
                <w:color w:val="000000"/>
              </w:rPr>
            </w:pPr>
            <w:r>
              <w:rPr>
                <w:rFonts w:cs="Calibri"/>
                <w:color w:val="000000"/>
              </w:rPr>
              <w:t>38,928</w:t>
            </w:r>
          </w:p>
        </w:tc>
        <w:tc>
          <w:tcPr>
            <w:tcW w:w="1480" w:type="dxa"/>
            <w:vAlign w:val="center"/>
          </w:tcPr>
          <w:p w:rsidR="0040521B" w:rsidRDefault="0040521B" w:rsidP="0053283A">
            <w:pPr>
              <w:jc w:val="center"/>
              <w:rPr>
                <w:rFonts w:cs="Calibri"/>
                <w:color w:val="000000"/>
              </w:rPr>
            </w:pPr>
            <w:r>
              <w:rPr>
                <w:rFonts w:cs="Calibri"/>
                <w:color w:val="000000"/>
              </w:rPr>
              <w:t>75%</w:t>
            </w:r>
          </w:p>
        </w:tc>
      </w:tr>
      <w:tr w:rsidR="0040521B" w:rsidTr="0053283A">
        <w:tc>
          <w:tcPr>
            <w:tcW w:w="3794" w:type="dxa"/>
          </w:tcPr>
          <w:p w:rsidR="0040521B" w:rsidRDefault="0040521B" w:rsidP="0053283A">
            <w:r>
              <w:t>Young people who have achieved a final outcome</w:t>
            </w:r>
          </w:p>
        </w:tc>
        <w:tc>
          <w:tcPr>
            <w:tcW w:w="1480" w:type="dxa"/>
            <w:vAlign w:val="center"/>
          </w:tcPr>
          <w:p w:rsidR="0040521B" w:rsidRDefault="0040521B" w:rsidP="0053283A">
            <w:pPr>
              <w:jc w:val="center"/>
              <w:rPr>
                <w:rFonts w:cs="Calibri"/>
                <w:color w:val="000000"/>
              </w:rPr>
            </w:pPr>
            <w:r>
              <w:rPr>
                <w:rFonts w:cs="Calibri"/>
                <w:color w:val="000000"/>
              </w:rPr>
              <w:t>1496</w:t>
            </w:r>
          </w:p>
        </w:tc>
        <w:tc>
          <w:tcPr>
            <w:tcW w:w="1480" w:type="dxa"/>
            <w:vAlign w:val="center"/>
          </w:tcPr>
          <w:p w:rsidR="0040521B" w:rsidRDefault="0040521B" w:rsidP="0053283A">
            <w:pPr>
              <w:jc w:val="center"/>
              <w:rPr>
                <w:rFonts w:cs="Calibri"/>
                <w:color w:val="000000"/>
              </w:rPr>
            </w:pPr>
            <w:r>
              <w:rPr>
                <w:rFonts w:cs="Calibri"/>
                <w:color w:val="000000"/>
              </w:rPr>
              <w:t>52%</w:t>
            </w:r>
          </w:p>
        </w:tc>
        <w:tc>
          <w:tcPr>
            <w:tcW w:w="1480" w:type="dxa"/>
            <w:vAlign w:val="center"/>
          </w:tcPr>
          <w:p w:rsidR="0040521B" w:rsidRDefault="0040521B" w:rsidP="0053283A">
            <w:pPr>
              <w:jc w:val="center"/>
              <w:rPr>
                <w:rFonts w:cs="Calibri"/>
                <w:color w:val="000000"/>
              </w:rPr>
            </w:pPr>
            <w:r>
              <w:rPr>
                <w:rFonts w:cs="Calibri"/>
                <w:color w:val="000000"/>
              </w:rPr>
              <w:t>32,136</w:t>
            </w:r>
          </w:p>
        </w:tc>
        <w:tc>
          <w:tcPr>
            <w:tcW w:w="1480" w:type="dxa"/>
            <w:vAlign w:val="center"/>
          </w:tcPr>
          <w:p w:rsidR="0040521B" w:rsidRDefault="0040521B" w:rsidP="0053283A">
            <w:pPr>
              <w:jc w:val="center"/>
              <w:rPr>
                <w:rFonts w:cs="Calibri"/>
                <w:color w:val="000000"/>
              </w:rPr>
            </w:pPr>
            <w:r>
              <w:rPr>
                <w:rFonts w:cs="Calibri"/>
                <w:color w:val="000000"/>
              </w:rPr>
              <w:t>62%</w:t>
            </w:r>
          </w:p>
        </w:tc>
      </w:tr>
    </w:tbl>
    <w:p w:rsidR="0040521B" w:rsidRDefault="0040521B" w:rsidP="0040521B">
      <w:pPr>
        <w:ind w:right="-188"/>
      </w:pPr>
    </w:p>
    <w:p w:rsidR="0040521B" w:rsidRDefault="0040521B" w:rsidP="0040521B">
      <w:pPr>
        <w:ind w:right="-188"/>
      </w:pPr>
      <w:r>
        <w:t>*A progressive outcome represents a young person making significant progress in addressing their barriers to full engagement in education.</w:t>
      </w:r>
    </w:p>
    <w:p w:rsidR="0040521B" w:rsidRDefault="0040521B" w:rsidP="0040521B"/>
    <w:p w:rsidR="0040521B" w:rsidRDefault="0040521B" w:rsidP="0040521B">
      <w:pPr>
        <w:ind w:right="-188"/>
      </w:pPr>
      <w:r>
        <w:t xml:space="preserve">**A final outcome represents re-engagement or a sustained improvement in a young person’s engagement with education, training or employment. </w:t>
      </w:r>
    </w:p>
    <w:p w:rsidR="0040521B" w:rsidRPr="00904CBE" w:rsidRDefault="0040521B" w:rsidP="00934BC4">
      <w:pPr>
        <w:pStyle w:val="Heading4"/>
      </w:pPr>
      <w:r w:rsidRPr="00904CBE">
        <w:t>Figure 9: SA - Number of young people achieving outcomes</w:t>
      </w:r>
    </w:p>
    <w:p w:rsidR="0040521B" w:rsidRDefault="0040521B" w:rsidP="0040521B">
      <w:pPr>
        <w:ind w:right="-188"/>
        <w:rPr>
          <w:u w:val="single"/>
        </w:rPr>
      </w:pPr>
      <w:r>
        <w:rPr>
          <w:noProof/>
          <w:lang w:eastAsia="en-AU"/>
        </w:rPr>
        <w:drawing>
          <wp:inline distT="0" distB="0" distL="0" distR="0" wp14:anchorId="5366BE62" wp14:editId="27A28ACC">
            <wp:extent cx="6362700" cy="3057525"/>
            <wp:effectExtent l="0" t="0" r="0" b="0"/>
            <wp:docPr id="25" name="Chart 25" descr="SA number of young people achieving outcomes, graphic representation of table 13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0521B" w:rsidRDefault="0040521B" w:rsidP="0040521B"/>
    <w:p w:rsidR="0040521B" w:rsidRPr="008A4267" w:rsidRDefault="0040521B" w:rsidP="00934BC4">
      <w:pPr>
        <w:pStyle w:val="Heading3"/>
      </w:pPr>
      <w:r>
        <w:t>Table 13: SA - Number of young people achieving outcomes</w:t>
      </w:r>
    </w:p>
    <w:tbl>
      <w:tblPr>
        <w:tblW w:w="10207" w:type="dxa"/>
        <w:tblInd w:w="108" w:type="dxa"/>
        <w:tblLook w:val="04A0" w:firstRow="1" w:lastRow="0" w:firstColumn="1" w:lastColumn="0" w:noHBand="0" w:noVBand="1"/>
      </w:tblPr>
      <w:tblGrid>
        <w:gridCol w:w="4388"/>
        <w:gridCol w:w="969"/>
        <w:gridCol w:w="970"/>
        <w:gridCol w:w="970"/>
        <w:gridCol w:w="970"/>
        <w:gridCol w:w="970"/>
        <w:gridCol w:w="970"/>
      </w:tblGrid>
      <w:tr w:rsidR="0040521B" w:rsidRPr="00C763A7" w:rsidTr="0053283A">
        <w:trPr>
          <w:trHeight w:val="300"/>
          <w:tblHeader/>
        </w:trPr>
        <w:tc>
          <w:tcPr>
            <w:tcW w:w="43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40521B" w:rsidRPr="00C763A7" w:rsidRDefault="0040521B" w:rsidP="0053283A">
            <w:pPr>
              <w:rPr>
                <w:rFonts w:cs="Calibri"/>
                <w:b/>
                <w:bCs/>
                <w:color w:val="000000"/>
              </w:rPr>
            </w:pPr>
            <w:r>
              <w:rPr>
                <w:rFonts w:cs="Calibri"/>
                <w:b/>
                <w:bCs/>
                <w:color w:val="000000"/>
              </w:rPr>
              <w:t>SA Participant outcome achievement</w:t>
            </w:r>
          </w:p>
        </w:tc>
        <w:tc>
          <w:tcPr>
            <w:tcW w:w="9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40521B" w:rsidRDefault="0040521B" w:rsidP="0053283A">
            <w:pPr>
              <w:jc w:val="center"/>
              <w:rPr>
                <w:rFonts w:cs="Calibri"/>
                <w:b/>
                <w:bCs/>
                <w:color w:val="000000"/>
              </w:rPr>
            </w:pPr>
            <w:r>
              <w:rPr>
                <w:rFonts w:cs="Calibri"/>
                <w:b/>
                <w:bCs/>
                <w:color w:val="000000"/>
              </w:rPr>
              <w:t>Level 1</w:t>
            </w:r>
          </w:p>
          <w:p w:rsidR="0040521B" w:rsidRPr="00C763A7" w:rsidRDefault="0040521B" w:rsidP="0053283A">
            <w:pPr>
              <w:jc w:val="center"/>
              <w:rPr>
                <w:rFonts w:cs="Calibri"/>
                <w:b/>
                <w:bCs/>
                <w:color w:val="000000"/>
              </w:rPr>
            </w:pPr>
            <w:r>
              <w:rPr>
                <w:rFonts w:cs="Calibri"/>
                <w:b/>
                <w:bCs/>
                <w:color w:val="000000"/>
              </w:rPr>
              <w:t>No.</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40521B" w:rsidRDefault="0040521B" w:rsidP="0053283A">
            <w:pPr>
              <w:jc w:val="center"/>
              <w:rPr>
                <w:rFonts w:cs="Calibri"/>
                <w:b/>
                <w:bCs/>
                <w:color w:val="000000"/>
              </w:rPr>
            </w:pPr>
            <w:r>
              <w:rPr>
                <w:rFonts w:cs="Calibri"/>
                <w:b/>
                <w:bCs/>
                <w:color w:val="000000"/>
              </w:rPr>
              <w:t>Level 1</w:t>
            </w:r>
          </w:p>
          <w:p w:rsidR="0040521B" w:rsidRPr="00C763A7" w:rsidRDefault="0040521B" w:rsidP="0053283A">
            <w:pPr>
              <w:jc w:val="center"/>
              <w:rPr>
                <w:rFonts w:cs="Calibri"/>
                <w:b/>
                <w:bCs/>
                <w:color w:val="000000"/>
              </w:rPr>
            </w:pPr>
            <w:r>
              <w:rPr>
                <w:rFonts w:cs="Calibri"/>
                <w:b/>
                <w:bCs/>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40521B" w:rsidRDefault="0040521B" w:rsidP="0053283A">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p w:rsidR="0040521B" w:rsidRPr="00C763A7" w:rsidRDefault="0040521B" w:rsidP="0053283A">
            <w:pPr>
              <w:jc w:val="center"/>
              <w:rPr>
                <w:rFonts w:cs="Calibri"/>
                <w:b/>
                <w:bCs/>
                <w:color w:val="000000"/>
              </w:rPr>
            </w:pPr>
            <w:r>
              <w:rPr>
                <w:rFonts w:cs="Calibri"/>
                <w:b/>
                <w:bCs/>
                <w:color w:val="000000"/>
              </w:rPr>
              <w:t>No.</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40521B" w:rsidRDefault="0040521B" w:rsidP="0053283A">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p w:rsidR="0040521B" w:rsidRPr="00C763A7" w:rsidRDefault="0040521B" w:rsidP="0053283A">
            <w:pPr>
              <w:jc w:val="center"/>
              <w:rPr>
                <w:rFonts w:cs="Calibri"/>
                <w:b/>
                <w:bCs/>
                <w:color w:val="000000"/>
              </w:rPr>
            </w:pPr>
            <w:r>
              <w:rPr>
                <w:rFonts w:cs="Calibri"/>
                <w:b/>
                <w:bCs/>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40521B" w:rsidRDefault="0040521B" w:rsidP="0053283A">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p w:rsidR="0040521B" w:rsidRPr="00C763A7" w:rsidRDefault="0040521B" w:rsidP="0053283A">
            <w:pPr>
              <w:jc w:val="center"/>
              <w:rPr>
                <w:rFonts w:cs="Calibri"/>
                <w:b/>
                <w:bCs/>
                <w:color w:val="000000"/>
              </w:rPr>
            </w:pPr>
            <w:r>
              <w:rPr>
                <w:rFonts w:cs="Calibri"/>
                <w:b/>
                <w:bCs/>
                <w:color w:val="000000"/>
              </w:rPr>
              <w:t>No.</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40521B" w:rsidRDefault="0040521B" w:rsidP="0053283A">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p w:rsidR="0040521B" w:rsidRPr="00C763A7" w:rsidRDefault="0040521B" w:rsidP="0053283A">
            <w:pPr>
              <w:jc w:val="center"/>
              <w:rPr>
                <w:rFonts w:cs="Calibri"/>
                <w:b/>
                <w:bCs/>
                <w:color w:val="000000"/>
              </w:rPr>
            </w:pPr>
            <w:r>
              <w:rPr>
                <w:rFonts w:cs="Calibri"/>
                <w:b/>
                <w:bCs/>
                <w:color w:val="000000"/>
              </w:rPr>
              <w:t>%</w:t>
            </w:r>
          </w:p>
        </w:tc>
      </w:tr>
      <w:tr w:rsidR="0040521B" w:rsidTr="0053283A">
        <w:trPr>
          <w:trHeight w:val="300"/>
        </w:trPr>
        <w:tc>
          <w:tcPr>
            <w:tcW w:w="4388" w:type="dxa"/>
            <w:tcBorders>
              <w:top w:val="single" w:sz="4" w:space="0" w:color="auto"/>
              <w:left w:val="single" w:sz="4" w:space="0" w:color="auto"/>
              <w:bottom w:val="single" w:sz="4" w:space="0" w:color="auto"/>
              <w:right w:val="single" w:sz="4" w:space="0" w:color="auto"/>
            </w:tcBorders>
            <w:vAlign w:val="bottom"/>
          </w:tcPr>
          <w:p w:rsidR="0040521B" w:rsidRPr="00C763A7" w:rsidRDefault="0040521B" w:rsidP="0053283A">
            <w:pPr>
              <w:spacing w:before="40" w:after="40"/>
              <w:rPr>
                <w:rFonts w:cs="Calibri"/>
                <w:color w:val="000000"/>
              </w:rPr>
            </w:pPr>
            <w:r>
              <w:rPr>
                <w:rFonts w:cs="Calibri"/>
                <w:color w:val="000000"/>
              </w:rPr>
              <w:t>Achieved a final outcome</w:t>
            </w:r>
          </w:p>
        </w:tc>
        <w:tc>
          <w:tcPr>
            <w:tcW w:w="96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center"/>
              <w:rPr>
                <w:rFonts w:cs="Calibri"/>
                <w:color w:val="000000"/>
              </w:rPr>
            </w:pPr>
            <w:r>
              <w:rPr>
                <w:rFonts w:cs="Calibri"/>
                <w:color w:val="000000"/>
              </w:rPr>
              <w:t>268</w:t>
            </w:r>
          </w:p>
        </w:tc>
        <w:tc>
          <w:tcPr>
            <w:tcW w:w="970"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center"/>
              <w:rPr>
                <w:rFonts w:cs="Calibri"/>
                <w:color w:val="000000"/>
              </w:rPr>
            </w:pPr>
            <w:r>
              <w:rPr>
                <w:rFonts w:cs="Calibri"/>
                <w:color w:val="000000"/>
              </w:rPr>
              <w:t>55%</w:t>
            </w:r>
          </w:p>
        </w:tc>
        <w:tc>
          <w:tcPr>
            <w:tcW w:w="970"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center"/>
              <w:rPr>
                <w:rFonts w:cs="Calibri"/>
                <w:color w:val="000000"/>
              </w:rPr>
            </w:pPr>
            <w:r>
              <w:rPr>
                <w:rFonts w:cs="Calibri"/>
                <w:color w:val="000000"/>
              </w:rPr>
              <w:t>584</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spacing w:before="40" w:after="40"/>
              <w:jc w:val="center"/>
              <w:rPr>
                <w:rFonts w:cs="Calibri"/>
                <w:color w:val="000000"/>
              </w:rPr>
            </w:pPr>
            <w:r>
              <w:rPr>
                <w:rFonts w:cs="Calibri"/>
                <w:color w:val="000000"/>
              </w:rPr>
              <w:t>52%</w:t>
            </w:r>
          </w:p>
        </w:tc>
        <w:tc>
          <w:tcPr>
            <w:tcW w:w="970"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center"/>
              <w:rPr>
                <w:rFonts w:cs="Calibri"/>
                <w:color w:val="000000"/>
              </w:rPr>
            </w:pPr>
            <w:r>
              <w:rPr>
                <w:rFonts w:cs="Calibri"/>
                <w:color w:val="000000"/>
              </w:rPr>
              <w:t>915</w:t>
            </w:r>
          </w:p>
        </w:tc>
        <w:tc>
          <w:tcPr>
            <w:tcW w:w="970"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center"/>
              <w:rPr>
                <w:rFonts w:cs="Calibri"/>
                <w:color w:val="000000"/>
              </w:rPr>
            </w:pPr>
            <w:r>
              <w:rPr>
                <w:rFonts w:cs="Calibri"/>
                <w:color w:val="000000"/>
              </w:rPr>
              <w:t>51%</w:t>
            </w:r>
          </w:p>
        </w:tc>
      </w:tr>
      <w:tr w:rsidR="0040521B" w:rsidTr="0053283A">
        <w:trPr>
          <w:trHeight w:val="300"/>
        </w:trPr>
        <w:tc>
          <w:tcPr>
            <w:tcW w:w="4388" w:type="dxa"/>
            <w:tcBorders>
              <w:top w:val="single" w:sz="4" w:space="0" w:color="auto"/>
              <w:left w:val="single" w:sz="4" w:space="0" w:color="auto"/>
              <w:bottom w:val="single" w:sz="4" w:space="0" w:color="auto"/>
              <w:right w:val="single" w:sz="4" w:space="0" w:color="auto"/>
            </w:tcBorders>
            <w:vAlign w:val="bottom"/>
          </w:tcPr>
          <w:p w:rsidR="0040521B" w:rsidRPr="00C763A7" w:rsidRDefault="0040521B" w:rsidP="0053283A">
            <w:pPr>
              <w:spacing w:before="40" w:after="40"/>
              <w:rPr>
                <w:rFonts w:cs="Calibri"/>
                <w:color w:val="000000"/>
              </w:rPr>
            </w:pPr>
            <w:r>
              <w:rPr>
                <w:rFonts w:cs="Calibri"/>
                <w:color w:val="000000"/>
              </w:rPr>
              <w:t>Achieved a progressive outcome</w:t>
            </w:r>
          </w:p>
        </w:tc>
        <w:tc>
          <w:tcPr>
            <w:tcW w:w="96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center"/>
              <w:rPr>
                <w:rFonts w:cs="Calibri"/>
                <w:color w:val="000000"/>
              </w:rPr>
            </w:pPr>
            <w:r>
              <w:rPr>
                <w:rFonts w:cs="Calibri"/>
                <w:color w:val="000000"/>
              </w:rPr>
              <w:t>346</w:t>
            </w:r>
          </w:p>
        </w:tc>
        <w:tc>
          <w:tcPr>
            <w:tcW w:w="970"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center"/>
              <w:rPr>
                <w:rFonts w:cs="Calibri"/>
                <w:color w:val="000000"/>
              </w:rPr>
            </w:pPr>
            <w:r>
              <w:rPr>
                <w:rFonts w:cs="Calibri"/>
                <w:color w:val="000000"/>
              </w:rPr>
              <w:t>71%</w:t>
            </w:r>
          </w:p>
        </w:tc>
        <w:tc>
          <w:tcPr>
            <w:tcW w:w="970"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spacing w:before="40" w:after="40"/>
              <w:jc w:val="center"/>
              <w:rPr>
                <w:rFonts w:cs="Calibri"/>
                <w:color w:val="000000"/>
              </w:rPr>
            </w:pPr>
            <w:r>
              <w:rPr>
                <w:rFonts w:cs="Calibri"/>
                <w:color w:val="000000"/>
              </w:rPr>
              <w:t>802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spacing w:before="40" w:after="40"/>
              <w:jc w:val="center"/>
              <w:rPr>
                <w:rFonts w:cs="Calibri"/>
                <w:color w:val="000000"/>
              </w:rPr>
            </w:pPr>
            <w:r>
              <w:rPr>
                <w:rFonts w:cs="Calibri"/>
                <w:color w:val="000000"/>
              </w:rPr>
              <w:t>71%</w:t>
            </w:r>
          </w:p>
        </w:tc>
        <w:tc>
          <w:tcPr>
            <w:tcW w:w="970"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spacing w:before="40" w:after="40"/>
              <w:jc w:val="center"/>
              <w:rPr>
                <w:rFonts w:cs="Calibri"/>
                <w:color w:val="000000"/>
              </w:rPr>
            </w:pPr>
            <w:r>
              <w:rPr>
                <w:rFonts w:cs="Calibri"/>
                <w:color w:val="000000"/>
              </w:rPr>
              <w:t>1224</w:t>
            </w:r>
          </w:p>
        </w:tc>
        <w:tc>
          <w:tcPr>
            <w:tcW w:w="970"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spacing w:before="40" w:after="40"/>
              <w:jc w:val="center"/>
              <w:rPr>
                <w:rFonts w:cs="Calibri"/>
                <w:color w:val="000000"/>
              </w:rPr>
            </w:pPr>
            <w:r>
              <w:rPr>
                <w:rFonts w:cs="Calibri"/>
                <w:color w:val="000000"/>
              </w:rPr>
              <w:t>68%</w:t>
            </w:r>
          </w:p>
        </w:tc>
      </w:tr>
    </w:tbl>
    <w:p w:rsidR="0040521B" w:rsidRDefault="0040521B" w:rsidP="0040521B"/>
    <w:p w:rsidR="008C5F35" w:rsidRDefault="008C5F35">
      <w:pPr>
        <w:spacing w:after="200"/>
        <w:rPr>
          <w:b/>
          <w:bCs/>
          <w:color w:val="4F81BD" w:themeColor="accent1"/>
          <w:sz w:val="18"/>
          <w:szCs w:val="18"/>
        </w:rPr>
      </w:pPr>
      <w:r>
        <w:rPr>
          <w:b/>
          <w:bCs/>
          <w:color w:val="4F81BD" w:themeColor="accent1"/>
          <w:sz w:val="18"/>
          <w:szCs w:val="18"/>
        </w:rPr>
        <w:br w:type="page"/>
      </w:r>
    </w:p>
    <w:p w:rsidR="00934BC4" w:rsidRDefault="0040521B" w:rsidP="008C5F35">
      <w:pPr>
        <w:pStyle w:val="Heading4"/>
      </w:pPr>
      <w:r w:rsidRPr="00904CBE">
        <w:lastRenderedPageBreak/>
        <w:t>Figure 10: National - Number of young people achieving outcomes</w:t>
      </w:r>
    </w:p>
    <w:p w:rsidR="0040521B" w:rsidRDefault="0040521B" w:rsidP="0040521B">
      <w:r>
        <w:rPr>
          <w:noProof/>
        </w:rPr>
        <w:t xml:space="preserve"> </w:t>
      </w:r>
      <w:r>
        <w:rPr>
          <w:noProof/>
          <w:lang w:eastAsia="en-AU"/>
        </w:rPr>
        <w:drawing>
          <wp:inline distT="0" distB="0" distL="0" distR="0" wp14:anchorId="21B37BBE" wp14:editId="7D9EF45F">
            <wp:extent cx="6448425" cy="2714625"/>
            <wp:effectExtent l="0" t="0" r="0" b="0"/>
            <wp:docPr id="28" name="Chart 28" descr="National number of young people achieving outcomes, graphic representation of table 14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C5F35" w:rsidRDefault="008C5F35" w:rsidP="0040521B">
      <w:pPr>
        <w:rPr>
          <w:rFonts w:cs="Calibri"/>
          <w:b/>
          <w:bCs/>
          <w:color w:val="000000"/>
        </w:rPr>
      </w:pPr>
    </w:p>
    <w:p w:rsidR="0040521B" w:rsidRPr="008A4267" w:rsidRDefault="0040521B" w:rsidP="008C5F35">
      <w:pPr>
        <w:pStyle w:val="Heading3"/>
      </w:pPr>
      <w:r>
        <w:t>Table 14: National - Number of young people achieving outcomes</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999"/>
        <w:gridCol w:w="940"/>
        <w:gridCol w:w="970"/>
        <w:gridCol w:w="970"/>
        <w:gridCol w:w="970"/>
        <w:gridCol w:w="970"/>
      </w:tblGrid>
      <w:tr w:rsidR="0040521B" w:rsidRPr="00C763A7" w:rsidTr="0053283A">
        <w:trPr>
          <w:trHeight w:val="300"/>
        </w:trPr>
        <w:tc>
          <w:tcPr>
            <w:tcW w:w="4388" w:type="dxa"/>
            <w:shd w:val="clear" w:color="auto" w:fill="C6D9F1" w:themeFill="text2" w:themeFillTint="33"/>
            <w:vAlign w:val="bottom"/>
          </w:tcPr>
          <w:p w:rsidR="0040521B" w:rsidRPr="00C763A7" w:rsidRDefault="0040521B" w:rsidP="0053283A">
            <w:pPr>
              <w:rPr>
                <w:rFonts w:cs="Calibri"/>
                <w:b/>
                <w:bCs/>
                <w:color w:val="000000"/>
              </w:rPr>
            </w:pPr>
            <w:r>
              <w:rPr>
                <w:rFonts w:cs="Calibri"/>
                <w:b/>
                <w:bCs/>
                <w:color w:val="000000"/>
              </w:rPr>
              <w:t>National Participant outcome achievement</w:t>
            </w:r>
          </w:p>
        </w:tc>
        <w:tc>
          <w:tcPr>
            <w:tcW w:w="999" w:type="dxa"/>
            <w:shd w:val="clear" w:color="auto" w:fill="C6D9F1" w:themeFill="text2" w:themeFillTint="33"/>
            <w:vAlign w:val="bottom"/>
          </w:tcPr>
          <w:p w:rsidR="0040521B" w:rsidRDefault="0040521B" w:rsidP="0053283A">
            <w:pPr>
              <w:jc w:val="center"/>
              <w:rPr>
                <w:rFonts w:cs="Calibri"/>
                <w:b/>
                <w:bCs/>
                <w:color w:val="000000"/>
              </w:rPr>
            </w:pPr>
            <w:r>
              <w:rPr>
                <w:rFonts w:cs="Calibri"/>
                <w:b/>
                <w:bCs/>
                <w:color w:val="000000"/>
              </w:rPr>
              <w:t>Level 1</w:t>
            </w:r>
          </w:p>
          <w:p w:rsidR="0040521B" w:rsidRPr="00C763A7" w:rsidRDefault="0040521B" w:rsidP="0053283A">
            <w:pPr>
              <w:jc w:val="center"/>
              <w:rPr>
                <w:rFonts w:cs="Calibri"/>
                <w:b/>
                <w:bCs/>
                <w:color w:val="000000"/>
              </w:rPr>
            </w:pPr>
            <w:r>
              <w:rPr>
                <w:rFonts w:cs="Calibri"/>
                <w:b/>
                <w:bCs/>
                <w:color w:val="000000"/>
              </w:rPr>
              <w:t>No.</w:t>
            </w:r>
          </w:p>
        </w:tc>
        <w:tc>
          <w:tcPr>
            <w:tcW w:w="940" w:type="dxa"/>
            <w:shd w:val="clear" w:color="auto" w:fill="C6D9F1" w:themeFill="text2" w:themeFillTint="33"/>
            <w:vAlign w:val="bottom"/>
          </w:tcPr>
          <w:p w:rsidR="0040521B" w:rsidRDefault="0040521B" w:rsidP="0053283A">
            <w:pPr>
              <w:jc w:val="center"/>
              <w:rPr>
                <w:rFonts w:cs="Calibri"/>
                <w:b/>
                <w:bCs/>
                <w:color w:val="000000"/>
              </w:rPr>
            </w:pPr>
            <w:r>
              <w:rPr>
                <w:rFonts w:cs="Calibri"/>
                <w:b/>
                <w:bCs/>
                <w:color w:val="000000"/>
              </w:rPr>
              <w:t>Level 1</w:t>
            </w:r>
          </w:p>
          <w:p w:rsidR="0040521B" w:rsidRPr="00C763A7" w:rsidRDefault="0040521B" w:rsidP="0053283A">
            <w:pPr>
              <w:jc w:val="center"/>
              <w:rPr>
                <w:rFonts w:cs="Calibri"/>
                <w:b/>
                <w:bCs/>
                <w:color w:val="000000"/>
              </w:rPr>
            </w:pPr>
            <w:r>
              <w:rPr>
                <w:rFonts w:cs="Calibri"/>
                <w:b/>
                <w:bCs/>
                <w:color w:val="000000"/>
              </w:rPr>
              <w:t>%</w:t>
            </w:r>
          </w:p>
        </w:tc>
        <w:tc>
          <w:tcPr>
            <w:tcW w:w="970" w:type="dxa"/>
            <w:shd w:val="clear" w:color="auto" w:fill="C6D9F1" w:themeFill="text2" w:themeFillTint="33"/>
            <w:vAlign w:val="bottom"/>
          </w:tcPr>
          <w:p w:rsidR="0040521B" w:rsidRDefault="0040521B" w:rsidP="0053283A">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p w:rsidR="0040521B" w:rsidRPr="00C763A7" w:rsidRDefault="0040521B" w:rsidP="0053283A">
            <w:pPr>
              <w:jc w:val="center"/>
              <w:rPr>
                <w:rFonts w:cs="Calibri"/>
                <w:b/>
                <w:bCs/>
                <w:color w:val="000000"/>
              </w:rPr>
            </w:pPr>
            <w:r>
              <w:rPr>
                <w:rFonts w:cs="Calibri"/>
                <w:b/>
                <w:bCs/>
                <w:color w:val="000000"/>
              </w:rPr>
              <w:t>No.</w:t>
            </w:r>
          </w:p>
        </w:tc>
        <w:tc>
          <w:tcPr>
            <w:tcW w:w="970" w:type="dxa"/>
            <w:shd w:val="clear" w:color="auto" w:fill="C6D9F1" w:themeFill="text2" w:themeFillTint="33"/>
            <w:noWrap/>
            <w:vAlign w:val="bottom"/>
          </w:tcPr>
          <w:p w:rsidR="0040521B" w:rsidRDefault="0040521B" w:rsidP="0053283A">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p w:rsidR="0040521B" w:rsidRPr="00C763A7" w:rsidRDefault="0040521B" w:rsidP="0053283A">
            <w:pPr>
              <w:jc w:val="center"/>
              <w:rPr>
                <w:rFonts w:cs="Calibri"/>
                <w:b/>
                <w:bCs/>
                <w:color w:val="000000"/>
              </w:rPr>
            </w:pPr>
            <w:r>
              <w:rPr>
                <w:rFonts w:cs="Calibri"/>
                <w:b/>
                <w:bCs/>
                <w:color w:val="000000"/>
              </w:rPr>
              <w:t>%</w:t>
            </w:r>
          </w:p>
        </w:tc>
        <w:tc>
          <w:tcPr>
            <w:tcW w:w="970" w:type="dxa"/>
            <w:shd w:val="clear" w:color="auto" w:fill="C6D9F1" w:themeFill="text2" w:themeFillTint="33"/>
            <w:vAlign w:val="bottom"/>
          </w:tcPr>
          <w:p w:rsidR="0040521B" w:rsidRDefault="0040521B" w:rsidP="0053283A">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p w:rsidR="0040521B" w:rsidRPr="00C763A7" w:rsidRDefault="0040521B" w:rsidP="0053283A">
            <w:pPr>
              <w:jc w:val="center"/>
              <w:rPr>
                <w:rFonts w:cs="Calibri"/>
                <w:b/>
                <w:bCs/>
                <w:color w:val="000000"/>
              </w:rPr>
            </w:pPr>
            <w:r>
              <w:rPr>
                <w:rFonts w:cs="Calibri"/>
                <w:b/>
                <w:bCs/>
                <w:color w:val="000000"/>
              </w:rPr>
              <w:t>No.</w:t>
            </w:r>
          </w:p>
        </w:tc>
        <w:tc>
          <w:tcPr>
            <w:tcW w:w="970" w:type="dxa"/>
            <w:shd w:val="clear" w:color="auto" w:fill="C6D9F1" w:themeFill="text2" w:themeFillTint="33"/>
            <w:vAlign w:val="bottom"/>
          </w:tcPr>
          <w:p w:rsidR="0040521B" w:rsidRDefault="0040521B" w:rsidP="0053283A">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p w:rsidR="0040521B" w:rsidRPr="00C763A7" w:rsidRDefault="0040521B" w:rsidP="0053283A">
            <w:pPr>
              <w:jc w:val="center"/>
              <w:rPr>
                <w:rFonts w:cs="Calibri"/>
                <w:b/>
                <w:bCs/>
                <w:color w:val="000000"/>
              </w:rPr>
            </w:pPr>
            <w:r>
              <w:rPr>
                <w:rFonts w:cs="Calibri"/>
                <w:b/>
                <w:bCs/>
                <w:color w:val="000000"/>
              </w:rPr>
              <w:t>%</w:t>
            </w:r>
          </w:p>
        </w:tc>
      </w:tr>
      <w:tr w:rsidR="0040521B" w:rsidRPr="00C763A7" w:rsidTr="0053283A">
        <w:trPr>
          <w:trHeight w:val="300"/>
        </w:trPr>
        <w:tc>
          <w:tcPr>
            <w:tcW w:w="4388" w:type="dxa"/>
            <w:vAlign w:val="bottom"/>
          </w:tcPr>
          <w:p w:rsidR="0040521B" w:rsidRPr="00C763A7" w:rsidRDefault="0040521B" w:rsidP="0053283A">
            <w:pPr>
              <w:spacing w:before="40" w:after="40"/>
              <w:rPr>
                <w:rFonts w:cs="Calibri"/>
                <w:color w:val="000000"/>
              </w:rPr>
            </w:pPr>
            <w:r>
              <w:rPr>
                <w:rFonts w:cs="Calibri"/>
                <w:color w:val="000000"/>
              </w:rPr>
              <w:t>Achieved a final outcome</w:t>
            </w:r>
          </w:p>
        </w:tc>
        <w:tc>
          <w:tcPr>
            <w:tcW w:w="999" w:type="dxa"/>
            <w:vAlign w:val="bottom"/>
          </w:tcPr>
          <w:p w:rsidR="0040521B" w:rsidRDefault="0040521B" w:rsidP="0053283A">
            <w:pPr>
              <w:spacing w:before="40" w:after="40"/>
              <w:jc w:val="center"/>
              <w:rPr>
                <w:rFonts w:cs="Calibri"/>
                <w:color w:val="000000"/>
              </w:rPr>
            </w:pPr>
            <w:r>
              <w:rPr>
                <w:rFonts w:cs="Calibri"/>
                <w:color w:val="000000"/>
              </w:rPr>
              <w:t>10,833</w:t>
            </w:r>
          </w:p>
        </w:tc>
        <w:tc>
          <w:tcPr>
            <w:tcW w:w="940" w:type="dxa"/>
            <w:vAlign w:val="bottom"/>
          </w:tcPr>
          <w:p w:rsidR="0040521B" w:rsidRDefault="0040521B" w:rsidP="0053283A">
            <w:pPr>
              <w:spacing w:before="40" w:after="40"/>
              <w:jc w:val="center"/>
              <w:rPr>
                <w:rFonts w:cs="Calibri"/>
                <w:color w:val="000000"/>
              </w:rPr>
            </w:pPr>
            <w:r>
              <w:rPr>
                <w:rFonts w:cs="Calibri"/>
                <w:color w:val="000000"/>
              </w:rPr>
              <w:t>68%</w:t>
            </w:r>
          </w:p>
        </w:tc>
        <w:tc>
          <w:tcPr>
            <w:tcW w:w="970" w:type="dxa"/>
            <w:vAlign w:val="bottom"/>
          </w:tcPr>
          <w:p w:rsidR="0040521B" w:rsidRDefault="0040521B" w:rsidP="0053283A">
            <w:pPr>
              <w:spacing w:before="40" w:after="40"/>
              <w:jc w:val="center"/>
              <w:rPr>
                <w:rFonts w:cs="Calibri"/>
                <w:color w:val="000000"/>
              </w:rPr>
            </w:pPr>
            <w:r>
              <w:rPr>
                <w:rFonts w:cs="Calibri"/>
                <w:color w:val="000000"/>
              </w:rPr>
              <w:t>13,337</w:t>
            </w:r>
          </w:p>
        </w:tc>
        <w:tc>
          <w:tcPr>
            <w:tcW w:w="970" w:type="dxa"/>
            <w:shd w:val="clear" w:color="auto" w:fill="auto"/>
            <w:noWrap/>
            <w:vAlign w:val="bottom"/>
          </w:tcPr>
          <w:p w:rsidR="0040521B" w:rsidRDefault="0040521B" w:rsidP="0053283A">
            <w:pPr>
              <w:spacing w:before="40" w:after="40"/>
              <w:jc w:val="center"/>
              <w:rPr>
                <w:rFonts w:cs="Calibri"/>
                <w:color w:val="000000"/>
              </w:rPr>
            </w:pPr>
            <w:r>
              <w:rPr>
                <w:rFonts w:cs="Calibri"/>
                <w:color w:val="000000"/>
              </w:rPr>
              <w:t>63%</w:t>
            </w:r>
          </w:p>
        </w:tc>
        <w:tc>
          <w:tcPr>
            <w:tcW w:w="970" w:type="dxa"/>
            <w:vAlign w:val="bottom"/>
          </w:tcPr>
          <w:p w:rsidR="0040521B" w:rsidRDefault="0040521B" w:rsidP="0053283A">
            <w:pPr>
              <w:spacing w:before="40" w:after="40"/>
              <w:jc w:val="center"/>
              <w:rPr>
                <w:rFonts w:cs="Calibri"/>
                <w:color w:val="000000"/>
              </w:rPr>
            </w:pPr>
            <w:r>
              <w:rPr>
                <w:rFonts w:cs="Calibri"/>
                <w:color w:val="000000"/>
              </w:rPr>
              <w:t>12,753</w:t>
            </w:r>
          </w:p>
        </w:tc>
        <w:tc>
          <w:tcPr>
            <w:tcW w:w="970" w:type="dxa"/>
            <w:vAlign w:val="bottom"/>
          </w:tcPr>
          <w:p w:rsidR="0040521B" w:rsidRDefault="0040521B" w:rsidP="0053283A">
            <w:pPr>
              <w:spacing w:before="40" w:after="40"/>
              <w:jc w:val="center"/>
              <w:rPr>
                <w:rFonts w:cs="Calibri"/>
                <w:color w:val="000000"/>
              </w:rPr>
            </w:pPr>
            <w:r>
              <w:rPr>
                <w:rFonts w:cs="Calibri"/>
                <w:color w:val="000000"/>
              </w:rPr>
              <w:t>54%</w:t>
            </w:r>
          </w:p>
        </w:tc>
      </w:tr>
      <w:tr w:rsidR="0040521B" w:rsidRPr="00C763A7" w:rsidTr="0053283A">
        <w:trPr>
          <w:trHeight w:val="111"/>
        </w:trPr>
        <w:tc>
          <w:tcPr>
            <w:tcW w:w="4388" w:type="dxa"/>
            <w:vAlign w:val="bottom"/>
          </w:tcPr>
          <w:p w:rsidR="0040521B" w:rsidRPr="00C763A7" w:rsidRDefault="0040521B" w:rsidP="0053283A">
            <w:pPr>
              <w:spacing w:before="40" w:after="40"/>
              <w:rPr>
                <w:rFonts w:cs="Calibri"/>
                <w:color w:val="000000"/>
              </w:rPr>
            </w:pPr>
            <w:r>
              <w:rPr>
                <w:rFonts w:cs="Calibri"/>
                <w:color w:val="000000"/>
              </w:rPr>
              <w:t>Achieved a progressive outcome</w:t>
            </w:r>
          </w:p>
        </w:tc>
        <w:tc>
          <w:tcPr>
            <w:tcW w:w="999" w:type="dxa"/>
            <w:vAlign w:val="bottom"/>
          </w:tcPr>
          <w:p w:rsidR="0040521B" w:rsidRDefault="0040521B" w:rsidP="0053283A">
            <w:pPr>
              <w:spacing w:before="40" w:after="40"/>
              <w:jc w:val="center"/>
              <w:rPr>
                <w:rFonts w:cs="Calibri"/>
                <w:color w:val="000000"/>
              </w:rPr>
            </w:pPr>
            <w:r>
              <w:rPr>
                <w:rFonts w:cs="Calibri"/>
                <w:color w:val="000000"/>
              </w:rPr>
              <w:t>12,587</w:t>
            </w:r>
          </w:p>
        </w:tc>
        <w:tc>
          <w:tcPr>
            <w:tcW w:w="940" w:type="dxa"/>
            <w:vAlign w:val="bottom"/>
          </w:tcPr>
          <w:p w:rsidR="0040521B" w:rsidRDefault="0040521B" w:rsidP="0053283A">
            <w:pPr>
              <w:spacing w:before="40" w:after="40"/>
              <w:jc w:val="center"/>
              <w:rPr>
                <w:rFonts w:cs="Calibri"/>
                <w:color w:val="000000"/>
              </w:rPr>
            </w:pPr>
            <w:r>
              <w:rPr>
                <w:rFonts w:cs="Calibri"/>
                <w:color w:val="000000"/>
              </w:rPr>
              <w:t>80%</w:t>
            </w:r>
          </w:p>
        </w:tc>
        <w:tc>
          <w:tcPr>
            <w:tcW w:w="970" w:type="dxa"/>
            <w:vAlign w:val="bottom"/>
          </w:tcPr>
          <w:p w:rsidR="0040521B" w:rsidRDefault="0040521B" w:rsidP="0053283A">
            <w:pPr>
              <w:spacing w:before="40" w:after="40"/>
              <w:jc w:val="center"/>
              <w:rPr>
                <w:rFonts w:cs="Calibri"/>
                <w:color w:val="000000"/>
              </w:rPr>
            </w:pPr>
            <w:r>
              <w:rPr>
                <w:rFonts w:cs="Calibri"/>
                <w:color w:val="000000"/>
              </w:rPr>
              <w:t>16,242</w:t>
            </w:r>
          </w:p>
        </w:tc>
        <w:tc>
          <w:tcPr>
            <w:tcW w:w="970" w:type="dxa"/>
            <w:shd w:val="clear" w:color="auto" w:fill="auto"/>
            <w:noWrap/>
            <w:vAlign w:val="bottom"/>
            <w:hideMark/>
          </w:tcPr>
          <w:p w:rsidR="0040521B" w:rsidRDefault="0040521B" w:rsidP="0053283A">
            <w:pPr>
              <w:spacing w:before="40" w:after="40"/>
              <w:jc w:val="center"/>
              <w:rPr>
                <w:rFonts w:cs="Calibri"/>
                <w:color w:val="000000"/>
              </w:rPr>
            </w:pPr>
            <w:r>
              <w:rPr>
                <w:rFonts w:cs="Calibri"/>
                <w:color w:val="000000"/>
              </w:rPr>
              <w:t>77%</w:t>
            </w:r>
          </w:p>
        </w:tc>
        <w:tc>
          <w:tcPr>
            <w:tcW w:w="970" w:type="dxa"/>
            <w:vAlign w:val="bottom"/>
          </w:tcPr>
          <w:p w:rsidR="0040521B" w:rsidRDefault="0040521B" w:rsidP="0053283A">
            <w:pPr>
              <w:spacing w:before="40" w:after="40"/>
              <w:jc w:val="center"/>
              <w:rPr>
                <w:rFonts w:cs="Calibri"/>
                <w:color w:val="000000"/>
              </w:rPr>
            </w:pPr>
            <w:r>
              <w:rPr>
                <w:rFonts w:cs="Calibri"/>
                <w:color w:val="000000"/>
              </w:rPr>
              <w:t>16,449</w:t>
            </w:r>
          </w:p>
        </w:tc>
        <w:tc>
          <w:tcPr>
            <w:tcW w:w="970" w:type="dxa"/>
            <w:vAlign w:val="bottom"/>
          </w:tcPr>
          <w:p w:rsidR="0040521B" w:rsidRDefault="0040521B" w:rsidP="0053283A">
            <w:pPr>
              <w:spacing w:before="40" w:after="40"/>
              <w:jc w:val="center"/>
              <w:rPr>
                <w:rFonts w:cs="Calibri"/>
                <w:color w:val="000000"/>
              </w:rPr>
            </w:pPr>
            <w:r>
              <w:rPr>
                <w:rFonts w:cs="Calibri"/>
                <w:color w:val="000000"/>
              </w:rPr>
              <w:t>70%</w:t>
            </w:r>
          </w:p>
        </w:tc>
      </w:tr>
    </w:tbl>
    <w:p w:rsidR="0040521B" w:rsidRDefault="0040521B" w:rsidP="0040521B"/>
    <w:p w:rsidR="0040521B" w:rsidRDefault="0040521B" w:rsidP="008C5F35">
      <w:pPr>
        <w:pStyle w:val="Heading4"/>
      </w:pPr>
      <w:r w:rsidRPr="00904CBE">
        <w:t>Figure 11: % Achieving an outcomes (progressive or final) by characteristic</w:t>
      </w:r>
    </w:p>
    <w:p w:rsidR="008C5F35" w:rsidRPr="00904CBE" w:rsidRDefault="008C5F35" w:rsidP="0040521B">
      <w:pPr>
        <w:rPr>
          <w:b/>
          <w:bCs/>
          <w:color w:val="4F81BD" w:themeColor="accent1"/>
          <w:sz w:val="18"/>
          <w:szCs w:val="18"/>
        </w:rPr>
      </w:pPr>
    </w:p>
    <w:p w:rsidR="0040521B" w:rsidRDefault="0040521B" w:rsidP="0040521B">
      <w:r>
        <w:rPr>
          <w:noProof/>
          <w:lang w:eastAsia="en-AU"/>
        </w:rPr>
        <w:drawing>
          <wp:inline distT="0" distB="0" distL="0" distR="0" wp14:anchorId="5611E43C" wp14:editId="076DB814">
            <wp:extent cx="6107502" cy="3605842"/>
            <wp:effectExtent l="0" t="0" r="7620" b="0"/>
            <wp:docPr id="29" name="Chart 29" descr="SA and National percentage achieving an outcome (progressive or final) by characteristic, graphic representation of table 15 and 16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0521B" w:rsidRDefault="0040521B" w:rsidP="008C5F35">
      <w:pPr>
        <w:pStyle w:val="Heading4"/>
      </w:pPr>
      <w:r w:rsidRPr="00904CBE">
        <w:lastRenderedPageBreak/>
        <w:t xml:space="preserve">Figure 12: % </w:t>
      </w:r>
      <w:proofErr w:type="gramStart"/>
      <w:r w:rsidRPr="00904CBE">
        <w:t>Achieving</w:t>
      </w:r>
      <w:proofErr w:type="gramEnd"/>
      <w:r w:rsidRPr="00904CBE">
        <w:t xml:space="preserve"> a final outcome by characteristic</w:t>
      </w:r>
    </w:p>
    <w:p w:rsidR="008C5F35" w:rsidRPr="00904CBE" w:rsidRDefault="008C5F35" w:rsidP="0040521B">
      <w:pPr>
        <w:rPr>
          <w:b/>
          <w:bCs/>
          <w:color w:val="4F81BD" w:themeColor="accent1"/>
          <w:sz w:val="18"/>
          <w:szCs w:val="18"/>
        </w:rPr>
      </w:pPr>
    </w:p>
    <w:p w:rsidR="0040521B" w:rsidRDefault="0040521B" w:rsidP="0040521B">
      <w:r>
        <w:rPr>
          <w:noProof/>
          <w:lang w:eastAsia="en-AU"/>
        </w:rPr>
        <w:drawing>
          <wp:inline distT="0" distB="0" distL="0" distR="0" wp14:anchorId="173B886C" wp14:editId="61ED50B4">
            <wp:extent cx="6107502" cy="3631720"/>
            <wp:effectExtent l="0" t="0" r="7620" b="6985"/>
            <wp:docPr id="37" name="Chart 37" descr="SA and National percentage achieving a final outcome by characteristic, graphic representation of table 15 and 16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C5F35" w:rsidRDefault="008C5F35" w:rsidP="0040521B"/>
    <w:p w:rsidR="0040521B" w:rsidRDefault="0040521B" w:rsidP="008C5F35">
      <w:pPr>
        <w:pStyle w:val="Heading3"/>
      </w:pPr>
      <w:r>
        <w:t>Table 15: SA- Participant outcome achievement by characteristic</w:t>
      </w:r>
    </w:p>
    <w:tbl>
      <w:tblPr>
        <w:tblW w:w="10207" w:type="dxa"/>
        <w:tblInd w:w="108" w:type="dxa"/>
        <w:tblLook w:val="04A0" w:firstRow="1" w:lastRow="0" w:firstColumn="1" w:lastColumn="0" w:noHBand="0" w:noVBand="1"/>
      </w:tblPr>
      <w:tblGrid>
        <w:gridCol w:w="2835"/>
        <w:gridCol w:w="1228"/>
        <w:gridCol w:w="1229"/>
        <w:gridCol w:w="1229"/>
        <w:gridCol w:w="1228"/>
        <w:gridCol w:w="1229"/>
        <w:gridCol w:w="1229"/>
      </w:tblGrid>
      <w:tr w:rsidR="0040521B" w:rsidRPr="00C763A7" w:rsidTr="0053283A">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0521B" w:rsidRPr="00C763A7" w:rsidRDefault="0040521B" w:rsidP="0053283A">
            <w:pPr>
              <w:jc w:val="center"/>
              <w:rPr>
                <w:rFonts w:cs="Calibri"/>
                <w:b/>
                <w:bCs/>
                <w:color w:val="000000"/>
              </w:rPr>
            </w:pPr>
            <w:r>
              <w:rPr>
                <w:rFonts w:cs="Calibri"/>
                <w:b/>
                <w:bCs/>
                <w:color w:val="000000"/>
              </w:rPr>
              <w:t>SA</w:t>
            </w:r>
          </w:p>
        </w:tc>
        <w:tc>
          <w:tcPr>
            <w:tcW w:w="122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0521B" w:rsidRPr="00C763A7" w:rsidRDefault="0040521B" w:rsidP="0053283A">
            <w:pPr>
              <w:jc w:val="center"/>
              <w:rPr>
                <w:rFonts w:cs="Calibri"/>
                <w:b/>
                <w:bCs/>
                <w:color w:val="000000"/>
              </w:rPr>
            </w:pPr>
            <w:r>
              <w:rPr>
                <w:rFonts w:cs="Calibri"/>
                <w:b/>
                <w:bCs/>
                <w:color w:val="000000"/>
              </w:rPr>
              <w:t>Achieved an Outcome</w:t>
            </w:r>
          </w:p>
        </w:tc>
        <w:tc>
          <w:tcPr>
            <w:tcW w:w="12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0521B" w:rsidRPr="00C763A7" w:rsidRDefault="0040521B" w:rsidP="0053283A">
            <w:pPr>
              <w:jc w:val="center"/>
              <w:rPr>
                <w:rFonts w:cs="Calibri"/>
                <w:b/>
                <w:bCs/>
                <w:color w:val="000000"/>
              </w:rPr>
            </w:pPr>
            <w:r>
              <w:rPr>
                <w:rFonts w:cs="Calibri"/>
                <w:b/>
                <w:bCs/>
                <w:color w:val="000000"/>
              </w:rPr>
              <w:t>Achieved a Final Outcome</w:t>
            </w:r>
          </w:p>
        </w:tc>
        <w:tc>
          <w:tcPr>
            <w:tcW w:w="12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0521B" w:rsidRPr="00C763A7" w:rsidRDefault="0040521B" w:rsidP="0053283A">
            <w:pPr>
              <w:jc w:val="center"/>
              <w:rPr>
                <w:rFonts w:cs="Calibri"/>
                <w:b/>
                <w:bCs/>
                <w:color w:val="000000"/>
              </w:rPr>
            </w:pPr>
            <w:r>
              <w:rPr>
                <w:rFonts w:cs="Calibri"/>
                <w:b/>
                <w:bCs/>
                <w:color w:val="000000"/>
              </w:rPr>
              <w:t>Not yet achieved</w:t>
            </w:r>
          </w:p>
        </w:tc>
        <w:tc>
          <w:tcPr>
            <w:tcW w:w="12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40521B" w:rsidRPr="00C763A7" w:rsidRDefault="0040521B" w:rsidP="0053283A">
            <w:pPr>
              <w:jc w:val="center"/>
              <w:rPr>
                <w:rFonts w:cs="Calibri"/>
                <w:b/>
                <w:bCs/>
                <w:color w:val="000000"/>
              </w:rPr>
            </w:pPr>
            <w:r>
              <w:rPr>
                <w:rFonts w:cs="Calibri"/>
                <w:b/>
                <w:bCs/>
                <w:color w:val="000000"/>
              </w:rPr>
              <w:t>Grand Total</w:t>
            </w:r>
          </w:p>
        </w:tc>
        <w:tc>
          <w:tcPr>
            <w:tcW w:w="12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0521B" w:rsidRPr="00C763A7" w:rsidRDefault="0040521B" w:rsidP="0053283A">
            <w:pPr>
              <w:jc w:val="center"/>
              <w:rPr>
                <w:rFonts w:cs="Calibri"/>
                <w:b/>
                <w:bCs/>
                <w:color w:val="000000"/>
              </w:rPr>
            </w:pPr>
            <w:r>
              <w:rPr>
                <w:rFonts w:cs="Calibri"/>
                <w:b/>
                <w:bCs/>
                <w:color w:val="000000"/>
              </w:rPr>
              <w:t>% of total achieving an outcome</w:t>
            </w:r>
          </w:p>
        </w:tc>
        <w:tc>
          <w:tcPr>
            <w:tcW w:w="12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0521B" w:rsidRPr="00C763A7" w:rsidRDefault="0040521B" w:rsidP="0053283A">
            <w:pPr>
              <w:jc w:val="center"/>
              <w:rPr>
                <w:rFonts w:cs="Calibri"/>
                <w:b/>
                <w:bCs/>
                <w:color w:val="000000"/>
              </w:rPr>
            </w:pPr>
            <w:r>
              <w:rPr>
                <w:rFonts w:cs="Calibri"/>
                <w:b/>
                <w:bCs/>
                <w:color w:val="000000"/>
              </w:rPr>
              <w:t>% of total achieving a final outcome</w:t>
            </w:r>
          </w:p>
        </w:tc>
      </w:tr>
      <w:tr w:rsidR="0040521B" w:rsidRPr="00C763A7" w:rsidTr="0053283A">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rPr>
                <w:rFonts w:cs="Calibri"/>
                <w:color w:val="000000"/>
              </w:rPr>
            </w:pPr>
            <w:r>
              <w:rPr>
                <w:rFonts w:cs="Calibri"/>
                <w:color w:val="000000"/>
              </w:rPr>
              <w:t>Culturally and linguistically diverse</w:t>
            </w:r>
          </w:p>
        </w:tc>
        <w:tc>
          <w:tcPr>
            <w:tcW w:w="1228"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52</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38</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26</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78</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67%</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49%</w:t>
            </w:r>
          </w:p>
        </w:tc>
      </w:tr>
      <w:tr w:rsidR="0040521B" w:rsidRPr="00C763A7" w:rsidTr="0053283A">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rPr>
                <w:rFonts w:cs="Calibri"/>
                <w:color w:val="000000"/>
              </w:rPr>
            </w:pPr>
            <w:r>
              <w:rPr>
                <w:rFonts w:cs="Calibri"/>
                <w:color w:val="000000"/>
              </w:rPr>
              <w:t>Disability</w:t>
            </w:r>
          </w:p>
        </w:tc>
        <w:tc>
          <w:tcPr>
            <w:tcW w:w="1228"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179</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130</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58</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237</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76%</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55%</w:t>
            </w:r>
          </w:p>
        </w:tc>
      </w:tr>
      <w:tr w:rsidR="0040521B" w:rsidRPr="00C763A7" w:rsidTr="0053283A">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rPr>
                <w:rFonts w:cs="Calibri"/>
                <w:color w:val="000000"/>
              </w:rPr>
            </w:pPr>
            <w:r>
              <w:rPr>
                <w:rFonts w:cs="Calibri"/>
                <w:color w:val="000000"/>
              </w:rPr>
              <w:t>Humanitarian Refugee</w:t>
            </w:r>
          </w:p>
        </w:tc>
        <w:tc>
          <w:tcPr>
            <w:tcW w:w="1228"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39</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14</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10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49</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80%</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29%</w:t>
            </w:r>
          </w:p>
        </w:tc>
      </w:tr>
      <w:tr w:rsidR="0040521B" w:rsidRPr="00C763A7" w:rsidTr="0053283A">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rPr>
                <w:rFonts w:cs="Calibri"/>
                <w:color w:val="000000"/>
              </w:rPr>
            </w:pPr>
            <w:r>
              <w:rPr>
                <w:rFonts w:cs="Calibri"/>
                <w:color w:val="000000"/>
              </w:rPr>
              <w:t>Indigenous Australian</w:t>
            </w:r>
          </w:p>
        </w:tc>
        <w:tc>
          <w:tcPr>
            <w:tcW w:w="1228"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347</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227</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141</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488</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71%</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47%</w:t>
            </w:r>
          </w:p>
        </w:tc>
      </w:tr>
      <w:tr w:rsidR="0040521B" w:rsidRPr="00C763A7" w:rsidTr="0053283A">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rPr>
                <w:rFonts w:cs="Calibri"/>
                <w:color w:val="000000"/>
              </w:rPr>
            </w:pPr>
            <w:r>
              <w:rPr>
                <w:rFonts w:cs="Calibri"/>
                <w:color w:val="000000"/>
              </w:rPr>
              <w:t>Parent</w:t>
            </w:r>
          </w:p>
        </w:tc>
        <w:tc>
          <w:tcPr>
            <w:tcW w:w="1228"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67</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34</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27</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94</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71%</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36%</w:t>
            </w:r>
          </w:p>
        </w:tc>
      </w:tr>
      <w:tr w:rsidR="0040521B" w:rsidRPr="00C763A7" w:rsidTr="0053283A">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rPr>
                <w:rFonts w:cs="Calibri"/>
                <w:color w:val="000000"/>
              </w:rPr>
            </w:pPr>
            <w:r>
              <w:rPr>
                <w:rFonts w:cs="Calibri"/>
                <w:color w:val="000000"/>
              </w:rPr>
              <w:t>Refugee Background</w:t>
            </w:r>
          </w:p>
        </w:tc>
        <w:tc>
          <w:tcPr>
            <w:tcW w:w="1228"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1218</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818</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531</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1749</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70%</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47%</w:t>
            </w:r>
          </w:p>
        </w:tc>
      </w:tr>
      <w:tr w:rsidR="0040521B" w:rsidRPr="00C763A7" w:rsidTr="0053283A">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rPr>
                <w:rFonts w:cs="Calibri"/>
                <w:color w:val="000000"/>
              </w:rPr>
            </w:pPr>
            <w:r>
              <w:rPr>
                <w:rFonts w:cs="Calibri"/>
                <w:color w:val="000000"/>
              </w:rPr>
              <w:t>Receiving Centrelink Income Support</w:t>
            </w:r>
          </w:p>
        </w:tc>
        <w:tc>
          <w:tcPr>
            <w:tcW w:w="1228"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24</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4</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4</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28</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86%</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14%</w:t>
            </w:r>
          </w:p>
        </w:tc>
      </w:tr>
      <w:tr w:rsidR="0040521B" w:rsidRPr="00C763A7" w:rsidTr="0053283A">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rPr>
                <w:rFonts w:cs="Calibri"/>
                <w:color w:val="000000"/>
              </w:rPr>
            </w:pPr>
            <w:r>
              <w:rPr>
                <w:rFonts w:cs="Calibri"/>
                <w:color w:val="000000"/>
              </w:rPr>
              <w:t>Suspected or diagnosed mental health issue</w:t>
            </w:r>
          </w:p>
        </w:tc>
        <w:tc>
          <w:tcPr>
            <w:tcW w:w="1228"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801</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534</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283</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1084</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74%</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49%</w:t>
            </w:r>
          </w:p>
        </w:tc>
      </w:tr>
      <w:tr w:rsidR="0040521B" w:rsidRPr="00C763A7" w:rsidTr="0053283A">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rPr>
                <w:rFonts w:cs="Calibri"/>
                <w:color w:val="000000"/>
              </w:rPr>
            </w:pPr>
            <w:r>
              <w:rPr>
                <w:rFonts w:cs="Calibri"/>
                <w:color w:val="000000"/>
              </w:rPr>
              <w:t>Young Carer</w:t>
            </w:r>
          </w:p>
        </w:tc>
        <w:tc>
          <w:tcPr>
            <w:tcW w:w="1228"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72</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48</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18</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90</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80%</w:t>
            </w:r>
          </w:p>
        </w:tc>
        <w:tc>
          <w:tcPr>
            <w:tcW w:w="122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53%</w:t>
            </w:r>
          </w:p>
        </w:tc>
      </w:tr>
    </w:tbl>
    <w:p w:rsidR="0040521B" w:rsidRDefault="0040521B" w:rsidP="0040521B">
      <w:pPr>
        <w:ind w:right="-567" w:hanging="426"/>
      </w:pPr>
    </w:p>
    <w:p w:rsidR="008C5F35" w:rsidRDefault="008C5F35">
      <w:pPr>
        <w:spacing w:after="200"/>
        <w:rPr>
          <w:rFonts w:cs="Calibri"/>
          <w:b/>
          <w:bCs/>
          <w:color w:val="000000"/>
        </w:rPr>
      </w:pPr>
      <w:r>
        <w:rPr>
          <w:rFonts w:cs="Calibri"/>
          <w:b/>
          <w:bCs/>
          <w:color w:val="000000"/>
        </w:rPr>
        <w:br w:type="page"/>
      </w:r>
    </w:p>
    <w:p w:rsidR="0040521B" w:rsidRPr="008A4267" w:rsidRDefault="0040521B" w:rsidP="008C5F35">
      <w:pPr>
        <w:pStyle w:val="Heading3"/>
      </w:pPr>
      <w:r>
        <w:lastRenderedPageBreak/>
        <w:t>Table 16: National- Participant outcome achievement by characteristic</w:t>
      </w:r>
    </w:p>
    <w:p w:rsidR="0040521B" w:rsidRDefault="0040521B" w:rsidP="0040521B">
      <w:pPr>
        <w:ind w:right="-567" w:hanging="426"/>
      </w:pPr>
    </w:p>
    <w:tbl>
      <w:tblPr>
        <w:tblW w:w="10207" w:type="dxa"/>
        <w:tblInd w:w="108" w:type="dxa"/>
        <w:tblLook w:val="04A0" w:firstRow="1" w:lastRow="0" w:firstColumn="1" w:lastColumn="0" w:noHBand="0" w:noVBand="1"/>
      </w:tblPr>
      <w:tblGrid>
        <w:gridCol w:w="2807"/>
        <w:gridCol w:w="1269"/>
        <w:gridCol w:w="1226"/>
        <w:gridCol w:w="1225"/>
        <w:gridCol w:w="1228"/>
        <w:gridCol w:w="1226"/>
        <w:gridCol w:w="1226"/>
      </w:tblGrid>
      <w:tr w:rsidR="0040521B" w:rsidRPr="00C763A7" w:rsidTr="0053283A">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0521B" w:rsidRPr="00C763A7" w:rsidRDefault="0040521B" w:rsidP="0053283A">
            <w:pPr>
              <w:jc w:val="center"/>
              <w:rPr>
                <w:rFonts w:cs="Calibri"/>
                <w:b/>
                <w:bCs/>
                <w:color w:val="000000"/>
              </w:rPr>
            </w:pPr>
            <w:r>
              <w:rPr>
                <w:rFonts w:cs="Calibri"/>
                <w:b/>
                <w:bCs/>
                <w:color w:val="000000"/>
              </w:rPr>
              <w:t>National</w:t>
            </w:r>
          </w:p>
        </w:tc>
        <w:tc>
          <w:tcPr>
            <w:tcW w:w="12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0521B" w:rsidRPr="00C763A7" w:rsidRDefault="0040521B" w:rsidP="0053283A">
            <w:pPr>
              <w:jc w:val="center"/>
              <w:rPr>
                <w:rFonts w:cs="Calibri"/>
                <w:b/>
                <w:bCs/>
                <w:color w:val="000000"/>
              </w:rPr>
            </w:pPr>
            <w:r>
              <w:rPr>
                <w:rFonts w:cs="Calibri"/>
                <w:b/>
                <w:bCs/>
                <w:color w:val="000000"/>
              </w:rPr>
              <w:t>Achieved an Outcome</w:t>
            </w:r>
          </w:p>
        </w:tc>
        <w:tc>
          <w:tcPr>
            <w:tcW w:w="12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0521B" w:rsidRPr="00C763A7" w:rsidRDefault="0040521B" w:rsidP="0053283A">
            <w:pPr>
              <w:jc w:val="center"/>
              <w:rPr>
                <w:rFonts w:cs="Calibri"/>
                <w:b/>
                <w:bCs/>
                <w:color w:val="000000"/>
              </w:rPr>
            </w:pPr>
            <w:r>
              <w:rPr>
                <w:rFonts w:cs="Calibri"/>
                <w:b/>
                <w:bCs/>
                <w:color w:val="000000"/>
              </w:rPr>
              <w:t>Achieved a Final Outcome</w:t>
            </w:r>
          </w:p>
        </w:tc>
        <w:tc>
          <w:tcPr>
            <w:tcW w:w="12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0521B" w:rsidRPr="00C763A7" w:rsidRDefault="0040521B" w:rsidP="0053283A">
            <w:pPr>
              <w:jc w:val="center"/>
              <w:rPr>
                <w:rFonts w:cs="Calibri"/>
                <w:b/>
                <w:bCs/>
                <w:color w:val="000000"/>
              </w:rPr>
            </w:pPr>
            <w:r>
              <w:rPr>
                <w:rFonts w:cs="Calibri"/>
                <w:b/>
                <w:bCs/>
                <w:color w:val="000000"/>
              </w:rPr>
              <w:t>Not yet achieved</w:t>
            </w:r>
          </w:p>
        </w:tc>
        <w:tc>
          <w:tcPr>
            <w:tcW w:w="12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40521B" w:rsidRPr="00C763A7" w:rsidRDefault="0040521B" w:rsidP="0053283A">
            <w:pPr>
              <w:jc w:val="center"/>
              <w:rPr>
                <w:rFonts w:cs="Calibri"/>
                <w:b/>
                <w:bCs/>
                <w:color w:val="000000"/>
              </w:rPr>
            </w:pPr>
            <w:r>
              <w:rPr>
                <w:rFonts w:cs="Calibri"/>
                <w:b/>
                <w:bCs/>
                <w:color w:val="000000"/>
              </w:rPr>
              <w:t>Grand Total</w:t>
            </w:r>
          </w:p>
        </w:tc>
        <w:tc>
          <w:tcPr>
            <w:tcW w:w="12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0521B" w:rsidRPr="00C763A7" w:rsidRDefault="0040521B" w:rsidP="0053283A">
            <w:pPr>
              <w:jc w:val="center"/>
              <w:rPr>
                <w:rFonts w:cs="Calibri"/>
                <w:b/>
                <w:bCs/>
                <w:color w:val="000000"/>
              </w:rPr>
            </w:pPr>
            <w:r>
              <w:rPr>
                <w:rFonts w:cs="Calibri"/>
                <w:b/>
                <w:bCs/>
                <w:color w:val="000000"/>
              </w:rPr>
              <w:t>% of total achieving an outcome</w:t>
            </w:r>
          </w:p>
        </w:tc>
        <w:tc>
          <w:tcPr>
            <w:tcW w:w="12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0521B" w:rsidRPr="00C763A7" w:rsidRDefault="0040521B" w:rsidP="0053283A">
            <w:pPr>
              <w:jc w:val="center"/>
              <w:rPr>
                <w:rFonts w:cs="Calibri"/>
                <w:b/>
                <w:bCs/>
                <w:color w:val="000000"/>
              </w:rPr>
            </w:pPr>
            <w:r>
              <w:rPr>
                <w:rFonts w:cs="Calibri"/>
                <w:b/>
                <w:bCs/>
                <w:color w:val="000000"/>
              </w:rPr>
              <w:t>% of total achieving a final outcome</w:t>
            </w:r>
          </w:p>
        </w:tc>
      </w:tr>
      <w:tr w:rsidR="0040521B" w:rsidRPr="00C763A7" w:rsidTr="0053283A">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rPr>
                <w:rFonts w:cs="Calibri"/>
                <w:color w:val="000000"/>
              </w:rPr>
            </w:pPr>
            <w:r>
              <w:rPr>
                <w:rFonts w:cs="Calibri"/>
                <w:color w:val="000000"/>
              </w:rPr>
              <w:t>Culturally and linguistically diverse</w:t>
            </w:r>
          </w:p>
        </w:tc>
        <w:tc>
          <w:tcPr>
            <w:tcW w:w="126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3223</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2634</w:t>
            </w:r>
          </w:p>
        </w:tc>
        <w:tc>
          <w:tcPr>
            <w:tcW w:w="1225"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725</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3948</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82%</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67%</w:t>
            </w:r>
          </w:p>
        </w:tc>
      </w:tr>
      <w:tr w:rsidR="0040521B" w:rsidRPr="00C763A7" w:rsidTr="0053283A">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rPr>
                <w:rFonts w:cs="Calibri"/>
                <w:color w:val="000000"/>
              </w:rPr>
            </w:pPr>
            <w:r>
              <w:rPr>
                <w:rFonts w:cs="Calibri"/>
                <w:color w:val="000000"/>
              </w:rPr>
              <w:t>Disability</w:t>
            </w:r>
          </w:p>
        </w:tc>
        <w:tc>
          <w:tcPr>
            <w:tcW w:w="126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2061</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1586</w:t>
            </w:r>
          </w:p>
        </w:tc>
        <w:tc>
          <w:tcPr>
            <w:tcW w:w="1225"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502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2563</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80%</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62%</w:t>
            </w:r>
          </w:p>
        </w:tc>
      </w:tr>
      <w:tr w:rsidR="0040521B" w:rsidRPr="00C763A7" w:rsidTr="0053283A">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rPr>
                <w:rFonts w:cs="Calibri"/>
                <w:color w:val="000000"/>
              </w:rPr>
            </w:pPr>
            <w:r>
              <w:rPr>
                <w:rFonts w:cs="Calibri"/>
                <w:color w:val="000000"/>
              </w:rPr>
              <w:t>Humanitarian Refugee</w:t>
            </w:r>
          </w:p>
        </w:tc>
        <w:tc>
          <w:tcPr>
            <w:tcW w:w="126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764</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622</w:t>
            </w:r>
          </w:p>
        </w:tc>
        <w:tc>
          <w:tcPr>
            <w:tcW w:w="1225"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128</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892</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86%</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70%</w:t>
            </w:r>
          </w:p>
        </w:tc>
      </w:tr>
      <w:tr w:rsidR="0040521B" w:rsidRPr="00C763A7" w:rsidTr="0053283A">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rPr>
                <w:rFonts w:cs="Calibri"/>
                <w:color w:val="000000"/>
              </w:rPr>
            </w:pPr>
            <w:r>
              <w:rPr>
                <w:rFonts w:cs="Calibri"/>
                <w:color w:val="000000"/>
              </w:rPr>
              <w:t>Indigenous Australian</w:t>
            </w:r>
          </w:p>
        </w:tc>
        <w:tc>
          <w:tcPr>
            <w:tcW w:w="126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7803</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5436</w:t>
            </w:r>
          </w:p>
        </w:tc>
        <w:tc>
          <w:tcPr>
            <w:tcW w:w="1225"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3152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10,955</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71%</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50%</w:t>
            </w:r>
          </w:p>
        </w:tc>
      </w:tr>
      <w:tr w:rsidR="0040521B" w:rsidRPr="00C763A7" w:rsidTr="0053283A">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rPr>
                <w:rFonts w:cs="Calibri"/>
                <w:color w:val="000000"/>
              </w:rPr>
            </w:pPr>
            <w:r>
              <w:rPr>
                <w:rFonts w:cs="Calibri"/>
                <w:color w:val="000000"/>
              </w:rPr>
              <w:t>Parent</w:t>
            </w:r>
          </w:p>
        </w:tc>
        <w:tc>
          <w:tcPr>
            <w:tcW w:w="126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898</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583</w:t>
            </w:r>
          </w:p>
        </w:tc>
        <w:tc>
          <w:tcPr>
            <w:tcW w:w="1225"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347</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1245</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72%</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47%</w:t>
            </w:r>
          </w:p>
        </w:tc>
      </w:tr>
      <w:tr w:rsidR="0040521B" w:rsidRPr="00C763A7" w:rsidTr="0053283A">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rPr>
                <w:rFonts w:cs="Calibri"/>
                <w:color w:val="000000"/>
              </w:rPr>
            </w:pPr>
            <w:r>
              <w:rPr>
                <w:rFonts w:cs="Calibri"/>
                <w:color w:val="000000"/>
              </w:rPr>
              <w:t>Refugee Background</w:t>
            </w:r>
          </w:p>
        </w:tc>
        <w:tc>
          <w:tcPr>
            <w:tcW w:w="126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12,884</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9197</w:t>
            </w:r>
          </w:p>
        </w:tc>
        <w:tc>
          <w:tcPr>
            <w:tcW w:w="1225"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5525</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18,409</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70%</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50%</w:t>
            </w:r>
          </w:p>
        </w:tc>
      </w:tr>
      <w:tr w:rsidR="0040521B" w:rsidRPr="00C763A7" w:rsidTr="0053283A">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rPr>
                <w:rFonts w:cs="Calibri"/>
                <w:color w:val="000000"/>
              </w:rPr>
            </w:pPr>
            <w:r>
              <w:rPr>
                <w:rFonts w:cs="Calibri"/>
                <w:color w:val="000000"/>
              </w:rPr>
              <w:t>Receiving Centrelink Income Support</w:t>
            </w:r>
          </w:p>
        </w:tc>
        <w:tc>
          <w:tcPr>
            <w:tcW w:w="126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296</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212</w:t>
            </w:r>
          </w:p>
        </w:tc>
        <w:tc>
          <w:tcPr>
            <w:tcW w:w="1225"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58</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354</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84%</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60%</w:t>
            </w:r>
          </w:p>
        </w:tc>
      </w:tr>
      <w:tr w:rsidR="0040521B" w:rsidRPr="00C763A7" w:rsidTr="0053283A">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rPr>
                <w:rFonts w:cs="Calibri"/>
                <w:color w:val="000000"/>
              </w:rPr>
            </w:pPr>
            <w:r>
              <w:rPr>
                <w:rFonts w:cs="Calibri"/>
                <w:color w:val="000000"/>
              </w:rPr>
              <w:t>Suspected or diagnosed mental health issue</w:t>
            </w:r>
          </w:p>
        </w:tc>
        <w:tc>
          <w:tcPr>
            <w:tcW w:w="126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9949</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7521</w:t>
            </w:r>
          </w:p>
        </w:tc>
        <w:tc>
          <w:tcPr>
            <w:tcW w:w="1225"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2763</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12,712</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78%</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59%</w:t>
            </w:r>
          </w:p>
        </w:tc>
      </w:tr>
      <w:tr w:rsidR="0040521B" w:rsidRPr="00C763A7" w:rsidTr="0053283A">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rPr>
                <w:rFonts w:cs="Calibri"/>
                <w:color w:val="000000"/>
              </w:rPr>
            </w:pPr>
            <w:r>
              <w:rPr>
                <w:rFonts w:cs="Calibri"/>
                <w:color w:val="000000"/>
              </w:rPr>
              <w:t>Young Carer</w:t>
            </w:r>
          </w:p>
        </w:tc>
        <w:tc>
          <w:tcPr>
            <w:tcW w:w="1269"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957</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733</w:t>
            </w:r>
          </w:p>
        </w:tc>
        <w:tc>
          <w:tcPr>
            <w:tcW w:w="1225"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275</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1232</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78%</w:t>
            </w:r>
          </w:p>
        </w:tc>
        <w:tc>
          <w:tcPr>
            <w:tcW w:w="1226"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59%</w:t>
            </w:r>
          </w:p>
        </w:tc>
      </w:tr>
    </w:tbl>
    <w:p w:rsidR="0040521B" w:rsidRDefault="0040521B" w:rsidP="0040521B">
      <w:pPr>
        <w:ind w:right="-567" w:hanging="426"/>
        <w:sectPr w:rsidR="0040521B" w:rsidSect="0053283A">
          <w:pgSz w:w="11906" w:h="16838"/>
          <w:pgMar w:top="1276" w:right="1080" w:bottom="1276" w:left="1080" w:header="708" w:footer="708" w:gutter="0"/>
          <w:cols w:space="708"/>
          <w:docGrid w:linePitch="360"/>
        </w:sectPr>
      </w:pPr>
    </w:p>
    <w:p w:rsidR="008C5F35" w:rsidRDefault="0040521B" w:rsidP="008C5F35">
      <w:pPr>
        <w:pStyle w:val="Heading4"/>
      </w:pPr>
      <w:r w:rsidRPr="00904CBE">
        <w:lastRenderedPageBreak/>
        <w:t>Figure 13: SA – Final outcomes achieved</w:t>
      </w:r>
    </w:p>
    <w:p w:rsidR="0040521B" w:rsidRDefault="0040521B" w:rsidP="0040521B">
      <w:pPr>
        <w:ind w:right="-567"/>
      </w:pPr>
      <w:r>
        <w:t xml:space="preserve"> </w:t>
      </w:r>
      <w:r>
        <w:rPr>
          <w:noProof/>
          <w:lang w:eastAsia="en-AU"/>
        </w:rPr>
        <w:drawing>
          <wp:inline distT="0" distB="0" distL="0" distR="0" wp14:anchorId="683DEF71" wp14:editId="2B17AB07">
            <wp:extent cx="9286875" cy="2790825"/>
            <wp:effectExtent l="0" t="0" r="0" b="0"/>
            <wp:docPr id="42" name="Chart 42" descr="SA final outcomes achieved, graphic representation of table 17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0521B" w:rsidRPr="00904CBE" w:rsidRDefault="0040521B" w:rsidP="008C5F35">
      <w:pPr>
        <w:pStyle w:val="Heading4"/>
      </w:pPr>
      <w:r w:rsidRPr="00904CBE">
        <w:t>Figure 14: National – Final outcomes achieved</w:t>
      </w:r>
    </w:p>
    <w:p w:rsidR="0040521B" w:rsidRDefault="0040521B" w:rsidP="0040521B">
      <w:pPr>
        <w:ind w:right="-567"/>
      </w:pPr>
      <w:r>
        <w:rPr>
          <w:noProof/>
          <w:lang w:eastAsia="en-AU"/>
        </w:rPr>
        <w:drawing>
          <wp:inline distT="0" distB="0" distL="0" distR="0" wp14:anchorId="4608F160" wp14:editId="6020D4CD">
            <wp:extent cx="9286875" cy="2886075"/>
            <wp:effectExtent l="0" t="0" r="0" b="0"/>
            <wp:docPr id="43" name="Chart 43" descr="SA final outcomes achieved by connection level, graphic representation of table 18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0521B" w:rsidRDefault="0040521B" w:rsidP="008C5F35">
      <w:pPr>
        <w:pStyle w:val="Heading4"/>
      </w:pPr>
      <w:r w:rsidRPr="00904CBE">
        <w:lastRenderedPageBreak/>
        <w:t>Figure 15: SA – Final Outcomes Achieved by Connection Level</w:t>
      </w:r>
    </w:p>
    <w:p w:rsidR="008C5F35" w:rsidRPr="00904CBE" w:rsidRDefault="008C5F35" w:rsidP="0040521B">
      <w:pPr>
        <w:ind w:right="-567" w:hanging="426"/>
        <w:rPr>
          <w:b/>
          <w:bCs/>
          <w:color w:val="4F81BD" w:themeColor="accent1"/>
          <w:sz w:val="18"/>
          <w:szCs w:val="18"/>
        </w:rPr>
      </w:pPr>
    </w:p>
    <w:p w:rsidR="0040521B" w:rsidRDefault="0040521B" w:rsidP="0040521B">
      <w:pPr>
        <w:tabs>
          <w:tab w:val="left" w:pos="-567"/>
        </w:tabs>
        <w:ind w:left="-567" w:right="-567"/>
      </w:pPr>
      <w:r>
        <w:rPr>
          <w:noProof/>
          <w:lang w:eastAsia="en-AU"/>
        </w:rPr>
        <w:drawing>
          <wp:inline distT="0" distB="0" distL="0" distR="0" wp14:anchorId="6690B003" wp14:editId="57BD4060">
            <wp:extent cx="9471803" cy="2743200"/>
            <wp:effectExtent l="0" t="0" r="0" b="0"/>
            <wp:docPr id="44" name="Chart 44" descr="SA final outcomes achieved by connection level, graphic representation of table 17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0521B" w:rsidRPr="00904CBE" w:rsidRDefault="0040521B" w:rsidP="008C5F35">
      <w:pPr>
        <w:pStyle w:val="Heading4"/>
      </w:pPr>
      <w:r w:rsidRPr="00904CBE">
        <w:t>Figure 16: National – Final Outcomes Achieved by Connection Level</w:t>
      </w:r>
    </w:p>
    <w:p w:rsidR="0040521B" w:rsidRDefault="0040521B" w:rsidP="0040521B">
      <w:pPr>
        <w:tabs>
          <w:tab w:val="left" w:pos="-567"/>
        </w:tabs>
        <w:ind w:left="-567" w:right="-567"/>
      </w:pPr>
      <w:r>
        <w:rPr>
          <w:noProof/>
          <w:lang w:eastAsia="en-AU"/>
        </w:rPr>
        <w:drawing>
          <wp:inline distT="0" distB="0" distL="0" distR="0" wp14:anchorId="125B8230" wp14:editId="5B9E20B6">
            <wp:extent cx="9471803" cy="2656936"/>
            <wp:effectExtent l="0" t="0" r="0" b="0"/>
            <wp:docPr id="45" name="Chart 45" descr="National final outcomes achieved by connection level, graphic representation of table 18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47245" w:rsidRDefault="00047245" w:rsidP="0040521B">
      <w:pPr>
        <w:tabs>
          <w:tab w:val="left" w:pos="-567"/>
        </w:tabs>
        <w:ind w:left="-567" w:right="-567"/>
        <w:sectPr w:rsidR="00047245" w:rsidSect="0053283A">
          <w:pgSz w:w="16838" w:h="11906" w:orient="landscape"/>
          <w:pgMar w:top="851" w:right="1134" w:bottom="851" w:left="1440" w:header="708" w:footer="708" w:gutter="0"/>
          <w:cols w:space="708"/>
          <w:docGrid w:linePitch="360"/>
        </w:sectPr>
      </w:pPr>
    </w:p>
    <w:p w:rsidR="0040521B" w:rsidRDefault="0040521B" w:rsidP="0040521B">
      <w:pPr>
        <w:rPr>
          <w:rFonts w:ascii="Arial" w:hAnsi="Arial" w:cs="Arial"/>
          <w:b/>
          <w:bCs/>
          <w:color w:val="000000"/>
        </w:rPr>
      </w:pPr>
      <w:r w:rsidRPr="00047245">
        <w:rPr>
          <w:rFonts w:ascii="Arial" w:hAnsi="Arial" w:cs="Arial"/>
          <w:b/>
          <w:bCs/>
          <w:color w:val="000000"/>
        </w:rPr>
        <w:lastRenderedPageBreak/>
        <w:t>Table 17: SA- Final Outco</w:t>
      </w:r>
      <w:r w:rsidR="00062A86">
        <w:rPr>
          <w:rFonts w:ascii="Arial" w:hAnsi="Arial" w:cs="Arial"/>
          <w:b/>
          <w:bCs/>
          <w:color w:val="000000"/>
        </w:rPr>
        <w:t>mes achieved by Connection Level</w:t>
      </w:r>
    </w:p>
    <w:tbl>
      <w:tblPr>
        <w:tblW w:w="10206" w:type="dxa"/>
        <w:tblBorders>
          <w:top w:val="single" w:sz="18" w:space="0" w:color="auto"/>
          <w:left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5954"/>
        <w:gridCol w:w="1063"/>
        <w:gridCol w:w="1063"/>
        <w:gridCol w:w="1063"/>
        <w:gridCol w:w="1063"/>
      </w:tblGrid>
      <w:tr w:rsidR="006D3CBA" w:rsidRPr="00C763A7" w:rsidTr="00C55871">
        <w:trPr>
          <w:trHeight w:val="674"/>
        </w:trPr>
        <w:tc>
          <w:tcPr>
            <w:tcW w:w="5954" w:type="dxa"/>
            <w:shd w:val="clear" w:color="auto" w:fill="C6D9F1" w:themeFill="text2" w:themeFillTint="33"/>
            <w:vAlign w:val="center"/>
          </w:tcPr>
          <w:p w:rsidR="006D3CBA" w:rsidRPr="00C763A7" w:rsidRDefault="006D3CBA" w:rsidP="00C55871">
            <w:pPr>
              <w:jc w:val="center"/>
              <w:rPr>
                <w:rFonts w:cs="Calibri"/>
                <w:b/>
                <w:bCs/>
                <w:color w:val="000000"/>
              </w:rPr>
            </w:pPr>
            <w:r>
              <w:rPr>
                <w:rFonts w:cs="Calibri"/>
                <w:b/>
                <w:bCs/>
                <w:color w:val="000000"/>
              </w:rPr>
              <w:t>Final Outcomes Achieved</w:t>
            </w:r>
          </w:p>
        </w:tc>
        <w:tc>
          <w:tcPr>
            <w:tcW w:w="1063" w:type="dxa"/>
            <w:shd w:val="clear" w:color="auto" w:fill="C6D9F1" w:themeFill="text2" w:themeFillTint="33"/>
            <w:vAlign w:val="center"/>
          </w:tcPr>
          <w:p w:rsidR="006D3CBA" w:rsidRPr="00C763A7" w:rsidRDefault="006D3CBA" w:rsidP="00C55871">
            <w:pPr>
              <w:jc w:val="center"/>
              <w:rPr>
                <w:rFonts w:cs="Calibri"/>
                <w:b/>
                <w:bCs/>
                <w:color w:val="000000"/>
              </w:rPr>
            </w:pPr>
            <w:r>
              <w:rPr>
                <w:rFonts w:cs="Calibri"/>
                <w:b/>
                <w:bCs/>
                <w:color w:val="000000"/>
              </w:rPr>
              <w:t>Level 1</w:t>
            </w:r>
          </w:p>
        </w:tc>
        <w:tc>
          <w:tcPr>
            <w:tcW w:w="1063" w:type="dxa"/>
            <w:shd w:val="clear" w:color="auto" w:fill="C6D9F1" w:themeFill="text2" w:themeFillTint="33"/>
            <w:vAlign w:val="center"/>
          </w:tcPr>
          <w:p w:rsidR="006D3CBA" w:rsidRPr="00C763A7" w:rsidRDefault="006D3CBA" w:rsidP="00C55871">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tc>
        <w:tc>
          <w:tcPr>
            <w:tcW w:w="1063" w:type="dxa"/>
            <w:shd w:val="clear" w:color="auto" w:fill="C6D9F1" w:themeFill="text2" w:themeFillTint="33"/>
            <w:vAlign w:val="center"/>
          </w:tcPr>
          <w:p w:rsidR="006D3CBA" w:rsidRPr="00C763A7" w:rsidRDefault="006D3CBA" w:rsidP="00C55871">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tc>
        <w:tc>
          <w:tcPr>
            <w:tcW w:w="1063" w:type="dxa"/>
            <w:shd w:val="clear" w:color="auto" w:fill="C6D9F1" w:themeFill="text2" w:themeFillTint="33"/>
            <w:noWrap/>
            <w:vAlign w:val="center"/>
            <w:hideMark/>
          </w:tcPr>
          <w:p w:rsidR="006D3CBA" w:rsidRPr="00C763A7" w:rsidRDefault="006D3CBA" w:rsidP="00C55871">
            <w:pPr>
              <w:jc w:val="center"/>
              <w:rPr>
                <w:rFonts w:cs="Calibri"/>
                <w:b/>
                <w:bCs/>
                <w:color w:val="000000"/>
              </w:rPr>
            </w:pPr>
            <w:r>
              <w:rPr>
                <w:rFonts w:cs="Calibri"/>
                <w:b/>
                <w:bCs/>
                <w:color w:val="000000"/>
              </w:rPr>
              <w:t>Total</w:t>
            </w:r>
          </w:p>
        </w:tc>
      </w:tr>
      <w:tr w:rsidR="006D3CBA" w:rsidRPr="00C763A7" w:rsidTr="00C55871">
        <w:trPr>
          <w:trHeight w:val="300"/>
        </w:trPr>
        <w:tc>
          <w:tcPr>
            <w:tcW w:w="5954" w:type="dxa"/>
            <w:vAlign w:val="bottom"/>
          </w:tcPr>
          <w:p w:rsidR="006D3CBA" w:rsidRDefault="006D3CBA" w:rsidP="00C55871">
            <w:pPr>
              <w:rPr>
                <w:rFonts w:cs="Calibri"/>
                <w:color w:val="000000"/>
              </w:rPr>
            </w:pPr>
            <w:r>
              <w:rPr>
                <w:rFonts w:cs="Calibri"/>
                <w:color w:val="000000"/>
              </w:rPr>
              <w:t>Attendance: The participant’s attendance at school or education setting improved consistently over the whole school term, or for 13 weeks.</w:t>
            </w:r>
          </w:p>
        </w:tc>
        <w:tc>
          <w:tcPr>
            <w:tcW w:w="1063" w:type="dxa"/>
            <w:vAlign w:val="center"/>
          </w:tcPr>
          <w:p w:rsidR="006D3CBA" w:rsidRDefault="006D3CBA" w:rsidP="00C55871">
            <w:pPr>
              <w:jc w:val="center"/>
              <w:rPr>
                <w:rFonts w:cs="Calibri"/>
                <w:color w:val="000000"/>
              </w:rPr>
            </w:pPr>
            <w:r>
              <w:rPr>
                <w:rFonts w:cs="Calibri"/>
                <w:color w:val="000000"/>
              </w:rPr>
              <w:t>93</w:t>
            </w:r>
          </w:p>
        </w:tc>
        <w:tc>
          <w:tcPr>
            <w:tcW w:w="1063" w:type="dxa"/>
            <w:vAlign w:val="center"/>
          </w:tcPr>
          <w:p w:rsidR="006D3CBA" w:rsidRDefault="006D3CBA" w:rsidP="00C55871">
            <w:pPr>
              <w:jc w:val="center"/>
              <w:rPr>
                <w:rFonts w:cs="Calibri"/>
                <w:color w:val="000000"/>
              </w:rPr>
            </w:pPr>
            <w:r>
              <w:rPr>
                <w:rFonts w:cs="Calibri"/>
                <w:color w:val="000000"/>
              </w:rPr>
              <w:t>162</w:t>
            </w:r>
          </w:p>
        </w:tc>
        <w:tc>
          <w:tcPr>
            <w:tcW w:w="1063" w:type="dxa"/>
            <w:vAlign w:val="center"/>
          </w:tcPr>
          <w:p w:rsidR="006D3CBA" w:rsidRDefault="006D3CBA" w:rsidP="00C55871">
            <w:pPr>
              <w:jc w:val="center"/>
              <w:rPr>
                <w:rFonts w:cs="Calibri"/>
                <w:color w:val="000000"/>
              </w:rPr>
            </w:pPr>
            <w:r>
              <w:rPr>
                <w:rFonts w:cs="Calibri"/>
                <w:color w:val="000000"/>
              </w:rPr>
              <w:t>34</w:t>
            </w:r>
          </w:p>
        </w:tc>
        <w:tc>
          <w:tcPr>
            <w:tcW w:w="1063" w:type="dxa"/>
            <w:shd w:val="clear" w:color="auto" w:fill="auto"/>
            <w:noWrap/>
            <w:vAlign w:val="center"/>
            <w:hideMark/>
          </w:tcPr>
          <w:p w:rsidR="006D3CBA" w:rsidRDefault="006D3CBA" w:rsidP="00C55871">
            <w:pPr>
              <w:jc w:val="center"/>
              <w:rPr>
                <w:rFonts w:cs="Calibri"/>
                <w:color w:val="000000"/>
              </w:rPr>
            </w:pPr>
            <w:r>
              <w:rPr>
                <w:rFonts w:cs="Calibri"/>
                <w:color w:val="000000"/>
              </w:rPr>
              <w:t>275</w:t>
            </w:r>
          </w:p>
        </w:tc>
      </w:tr>
      <w:tr w:rsidR="006D3CBA" w:rsidRPr="00C763A7" w:rsidTr="00C55871">
        <w:trPr>
          <w:trHeight w:val="300"/>
        </w:trPr>
        <w:tc>
          <w:tcPr>
            <w:tcW w:w="5954" w:type="dxa"/>
            <w:vAlign w:val="bottom"/>
          </w:tcPr>
          <w:p w:rsidR="006D3CBA" w:rsidRDefault="006D3CBA" w:rsidP="00C55871">
            <w:pPr>
              <w:rPr>
                <w:rFonts w:cs="Calibri"/>
                <w:color w:val="000000"/>
              </w:rPr>
            </w:pPr>
            <w:r>
              <w:rPr>
                <w:rFonts w:cs="Calibri"/>
                <w:color w:val="000000"/>
              </w:rPr>
              <w:t>Behaviour: The participant’s behaviour at school or educational setting improved consistently over the whole school term, or for 13 weeks.</w:t>
            </w:r>
          </w:p>
        </w:tc>
        <w:tc>
          <w:tcPr>
            <w:tcW w:w="1063" w:type="dxa"/>
            <w:vAlign w:val="center"/>
          </w:tcPr>
          <w:p w:rsidR="006D3CBA" w:rsidRDefault="006D3CBA" w:rsidP="00C55871">
            <w:pPr>
              <w:jc w:val="center"/>
              <w:rPr>
                <w:rFonts w:cs="Calibri"/>
                <w:color w:val="000000"/>
              </w:rPr>
            </w:pPr>
            <w:r>
              <w:rPr>
                <w:rFonts w:cs="Calibri"/>
                <w:color w:val="000000"/>
              </w:rPr>
              <w:t>80</w:t>
            </w:r>
          </w:p>
        </w:tc>
        <w:tc>
          <w:tcPr>
            <w:tcW w:w="1063" w:type="dxa"/>
            <w:vAlign w:val="center"/>
          </w:tcPr>
          <w:p w:rsidR="006D3CBA" w:rsidRDefault="006D3CBA" w:rsidP="00C55871">
            <w:pPr>
              <w:jc w:val="center"/>
              <w:rPr>
                <w:rFonts w:cs="Calibri"/>
                <w:color w:val="000000"/>
              </w:rPr>
            </w:pPr>
            <w:r>
              <w:rPr>
                <w:rFonts w:cs="Calibri"/>
                <w:color w:val="000000"/>
              </w:rPr>
              <w:t>89</w:t>
            </w:r>
          </w:p>
        </w:tc>
        <w:tc>
          <w:tcPr>
            <w:tcW w:w="1063" w:type="dxa"/>
            <w:vAlign w:val="center"/>
          </w:tcPr>
          <w:p w:rsidR="006D3CBA" w:rsidRDefault="006D3CBA" w:rsidP="00C55871">
            <w:pPr>
              <w:jc w:val="center"/>
              <w:rPr>
                <w:rFonts w:cs="Calibri"/>
                <w:color w:val="000000"/>
              </w:rPr>
            </w:pPr>
            <w:r>
              <w:rPr>
                <w:rFonts w:cs="Calibri"/>
                <w:color w:val="000000"/>
              </w:rPr>
              <w:t>22</w:t>
            </w:r>
          </w:p>
        </w:tc>
        <w:tc>
          <w:tcPr>
            <w:tcW w:w="1063" w:type="dxa"/>
            <w:shd w:val="clear" w:color="auto" w:fill="auto"/>
            <w:noWrap/>
            <w:vAlign w:val="center"/>
            <w:hideMark/>
          </w:tcPr>
          <w:p w:rsidR="006D3CBA" w:rsidRDefault="006D3CBA" w:rsidP="00C55871">
            <w:pPr>
              <w:jc w:val="center"/>
              <w:rPr>
                <w:rFonts w:cs="Calibri"/>
                <w:color w:val="000000"/>
              </w:rPr>
            </w:pPr>
            <w:r>
              <w:rPr>
                <w:rFonts w:cs="Calibri"/>
                <w:color w:val="000000"/>
              </w:rPr>
              <w:t>185</w:t>
            </w:r>
          </w:p>
        </w:tc>
      </w:tr>
      <w:tr w:rsidR="006D3CBA" w:rsidRPr="00C763A7" w:rsidTr="00C55871">
        <w:trPr>
          <w:trHeight w:val="300"/>
        </w:trPr>
        <w:tc>
          <w:tcPr>
            <w:tcW w:w="5954" w:type="dxa"/>
            <w:vAlign w:val="bottom"/>
          </w:tcPr>
          <w:p w:rsidR="006D3CBA" w:rsidRDefault="006D3CBA" w:rsidP="00C55871">
            <w:pPr>
              <w:rPr>
                <w:rFonts w:cs="Calibri"/>
                <w:color w:val="000000"/>
              </w:rPr>
            </w:pPr>
            <w:r>
              <w:rPr>
                <w:rFonts w:cs="Calibri"/>
                <w:color w:val="000000"/>
              </w:rPr>
              <w:t>Educational performance: The participant’s educational performance improved consistently over the whole school term, or for 13 weeks.</w:t>
            </w:r>
          </w:p>
        </w:tc>
        <w:tc>
          <w:tcPr>
            <w:tcW w:w="1063" w:type="dxa"/>
            <w:vAlign w:val="center"/>
          </w:tcPr>
          <w:p w:rsidR="006D3CBA" w:rsidRDefault="006D3CBA" w:rsidP="00C55871">
            <w:pPr>
              <w:jc w:val="center"/>
              <w:rPr>
                <w:rFonts w:cs="Calibri"/>
                <w:color w:val="000000"/>
              </w:rPr>
            </w:pPr>
            <w:r>
              <w:rPr>
                <w:rFonts w:cs="Calibri"/>
                <w:color w:val="000000"/>
              </w:rPr>
              <w:t>105</w:t>
            </w:r>
          </w:p>
        </w:tc>
        <w:tc>
          <w:tcPr>
            <w:tcW w:w="1063" w:type="dxa"/>
            <w:vAlign w:val="center"/>
          </w:tcPr>
          <w:p w:rsidR="006D3CBA" w:rsidRDefault="006D3CBA" w:rsidP="00C55871">
            <w:pPr>
              <w:jc w:val="center"/>
              <w:rPr>
                <w:rFonts w:cs="Calibri"/>
                <w:color w:val="000000"/>
              </w:rPr>
            </w:pPr>
            <w:r>
              <w:rPr>
                <w:rFonts w:cs="Calibri"/>
                <w:color w:val="000000"/>
              </w:rPr>
              <w:t>73</w:t>
            </w:r>
          </w:p>
        </w:tc>
        <w:tc>
          <w:tcPr>
            <w:tcW w:w="1063" w:type="dxa"/>
            <w:vAlign w:val="center"/>
          </w:tcPr>
          <w:p w:rsidR="006D3CBA" w:rsidRDefault="006D3CBA" w:rsidP="00C55871">
            <w:pPr>
              <w:jc w:val="center"/>
              <w:rPr>
                <w:rFonts w:cs="Calibri"/>
                <w:color w:val="000000"/>
              </w:rPr>
            </w:pPr>
            <w:r>
              <w:rPr>
                <w:rFonts w:cs="Calibri"/>
                <w:color w:val="000000"/>
              </w:rPr>
              <w:t>24</w:t>
            </w:r>
          </w:p>
        </w:tc>
        <w:tc>
          <w:tcPr>
            <w:tcW w:w="1063" w:type="dxa"/>
            <w:shd w:val="clear" w:color="auto" w:fill="auto"/>
            <w:noWrap/>
            <w:vAlign w:val="center"/>
            <w:hideMark/>
          </w:tcPr>
          <w:p w:rsidR="006D3CBA" w:rsidRDefault="006D3CBA" w:rsidP="00C55871">
            <w:pPr>
              <w:jc w:val="center"/>
              <w:rPr>
                <w:rFonts w:cs="Calibri"/>
                <w:color w:val="000000"/>
              </w:rPr>
            </w:pPr>
            <w:r>
              <w:rPr>
                <w:rFonts w:cs="Calibri"/>
                <w:color w:val="000000"/>
              </w:rPr>
              <w:t>196</w:t>
            </w:r>
          </w:p>
        </w:tc>
      </w:tr>
      <w:tr w:rsidR="006D3CBA" w:rsidRPr="00C763A7" w:rsidTr="00C55871">
        <w:trPr>
          <w:trHeight w:val="300"/>
        </w:trPr>
        <w:tc>
          <w:tcPr>
            <w:tcW w:w="5954" w:type="dxa"/>
            <w:vAlign w:val="bottom"/>
          </w:tcPr>
          <w:p w:rsidR="006D3CBA" w:rsidRDefault="006D3CBA" w:rsidP="00C55871">
            <w:pPr>
              <w:rPr>
                <w:rFonts w:cs="Calibri"/>
                <w:color w:val="000000"/>
              </w:rPr>
            </w:pPr>
            <w:r>
              <w:rPr>
                <w:rFonts w:cs="Calibri"/>
                <w:color w:val="000000"/>
              </w:rPr>
              <w:t>Strengthened engagement: The participant’s engagement was strengthened and they remained engaged in education over the whole school term, or for 13 weeks.</w:t>
            </w:r>
          </w:p>
        </w:tc>
        <w:tc>
          <w:tcPr>
            <w:tcW w:w="1063" w:type="dxa"/>
            <w:vAlign w:val="center"/>
          </w:tcPr>
          <w:p w:rsidR="006D3CBA" w:rsidRDefault="006D3CBA" w:rsidP="00C55871">
            <w:pPr>
              <w:jc w:val="center"/>
              <w:rPr>
                <w:rFonts w:cs="Calibri"/>
                <w:color w:val="000000"/>
              </w:rPr>
            </w:pPr>
            <w:r>
              <w:rPr>
                <w:rFonts w:cs="Calibri"/>
                <w:color w:val="000000"/>
              </w:rPr>
              <w:t>91</w:t>
            </w:r>
          </w:p>
        </w:tc>
        <w:tc>
          <w:tcPr>
            <w:tcW w:w="1063" w:type="dxa"/>
            <w:vAlign w:val="center"/>
          </w:tcPr>
          <w:p w:rsidR="006D3CBA" w:rsidRDefault="006D3CBA" w:rsidP="00C55871">
            <w:pPr>
              <w:jc w:val="center"/>
              <w:rPr>
                <w:rFonts w:cs="Calibri"/>
                <w:color w:val="000000"/>
              </w:rPr>
            </w:pPr>
            <w:r>
              <w:rPr>
                <w:rFonts w:cs="Calibri"/>
                <w:color w:val="000000"/>
              </w:rPr>
              <w:t>202</w:t>
            </w:r>
          </w:p>
        </w:tc>
        <w:tc>
          <w:tcPr>
            <w:tcW w:w="1063" w:type="dxa"/>
            <w:vAlign w:val="center"/>
          </w:tcPr>
          <w:p w:rsidR="006D3CBA" w:rsidRDefault="006D3CBA" w:rsidP="00C55871">
            <w:pPr>
              <w:jc w:val="center"/>
              <w:rPr>
                <w:rFonts w:cs="Calibri"/>
                <w:color w:val="000000"/>
              </w:rPr>
            </w:pPr>
            <w:r>
              <w:rPr>
                <w:rFonts w:cs="Calibri"/>
                <w:color w:val="000000"/>
              </w:rPr>
              <w:t>31</w:t>
            </w:r>
          </w:p>
        </w:tc>
        <w:tc>
          <w:tcPr>
            <w:tcW w:w="1063" w:type="dxa"/>
            <w:shd w:val="clear" w:color="auto" w:fill="auto"/>
            <w:noWrap/>
            <w:vAlign w:val="center"/>
            <w:hideMark/>
          </w:tcPr>
          <w:p w:rsidR="006D3CBA" w:rsidRDefault="006D3CBA" w:rsidP="00C55871">
            <w:pPr>
              <w:jc w:val="center"/>
              <w:rPr>
                <w:rFonts w:cs="Calibri"/>
                <w:color w:val="000000"/>
              </w:rPr>
            </w:pPr>
            <w:r>
              <w:rPr>
                <w:rFonts w:cs="Calibri"/>
                <w:color w:val="000000"/>
              </w:rPr>
              <w:t>314</w:t>
            </w:r>
          </w:p>
        </w:tc>
      </w:tr>
      <w:tr w:rsidR="006D3CBA" w:rsidRPr="00C763A7" w:rsidTr="00C55871">
        <w:trPr>
          <w:trHeight w:val="300"/>
        </w:trPr>
        <w:tc>
          <w:tcPr>
            <w:tcW w:w="5954" w:type="dxa"/>
            <w:vAlign w:val="bottom"/>
          </w:tcPr>
          <w:p w:rsidR="006D3CBA" w:rsidRDefault="006D3CBA" w:rsidP="00C55871">
            <w:pPr>
              <w:rPr>
                <w:rFonts w:cs="Calibri"/>
                <w:color w:val="000000"/>
              </w:rPr>
            </w:pPr>
            <w:r>
              <w:rPr>
                <w:rFonts w:cs="Calibri"/>
                <w:color w:val="000000"/>
              </w:rPr>
              <w:t>Engaged in employment: The participant started employment and has remained in that employment for 13 weeks.</w:t>
            </w:r>
          </w:p>
        </w:tc>
        <w:tc>
          <w:tcPr>
            <w:tcW w:w="1063" w:type="dxa"/>
            <w:vAlign w:val="center"/>
          </w:tcPr>
          <w:p w:rsidR="006D3CBA" w:rsidRDefault="006D3CBA" w:rsidP="00C55871">
            <w:pPr>
              <w:jc w:val="center"/>
              <w:rPr>
                <w:rFonts w:cs="Calibri"/>
                <w:color w:val="000000"/>
              </w:rPr>
            </w:pPr>
            <w:r>
              <w:rPr>
                <w:rFonts w:cs="Calibri"/>
                <w:color w:val="000000"/>
              </w:rPr>
              <w:t>6</w:t>
            </w:r>
          </w:p>
        </w:tc>
        <w:tc>
          <w:tcPr>
            <w:tcW w:w="1063" w:type="dxa"/>
            <w:vAlign w:val="center"/>
          </w:tcPr>
          <w:p w:rsidR="006D3CBA" w:rsidRDefault="006D3CBA" w:rsidP="00C55871">
            <w:pPr>
              <w:jc w:val="center"/>
              <w:rPr>
                <w:rFonts w:cs="Calibri"/>
                <w:color w:val="000000"/>
              </w:rPr>
            </w:pPr>
            <w:r>
              <w:rPr>
                <w:rFonts w:cs="Calibri"/>
                <w:color w:val="000000"/>
              </w:rPr>
              <w:t>83</w:t>
            </w:r>
          </w:p>
        </w:tc>
        <w:tc>
          <w:tcPr>
            <w:tcW w:w="1063" w:type="dxa"/>
            <w:vAlign w:val="center"/>
          </w:tcPr>
          <w:p w:rsidR="006D3CBA" w:rsidRDefault="006D3CBA" w:rsidP="00C55871">
            <w:pPr>
              <w:jc w:val="center"/>
              <w:rPr>
                <w:rFonts w:cs="Calibri"/>
                <w:color w:val="000000"/>
              </w:rPr>
            </w:pPr>
            <w:r>
              <w:rPr>
                <w:rFonts w:cs="Calibri"/>
                <w:color w:val="000000"/>
              </w:rPr>
              <w:t>168</w:t>
            </w:r>
          </w:p>
        </w:tc>
        <w:tc>
          <w:tcPr>
            <w:tcW w:w="1063" w:type="dxa"/>
            <w:shd w:val="clear" w:color="auto" w:fill="auto"/>
            <w:noWrap/>
            <w:vAlign w:val="center"/>
            <w:hideMark/>
          </w:tcPr>
          <w:p w:rsidR="006D3CBA" w:rsidRDefault="006D3CBA" w:rsidP="00C55871">
            <w:pPr>
              <w:jc w:val="center"/>
              <w:rPr>
                <w:rFonts w:cs="Calibri"/>
                <w:color w:val="000000"/>
              </w:rPr>
            </w:pPr>
            <w:r>
              <w:rPr>
                <w:rFonts w:cs="Calibri"/>
                <w:color w:val="000000"/>
              </w:rPr>
              <w:t>248</w:t>
            </w:r>
          </w:p>
        </w:tc>
      </w:tr>
      <w:tr w:rsidR="006D3CBA" w:rsidRPr="00C763A7" w:rsidTr="00C55871">
        <w:trPr>
          <w:trHeight w:val="300"/>
        </w:trPr>
        <w:tc>
          <w:tcPr>
            <w:tcW w:w="5954" w:type="dxa"/>
            <w:vAlign w:val="bottom"/>
          </w:tcPr>
          <w:p w:rsidR="006D3CBA" w:rsidRDefault="006D3CBA" w:rsidP="00C55871">
            <w:pPr>
              <w:rPr>
                <w:rFonts w:cs="Calibri"/>
                <w:color w:val="000000"/>
              </w:rPr>
            </w:pPr>
            <w:r>
              <w:rPr>
                <w:rFonts w:cs="Calibri"/>
                <w:color w:val="000000"/>
              </w:rPr>
              <w:t>Re-engaged in education: The participant re-engaged in education and sustained that engagement for 13 weeks.</w:t>
            </w:r>
          </w:p>
        </w:tc>
        <w:tc>
          <w:tcPr>
            <w:tcW w:w="1063" w:type="dxa"/>
            <w:vAlign w:val="center"/>
          </w:tcPr>
          <w:p w:rsidR="006D3CBA" w:rsidRDefault="006D3CBA" w:rsidP="00C55871">
            <w:pPr>
              <w:jc w:val="center"/>
              <w:rPr>
                <w:rFonts w:cs="Calibri"/>
                <w:color w:val="000000"/>
              </w:rPr>
            </w:pPr>
            <w:r>
              <w:rPr>
                <w:rFonts w:cs="Calibri"/>
                <w:color w:val="000000"/>
              </w:rPr>
              <w:t>24</w:t>
            </w:r>
          </w:p>
        </w:tc>
        <w:tc>
          <w:tcPr>
            <w:tcW w:w="1063" w:type="dxa"/>
            <w:vAlign w:val="center"/>
          </w:tcPr>
          <w:p w:rsidR="006D3CBA" w:rsidRDefault="006D3CBA" w:rsidP="00C55871">
            <w:pPr>
              <w:jc w:val="center"/>
              <w:rPr>
                <w:rFonts w:cs="Calibri"/>
                <w:color w:val="000000"/>
              </w:rPr>
            </w:pPr>
            <w:r>
              <w:rPr>
                <w:rFonts w:cs="Calibri"/>
                <w:color w:val="000000"/>
              </w:rPr>
              <w:t>185</w:t>
            </w:r>
          </w:p>
        </w:tc>
        <w:tc>
          <w:tcPr>
            <w:tcW w:w="1063" w:type="dxa"/>
            <w:vAlign w:val="center"/>
          </w:tcPr>
          <w:p w:rsidR="006D3CBA" w:rsidRDefault="006D3CBA" w:rsidP="00C55871">
            <w:pPr>
              <w:jc w:val="center"/>
              <w:rPr>
                <w:rFonts w:cs="Calibri"/>
                <w:color w:val="000000"/>
              </w:rPr>
            </w:pPr>
            <w:r>
              <w:rPr>
                <w:rFonts w:cs="Calibri"/>
                <w:color w:val="000000"/>
              </w:rPr>
              <w:t>331</w:t>
            </w:r>
          </w:p>
        </w:tc>
        <w:tc>
          <w:tcPr>
            <w:tcW w:w="1063" w:type="dxa"/>
            <w:shd w:val="clear" w:color="auto" w:fill="auto"/>
            <w:noWrap/>
            <w:vAlign w:val="center"/>
            <w:hideMark/>
          </w:tcPr>
          <w:p w:rsidR="006D3CBA" w:rsidRDefault="006D3CBA" w:rsidP="00C55871">
            <w:pPr>
              <w:jc w:val="center"/>
              <w:rPr>
                <w:rFonts w:cs="Calibri"/>
                <w:color w:val="000000"/>
              </w:rPr>
            </w:pPr>
            <w:r>
              <w:rPr>
                <w:rFonts w:cs="Calibri"/>
                <w:color w:val="000000"/>
              </w:rPr>
              <w:t>524</w:t>
            </w:r>
          </w:p>
        </w:tc>
      </w:tr>
      <w:tr w:rsidR="006D3CBA" w:rsidRPr="00C763A7" w:rsidTr="00C55871">
        <w:trPr>
          <w:trHeight w:val="300"/>
        </w:trPr>
        <w:tc>
          <w:tcPr>
            <w:tcW w:w="5954" w:type="dxa"/>
            <w:tcBorders>
              <w:bottom w:val="single" w:sz="18" w:space="0" w:color="auto"/>
            </w:tcBorders>
            <w:vAlign w:val="bottom"/>
          </w:tcPr>
          <w:p w:rsidR="006D3CBA" w:rsidRDefault="006D3CBA" w:rsidP="00C55871">
            <w:pPr>
              <w:rPr>
                <w:rFonts w:cs="Calibri"/>
                <w:color w:val="000000"/>
              </w:rPr>
            </w:pPr>
            <w:r>
              <w:rPr>
                <w:rFonts w:cs="Calibri"/>
                <w:color w:val="000000"/>
              </w:rPr>
              <w:t>Commenced in education: The participant commenced in education.</w:t>
            </w:r>
          </w:p>
        </w:tc>
        <w:tc>
          <w:tcPr>
            <w:tcW w:w="1063" w:type="dxa"/>
            <w:tcBorders>
              <w:bottom w:val="single" w:sz="18" w:space="0" w:color="auto"/>
            </w:tcBorders>
            <w:vAlign w:val="center"/>
          </w:tcPr>
          <w:p w:rsidR="006D3CBA" w:rsidRDefault="006D3CBA" w:rsidP="00C55871">
            <w:pPr>
              <w:jc w:val="center"/>
              <w:rPr>
                <w:rFonts w:cs="Calibri"/>
                <w:color w:val="000000"/>
              </w:rPr>
            </w:pPr>
            <w:r>
              <w:rPr>
                <w:rFonts w:cs="Calibri"/>
                <w:color w:val="000000"/>
              </w:rPr>
              <w:t>4</w:t>
            </w:r>
          </w:p>
        </w:tc>
        <w:tc>
          <w:tcPr>
            <w:tcW w:w="1063" w:type="dxa"/>
            <w:tcBorders>
              <w:bottom w:val="single" w:sz="18" w:space="0" w:color="auto"/>
            </w:tcBorders>
            <w:vAlign w:val="center"/>
          </w:tcPr>
          <w:p w:rsidR="006D3CBA" w:rsidRDefault="006D3CBA" w:rsidP="00C55871">
            <w:pPr>
              <w:jc w:val="center"/>
              <w:rPr>
                <w:rFonts w:cs="Calibri"/>
                <w:color w:val="000000"/>
              </w:rPr>
            </w:pPr>
            <w:r>
              <w:rPr>
                <w:rFonts w:cs="Calibri"/>
                <w:color w:val="000000"/>
              </w:rPr>
              <w:t>141</w:t>
            </w:r>
          </w:p>
        </w:tc>
        <w:tc>
          <w:tcPr>
            <w:tcW w:w="1063" w:type="dxa"/>
            <w:tcBorders>
              <w:bottom w:val="single" w:sz="18" w:space="0" w:color="auto"/>
            </w:tcBorders>
            <w:vAlign w:val="center"/>
          </w:tcPr>
          <w:p w:rsidR="006D3CBA" w:rsidRDefault="006D3CBA" w:rsidP="00C55871">
            <w:pPr>
              <w:jc w:val="center"/>
              <w:rPr>
                <w:rFonts w:cs="Calibri"/>
                <w:color w:val="000000"/>
              </w:rPr>
            </w:pPr>
            <w:r>
              <w:rPr>
                <w:rFonts w:cs="Calibri"/>
                <w:color w:val="000000"/>
              </w:rPr>
              <w:t>639</w:t>
            </w:r>
          </w:p>
        </w:tc>
        <w:tc>
          <w:tcPr>
            <w:tcW w:w="1063" w:type="dxa"/>
            <w:tcBorders>
              <w:bottom w:val="single" w:sz="18" w:space="0" w:color="auto"/>
            </w:tcBorders>
            <w:shd w:val="clear" w:color="auto" w:fill="auto"/>
            <w:noWrap/>
            <w:vAlign w:val="center"/>
            <w:hideMark/>
          </w:tcPr>
          <w:p w:rsidR="006D3CBA" w:rsidRDefault="006D3CBA" w:rsidP="00C55871">
            <w:pPr>
              <w:jc w:val="center"/>
              <w:rPr>
                <w:rFonts w:cs="Calibri"/>
                <w:color w:val="000000"/>
              </w:rPr>
            </w:pPr>
            <w:r>
              <w:rPr>
                <w:rFonts w:cs="Calibri"/>
                <w:color w:val="000000"/>
              </w:rPr>
              <w:t>757</w:t>
            </w:r>
          </w:p>
        </w:tc>
      </w:tr>
    </w:tbl>
    <w:p w:rsidR="006D3CBA" w:rsidRDefault="006D3CBA" w:rsidP="0040521B">
      <w:pPr>
        <w:rPr>
          <w:rFonts w:ascii="Arial" w:hAnsi="Arial" w:cs="Arial"/>
          <w:b/>
          <w:bCs/>
          <w:color w:val="000000"/>
        </w:rPr>
      </w:pPr>
    </w:p>
    <w:p w:rsidR="0040521B" w:rsidRDefault="006D3CBA" w:rsidP="00047245">
      <w:pPr>
        <w:pStyle w:val="Heading3"/>
      </w:pPr>
      <w:r>
        <w:t>T</w:t>
      </w:r>
      <w:r w:rsidR="0040521B">
        <w:t>able 18: National- Final Outcomes achieved by Connection Level</w:t>
      </w:r>
    </w:p>
    <w:tbl>
      <w:tblPr>
        <w:tblW w:w="10206" w:type="dxa"/>
        <w:tblInd w:w="108" w:type="dxa"/>
        <w:tblBorders>
          <w:top w:val="single" w:sz="18" w:space="0" w:color="auto"/>
          <w:left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5954"/>
        <w:gridCol w:w="1063"/>
        <w:gridCol w:w="1063"/>
        <w:gridCol w:w="1063"/>
        <w:gridCol w:w="1063"/>
      </w:tblGrid>
      <w:tr w:rsidR="0040521B" w:rsidRPr="00C763A7" w:rsidTr="0053283A">
        <w:trPr>
          <w:trHeight w:val="674"/>
        </w:trPr>
        <w:tc>
          <w:tcPr>
            <w:tcW w:w="5954" w:type="dxa"/>
            <w:shd w:val="clear" w:color="auto" w:fill="C6D9F1" w:themeFill="text2" w:themeFillTint="33"/>
            <w:vAlign w:val="center"/>
          </w:tcPr>
          <w:p w:rsidR="0040521B" w:rsidRPr="00C763A7" w:rsidRDefault="0040521B" w:rsidP="0053283A">
            <w:pPr>
              <w:jc w:val="center"/>
              <w:rPr>
                <w:rFonts w:cs="Calibri"/>
                <w:b/>
                <w:bCs/>
                <w:color w:val="000000"/>
              </w:rPr>
            </w:pPr>
            <w:r>
              <w:rPr>
                <w:rFonts w:cs="Calibri"/>
                <w:b/>
                <w:bCs/>
                <w:color w:val="000000"/>
              </w:rPr>
              <w:t>Final Outcomes Achieved</w:t>
            </w:r>
          </w:p>
        </w:tc>
        <w:tc>
          <w:tcPr>
            <w:tcW w:w="1063" w:type="dxa"/>
            <w:shd w:val="clear" w:color="auto" w:fill="C6D9F1" w:themeFill="text2" w:themeFillTint="33"/>
            <w:vAlign w:val="center"/>
          </w:tcPr>
          <w:p w:rsidR="0040521B" w:rsidRPr="00C763A7" w:rsidRDefault="0040521B" w:rsidP="0053283A">
            <w:pPr>
              <w:jc w:val="center"/>
              <w:rPr>
                <w:rFonts w:cs="Calibri"/>
                <w:b/>
                <w:bCs/>
                <w:color w:val="000000"/>
              </w:rPr>
            </w:pPr>
            <w:r>
              <w:rPr>
                <w:rFonts w:cs="Calibri"/>
                <w:b/>
                <w:bCs/>
                <w:color w:val="000000"/>
              </w:rPr>
              <w:t>Level 1</w:t>
            </w:r>
          </w:p>
        </w:tc>
        <w:tc>
          <w:tcPr>
            <w:tcW w:w="1063" w:type="dxa"/>
            <w:shd w:val="clear" w:color="auto" w:fill="C6D9F1" w:themeFill="text2" w:themeFillTint="33"/>
            <w:vAlign w:val="center"/>
          </w:tcPr>
          <w:p w:rsidR="0040521B" w:rsidRPr="00C763A7" w:rsidRDefault="0040521B" w:rsidP="0053283A">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tc>
        <w:tc>
          <w:tcPr>
            <w:tcW w:w="1063" w:type="dxa"/>
            <w:shd w:val="clear" w:color="auto" w:fill="C6D9F1" w:themeFill="text2" w:themeFillTint="33"/>
            <w:vAlign w:val="center"/>
          </w:tcPr>
          <w:p w:rsidR="0040521B" w:rsidRPr="00C763A7" w:rsidRDefault="0040521B" w:rsidP="0053283A">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tc>
        <w:tc>
          <w:tcPr>
            <w:tcW w:w="1063" w:type="dxa"/>
            <w:shd w:val="clear" w:color="auto" w:fill="C6D9F1" w:themeFill="text2" w:themeFillTint="33"/>
            <w:noWrap/>
            <w:vAlign w:val="center"/>
            <w:hideMark/>
          </w:tcPr>
          <w:p w:rsidR="0040521B" w:rsidRPr="00C763A7" w:rsidRDefault="0040521B" w:rsidP="0053283A">
            <w:pPr>
              <w:jc w:val="center"/>
              <w:rPr>
                <w:rFonts w:cs="Calibri"/>
                <w:b/>
                <w:bCs/>
                <w:color w:val="000000"/>
              </w:rPr>
            </w:pPr>
            <w:r>
              <w:rPr>
                <w:rFonts w:cs="Calibri"/>
                <w:b/>
                <w:bCs/>
                <w:color w:val="000000"/>
              </w:rPr>
              <w:t>Total</w:t>
            </w:r>
          </w:p>
        </w:tc>
      </w:tr>
      <w:tr w:rsidR="0040521B" w:rsidRPr="00C763A7" w:rsidTr="0053283A">
        <w:trPr>
          <w:trHeight w:val="300"/>
        </w:trPr>
        <w:tc>
          <w:tcPr>
            <w:tcW w:w="5954" w:type="dxa"/>
            <w:vAlign w:val="bottom"/>
          </w:tcPr>
          <w:p w:rsidR="0040521B" w:rsidRDefault="0040521B" w:rsidP="0053283A">
            <w:pPr>
              <w:rPr>
                <w:rFonts w:cs="Calibri"/>
                <w:color w:val="000000"/>
              </w:rPr>
            </w:pPr>
            <w:r>
              <w:rPr>
                <w:rFonts w:cs="Calibri"/>
                <w:color w:val="000000"/>
              </w:rPr>
              <w:t>Attendance: The participant’s attendance at school or education setting improved consistently over the whole school term, or for 13 weeks.</w:t>
            </w:r>
          </w:p>
        </w:tc>
        <w:tc>
          <w:tcPr>
            <w:tcW w:w="1063" w:type="dxa"/>
            <w:vAlign w:val="center"/>
          </w:tcPr>
          <w:p w:rsidR="0040521B" w:rsidRDefault="0040521B" w:rsidP="0053283A">
            <w:pPr>
              <w:jc w:val="center"/>
              <w:rPr>
                <w:rFonts w:cs="Calibri"/>
                <w:color w:val="000000"/>
              </w:rPr>
            </w:pPr>
            <w:r>
              <w:rPr>
                <w:rFonts w:cs="Calibri"/>
                <w:color w:val="000000"/>
              </w:rPr>
              <w:t>3730</w:t>
            </w:r>
          </w:p>
        </w:tc>
        <w:tc>
          <w:tcPr>
            <w:tcW w:w="1063" w:type="dxa"/>
            <w:vAlign w:val="center"/>
          </w:tcPr>
          <w:p w:rsidR="0040521B" w:rsidRDefault="0040521B" w:rsidP="0053283A">
            <w:pPr>
              <w:jc w:val="center"/>
              <w:rPr>
                <w:rFonts w:cs="Calibri"/>
                <w:color w:val="000000"/>
              </w:rPr>
            </w:pPr>
            <w:r>
              <w:rPr>
                <w:rFonts w:cs="Calibri"/>
                <w:color w:val="000000"/>
              </w:rPr>
              <w:t>4412</w:t>
            </w:r>
          </w:p>
        </w:tc>
        <w:tc>
          <w:tcPr>
            <w:tcW w:w="1063" w:type="dxa"/>
            <w:vAlign w:val="center"/>
          </w:tcPr>
          <w:p w:rsidR="0040521B" w:rsidRDefault="0040521B" w:rsidP="0053283A">
            <w:pPr>
              <w:jc w:val="center"/>
              <w:rPr>
                <w:rFonts w:cs="Calibri"/>
                <w:color w:val="000000"/>
              </w:rPr>
            </w:pPr>
            <w:r>
              <w:rPr>
                <w:rFonts w:cs="Calibri"/>
                <w:color w:val="000000"/>
              </w:rPr>
              <w:t>611</w:t>
            </w:r>
          </w:p>
        </w:tc>
        <w:tc>
          <w:tcPr>
            <w:tcW w:w="1063" w:type="dxa"/>
            <w:shd w:val="clear" w:color="auto" w:fill="auto"/>
            <w:noWrap/>
            <w:vAlign w:val="center"/>
            <w:hideMark/>
          </w:tcPr>
          <w:p w:rsidR="0040521B" w:rsidRDefault="0040521B" w:rsidP="0053283A">
            <w:pPr>
              <w:jc w:val="center"/>
              <w:rPr>
                <w:rFonts w:cs="Calibri"/>
                <w:color w:val="000000"/>
              </w:rPr>
            </w:pPr>
            <w:r>
              <w:rPr>
                <w:rFonts w:cs="Calibri"/>
                <w:color w:val="000000"/>
              </w:rPr>
              <w:t>8484</w:t>
            </w:r>
          </w:p>
        </w:tc>
      </w:tr>
      <w:tr w:rsidR="0040521B" w:rsidRPr="00C763A7" w:rsidTr="0053283A">
        <w:trPr>
          <w:trHeight w:val="300"/>
        </w:trPr>
        <w:tc>
          <w:tcPr>
            <w:tcW w:w="5954" w:type="dxa"/>
            <w:vAlign w:val="bottom"/>
          </w:tcPr>
          <w:p w:rsidR="0040521B" w:rsidRDefault="0040521B" w:rsidP="0053283A">
            <w:pPr>
              <w:rPr>
                <w:rFonts w:cs="Calibri"/>
                <w:color w:val="000000"/>
              </w:rPr>
            </w:pPr>
            <w:r>
              <w:rPr>
                <w:rFonts w:cs="Calibri"/>
                <w:color w:val="000000"/>
              </w:rPr>
              <w:t>Behaviour: The participant’s behaviour at school or educational setting improved consistently over the whole school term, or for 13 weeks.</w:t>
            </w:r>
          </w:p>
        </w:tc>
        <w:tc>
          <w:tcPr>
            <w:tcW w:w="1063" w:type="dxa"/>
            <w:vAlign w:val="center"/>
          </w:tcPr>
          <w:p w:rsidR="0040521B" w:rsidRDefault="0040521B" w:rsidP="0053283A">
            <w:pPr>
              <w:jc w:val="center"/>
              <w:rPr>
                <w:rFonts w:cs="Calibri"/>
                <w:color w:val="000000"/>
              </w:rPr>
            </w:pPr>
            <w:r>
              <w:rPr>
                <w:rFonts w:cs="Calibri"/>
                <w:color w:val="000000"/>
              </w:rPr>
              <w:t>5352</w:t>
            </w:r>
          </w:p>
        </w:tc>
        <w:tc>
          <w:tcPr>
            <w:tcW w:w="1063" w:type="dxa"/>
            <w:vAlign w:val="center"/>
          </w:tcPr>
          <w:p w:rsidR="0040521B" w:rsidRDefault="0040521B" w:rsidP="0053283A">
            <w:pPr>
              <w:jc w:val="center"/>
              <w:rPr>
                <w:rFonts w:cs="Calibri"/>
                <w:color w:val="000000"/>
              </w:rPr>
            </w:pPr>
            <w:r>
              <w:rPr>
                <w:rFonts w:cs="Calibri"/>
                <w:color w:val="000000"/>
              </w:rPr>
              <w:t>4123</w:t>
            </w:r>
          </w:p>
        </w:tc>
        <w:tc>
          <w:tcPr>
            <w:tcW w:w="1063" w:type="dxa"/>
            <w:vAlign w:val="center"/>
          </w:tcPr>
          <w:p w:rsidR="0040521B" w:rsidRDefault="0040521B" w:rsidP="0053283A">
            <w:pPr>
              <w:jc w:val="center"/>
              <w:rPr>
                <w:rFonts w:cs="Calibri"/>
                <w:color w:val="000000"/>
              </w:rPr>
            </w:pPr>
            <w:r>
              <w:rPr>
                <w:rFonts w:cs="Calibri"/>
                <w:color w:val="000000"/>
              </w:rPr>
              <w:t>392</w:t>
            </w:r>
          </w:p>
        </w:tc>
        <w:tc>
          <w:tcPr>
            <w:tcW w:w="1063" w:type="dxa"/>
            <w:shd w:val="clear" w:color="auto" w:fill="auto"/>
            <w:noWrap/>
            <w:vAlign w:val="center"/>
            <w:hideMark/>
          </w:tcPr>
          <w:p w:rsidR="0040521B" w:rsidRDefault="0040521B" w:rsidP="0053283A">
            <w:pPr>
              <w:jc w:val="center"/>
              <w:rPr>
                <w:rFonts w:cs="Calibri"/>
                <w:color w:val="000000"/>
              </w:rPr>
            </w:pPr>
            <w:r>
              <w:rPr>
                <w:rFonts w:cs="Calibri"/>
                <w:color w:val="000000"/>
              </w:rPr>
              <w:t>9604</w:t>
            </w:r>
          </w:p>
        </w:tc>
      </w:tr>
      <w:tr w:rsidR="0040521B" w:rsidRPr="00C763A7" w:rsidTr="0053283A">
        <w:trPr>
          <w:trHeight w:val="300"/>
        </w:trPr>
        <w:tc>
          <w:tcPr>
            <w:tcW w:w="5954" w:type="dxa"/>
            <w:vAlign w:val="bottom"/>
          </w:tcPr>
          <w:p w:rsidR="0040521B" w:rsidRDefault="0040521B" w:rsidP="0053283A">
            <w:pPr>
              <w:rPr>
                <w:rFonts w:cs="Calibri"/>
                <w:color w:val="000000"/>
              </w:rPr>
            </w:pPr>
            <w:r>
              <w:rPr>
                <w:rFonts w:cs="Calibri"/>
                <w:color w:val="000000"/>
              </w:rPr>
              <w:t>Educational performance: The participant’s educational performance improved consistently over the whole school term, or for 13 weeks.</w:t>
            </w:r>
          </w:p>
        </w:tc>
        <w:tc>
          <w:tcPr>
            <w:tcW w:w="1063" w:type="dxa"/>
            <w:vAlign w:val="center"/>
          </w:tcPr>
          <w:p w:rsidR="0040521B" w:rsidRDefault="0040521B" w:rsidP="0053283A">
            <w:pPr>
              <w:jc w:val="center"/>
              <w:rPr>
                <w:rFonts w:cs="Calibri"/>
                <w:color w:val="000000"/>
              </w:rPr>
            </w:pPr>
            <w:r>
              <w:rPr>
                <w:rFonts w:cs="Calibri"/>
                <w:color w:val="000000"/>
              </w:rPr>
              <w:t>4335</w:t>
            </w:r>
          </w:p>
        </w:tc>
        <w:tc>
          <w:tcPr>
            <w:tcW w:w="1063" w:type="dxa"/>
            <w:vAlign w:val="center"/>
          </w:tcPr>
          <w:p w:rsidR="0040521B" w:rsidRDefault="0040521B" w:rsidP="0053283A">
            <w:pPr>
              <w:jc w:val="center"/>
              <w:rPr>
                <w:rFonts w:cs="Calibri"/>
                <w:color w:val="000000"/>
              </w:rPr>
            </w:pPr>
            <w:r>
              <w:rPr>
                <w:rFonts w:cs="Calibri"/>
                <w:color w:val="000000"/>
              </w:rPr>
              <w:t>3153</w:t>
            </w:r>
          </w:p>
        </w:tc>
        <w:tc>
          <w:tcPr>
            <w:tcW w:w="1063" w:type="dxa"/>
            <w:vAlign w:val="center"/>
          </w:tcPr>
          <w:p w:rsidR="0040521B" w:rsidRDefault="0040521B" w:rsidP="0053283A">
            <w:pPr>
              <w:jc w:val="center"/>
              <w:rPr>
                <w:rFonts w:cs="Calibri"/>
                <w:color w:val="000000"/>
              </w:rPr>
            </w:pPr>
            <w:r>
              <w:rPr>
                <w:rFonts w:cs="Calibri"/>
                <w:color w:val="000000"/>
              </w:rPr>
              <w:t>405</w:t>
            </w:r>
          </w:p>
        </w:tc>
        <w:tc>
          <w:tcPr>
            <w:tcW w:w="1063" w:type="dxa"/>
            <w:shd w:val="clear" w:color="auto" w:fill="auto"/>
            <w:noWrap/>
            <w:vAlign w:val="center"/>
            <w:hideMark/>
          </w:tcPr>
          <w:p w:rsidR="0040521B" w:rsidRDefault="0040521B" w:rsidP="0053283A">
            <w:pPr>
              <w:jc w:val="center"/>
              <w:rPr>
                <w:rFonts w:cs="Calibri"/>
                <w:color w:val="000000"/>
              </w:rPr>
            </w:pPr>
            <w:r>
              <w:rPr>
                <w:rFonts w:cs="Calibri"/>
                <w:color w:val="000000"/>
              </w:rPr>
              <w:t>7648</w:t>
            </w:r>
          </w:p>
        </w:tc>
      </w:tr>
      <w:tr w:rsidR="0040521B" w:rsidRPr="00C763A7" w:rsidTr="0053283A">
        <w:trPr>
          <w:trHeight w:val="300"/>
        </w:trPr>
        <w:tc>
          <w:tcPr>
            <w:tcW w:w="5954" w:type="dxa"/>
            <w:vAlign w:val="bottom"/>
          </w:tcPr>
          <w:p w:rsidR="0040521B" w:rsidRDefault="0040521B" w:rsidP="0053283A">
            <w:pPr>
              <w:rPr>
                <w:rFonts w:cs="Calibri"/>
                <w:color w:val="000000"/>
              </w:rPr>
            </w:pPr>
            <w:r>
              <w:rPr>
                <w:rFonts w:cs="Calibri"/>
                <w:color w:val="000000"/>
              </w:rPr>
              <w:t>Strengthened engagement: The participant’s engagement was strengthened and they remained engaged in education over the whole school term, or for 13 weeks.</w:t>
            </w:r>
          </w:p>
        </w:tc>
        <w:tc>
          <w:tcPr>
            <w:tcW w:w="1063" w:type="dxa"/>
            <w:vAlign w:val="center"/>
          </w:tcPr>
          <w:p w:rsidR="0040521B" w:rsidRDefault="0040521B" w:rsidP="0053283A">
            <w:pPr>
              <w:jc w:val="center"/>
              <w:rPr>
                <w:rFonts w:cs="Calibri"/>
                <w:color w:val="000000"/>
              </w:rPr>
            </w:pPr>
            <w:r>
              <w:rPr>
                <w:rFonts w:cs="Calibri"/>
                <w:color w:val="000000"/>
              </w:rPr>
              <w:t>3180</w:t>
            </w:r>
          </w:p>
        </w:tc>
        <w:tc>
          <w:tcPr>
            <w:tcW w:w="1063" w:type="dxa"/>
            <w:vAlign w:val="center"/>
          </w:tcPr>
          <w:p w:rsidR="0040521B" w:rsidRDefault="0040521B" w:rsidP="0053283A">
            <w:pPr>
              <w:jc w:val="center"/>
              <w:rPr>
                <w:rFonts w:cs="Calibri"/>
                <w:color w:val="000000"/>
              </w:rPr>
            </w:pPr>
            <w:r>
              <w:rPr>
                <w:rFonts w:cs="Calibri"/>
                <w:color w:val="000000"/>
              </w:rPr>
              <w:t>5817</w:t>
            </w:r>
          </w:p>
        </w:tc>
        <w:tc>
          <w:tcPr>
            <w:tcW w:w="1063" w:type="dxa"/>
            <w:vAlign w:val="center"/>
          </w:tcPr>
          <w:p w:rsidR="0040521B" w:rsidRDefault="0040521B" w:rsidP="0053283A">
            <w:pPr>
              <w:jc w:val="center"/>
              <w:rPr>
                <w:rFonts w:cs="Calibri"/>
                <w:color w:val="000000"/>
              </w:rPr>
            </w:pPr>
            <w:r>
              <w:rPr>
                <w:rFonts w:cs="Calibri"/>
                <w:color w:val="000000"/>
              </w:rPr>
              <w:t>687</w:t>
            </w:r>
          </w:p>
        </w:tc>
        <w:tc>
          <w:tcPr>
            <w:tcW w:w="1063" w:type="dxa"/>
            <w:shd w:val="clear" w:color="auto" w:fill="auto"/>
            <w:noWrap/>
            <w:vAlign w:val="center"/>
            <w:hideMark/>
          </w:tcPr>
          <w:p w:rsidR="0040521B" w:rsidRDefault="0040521B" w:rsidP="0053283A">
            <w:pPr>
              <w:jc w:val="center"/>
              <w:rPr>
                <w:rFonts w:cs="Calibri"/>
                <w:color w:val="000000"/>
              </w:rPr>
            </w:pPr>
            <w:r>
              <w:rPr>
                <w:rFonts w:cs="Calibri"/>
                <w:color w:val="000000"/>
              </w:rPr>
              <w:t>9380</w:t>
            </w:r>
          </w:p>
        </w:tc>
      </w:tr>
      <w:tr w:rsidR="0040521B" w:rsidRPr="00C763A7" w:rsidTr="0053283A">
        <w:trPr>
          <w:trHeight w:val="300"/>
        </w:trPr>
        <w:tc>
          <w:tcPr>
            <w:tcW w:w="5954" w:type="dxa"/>
            <w:vAlign w:val="bottom"/>
          </w:tcPr>
          <w:p w:rsidR="0040521B" w:rsidRDefault="0040521B" w:rsidP="0053283A">
            <w:pPr>
              <w:rPr>
                <w:rFonts w:cs="Calibri"/>
                <w:color w:val="000000"/>
              </w:rPr>
            </w:pPr>
            <w:r>
              <w:rPr>
                <w:rFonts w:cs="Calibri"/>
                <w:color w:val="000000"/>
              </w:rPr>
              <w:t>Engaged in employment: The participant started employment and has remained in that employment for 13 weeks.</w:t>
            </w:r>
          </w:p>
        </w:tc>
        <w:tc>
          <w:tcPr>
            <w:tcW w:w="1063" w:type="dxa"/>
            <w:vAlign w:val="center"/>
          </w:tcPr>
          <w:p w:rsidR="0040521B" w:rsidRDefault="0040521B" w:rsidP="0053283A">
            <w:pPr>
              <w:jc w:val="center"/>
              <w:rPr>
                <w:rFonts w:cs="Calibri"/>
                <w:color w:val="000000"/>
              </w:rPr>
            </w:pPr>
            <w:r>
              <w:rPr>
                <w:rFonts w:cs="Calibri"/>
                <w:color w:val="000000"/>
              </w:rPr>
              <w:t>54</w:t>
            </w:r>
          </w:p>
        </w:tc>
        <w:tc>
          <w:tcPr>
            <w:tcW w:w="1063" w:type="dxa"/>
            <w:vAlign w:val="center"/>
          </w:tcPr>
          <w:p w:rsidR="0040521B" w:rsidRDefault="0040521B" w:rsidP="0053283A">
            <w:pPr>
              <w:jc w:val="center"/>
              <w:rPr>
                <w:rFonts w:cs="Calibri"/>
                <w:color w:val="000000"/>
              </w:rPr>
            </w:pPr>
            <w:r>
              <w:rPr>
                <w:rFonts w:cs="Calibri"/>
                <w:color w:val="000000"/>
              </w:rPr>
              <w:t>1031</w:t>
            </w:r>
          </w:p>
        </w:tc>
        <w:tc>
          <w:tcPr>
            <w:tcW w:w="1063" w:type="dxa"/>
            <w:vAlign w:val="center"/>
          </w:tcPr>
          <w:p w:rsidR="0040521B" w:rsidRDefault="0040521B" w:rsidP="0053283A">
            <w:pPr>
              <w:jc w:val="center"/>
              <w:rPr>
                <w:rFonts w:cs="Calibri"/>
                <w:color w:val="000000"/>
              </w:rPr>
            </w:pPr>
            <w:r>
              <w:rPr>
                <w:rFonts w:cs="Calibri"/>
                <w:color w:val="000000"/>
              </w:rPr>
              <w:t>1903</w:t>
            </w:r>
          </w:p>
        </w:tc>
        <w:tc>
          <w:tcPr>
            <w:tcW w:w="1063" w:type="dxa"/>
            <w:shd w:val="clear" w:color="auto" w:fill="auto"/>
            <w:noWrap/>
            <w:vAlign w:val="center"/>
            <w:hideMark/>
          </w:tcPr>
          <w:p w:rsidR="0040521B" w:rsidRDefault="0040521B" w:rsidP="0053283A">
            <w:pPr>
              <w:jc w:val="center"/>
              <w:rPr>
                <w:rFonts w:cs="Calibri"/>
                <w:color w:val="000000"/>
              </w:rPr>
            </w:pPr>
            <w:r>
              <w:rPr>
                <w:rFonts w:cs="Calibri"/>
                <w:color w:val="000000"/>
              </w:rPr>
              <w:t>2888</w:t>
            </w:r>
          </w:p>
        </w:tc>
      </w:tr>
      <w:tr w:rsidR="0040521B" w:rsidRPr="00C763A7" w:rsidTr="0053283A">
        <w:trPr>
          <w:trHeight w:val="300"/>
        </w:trPr>
        <w:tc>
          <w:tcPr>
            <w:tcW w:w="5954" w:type="dxa"/>
            <w:vAlign w:val="bottom"/>
          </w:tcPr>
          <w:p w:rsidR="0040521B" w:rsidRDefault="0040521B" w:rsidP="0053283A">
            <w:pPr>
              <w:rPr>
                <w:rFonts w:cs="Calibri"/>
                <w:color w:val="000000"/>
              </w:rPr>
            </w:pPr>
            <w:r>
              <w:rPr>
                <w:rFonts w:cs="Calibri"/>
                <w:color w:val="000000"/>
              </w:rPr>
              <w:t>Re-engaged in education: The participant re-engaged in education and sustained that engagement for 13 weeks.</w:t>
            </w:r>
          </w:p>
        </w:tc>
        <w:tc>
          <w:tcPr>
            <w:tcW w:w="1063" w:type="dxa"/>
            <w:vAlign w:val="center"/>
          </w:tcPr>
          <w:p w:rsidR="0040521B" w:rsidRDefault="0040521B" w:rsidP="0053283A">
            <w:pPr>
              <w:jc w:val="center"/>
              <w:rPr>
                <w:rFonts w:cs="Calibri"/>
                <w:color w:val="000000"/>
              </w:rPr>
            </w:pPr>
            <w:r>
              <w:rPr>
                <w:rFonts w:cs="Calibri"/>
                <w:color w:val="000000"/>
              </w:rPr>
              <w:t>576</w:t>
            </w:r>
          </w:p>
        </w:tc>
        <w:tc>
          <w:tcPr>
            <w:tcW w:w="1063" w:type="dxa"/>
            <w:vAlign w:val="center"/>
          </w:tcPr>
          <w:p w:rsidR="0040521B" w:rsidRDefault="0040521B" w:rsidP="0053283A">
            <w:pPr>
              <w:jc w:val="center"/>
              <w:rPr>
                <w:rFonts w:cs="Calibri"/>
                <w:color w:val="000000"/>
              </w:rPr>
            </w:pPr>
            <w:r>
              <w:rPr>
                <w:rFonts w:cs="Calibri"/>
                <w:color w:val="000000"/>
              </w:rPr>
              <w:t>3566</w:t>
            </w:r>
          </w:p>
        </w:tc>
        <w:tc>
          <w:tcPr>
            <w:tcW w:w="1063" w:type="dxa"/>
            <w:vAlign w:val="center"/>
          </w:tcPr>
          <w:p w:rsidR="0040521B" w:rsidRDefault="0040521B" w:rsidP="0053283A">
            <w:pPr>
              <w:jc w:val="center"/>
              <w:rPr>
                <w:rFonts w:cs="Calibri"/>
                <w:color w:val="000000"/>
              </w:rPr>
            </w:pPr>
            <w:r>
              <w:rPr>
                <w:rFonts w:cs="Calibri"/>
                <w:color w:val="000000"/>
              </w:rPr>
              <w:t>4298</w:t>
            </w:r>
          </w:p>
        </w:tc>
        <w:tc>
          <w:tcPr>
            <w:tcW w:w="1063" w:type="dxa"/>
            <w:shd w:val="clear" w:color="auto" w:fill="auto"/>
            <w:noWrap/>
            <w:vAlign w:val="center"/>
            <w:hideMark/>
          </w:tcPr>
          <w:p w:rsidR="0040521B" w:rsidRDefault="0040521B" w:rsidP="0053283A">
            <w:pPr>
              <w:jc w:val="center"/>
              <w:rPr>
                <w:rFonts w:cs="Calibri"/>
                <w:color w:val="000000"/>
              </w:rPr>
            </w:pPr>
            <w:r>
              <w:rPr>
                <w:rFonts w:cs="Calibri"/>
                <w:color w:val="000000"/>
              </w:rPr>
              <w:t>8143</w:t>
            </w:r>
          </w:p>
        </w:tc>
      </w:tr>
      <w:tr w:rsidR="0040521B" w:rsidRPr="00C763A7" w:rsidTr="0053283A">
        <w:trPr>
          <w:trHeight w:val="300"/>
        </w:trPr>
        <w:tc>
          <w:tcPr>
            <w:tcW w:w="5954" w:type="dxa"/>
            <w:tcBorders>
              <w:bottom w:val="single" w:sz="18" w:space="0" w:color="auto"/>
            </w:tcBorders>
            <w:vAlign w:val="bottom"/>
          </w:tcPr>
          <w:p w:rsidR="0040521B" w:rsidRDefault="0040521B" w:rsidP="0053283A">
            <w:pPr>
              <w:rPr>
                <w:rFonts w:cs="Calibri"/>
                <w:color w:val="000000"/>
              </w:rPr>
            </w:pPr>
            <w:r>
              <w:rPr>
                <w:rFonts w:cs="Calibri"/>
                <w:color w:val="000000"/>
              </w:rPr>
              <w:t>Commenced in education: The participant commenced in education.</w:t>
            </w:r>
          </w:p>
        </w:tc>
        <w:tc>
          <w:tcPr>
            <w:tcW w:w="1063" w:type="dxa"/>
            <w:tcBorders>
              <w:bottom w:val="single" w:sz="18" w:space="0" w:color="auto"/>
            </w:tcBorders>
            <w:vAlign w:val="center"/>
          </w:tcPr>
          <w:p w:rsidR="0040521B" w:rsidRDefault="0040521B" w:rsidP="0053283A">
            <w:pPr>
              <w:jc w:val="center"/>
              <w:rPr>
                <w:rFonts w:cs="Calibri"/>
                <w:color w:val="000000"/>
              </w:rPr>
            </w:pPr>
            <w:r>
              <w:rPr>
                <w:rFonts w:cs="Calibri"/>
                <w:color w:val="000000"/>
              </w:rPr>
              <w:t>69</w:t>
            </w:r>
          </w:p>
        </w:tc>
        <w:tc>
          <w:tcPr>
            <w:tcW w:w="1063" w:type="dxa"/>
            <w:tcBorders>
              <w:bottom w:val="single" w:sz="18" w:space="0" w:color="auto"/>
            </w:tcBorders>
            <w:vAlign w:val="center"/>
          </w:tcPr>
          <w:p w:rsidR="0040521B" w:rsidRDefault="0040521B" w:rsidP="0053283A">
            <w:pPr>
              <w:jc w:val="center"/>
              <w:rPr>
                <w:rFonts w:cs="Calibri"/>
                <w:color w:val="000000"/>
              </w:rPr>
            </w:pPr>
            <w:r>
              <w:rPr>
                <w:rFonts w:cs="Calibri"/>
                <w:color w:val="000000"/>
              </w:rPr>
              <w:t>2201</w:t>
            </w:r>
          </w:p>
        </w:tc>
        <w:tc>
          <w:tcPr>
            <w:tcW w:w="1063" w:type="dxa"/>
            <w:tcBorders>
              <w:bottom w:val="single" w:sz="18" w:space="0" w:color="auto"/>
            </w:tcBorders>
            <w:vAlign w:val="center"/>
          </w:tcPr>
          <w:p w:rsidR="0040521B" w:rsidRDefault="0040521B" w:rsidP="0053283A">
            <w:pPr>
              <w:jc w:val="center"/>
              <w:rPr>
                <w:rFonts w:cs="Calibri"/>
                <w:color w:val="000000"/>
              </w:rPr>
            </w:pPr>
            <w:r>
              <w:rPr>
                <w:rFonts w:cs="Calibri"/>
                <w:color w:val="000000"/>
              </w:rPr>
              <w:t>9554</w:t>
            </w:r>
          </w:p>
        </w:tc>
        <w:tc>
          <w:tcPr>
            <w:tcW w:w="1063" w:type="dxa"/>
            <w:tcBorders>
              <w:bottom w:val="single" w:sz="18" w:space="0" w:color="auto"/>
            </w:tcBorders>
            <w:shd w:val="clear" w:color="auto" w:fill="auto"/>
            <w:noWrap/>
            <w:vAlign w:val="center"/>
            <w:hideMark/>
          </w:tcPr>
          <w:p w:rsidR="0040521B" w:rsidRDefault="0040521B" w:rsidP="0053283A">
            <w:pPr>
              <w:jc w:val="center"/>
              <w:rPr>
                <w:rFonts w:cs="Calibri"/>
                <w:color w:val="000000"/>
              </w:rPr>
            </w:pPr>
            <w:r>
              <w:rPr>
                <w:rFonts w:cs="Calibri"/>
                <w:color w:val="000000"/>
              </w:rPr>
              <w:t>11,460</w:t>
            </w:r>
          </w:p>
        </w:tc>
      </w:tr>
    </w:tbl>
    <w:p w:rsidR="0040521B" w:rsidRDefault="0040521B" w:rsidP="0040521B">
      <w:r>
        <w:br w:type="page"/>
      </w:r>
    </w:p>
    <w:p w:rsidR="0040521B" w:rsidRDefault="0040521B" w:rsidP="00047245">
      <w:pPr>
        <w:pStyle w:val="Heading2"/>
      </w:pPr>
      <w:bookmarkStart w:id="43" w:name="_Toc384038243"/>
      <w:r>
        <w:lastRenderedPageBreak/>
        <w:t>Indigenous</w:t>
      </w:r>
      <w:bookmarkEnd w:id="43"/>
    </w:p>
    <w:p w:rsidR="0040521B" w:rsidRDefault="0040521B" w:rsidP="00047245">
      <w:pPr>
        <w:pStyle w:val="Heading4"/>
      </w:pPr>
      <w:r>
        <w:t>Figure 17: % of Total Indigenous participants by State</w:t>
      </w:r>
    </w:p>
    <w:p w:rsidR="0040521B" w:rsidRDefault="0040521B" w:rsidP="0040521B">
      <w:r>
        <w:rPr>
          <w:noProof/>
          <w:lang w:eastAsia="en-AU"/>
        </w:rPr>
        <w:drawing>
          <wp:inline distT="0" distB="0" distL="0" distR="0" wp14:anchorId="5C59C593" wp14:editId="7AFD81F9">
            <wp:extent cx="5943600" cy="2708275"/>
            <wp:effectExtent l="0" t="0" r="0" b="0"/>
            <wp:docPr id="46" name="Chart 46" descr="Percentage of total Indigenous Participants by state, as displayed in table 19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65270" w:rsidRDefault="00665270" w:rsidP="0040521B">
      <w:pPr>
        <w:rPr>
          <w:rFonts w:cs="Calibri"/>
          <w:b/>
          <w:bCs/>
          <w:color w:val="000000"/>
        </w:rPr>
      </w:pPr>
    </w:p>
    <w:p w:rsidR="0040521B" w:rsidRPr="0056510B" w:rsidRDefault="0040521B" w:rsidP="00665270">
      <w:pPr>
        <w:pStyle w:val="Heading3"/>
      </w:pPr>
      <w:r>
        <w:t>Table 19</w:t>
      </w:r>
      <w:r w:rsidRPr="0056510B">
        <w:t>: % of Total Indigenous participants by State</w:t>
      </w:r>
    </w:p>
    <w:tbl>
      <w:tblPr>
        <w:tblStyle w:val="TableGrid"/>
        <w:tblW w:w="0" w:type="auto"/>
        <w:tblLook w:val="04A0" w:firstRow="1" w:lastRow="0" w:firstColumn="1" w:lastColumn="0" w:noHBand="0" w:noVBand="1"/>
        <w:tblDescription w:val="Table 19: % of Total Indigenous participants by State"/>
      </w:tblPr>
      <w:tblGrid>
        <w:gridCol w:w="1278"/>
        <w:gridCol w:w="1091"/>
        <w:gridCol w:w="1099"/>
        <w:gridCol w:w="1083"/>
        <w:gridCol w:w="1093"/>
        <w:gridCol w:w="1083"/>
        <w:gridCol w:w="1090"/>
        <w:gridCol w:w="1086"/>
        <w:gridCol w:w="1093"/>
      </w:tblGrid>
      <w:tr w:rsidR="0040521B" w:rsidTr="0058742A">
        <w:trPr>
          <w:tblHeader/>
        </w:trPr>
        <w:tc>
          <w:tcPr>
            <w:tcW w:w="1142" w:type="dxa"/>
            <w:shd w:val="clear" w:color="auto" w:fill="DBE5F1" w:themeFill="accent1" w:themeFillTint="33"/>
          </w:tcPr>
          <w:p w:rsidR="0040521B" w:rsidRPr="00B44F04" w:rsidRDefault="0040521B" w:rsidP="0053283A">
            <w:pPr>
              <w:rPr>
                <w:rFonts w:cs="Calibri"/>
                <w:b/>
                <w:color w:val="000000"/>
              </w:rPr>
            </w:pPr>
          </w:p>
        </w:tc>
        <w:tc>
          <w:tcPr>
            <w:tcW w:w="1142" w:type="dxa"/>
            <w:shd w:val="clear" w:color="auto" w:fill="DBE5F1" w:themeFill="accent1" w:themeFillTint="33"/>
          </w:tcPr>
          <w:p w:rsidR="0040521B" w:rsidRPr="00B44F04" w:rsidRDefault="0040521B" w:rsidP="0053283A">
            <w:pPr>
              <w:jc w:val="center"/>
              <w:rPr>
                <w:rFonts w:cs="Calibri"/>
                <w:b/>
                <w:color w:val="000000"/>
              </w:rPr>
            </w:pPr>
            <w:r w:rsidRPr="00B44F04">
              <w:rPr>
                <w:rFonts w:cs="Calibri"/>
                <w:b/>
                <w:color w:val="000000"/>
              </w:rPr>
              <w:t>ACT</w:t>
            </w:r>
          </w:p>
        </w:tc>
        <w:tc>
          <w:tcPr>
            <w:tcW w:w="1142"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NSW</w:t>
            </w:r>
          </w:p>
        </w:tc>
        <w:tc>
          <w:tcPr>
            <w:tcW w:w="1142"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NT</w:t>
            </w:r>
          </w:p>
        </w:tc>
        <w:tc>
          <w:tcPr>
            <w:tcW w:w="1142"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QLD</w:t>
            </w:r>
          </w:p>
        </w:tc>
        <w:tc>
          <w:tcPr>
            <w:tcW w:w="1142"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SA</w:t>
            </w:r>
          </w:p>
        </w:tc>
        <w:tc>
          <w:tcPr>
            <w:tcW w:w="1142"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TAS</w:t>
            </w:r>
          </w:p>
        </w:tc>
        <w:tc>
          <w:tcPr>
            <w:tcW w:w="1142"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VIC</w:t>
            </w:r>
          </w:p>
        </w:tc>
        <w:tc>
          <w:tcPr>
            <w:tcW w:w="1142"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WA</w:t>
            </w:r>
          </w:p>
        </w:tc>
      </w:tr>
      <w:tr w:rsidR="0040521B" w:rsidTr="0053283A">
        <w:tc>
          <w:tcPr>
            <w:tcW w:w="1142" w:type="dxa"/>
          </w:tcPr>
          <w:p w:rsidR="0040521B" w:rsidRDefault="0040521B" w:rsidP="0053283A">
            <w:r>
              <w:t xml:space="preserve">% of total indigenous </w:t>
            </w:r>
            <w:r w:rsidRPr="00B44F04">
              <w:rPr>
                <w:rFonts w:cs="Calibri"/>
                <w:color w:val="000000"/>
              </w:rPr>
              <w:t>participants</w:t>
            </w:r>
          </w:p>
        </w:tc>
        <w:tc>
          <w:tcPr>
            <w:tcW w:w="1142" w:type="dxa"/>
            <w:vAlign w:val="center"/>
          </w:tcPr>
          <w:p w:rsidR="0040521B" w:rsidRPr="00B44F04" w:rsidRDefault="0040521B" w:rsidP="0053283A">
            <w:pPr>
              <w:jc w:val="center"/>
              <w:rPr>
                <w:rFonts w:cs="Calibri"/>
                <w:color w:val="000000"/>
              </w:rPr>
            </w:pPr>
            <w:r w:rsidRPr="00B44F04">
              <w:rPr>
                <w:rFonts w:cs="Calibri"/>
                <w:color w:val="000000"/>
              </w:rPr>
              <w:t>1%</w:t>
            </w:r>
          </w:p>
        </w:tc>
        <w:tc>
          <w:tcPr>
            <w:tcW w:w="1142" w:type="dxa"/>
            <w:vAlign w:val="center"/>
          </w:tcPr>
          <w:p w:rsidR="0040521B" w:rsidRPr="00B44F04" w:rsidRDefault="0040521B" w:rsidP="0053283A">
            <w:pPr>
              <w:jc w:val="center"/>
              <w:rPr>
                <w:rFonts w:cs="Calibri"/>
                <w:color w:val="000000"/>
              </w:rPr>
            </w:pPr>
            <w:r>
              <w:rPr>
                <w:rFonts w:cs="Calibri"/>
                <w:color w:val="000000"/>
              </w:rPr>
              <w:t>44%</w:t>
            </w:r>
          </w:p>
        </w:tc>
        <w:tc>
          <w:tcPr>
            <w:tcW w:w="1142" w:type="dxa"/>
            <w:vAlign w:val="center"/>
          </w:tcPr>
          <w:p w:rsidR="0040521B" w:rsidRPr="00B44F04" w:rsidRDefault="0040521B" w:rsidP="0053283A">
            <w:pPr>
              <w:jc w:val="center"/>
              <w:rPr>
                <w:rFonts w:cs="Calibri"/>
                <w:color w:val="000000"/>
              </w:rPr>
            </w:pPr>
            <w:r>
              <w:rPr>
                <w:rFonts w:cs="Calibri"/>
                <w:color w:val="000000"/>
              </w:rPr>
              <w:t>8%</w:t>
            </w:r>
          </w:p>
        </w:tc>
        <w:tc>
          <w:tcPr>
            <w:tcW w:w="1142" w:type="dxa"/>
            <w:vAlign w:val="center"/>
          </w:tcPr>
          <w:p w:rsidR="0040521B" w:rsidRPr="00B44F04" w:rsidRDefault="0040521B" w:rsidP="0053283A">
            <w:pPr>
              <w:jc w:val="center"/>
              <w:rPr>
                <w:rFonts w:cs="Calibri"/>
                <w:color w:val="000000"/>
              </w:rPr>
            </w:pPr>
            <w:r>
              <w:rPr>
                <w:rFonts w:cs="Calibri"/>
                <w:color w:val="000000"/>
              </w:rPr>
              <w:t>21%</w:t>
            </w:r>
          </w:p>
        </w:tc>
        <w:tc>
          <w:tcPr>
            <w:tcW w:w="1142" w:type="dxa"/>
            <w:vAlign w:val="center"/>
          </w:tcPr>
          <w:p w:rsidR="0040521B" w:rsidRPr="00B44F04" w:rsidRDefault="0040521B" w:rsidP="0053283A">
            <w:pPr>
              <w:jc w:val="center"/>
              <w:rPr>
                <w:rFonts w:cs="Calibri"/>
                <w:color w:val="000000"/>
              </w:rPr>
            </w:pPr>
            <w:r>
              <w:rPr>
                <w:rFonts w:cs="Calibri"/>
                <w:color w:val="000000"/>
              </w:rPr>
              <w:t>4%</w:t>
            </w:r>
          </w:p>
        </w:tc>
        <w:tc>
          <w:tcPr>
            <w:tcW w:w="1142" w:type="dxa"/>
            <w:vAlign w:val="center"/>
          </w:tcPr>
          <w:p w:rsidR="0040521B" w:rsidRPr="00B44F04" w:rsidRDefault="0040521B" w:rsidP="0053283A">
            <w:pPr>
              <w:jc w:val="center"/>
              <w:rPr>
                <w:rFonts w:cs="Calibri"/>
                <w:color w:val="000000"/>
              </w:rPr>
            </w:pPr>
            <w:r>
              <w:rPr>
                <w:rFonts w:cs="Calibri"/>
                <w:color w:val="000000"/>
              </w:rPr>
              <w:t>2%</w:t>
            </w:r>
          </w:p>
        </w:tc>
        <w:tc>
          <w:tcPr>
            <w:tcW w:w="1142" w:type="dxa"/>
            <w:vAlign w:val="center"/>
          </w:tcPr>
          <w:p w:rsidR="0040521B" w:rsidRPr="00B44F04" w:rsidRDefault="0040521B" w:rsidP="0053283A">
            <w:pPr>
              <w:jc w:val="center"/>
              <w:rPr>
                <w:rFonts w:cs="Calibri"/>
                <w:color w:val="000000"/>
              </w:rPr>
            </w:pPr>
            <w:r>
              <w:rPr>
                <w:rFonts w:cs="Calibri"/>
                <w:color w:val="000000"/>
              </w:rPr>
              <w:t>7%</w:t>
            </w:r>
          </w:p>
        </w:tc>
        <w:tc>
          <w:tcPr>
            <w:tcW w:w="1142" w:type="dxa"/>
            <w:vAlign w:val="center"/>
          </w:tcPr>
          <w:p w:rsidR="0040521B" w:rsidRPr="00B44F04" w:rsidRDefault="0040521B" w:rsidP="0053283A">
            <w:pPr>
              <w:jc w:val="center"/>
              <w:rPr>
                <w:rFonts w:cs="Calibri"/>
                <w:color w:val="000000"/>
              </w:rPr>
            </w:pPr>
            <w:r>
              <w:rPr>
                <w:rFonts w:cs="Calibri"/>
                <w:color w:val="000000"/>
              </w:rPr>
              <w:t>13%</w:t>
            </w:r>
          </w:p>
        </w:tc>
      </w:tr>
    </w:tbl>
    <w:p w:rsidR="0040521B" w:rsidRDefault="0040521B" w:rsidP="0040521B">
      <w:pPr>
        <w:pStyle w:val="Caption"/>
        <w:keepNext/>
      </w:pPr>
    </w:p>
    <w:p w:rsidR="0040521B" w:rsidRDefault="0040521B" w:rsidP="00665270">
      <w:pPr>
        <w:pStyle w:val="Heading4"/>
      </w:pPr>
      <w:r>
        <w:t>Figure 18: % of caseload that is Indigenous in each state</w:t>
      </w:r>
    </w:p>
    <w:p w:rsidR="0040521B" w:rsidRDefault="0040521B" w:rsidP="0040521B">
      <w:r>
        <w:rPr>
          <w:noProof/>
          <w:lang w:eastAsia="en-AU"/>
        </w:rPr>
        <w:drawing>
          <wp:inline distT="0" distB="0" distL="0" distR="0" wp14:anchorId="7853C65A" wp14:editId="40ED5AB7">
            <wp:extent cx="5960853" cy="2380891"/>
            <wp:effectExtent l="0" t="0" r="1905" b="635"/>
            <wp:docPr id="12" name="Chart 12" descr="Percentage of caseload that is Indigenous in each State, as displayed in table 20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0521B" w:rsidRDefault="0040521B" w:rsidP="0040521B">
      <w:pPr>
        <w:rPr>
          <w:rFonts w:cs="Calibri"/>
          <w:b/>
          <w:bCs/>
          <w:color w:val="000000"/>
        </w:rPr>
      </w:pPr>
    </w:p>
    <w:p w:rsidR="0040521B" w:rsidRDefault="0040521B" w:rsidP="00665270">
      <w:pPr>
        <w:pStyle w:val="Heading3"/>
      </w:pPr>
      <w:r>
        <w:t>Table 20</w:t>
      </w:r>
      <w:r w:rsidRPr="0056510B">
        <w:t xml:space="preserve">: % of </w:t>
      </w:r>
      <w:r>
        <w:t>caseload that is Indigenous in each</w:t>
      </w:r>
      <w:r w:rsidRPr="0056510B">
        <w:t xml:space="preserve"> State</w:t>
      </w:r>
    </w:p>
    <w:tbl>
      <w:tblPr>
        <w:tblStyle w:val="TableGrid"/>
        <w:tblW w:w="0" w:type="auto"/>
        <w:tblLook w:val="04A0" w:firstRow="1" w:lastRow="0" w:firstColumn="1" w:lastColumn="0" w:noHBand="0" w:noVBand="1"/>
        <w:tblDescription w:val="Table 20: % of caseload that is Indigenous in each State"/>
      </w:tblPr>
      <w:tblGrid>
        <w:gridCol w:w="1278"/>
        <w:gridCol w:w="969"/>
        <w:gridCol w:w="993"/>
        <w:gridCol w:w="949"/>
        <w:gridCol w:w="973"/>
        <w:gridCol w:w="949"/>
        <w:gridCol w:w="965"/>
        <w:gridCol w:w="949"/>
        <w:gridCol w:w="972"/>
        <w:gridCol w:w="999"/>
      </w:tblGrid>
      <w:tr w:rsidR="0040521B" w:rsidTr="0053283A">
        <w:trPr>
          <w:tblHeader/>
        </w:trPr>
        <w:tc>
          <w:tcPr>
            <w:tcW w:w="1285" w:type="dxa"/>
            <w:shd w:val="clear" w:color="auto" w:fill="DBE5F1" w:themeFill="accent1" w:themeFillTint="33"/>
          </w:tcPr>
          <w:p w:rsidR="0040521B" w:rsidRPr="00B44F04" w:rsidRDefault="0040521B" w:rsidP="0053283A">
            <w:pPr>
              <w:rPr>
                <w:rFonts w:cs="Calibri"/>
                <w:b/>
                <w:color w:val="000000"/>
              </w:rPr>
            </w:pPr>
          </w:p>
        </w:tc>
        <w:tc>
          <w:tcPr>
            <w:tcW w:w="1003" w:type="dxa"/>
            <w:shd w:val="clear" w:color="auto" w:fill="DBE5F1" w:themeFill="accent1" w:themeFillTint="33"/>
          </w:tcPr>
          <w:p w:rsidR="0040521B" w:rsidRPr="00B44F04" w:rsidRDefault="0040521B" w:rsidP="0053283A">
            <w:pPr>
              <w:jc w:val="center"/>
              <w:rPr>
                <w:rFonts w:cs="Calibri"/>
                <w:b/>
                <w:color w:val="000000"/>
              </w:rPr>
            </w:pPr>
            <w:r w:rsidRPr="00B44F04">
              <w:rPr>
                <w:rFonts w:cs="Calibri"/>
                <w:b/>
                <w:color w:val="000000"/>
              </w:rPr>
              <w:t>ACT</w:t>
            </w:r>
          </w:p>
        </w:tc>
        <w:tc>
          <w:tcPr>
            <w:tcW w:w="1024"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NSW</w:t>
            </w:r>
          </w:p>
        </w:tc>
        <w:tc>
          <w:tcPr>
            <w:tcW w:w="982"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NT</w:t>
            </w:r>
          </w:p>
        </w:tc>
        <w:tc>
          <w:tcPr>
            <w:tcW w:w="1008"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QLD</w:t>
            </w:r>
          </w:p>
        </w:tc>
        <w:tc>
          <w:tcPr>
            <w:tcW w:w="982"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SA</w:t>
            </w:r>
          </w:p>
        </w:tc>
        <w:tc>
          <w:tcPr>
            <w:tcW w:w="999"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TAS</w:t>
            </w:r>
          </w:p>
        </w:tc>
        <w:tc>
          <w:tcPr>
            <w:tcW w:w="989"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VIC</w:t>
            </w:r>
          </w:p>
        </w:tc>
        <w:tc>
          <w:tcPr>
            <w:tcW w:w="1007"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WA</w:t>
            </w:r>
          </w:p>
        </w:tc>
        <w:tc>
          <w:tcPr>
            <w:tcW w:w="999" w:type="dxa"/>
            <w:shd w:val="clear" w:color="auto" w:fill="DBE5F1" w:themeFill="accent1" w:themeFillTint="33"/>
          </w:tcPr>
          <w:p w:rsidR="0040521B" w:rsidRDefault="0040521B" w:rsidP="0053283A">
            <w:pPr>
              <w:jc w:val="center"/>
              <w:rPr>
                <w:rFonts w:cs="Calibri"/>
                <w:b/>
                <w:color w:val="000000"/>
              </w:rPr>
            </w:pPr>
            <w:r>
              <w:rPr>
                <w:rFonts w:cs="Calibri"/>
                <w:b/>
                <w:color w:val="000000"/>
              </w:rPr>
              <w:t>National</w:t>
            </w:r>
          </w:p>
        </w:tc>
      </w:tr>
      <w:tr w:rsidR="0040521B" w:rsidTr="0053283A">
        <w:tc>
          <w:tcPr>
            <w:tcW w:w="1285" w:type="dxa"/>
          </w:tcPr>
          <w:p w:rsidR="0040521B" w:rsidRDefault="0040521B" w:rsidP="0053283A">
            <w:r>
              <w:t>% of caseload that is indigenous</w:t>
            </w:r>
          </w:p>
        </w:tc>
        <w:tc>
          <w:tcPr>
            <w:tcW w:w="1003" w:type="dxa"/>
            <w:vAlign w:val="center"/>
          </w:tcPr>
          <w:p w:rsidR="0040521B" w:rsidRPr="00B44F04" w:rsidRDefault="0040521B" w:rsidP="0053283A">
            <w:pPr>
              <w:jc w:val="center"/>
              <w:rPr>
                <w:rFonts w:cs="Calibri"/>
                <w:color w:val="000000"/>
              </w:rPr>
            </w:pPr>
            <w:r w:rsidRPr="00B44F04">
              <w:rPr>
                <w:rFonts w:cs="Calibri"/>
                <w:color w:val="000000"/>
              </w:rPr>
              <w:t>1</w:t>
            </w:r>
            <w:r>
              <w:rPr>
                <w:rFonts w:cs="Calibri"/>
                <w:color w:val="000000"/>
              </w:rPr>
              <w:t>1</w:t>
            </w:r>
            <w:r w:rsidRPr="00B44F04">
              <w:rPr>
                <w:rFonts w:cs="Calibri"/>
                <w:color w:val="000000"/>
              </w:rPr>
              <w:t>%</w:t>
            </w:r>
          </w:p>
        </w:tc>
        <w:tc>
          <w:tcPr>
            <w:tcW w:w="1024" w:type="dxa"/>
            <w:vAlign w:val="center"/>
          </w:tcPr>
          <w:p w:rsidR="0040521B" w:rsidRPr="00B44F04" w:rsidRDefault="0040521B" w:rsidP="0053283A">
            <w:pPr>
              <w:jc w:val="center"/>
              <w:rPr>
                <w:rFonts w:cs="Calibri"/>
                <w:color w:val="000000"/>
              </w:rPr>
            </w:pPr>
            <w:r>
              <w:rPr>
                <w:rFonts w:cs="Calibri"/>
                <w:color w:val="000000"/>
              </w:rPr>
              <w:t>22%</w:t>
            </w:r>
          </w:p>
        </w:tc>
        <w:tc>
          <w:tcPr>
            <w:tcW w:w="982" w:type="dxa"/>
            <w:vAlign w:val="center"/>
          </w:tcPr>
          <w:p w:rsidR="0040521B" w:rsidRPr="00B44F04" w:rsidRDefault="0040521B" w:rsidP="0053283A">
            <w:pPr>
              <w:jc w:val="center"/>
              <w:rPr>
                <w:rFonts w:cs="Calibri"/>
                <w:color w:val="000000"/>
              </w:rPr>
            </w:pPr>
            <w:r>
              <w:rPr>
                <w:rFonts w:cs="Calibri"/>
                <w:color w:val="000000"/>
              </w:rPr>
              <w:t>77%</w:t>
            </w:r>
          </w:p>
        </w:tc>
        <w:tc>
          <w:tcPr>
            <w:tcW w:w="1008" w:type="dxa"/>
            <w:vAlign w:val="center"/>
          </w:tcPr>
          <w:p w:rsidR="0040521B" w:rsidRPr="00B44F04" w:rsidRDefault="0040521B" w:rsidP="0053283A">
            <w:pPr>
              <w:jc w:val="center"/>
              <w:rPr>
                <w:rFonts w:cs="Calibri"/>
                <w:color w:val="000000"/>
              </w:rPr>
            </w:pPr>
            <w:r>
              <w:rPr>
                <w:rFonts w:cs="Calibri"/>
                <w:color w:val="000000"/>
              </w:rPr>
              <w:t>21%</w:t>
            </w:r>
          </w:p>
        </w:tc>
        <w:tc>
          <w:tcPr>
            <w:tcW w:w="982" w:type="dxa"/>
            <w:vAlign w:val="center"/>
          </w:tcPr>
          <w:p w:rsidR="0040521B" w:rsidRPr="00B44F04" w:rsidRDefault="0040521B" w:rsidP="0053283A">
            <w:pPr>
              <w:jc w:val="center"/>
              <w:rPr>
                <w:rFonts w:cs="Calibri"/>
                <w:color w:val="000000"/>
              </w:rPr>
            </w:pPr>
            <w:r>
              <w:rPr>
                <w:rFonts w:cs="Calibri"/>
                <w:color w:val="000000"/>
              </w:rPr>
              <w:t>14%</w:t>
            </w:r>
          </w:p>
        </w:tc>
        <w:tc>
          <w:tcPr>
            <w:tcW w:w="999" w:type="dxa"/>
            <w:vAlign w:val="center"/>
          </w:tcPr>
          <w:p w:rsidR="0040521B" w:rsidRPr="00B44F04" w:rsidRDefault="0040521B" w:rsidP="0053283A">
            <w:pPr>
              <w:jc w:val="center"/>
              <w:rPr>
                <w:rFonts w:cs="Calibri"/>
                <w:color w:val="000000"/>
              </w:rPr>
            </w:pPr>
            <w:r>
              <w:rPr>
                <w:rFonts w:cs="Calibri"/>
                <w:color w:val="000000"/>
              </w:rPr>
              <w:t>12%</w:t>
            </w:r>
          </w:p>
        </w:tc>
        <w:tc>
          <w:tcPr>
            <w:tcW w:w="989" w:type="dxa"/>
            <w:vAlign w:val="center"/>
          </w:tcPr>
          <w:p w:rsidR="0040521B" w:rsidRPr="00B44F04" w:rsidRDefault="0040521B" w:rsidP="0053283A">
            <w:pPr>
              <w:jc w:val="center"/>
              <w:rPr>
                <w:rFonts w:cs="Calibri"/>
                <w:color w:val="000000"/>
              </w:rPr>
            </w:pPr>
            <w:r>
              <w:rPr>
                <w:rFonts w:cs="Calibri"/>
                <w:color w:val="000000"/>
              </w:rPr>
              <w:t>6%</w:t>
            </w:r>
          </w:p>
        </w:tc>
        <w:tc>
          <w:tcPr>
            <w:tcW w:w="1007" w:type="dxa"/>
            <w:vAlign w:val="center"/>
          </w:tcPr>
          <w:p w:rsidR="0040521B" w:rsidRPr="00B44F04" w:rsidRDefault="0040521B" w:rsidP="0053283A">
            <w:pPr>
              <w:jc w:val="center"/>
              <w:rPr>
                <w:rFonts w:cs="Calibri"/>
                <w:color w:val="000000"/>
              </w:rPr>
            </w:pPr>
            <w:r>
              <w:rPr>
                <w:rFonts w:cs="Calibri"/>
                <w:color w:val="000000"/>
              </w:rPr>
              <w:t>24%</w:t>
            </w:r>
          </w:p>
        </w:tc>
        <w:tc>
          <w:tcPr>
            <w:tcW w:w="999" w:type="dxa"/>
            <w:vAlign w:val="center"/>
          </w:tcPr>
          <w:p w:rsidR="0040521B" w:rsidRDefault="0040521B" w:rsidP="0053283A">
            <w:pPr>
              <w:jc w:val="center"/>
              <w:rPr>
                <w:rFonts w:cs="Calibri"/>
                <w:color w:val="000000"/>
              </w:rPr>
            </w:pPr>
            <w:r>
              <w:rPr>
                <w:rFonts w:cs="Calibri"/>
                <w:color w:val="000000"/>
              </w:rPr>
              <w:t>19%</w:t>
            </w:r>
          </w:p>
        </w:tc>
      </w:tr>
    </w:tbl>
    <w:p w:rsidR="0058742A" w:rsidRDefault="0058742A" w:rsidP="00665270">
      <w:pPr>
        <w:pStyle w:val="Heading3"/>
      </w:pPr>
    </w:p>
    <w:p w:rsidR="0058742A" w:rsidRDefault="0058742A">
      <w:pPr>
        <w:spacing w:after="200"/>
        <w:rPr>
          <w:rFonts w:ascii="Arial" w:eastAsiaTheme="majorEastAsia" w:hAnsi="Arial" w:cstheme="majorBidi"/>
          <w:b/>
          <w:bCs/>
        </w:rPr>
      </w:pPr>
      <w:r>
        <w:br w:type="page"/>
      </w:r>
    </w:p>
    <w:p w:rsidR="0040521B" w:rsidRDefault="0040521B" w:rsidP="00665270">
      <w:pPr>
        <w:pStyle w:val="Heading3"/>
      </w:pPr>
      <w:r>
        <w:lastRenderedPageBreak/>
        <w:t>Table 21: Indigenous participants – SA and National</w:t>
      </w:r>
    </w:p>
    <w:tbl>
      <w:tblPr>
        <w:tblW w:w="7880" w:type="dxa"/>
        <w:tblInd w:w="89" w:type="dxa"/>
        <w:tblLook w:val="04A0" w:firstRow="1" w:lastRow="0" w:firstColumn="1" w:lastColumn="0" w:noHBand="0" w:noVBand="1"/>
      </w:tblPr>
      <w:tblGrid>
        <w:gridCol w:w="5264"/>
        <w:gridCol w:w="1276"/>
        <w:gridCol w:w="1340"/>
      </w:tblGrid>
      <w:tr w:rsidR="0040521B" w:rsidRPr="00BC0B36" w:rsidTr="0053283A">
        <w:trPr>
          <w:trHeight w:val="300"/>
        </w:trPr>
        <w:tc>
          <w:tcPr>
            <w:tcW w:w="52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40521B" w:rsidRPr="00BC0B36" w:rsidRDefault="0040521B" w:rsidP="0053283A">
            <w:pPr>
              <w:rPr>
                <w:rFonts w:cs="Calibri"/>
                <w:b/>
                <w:color w:val="000000"/>
              </w:rPr>
            </w:pPr>
            <w:r w:rsidRPr="00BC0B36">
              <w:rPr>
                <w:rFonts w:cs="Calibri"/>
                <w:b/>
                <w:color w:val="000000"/>
              </w:rPr>
              <w:t> </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40521B" w:rsidRPr="00BC0B36" w:rsidRDefault="0040521B" w:rsidP="0053283A">
            <w:pPr>
              <w:jc w:val="center"/>
              <w:rPr>
                <w:rFonts w:cs="Calibri"/>
                <w:b/>
                <w:color w:val="000000"/>
              </w:rPr>
            </w:pPr>
            <w:r>
              <w:rPr>
                <w:rFonts w:cs="Calibri"/>
                <w:b/>
                <w:color w:val="000000"/>
              </w:rPr>
              <w:t>SA</w:t>
            </w:r>
          </w:p>
        </w:tc>
        <w:tc>
          <w:tcPr>
            <w:tcW w:w="134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40521B" w:rsidRPr="00BC0B36" w:rsidRDefault="0040521B" w:rsidP="0053283A">
            <w:pPr>
              <w:jc w:val="center"/>
              <w:rPr>
                <w:rFonts w:cs="Calibri"/>
                <w:b/>
                <w:color w:val="000000"/>
              </w:rPr>
            </w:pPr>
            <w:r w:rsidRPr="00BC0B36">
              <w:rPr>
                <w:rFonts w:cs="Calibri"/>
                <w:b/>
                <w:color w:val="000000"/>
              </w:rPr>
              <w:t>National</w:t>
            </w:r>
          </w:p>
        </w:tc>
      </w:tr>
      <w:tr w:rsidR="0040521B" w:rsidRPr="00BC0B36" w:rsidTr="0053283A">
        <w:trPr>
          <w:trHeight w:val="368"/>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40521B" w:rsidRPr="00BC0B36" w:rsidRDefault="0040521B" w:rsidP="0053283A">
            <w:pPr>
              <w:rPr>
                <w:rFonts w:cs="Calibri"/>
                <w:color w:val="000000"/>
              </w:rPr>
            </w:pPr>
            <w:r>
              <w:rPr>
                <w:rFonts w:cs="Calibri"/>
                <w:color w:val="000000"/>
              </w:rPr>
              <w:t>Indigenous Participants</w:t>
            </w:r>
          </w:p>
        </w:tc>
        <w:tc>
          <w:tcPr>
            <w:tcW w:w="1276" w:type="dxa"/>
            <w:tcBorders>
              <w:top w:val="nil"/>
              <w:left w:val="nil"/>
              <w:bottom w:val="single" w:sz="4" w:space="0" w:color="auto"/>
              <w:right w:val="single" w:sz="4" w:space="0" w:color="auto"/>
            </w:tcBorders>
            <w:shd w:val="clear" w:color="auto" w:fill="auto"/>
            <w:noWrap/>
            <w:vAlign w:val="center"/>
            <w:hideMark/>
          </w:tcPr>
          <w:p w:rsidR="0040521B" w:rsidRPr="00A53179" w:rsidRDefault="0040521B" w:rsidP="0053283A">
            <w:pPr>
              <w:jc w:val="center"/>
              <w:rPr>
                <w:rFonts w:cs="Calibri"/>
                <w:color w:val="000000"/>
              </w:rPr>
            </w:pPr>
            <w:r>
              <w:rPr>
                <w:rFonts w:cs="Calibri"/>
                <w:color w:val="000000"/>
              </w:rPr>
              <w:t>488</w:t>
            </w:r>
          </w:p>
        </w:tc>
        <w:tc>
          <w:tcPr>
            <w:tcW w:w="1340" w:type="dxa"/>
            <w:tcBorders>
              <w:top w:val="nil"/>
              <w:left w:val="nil"/>
              <w:bottom w:val="single" w:sz="4" w:space="0" w:color="auto"/>
              <w:right w:val="single" w:sz="4" w:space="0" w:color="auto"/>
            </w:tcBorders>
            <w:shd w:val="clear" w:color="auto" w:fill="auto"/>
            <w:noWrap/>
            <w:vAlign w:val="center"/>
            <w:hideMark/>
          </w:tcPr>
          <w:p w:rsidR="0040521B" w:rsidRPr="00A53179" w:rsidRDefault="0040521B" w:rsidP="0053283A">
            <w:pPr>
              <w:jc w:val="center"/>
              <w:rPr>
                <w:rFonts w:cs="Calibri"/>
                <w:color w:val="000000"/>
              </w:rPr>
            </w:pPr>
            <w:r>
              <w:rPr>
                <w:rFonts w:cs="Calibri"/>
                <w:color w:val="000000"/>
              </w:rPr>
              <w:t>10,955</w:t>
            </w:r>
          </w:p>
        </w:tc>
      </w:tr>
      <w:tr w:rsidR="0040521B" w:rsidRPr="00BC0B36" w:rsidTr="0053283A">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40521B" w:rsidRPr="00BC0B36" w:rsidRDefault="0040521B" w:rsidP="0053283A">
            <w:pPr>
              <w:rPr>
                <w:rFonts w:cs="Calibri"/>
                <w:color w:val="000000"/>
              </w:rPr>
            </w:pPr>
            <w:r>
              <w:rPr>
                <w:rFonts w:cs="Calibri"/>
                <w:color w:val="000000"/>
              </w:rPr>
              <w:t>All Participants</w:t>
            </w:r>
          </w:p>
        </w:tc>
        <w:tc>
          <w:tcPr>
            <w:tcW w:w="1276" w:type="dxa"/>
            <w:tcBorders>
              <w:top w:val="nil"/>
              <w:left w:val="nil"/>
              <w:bottom w:val="single" w:sz="4" w:space="0" w:color="auto"/>
              <w:right w:val="single" w:sz="4" w:space="0" w:color="auto"/>
            </w:tcBorders>
            <w:shd w:val="clear" w:color="auto" w:fill="auto"/>
            <w:noWrap/>
            <w:vAlign w:val="center"/>
            <w:hideMark/>
          </w:tcPr>
          <w:p w:rsidR="0040521B" w:rsidRPr="00A53179" w:rsidRDefault="0040521B" w:rsidP="0053283A">
            <w:pPr>
              <w:jc w:val="center"/>
              <w:rPr>
                <w:rFonts w:cs="Calibri"/>
                <w:color w:val="000000"/>
              </w:rPr>
            </w:pPr>
            <w:r>
              <w:rPr>
                <w:rFonts w:cs="Calibri"/>
                <w:color w:val="000000"/>
              </w:rPr>
              <w:t>3390</w:t>
            </w:r>
          </w:p>
        </w:tc>
        <w:tc>
          <w:tcPr>
            <w:tcW w:w="1340" w:type="dxa"/>
            <w:tcBorders>
              <w:top w:val="nil"/>
              <w:left w:val="nil"/>
              <w:bottom w:val="single" w:sz="4" w:space="0" w:color="auto"/>
              <w:right w:val="single" w:sz="4" w:space="0" w:color="auto"/>
            </w:tcBorders>
            <w:shd w:val="clear" w:color="auto" w:fill="auto"/>
            <w:noWrap/>
            <w:vAlign w:val="center"/>
            <w:hideMark/>
          </w:tcPr>
          <w:p w:rsidR="0040521B" w:rsidRPr="00A53179" w:rsidRDefault="0040521B" w:rsidP="0053283A">
            <w:pPr>
              <w:jc w:val="center"/>
              <w:rPr>
                <w:rFonts w:cs="Calibri"/>
                <w:bCs/>
                <w:color w:val="000000"/>
              </w:rPr>
            </w:pPr>
            <w:r>
              <w:rPr>
                <w:rFonts w:cs="Calibri"/>
                <w:bCs/>
                <w:color w:val="000000"/>
              </w:rPr>
              <w:t>58,408</w:t>
            </w:r>
          </w:p>
        </w:tc>
      </w:tr>
      <w:tr w:rsidR="0040521B" w:rsidRPr="00BC0B36" w:rsidTr="0053283A">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40521B" w:rsidRPr="00BC0B36" w:rsidRDefault="0040521B" w:rsidP="0053283A">
            <w:pPr>
              <w:rPr>
                <w:rFonts w:cs="Calibri"/>
                <w:color w:val="000000"/>
              </w:rPr>
            </w:pPr>
            <w:r>
              <w:rPr>
                <w:rFonts w:cs="Calibri"/>
                <w:color w:val="000000"/>
              </w:rPr>
              <w:t>% Indigenous</w:t>
            </w:r>
          </w:p>
        </w:tc>
        <w:tc>
          <w:tcPr>
            <w:tcW w:w="1276" w:type="dxa"/>
            <w:tcBorders>
              <w:top w:val="nil"/>
              <w:left w:val="nil"/>
              <w:bottom w:val="single" w:sz="4" w:space="0" w:color="auto"/>
              <w:right w:val="single" w:sz="4" w:space="0" w:color="auto"/>
            </w:tcBorders>
            <w:shd w:val="clear" w:color="auto" w:fill="auto"/>
            <w:noWrap/>
            <w:vAlign w:val="center"/>
            <w:hideMark/>
          </w:tcPr>
          <w:p w:rsidR="0040521B" w:rsidRPr="00BC0B36" w:rsidRDefault="0040521B" w:rsidP="0053283A">
            <w:pPr>
              <w:jc w:val="center"/>
              <w:rPr>
                <w:rFonts w:cs="Calibri"/>
                <w:color w:val="000000"/>
              </w:rPr>
            </w:pPr>
            <w:r>
              <w:rPr>
                <w:rFonts w:cs="Calibri"/>
                <w:color w:val="000000"/>
              </w:rPr>
              <w:t>14%</w:t>
            </w:r>
          </w:p>
        </w:tc>
        <w:tc>
          <w:tcPr>
            <w:tcW w:w="1340" w:type="dxa"/>
            <w:tcBorders>
              <w:top w:val="nil"/>
              <w:left w:val="nil"/>
              <w:bottom w:val="single" w:sz="4" w:space="0" w:color="auto"/>
              <w:right w:val="single" w:sz="4" w:space="0" w:color="auto"/>
            </w:tcBorders>
            <w:shd w:val="clear" w:color="auto" w:fill="auto"/>
            <w:noWrap/>
            <w:vAlign w:val="center"/>
            <w:hideMark/>
          </w:tcPr>
          <w:p w:rsidR="0040521B" w:rsidRPr="00BC0B36" w:rsidRDefault="0040521B" w:rsidP="0053283A">
            <w:pPr>
              <w:jc w:val="center"/>
              <w:rPr>
                <w:rFonts w:cs="Calibri"/>
                <w:color w:val="000000"/>
              </w:rPr>
            </w:pPr>
            <w:r>
              <w:rPr>
                <w:rFonts w:cs="Calibri"/>
                <w:color w:val="000000"/>
              </w:rPr>
              <w:t>19%</w:t>
            </w:r>
          </w:p>
        </w:tc>
      </w:tr>
    </w:tbl>
    <w:p w:rsidR="0040521B" w:rsidRDefault="0040521B" w:rsidP="0040521B"/>
    <w:p w:rsidR="0040521B" w:rsidRDefault="0040521B" w:rsidP="00665270">
      <w:pPr>
        <w:pStyle w:val="Heading3"/>
      </w:pPr>
      <w:r>
        <w:t>Table 22: SA and National- Indigenous participant outcomes achievement</w:t>
      </w:r>
    </w:p>
    <w:tbl>
      <w:tblPr>
        <w:tblW w:w="10084" w:type="dxa"/>
        <w:tblInd w:w="89" w:type="dxa"/>
        <w:tblLayout w:type="fixed"/>
        <w:tblLook w:val="04A0" w:firstRow="1" w:lastRow="0" w:firstColumn="1" w:lastColumn="0" w:noHBand="0" w:noVBand="1"/>
      </w:tblPr>
      <w:tblGrid>
        <w:gridCol w:w="4981"/>
        <w:gridCol w:w="1417"/>
        <w:gridCol w:w="1134"/>
        <w:gridCol w:w="1276"/>
        <w:gridCol w:w="1276"/>
      </w:tblGrid>
      <w:tr w:rsidR="0040521B" w:rsidRPr="00BC0B36" w:rsidTr="0053283A">
        <w:trPr>
          <w:trHeight w:val="300"/>
          <w:tblHeader/>
        </w:trPr>
        <w:tc>
          <w:tcPr>
            <w:tcW w:w="498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40521B" w:rsidRPr="00BC0B36" w:rsidRDefault="0040521B" w:rsidP="0053283A">
            <w:pPr>
              <w:rPr>
                <w:rFonts w:cs="Calibri"/>
                <w:b/>
                <w:color w:val="000000"/>
              </w:rPr>
            </w:pPr>
            <w:r w:rsidRPr="00BC0B36">
              <w:rPr>
                <w:rFonts w:cs="Calibri"/>
                <w:b/>
                <w:color w:val="000000"/>
              </w:rPr>
              <w:t> </w:t>
            </w:r>
          </w:p>
        </w:tc>
        <w:tc>
          <w:tcPr>
            <w:tcW w:w="1417"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40521B" w:rsidRPr="00BC0B36" w:rsidRDefault="0040521B" w:rsidP="0053283A">
            <w:pPr>
              <w:jc w:val="center"/>
              <w:rPr>
                <w:rFonts w:cs="Calibri"/>
                <w:b/>
                <w:color w:val="000000"/>
              </w:rPr>
            </w:pPr>
            <w:r>
              <w:rPr>
                <w:rFonts w:cs="Calibri"/>
                <w:b/>
                <w:color w:val="000000"/>
              </w:rPr>
              <w:t>SA</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40521B" w:rsidRPr="00BC0B36" w:rsidRDefault="0040521B" w:rsidP="0053283A">
            <w:pPr>
              <w:jc w:val="center"/>
              <w:rPr>
                <w:rFonts w:cs="Calibri"/>
                <w:b/>
                <w:color w:val="000000"/>
              </w:rPr>
            </w:pPr>
            <w:r>
              <w:rPr>
                <w:rFonts w:cs="Calibri"/>
                <w:b/>
                <w:color w:val="000000"/>
              </w:rPr>
              <w:t>SA %</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40521B" w:rsidRPr="00BC0B36" w:rsidRDefault="0040521B" w:rsidP="0053283A">
            <w:pPr>
              <w:jc w:val="center"/>
              <w:rPr>
                <w:rFonts w:cs="Calibri"/>
                <w:b/>
                <w:color w:val="000000"/>
              </w:rPr>
            </w:pPr>
            <w:r w:rsidRPr="00BC0B36">
              <w:rPr>
                <w:rFonts w:cs="Calibri"/>
                <w:b/>
                <w:color w:val="000000"/>
              </w:rPr>
              <w:t>National</w:t>
            </w:r>
          </w:p>
        </w:tc>
        <w:tc>
          <w:tcPr>
            <w:tcW w:w="1276"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40521B" w:rsidRPr="00BC0B36" w:rsidRDefault="0040521B" w:rsidP="0053283A">
            <w:pPr>
              <w:jc w:val="center"/>
              <w:rPr>
                <w:rFonts w:cs="Calibri"/>
                <w:b/>
                <w:color w:val="000000"/>
              </w:rPr>
            </w:pPr>
            <w:r>
              <w:rPr>
                <w:rFonts w:cs="Calibri"/>
                <w:b/>
                <w:color w:val="000000"/>
              </w:rPr>
              <w:t>National %</w:t>
            </w:r>
          </w:p>
        </w:tc>
      </w:tr>
      <w:tr w:rsidR="0040521B" w:rsidRPr="00BC0B36" w:rsidTr="0053283A">
        <w:trPr>
          <w:trHeight w:val="368"/>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40521B" w:rsidRPr="00BC0B36" w:rsidRDefault="0040521B" w:rsidP="0053283A">
            <w:pPr>
              <w:rPr>
                <w:rFonts w:cs="Calibri"/>
                <w:color w:val="000000"/>
              </w:rPr>
            </w:pPr>
            <w:r>
              <w:rPr>
                <w:rFonts w:cs="Calibri"/>
                <w:color w:val="000000"/>
              </w:rPr>
              <w:t>Indigenous young people enrolled in individual support services</w:t>
            </w:r>
            <w:r w:rsidRPr="00BC0B36">
              <w:rPr>
                <w:rFonts w:cs="Calibri"/>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0521B" w:rsidRPr="00BC0B36" w:rsidRDefault="0040521B" w:rsidP="0053283A">
            <w:pPr>
              <w:jc w:val="center"/>
              <w:rPr>
                <w:rFonts w:cs="Calibri"/>
                <w:color w:val="000000"/>
              </w:rPr>
            </w:pPr>
            <w:r>
              <w:rPr>
                <w:rFonts w:cs="Calibri"/>
                <w:color w:val="000000"/>
              </w:rPr>
              <w:t>488</w:t>
            </w:r>
          </w:p>
        </w:tc>
        <w:tc>
          <w:tcPr>
            <w:tcW w:w="1134" w:type="dxa"/>
            <w:tcBorders>
              <w:top w:val="nil"/>
              <w:left w:val="nil"/>
              <w:bottom w:val="single" w:sz="4" w:space="0" w:color="auto"/>
              <w:right w:val="single" w:sz="4" w:space="0" w:color="auto"/>
            </w:tcBorders>
            <w:shd w:val="clear" w:color="auto" w:fill="auto"/>
            <w:vAlign w:val="center"/>
          </w:tcPr>
          <w:p w:rsidR="0040521B" w:rsidRPr="00BC0B36" w:rsidRDefault="0040521B" w:rsidP="0053283A">
            <w:pPr>
              <w:jc w:val="center"/>
              <w:rPr>
                <w:rFonts w:cs="Calibri"/>
                <w:color w:val="000000"/>
              </w:rPr>
            </w:pPr>
            <w:r>
              <w:rPr>
                <w:rFonts w:cs="Calibri"/>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rsidR="0040521B" w:rsidRPr="00BC0B36" w:rsidRDefault="0040521B" w:rsidP="0053283A">
            <w:pPr>
              <w:jc w:val="center"/>
              <w:rPr>
                <w:rFonts w:cs="Calibri"/>
                <w:color w:val="000000"/>
              </w:rPr>
            </w:pPr>
            <w:r>
              <w:rPr>
                <w:rFonts w:cs="Calibri"/>
                <w:color w:val="000000"/>
              </w:rPr>
              <w:t>10955</w:t>
            </w:r>
          </w:p>
        </w:tc>
        <w:tc>
          <w:tcPr>
            <w:tcW w:w="1276" w:type="dxa"/>
            <w:tcBorders>
              <w:top w:val="nil"/>
              <w:left w:val="nil"/>
              <w:bottom w:val="single" w:sz="4" w:space="0" w:color="auto"/>
              <w:right w:val="single" w:sz="4" w:space="0" w:color="auto"/>
            </w:tcBorders>
            <w:shd w:val="clear" w:color="auto" w:fill="auto"/>
            <w:vAlign w:val="center"/>
          </w:tcPr>
          <w:p w:rsidR="0040521B" w:rsidRPr="00BC0B36" w:rsidRDefault="0040521B" w:rsidP="0053283A">
            <w:pPr>
              <w:jc w:val="center"/>
              <w:rPr>
                <w:rFonts w:cs="Calibri"/>
                <w:color w:val="000000"/>
              </w:rPr>
            </w:pPr>
            <w:r>
              <w:rPr>
                <w:rFonts w:cs="Calibri"/>
                <w:color w:val="000000"/>
              </w:rPr>
              <w:t>-</w:t>
            </w:r>
          </w:p>
        </w:tc>
      </w:tr>
      <w:tr w:rsidR="0040521B" w:rsidRPr="00BC0B36" w:rsidTr="0053283A">
        <w:trPr>
          <w:trHeight w:val="600"/>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40521B" w:rsidRPr="00BC0B36" w:rsidRDefault="0040521B" w:rsidP="0053283A">
            <w:pPr>
              <w:rPr>
                <w:rFonts w:cs="Calibri"/>
                <w:color w:val="000000"/>
              </w:rPr>
            </w:pPr>
            <w:r>
              <w:rPr>
                <w:rFonts w:cs="Calibri"/>
                <w:color w:val="000000"/>
              </w:rPr>
              <w:t>Indigenous young people who have achieved a progressive outcome</w:t>
            </w:r>
          </w:p>
        </w:tc>
        <w:tc>
          <w:tcPr>
            <w:tcW w:w="1417" w:type="dxa"/>
            <w:tcBorders>
              <w:top w:val="nil"/>
              <w:left w:val="nil"/>
              <w:bottom w:val="single" w:sz="4" w:space="0" w:color="auto"/>
              <w:right w:val="single" w:sz="4" w:space="0" w:color="auto"/>
            </w:tcBorders>
            <w:shd w:val="clear" w:color="auto" w:fill="auto"/>
            <w:noWrap/>
            <w:vAlign w:val="center"/>
            <w:hideMark/>
          </w:tcPr>
          <w:p w:rsidR="0040521B" w:rsidRPr="00BC0B36" w:rsidRDefault="0040521B" w:rsidP="0053283A">
            <w:pPr>
              <w:jc w:val="center"/>
              <w:rPr>
                <w:rFonts w:cs="Calibri"/>
                <w:color w:val="000000"/>
              </w:rPr>
            </w:pPr>
            <w:r>
              <w:rPr>
                <w:rFonts w:cs="Calibri"/>
                <w:color w:val="000000"/>
              </w:rPr>
              <w:t>332</w:t>
            </w:r>
          </w:p>
        </w:tc>
        <w:tc>
          <w:tcPr>
            <w:tcW w:w="1134" w:type="dxa"/>
            <w:tcBorders>
              <w:top w:val="nil"/>
              <w:left w:val="nil"/>
              <w:bottom w:val="single" w:sz="4" w:space="0" w:color="auto"/>
              <w:right w:val="single" w:sz="4" w:space="0" w:color="auto"/>
            </w:tcBorders>
            <w:shd w:val="clear" w:color="auto" w:fill="auto"/>
            <w:vAlign w:val="center"/>
          </w:tcPr>
          <w:p w:rsidR="0040521B" w:rsidRPr="00BC0B36" w:rsidRDefault="0040521B" w:rsidP="0053283A">
            <w:pPr>
              <w:jc w:val="center"/>
              <w:rPr>
                <w:rFonts w:cs="Calibri"/>
                <w:color w:val="000000"/>
              </w:rPr>
            </w:pPr>
            <w:r>
              <w:rPr>
                <w:rFonts w:cs="Calibri"/>
                <w:color w:val="000000"/>
              </w:rPr>
              <w:t>68%</w:t>
            </w:r>
          </w:p>
        </w:tc>
        <w:tc>
          <w:tcPr>
            <w:tcW w:w="1276" w:type="dxa"/>
            <w:tcBorders>
              <w:top w:val="nil"/>
              <w:left w:val="nil"/>
              <w:bottom w:val="single" w:sz="4" w:space="0" w:color="auto"/>
              <w:right w:val="single" w:sz="4" w:space="0" w:color="auto"/>
            </w:tcBorders>
            <w:shd w:val="clear" w:color="auto" w:fill="auto"/>
            <w:noWrap/>
            <w:vAlign w:val="center"/>
            <w:hideMark/>
          </w:tcPr>
          <w:p w:rsidR="0040521B" w:rsidRPr="008B641B" w:rsidRDefault="0040521B" w:rsidP="0053283A">
            <w:pPr>
              <w:jc w:val="center"/>
              <w:rPr>
                <w:rFonts w:cs="Calibri"/>
                <w:color w:val="000000"/>
              </w:rPr>
            </w:pPr>
            <w:r>
              <w:rPr>
                <w:rFonts w:cs="Calibri"/>
                <w:bCs/>
                <w:color w:val="000000"/>
              </w:rPr>
              <w:t>5436</w:t>
            </w:r>
          </w:p>
        </w:tc>
        <w:tc>
          <w:tcPr>
            <w:tcW w:w="1276" w:type="dxa"/>
            <w:tcBorders>
              <w:top w:val="nil"/>
              <w:left w:val="nil"/>
              <w:bottom w:val="single" w:sz="4" w:space="0" w:color="auto"/>
              <w:right w:val="single" w:sz="4" w:space="0" w:color="auto"/>
            </w:tcBorders>
            <w:shd w:val="clear" w:color="auto" w:fill="auto"/>
            <w:vAlign w:val="center"/>
          </w:tcPr>
          <w:p w:rsidR="0040521B" w:rsidRPr="00BC0B36" w:rsidRDefault="0040521B" w:rsidP="0053283A">
            <w:pPr>
              <w:jc w:val="center"/>
              <w:rPr>
                <w:rFonts w:cs="Calibri"/>
                <w:color w:val="000000"/>
              </w:rPr>
            </w:pPr>
            <w:r>
              <w:rPr>
                <w:rFonts w:cs="Calibri"/>
                <w:color w:val="000000"/>
              </w:rPr>
              <w:t>68%</w:t>
            </w:r>
          </w:p>
        </w:tc>
      </w:tr>
      <w:tr w:rsidR="0040521B" w:rsidRPr="00BC0B36" w:rsidTr="0053283A">
        <w:trPr>
          <w:trHeight w:val="600"/>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40521B" w:rsidRPr="00BC0B36" w:rsidRDefault="0040521B" w:rsidP="0053283A">
            <w:pPr>
              <w:rPr>
                <w:rFonts w:cs="Calibri"/>
                <w:color w:val="000000"/>
              </w:rPr>
            </w:pPr>
            <w:r>
              <w:rPr>
                <w:rFonts w:cs="Calibri"/>
                <w:color w:val="000000"/>
              </w:rPr>
              <w:t>Indigenous young people who have achieved a final outcome</w:t>
            </w:r>
          </w:p>
        </w:tc>
        <w:tc>
          <w:tcPr>
            <w:tcW w:w="1417" w:type="dxa"/>
            <w:tcBorders>
              <w:top w:val="nil"/>
              <w:left w:val="nil"/>
              <w:bottom w:val="single" w:sz="4" w:space="0" w:color="auto"/>
              <w:right w:val="single" w:sz="4" w:space="0" w:color="auto"/>
            </w:tcBorders>
            <w:shd w:val="clear" w:color="auto" w:fill="auto"/>
            <w:noWrap/>
            <w:vAlign w:val="center"/>
            <w:hideMark/>
          </w:tcPr>
          <w:p w:rsidR="0040521B" w:rsidRPr="00BC0B36" w:rsidRDefault="0040521B" w:rsidP="0053283A">
            <w:pPr>
              <w:jc w:val="center"/>
              <w:rPr>
                <w:rFonts w:cs="Calibri"/>
                <w:color w:val="000000"/>
              </w:rPr>
            </w:pPr>
            <w:r>
              <w:rPr>
                <w:rFonts w:cs="Calibri"/>
                <w:color w:val="000000"/>
              </w:rPr>
              <w:t>227</w:t>
            </w:r>
          </w:p>
        </w:tc>
        <w:tc>
          <w:tcPr>
            <w:tcW w:w="1134" w:type="dxa"/>
            <w:tcBorders>
              <w:top w:val="nil"/>
              <w:left w:val="nil"/>
              <w:bottom w:val="single" w:sz="4" w:space="0" w:color="auto"/>
              <w:right w:val="single" w:sz="4" w:space="0" w:color="auto"/>
            </w:tcBorders>
            <w:shd w:val="clear" w:color="auto" w:fill="auto"/>
            <w:vAlign w:val="center"/>
          </w:tcPr>
          <w:p w:rsidR="0040521B" w:rsidRPr="00BC0B36" w:rsidRDefault="0040521B" w:rsidP="0053283A">
            <w:pPr>
              <w:jc w:val="center"/>
              <w:rPr>
                <w:rFonts w:cs="Calibri"/>
                <w:color w:val="000000"/>
              </w:rPr>
            </w:pPr>
            <w:r>
              <w:rPr>
                <w:rFonts w:cs="Calibri"/>
                <w:color w:val="000000"/>
              </w:rPr>
              <w:t>47%</w:t>
            </w:r>
          </w:p>
        </w:tc>
        <w:tc>
          <w:tcPr>
            <w:tcW w:w="1276" w:type="dxa"/>
            <w:tcBorders>
              <w:top w:val="nil"/>
              <w:left w:val="nil"/>
              <w:bottom w:val="single" w:sz="4" w:space="0" w:color="auto"/>
              <w:right w:val="single" w:sz="4" w:space="0" w:color="auto"/>
            </w:tcBorders>
            <w:shd w:val="clear" w:color="auto" w:fill="auto"/>
            <w:noWrap/>
            <w:vAlign w:val="center"/>
            <w:hideMark/>
          </w:tcPr>
          <w:p w:rsidR="0040521B" w:rsidRPr="008B641B" w:rsidRDefault="0040521B" w:rsidP="0053283A">
            <w:pPr>
              <w:jc w:val="center"/>
              <w:rPr>
                <w:rFonts w:cs="Calibri"/>
                <w:color w:val="000000"/>
              </w:rPr>
            </w:pPr>
            <w:r>
              <w:rPr>
                <w:rFonts w:cs="Calibri"/>
                <w:bCs/>
                <w:color w:val="000000"/>
              </w:rPr>
              <w:t>7434</w:t>
            </w:r>
          </w:p>
        </w:tc>
        <w:tc>
          <w:tcPr>
            <w:tcW w:w="1276" w:type="dxa"/>
            <w:tcBorders>
              <w:top w:val="nil"/>
              <w:left w:val="nil"/>
              <w:bottom w:val="single" w:sz="4" w:space="0" w:color="auto"/>
              <w:right w:val="single" w:sz="4" w:space="0" w:color="auto"/>
            </w:tcBorders>
            <w:shd w:val="clear" w:color="auto" w:fill="auto"/>
            <w:vAlign w:val="center"/>
          </w:tcPr>
          <w:p w:rsidR="0040521B" w:rsidRPr="00BC0B36" w:rsidRDefault="0040521B" w:rsidP="0053283A">
            <w:pPr>
              <w:jc w:val="center"/>
              <w:rPr>
                <w:rFonts w:cs="Calibri"/>
                <w:color w:val="000000"/>
              </w:rPr>
            </w:pPr>
            <w:r>
              <w:rPr>
                <w:rFonts w:cs="Calibri"/>
                <w:color w:val="000000"/>
              </w:rPr>
              <w:t>50%</w:t>
            </w:r>
          </w:p>
        </w:tc>
      </w:tr>
    </w:tbl>
    <w:p w:rsidR="0040521B" w:rsidRDefault="0040521B" w:rsidP="00665270">
      <w:pPr>
        <w:pStyle w:val="Heading2"/>
      </w:pPr>
      <w:bookmarkStart w:id="44" w:name="_Toc384038244"/>
      <w:r>
        <w:t>Humanitarian Refugee</w:t>
      </w:r>
      <w:bookmarkEnd w:id="44"/>
    </w:p>
    <w:p w:rsidR="0040521B" w:rsidRPr="00E47C48" w:rsidRDefault="0040521B" w:rsidP="00665270">
      <w:pPr>
        <w:pStyle w:val="Heading4"/>
      </w:pPr>
      <w:r>
        <w:t>Figure 19: % of Total Humanitarian refugee participants by state</w:t>
      </w:r>
    </w:p>
    <w:p w:rsidR="0040521B" w:rsidRDefault="0040521B" w:rsidP="0040521B">
      <w:r>
        <w:rPr>
          <w:noProof/>
          <w:lang w:eastAsia="en-AU"/>
        </w:rPr>
        <w:drawing>
          <wp:inline distT="0" distB="0" distL="0" distR="0" wp14:anchorId="6CBDE73C" wp14:editId="4C5CD0F2">
            <wp:extent cx="5969479" cy="2303252"/>
            <wp:effectExtent l="0" t="0" r="0" b="1905"/>
            <wp:docPr id="47" name="Chart 47" descr="Percentage of total Humanitarian Refugee Participants by state, as shown in Table 23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0521B" w:rsidRDefault="0040521B" w:rsidP="0040521B"/>
    <w:p w:rsidR="0040521B" w:rsidRDefault="0040521B" w:rsidP="00665270">
      <w:pPr>
        <w:pStyle w:val="Heading3"/>
      </w:pPr>
      <w:r>
        <w:t>Table 23</w:t>
      </w:r>
      <w:r w:rsidRPr="0056510B">
        <w:t xml:space="preserve">: % of Total </w:t>
      </w:r>
      <w:r>
        <w:t>humanitarian refugee</w:t>
      </w:r>
      <w:r w:rsidRPr="0056510B">
        <w:t xml:space="preserve"> participants by State</w:t>
      </w:r>
    </w:p>
    <w:tbl>
      <w:tblPr>
        <w:tblStyle w:val="TableGrid"/>
        <w:tblW w:w="0" w:type="auto"/>
        <w:tblLook w:val="04A0" w:firstRow="1" w:lastRow="0" w:firstColumn="1" w:lastColumn="0" w:noHBand="0" w:noVBand="1"/>
        <w:tblDescription w:val="Table 23: % of Total humanitarian refugee participants by Stat"/>
      </w:tblPr>
      <w:tblGrid>
        <w:gridCol w:w="1524"/>
        <w:gridCol w:w="1058"/>
        <w:gridCol w:w="1074"/>
        <w:gridCol w:w="1048"/>
        <w:gridCol w:w="1064"/>
        <w:gridCol w:w="1048"/>
        <w:gridCol w:w="1059"/>
        <w:gridCol w:w="1064"/>
        <w:gridCol w:w="1057"/>
      </w:tblGrid>
      <w:tr w:rsidR="0040521B" w:rsidTr="0053283A">
        <w:trPr>
          <w:tblHeader/>
        </w:trPr>
        <w:tc>
          <w:tcPr>
            <w:tcW w:w="1532" w:type="dxa"/>
            <w:shd w:val="clear" w:color="auto" w:fill="DBE5F1" w:themeFill="accent1" w:themeFillTint="33"/>
          </w:tcPr>
          <w:p w:rsidR="0040521B" w:rsidRPr="00B44F04" w:rsidRDefault="0040521B" w:rsidP="0053283A">
            <w:pPr>
              <w:rPr>
                <w:rFonts w:cs="Calibri"/>
                <w:b/>
                <w:color w:val="000000"/>
              </w:rPr>
            </w:pPr>
          </w:p>
        </w:tc>
        <w:tc>
          <w:tcPr>
            <w:tcW w:w="1093" w:type="dxa"/>
            <w:shd w:val="clear" w:color="auto" w:fill="DBE5F1" w:themeFill="accent1" w:themeFillTint="33"/>
          </w:tcPr>
          <w:p w:rsidR="0040521B" w:rsidRPr="00B44F04" w:rsidRDefault="0040521B" w:rsidP="0053283A">
            <w:pPr>
              <w:jc w:val="center"/>
              <w:rPr>
                <w:rFonts w:cs="Calibri"/>
                <w:b/>
                <w:color w:val="000000"/>
              </w:rPr>
            </w:pPr>
            <w:r w:rsidRPr="00B44F04">
              <w:rPr>
                <w:rFonts w:cs="Calibri"/>
                <w:b/>
                <w:color w:val="000000"/>
              </w:rPr>
              <w:t>ACT</w:t>
            </w:r>
          </w:p>
        </w:tc>
        <w:tc>
          <w:tcPr>
            <w:tcW w:w="1102"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NSW</w:t>
            </w:r>
          </w:p>
        </w:tc>
        <w:tc>
          <w:tcPr>
            <w:tcW w:w="1087"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NT</w:t>
            </w:r>
          </w:p>
        </w:tc>
        <w:tc>
          <w:tcPr>
            <w:tcW w:w="1096"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QLD</w:t>
            </w:r>
          </w:p>
        </w:tc>
        <w:tc>
          <w:tcPr>
            <w:tcW w:w="1087"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SA</w:t>
            </w:r>
          </w:p>
        </w:tc>
        <w:tc>
          <w:tcPr>
            <w:tcW w:w="1093"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TAS</w:t>
            </w:r>
          </w:p>
        </w:tc>
        <w:tc>
          <w:tcPr>
            <w:tcW w:w="1096"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VIC</w:t>
            </w:r>
          </w:p>
        </w:tc>
        <w:tc>
          <w:tcPr>
            <w:tcW w:w="1092"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WA</w:t>
            </w:r>
          </w:p>
        </w:tc>
      </w:tr>
      <w:tr w:rsidR="0040521B" w:rsidTr="0053283A">
        <w:tc>
          <w:tcPr>
            <w:tcW w:w="1532" w:type="dxa"/>
          </w:tcPr>
          <w:p w:rsidR="0040521B" w:rsidRDefault="0040521B" w:rsidP="0053283A">
            <w:r>
              <w:t xml:space="preserve">% of total humanitarian refugee </w:t>
            </w:r>
            <w:r w:rsidRPr="00B44F04">
              <w:rPr>
                <w:rFonts w:cs="Calibri"/>
                <w:color w:val="000000"/>
              </w:rPr>
              <w:t>participants</w:t>
            </w:r>
          </w:p>
        </w:tc>
        <w:tc>
          <w:tcPr>
            <w:tcW w:w="1093" w:type="dxa"/>
            <w:vAlign w:val="center"/>
          </w:tcPr>
          <w:p w:rsidR="0040521B" w:rsidRPr="00B44F04" w:rsidRDefault="0040521B" w:rsidP="0053283A">
            <w:pPr>
              <w:jc w:val="center"/>
              <w:rPr>
                <w:rFonts w:cs="Calibri"/>
                <w:color w:val="000000"/>
              </w:rPr>
            </w:pPr>
            <w:r>
              <w:rPr>
                <w:rFonts w:cs="Calibri"/>
                <w:color w:val="000000"/>
              </w:rPr>
              <w:t>4</w:t>
            </w:r>
            <w:r w:rsidRPr="00B44F04">
              <w:rPr>
                <w:rFonts w:cs="Calibri"/>
                <w:color w:val="000000"/>
              </w:rPr>
              <w:t>%</w:t>
            </w:r>
          </w:p>
        </w:tc>
        <w:tc>
          <w:tcPr>
            <w:tcW w:w="1102" w:type="dxa"/>
            <w:vAlign w:val="center"/>
          </w:tcPr>
          <w:p w:rsidR="0040521B" w:rsidRPr="00B44F04" w:rsidRDefault="0040521B" w:rsidP="0053283A">
            <w:pPr>
              <w:jc w:val="center"/>
              <w:rPr>
                <w:rFonts w:cs="Calibri"/>
                <w:color w:val="000000"/>
              </w:rPr>
            </w:pPr>
            <w:r>
              <w:rPr>
                <w:rFonts w:cs="Calibri"/>
                <w:color w:val="000000"/>
              </w:rPr>
              <w:t>28%</w:t>
            </w:r>
          </w:p>
        </w:tc>
        <w:tc>
          <w:tcPr>
            <w:tcW w:w="1087" w:type="dxa"/>
            <w:vAlign w:val="center"/>
          </w:tcPr>
          <w:p w:rsidR="0040521B" w:rsidRPr="00B44F04" w:rsidRDefault="0040521B" w:rsidP="0053283A">
            <w:pPr>
              <w:jc w:val="center"/>
              <w:rPr>
                <w:rFonts w:cs="Calibri"/>
                <w:color w:val="000000"/>
              </w:rPr>
            </w:pPr>
            <w:r>
              <w:rPr>
                <w:rFonts w:cs="Calibri"/>
                <w:color w:val="000000"/>
              </w:rPr>
              <w:t>0%</w:t>
            </w:r>
          </w:p>
        </w:tc>
        <w:tc>
          <w:tcPr>
            <w:tcW w:w="1096" w:type="dxa"/>
            <w:vAlign w:val="center"/>
          </w:tcPr>
          <w:p w:rsidR="0040521B" w:rsidRPr="00B44F04" w:rsidRDefault="0040521B" w:rsidP="0053283A">
            <w:pPr>
              <w:jc w:val="center"/>
              <w:rPr>
                <w:rFonts w:cs="Calibri"/>
                <w:color w:val="000000"/>
              </w:rPr>
            </w:pPr>
            <w:r>
              <w:rPr>
                <w:rFonts w:cs="Calibri"/>
                <w:color w:val="000000"/>
              </w:rPr>
              <w:t>9%</w:t>
            </w:r>
          </w:p>
        </w:tc>
        <w:tc>
          <w:tcPr>
            <w:tcW w:w="1087" w:type="dxa"/>
            <w:vAlign w:val="center"/>
          </w:tcPr>
          <w:p w:rsidR="0040521B" w:rsidRPr="00B44F04" w:rsidRDefault="0040521B" w:rsidP="0053283A">
            <w:pPr>
              <w:jc w:val="center"/>
              <w:rPr>
                <w:rFonts w:cs="Calibri"/>
                <w:color w:val="000000"/>
              </w:rPr>
            </w:pPr>
            <w:r>
              <w:rPr>
                <w:rFonts w:cs="Calibri"/>
                <w:color w:val="000000"/>
              </w:rPr>
              <w:t>6%</w:t>
            </w:r>
          </w:p>
        </w:tc>
        <w:tc>
          <w:tcPr>
            <w:tcW w:w="1093" w:type="dxa"/>
            <w:vAlign w:val="center"/>
          </w:tcPr>
          <w:p w:rsidR="0040521B" w:rsidRPr="00B44F04" w:rsidRDefault="0040521B" w:rsidP="0053283A">
            <w:pPr>
              <w:jc w:val="center"/>
              <w:rPr>
                <w:rFonts w:cs="Calibri"/>
                <w:color w:val="000000"/>
              </w:rPr>
            </w:pPr>
            <w:r>
              <w:rPr>
                <w:rFonts w:cs="Calibri"/>
                <w:color w:val="000000"/>
              </w:rPr>
              <w:t>3%</w:t>
            </w:r>
          </w:p>
        </w:tc>
        <w:tc>
          <w:tcPr>
            <w:tcW w:w="1096" w:type="dxa"/>
            <w:vAlign w:val="center"/>
          </w:tcPr>
          <w:p w:rsidR="0040521B" w:rsidRPr="00B44F04" w:rsidRDefault="0040521B" w:rsidP="0053283A">
            <w:pPr>
              <w:jc w:val="center"/>
              <w:rPr>
                <w:rFonts w:cs="Calibri"/>
                <w:color w:val="000000"/>
              </w:rPr>
            </w:pPr>
            <w:r>
              <w:rPr>
                <w:rFonts w:cs="Calibri"/>
                <w:color w:val="000000"/>
              </w:rPr>
              <w:t>43%</w:t>
            </w:r>
          </w:p>
        </w:tc>
        <w:tc>
          <w:tcPr>
            <w:tcW w:w="1092" w:type="dxa"/>
            <w:vAlign w:val="center"/>
          </w:tcPr>
          <w:p w:rsidR="0040521B" w:rsidRPr="00B44F04" w:rsidRDefault="0040521B" w:rsidP="0053283A">
            <w:pPr>
              <w:jc w:val="center"/>
              <w:rPr>
                <w:rFonts w:cs="Calibri"/>
                <w:color w:val="000000"/>
              </w:rPr>
            </w:pPr>
            <w:r>
              <w:rPr>
                <w:rFonts w:cs="Calibri"/>
                <w:color w:val="000000"/>
              </w:rPr>
              <w:t>7%</w:t>
            </w:r>
          </w:p>
        </w:tc>
      </w:tr>
    </w:tbl>
    <w:p w:rsidR="0040521B" w:rsidRDefault="0040521B" w:rsidP="0040521B"/>
    <w:p w:rsidR="0040521B" w:rsidRDefault="0040521B" w:rsidP="00665270">
      <w:pPr>
        <w:pStyle w:val="Heading4"/>
      </w:pPr>
      <w:r>
        <w:lastRenderedPageBreak/>
        <w:t>Figure 20: % of caseload that is Humanitarian refugee in each state</w:t>
      </w:r>
    </w:p>
    <w:p w:rsidR="0040521B" w:rsidRDefault="0040521B" w:rsidP="0040521B">
      <w:r>
        <w:rPr>
          <w:noProof/>
          <w:lang w:eastAsia="en-AU"/>
        </w:rPr>
        <w:drawing>
          <wp:inline distT="0" distB="0" distL="0" distR="0" wp14:anchorId="1FC8C030" wp14:editId="7381B6F8">
            <wp:extent cx="5943600" cy="2674188"/>
            <wp:effectExtent l="0" t="0" r="0" b="0"/>
            <wp:docPr id="48" name="Chart 48" descr="Percentage of caseload that is Humanitarian Refugee in each State as displayed in table 24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0521B" w:rsidRDefault="0040521B" w:rsidP="00665270">
      <w:pPr>
        <w:pStyle w:val="Heading3"/>
      </w:pPr>
      <w:r>
        <w:t>Table 24</w:t>
      </w:r>
      <w:r w:rsidRPr="0056510B">
        <w:t xml:space="preserve">: % of </w:t>
      </w:r>
      <w:r>
        <w:t>caseload that is humanitarian refugee in each</w:t>
      </w:r>
      <w:r w:rsidRPr="0056510B">
        <w:t xml:space="preserve"> State</w:t>
      </w:r>
    </w:p>
    <w:tbl>
      <w:tblPr>
        <w:tblStyle w:val="TableGrid"/>
        <w:tblW w:w="0" w:type="auto"/>
        <w:tblLook w:val="04A0" w:firstRow="1" w:lastRow="0" w:firstColumn="1" w:lastColumn="0" w:noHBand="0" w:noVBand="1"/>
        <w:tblDescription w:val="Table 24: % of caseload that is humanitarian refugee in each State"/>
      </w:tblPr>
      <w:tblGrid>
        <w:gridCol w:w="3208"/>
        <w:gridCol w:w="827"/>
        <w:gridCol w:w="836"/>
        <w:gridCol w:w="690"/>
        <w:gridCol w:w="700"/>
        <w:gridCol w:w="690"/>
        <w:gridCol w:w="697"/>
        <w:gridCol w:w="693"/>
        <w:gridCol w:w="656"/>
        <w:gridCol w:w="999"/>
      </w:tblGrid>
      <w:tr w:rsidR="0040521B" w:rsidTr="0053283A">
        <w:trPr>
          <w:tblHeader/>
        </w:trPr>
        <w:tc>
          <w:tcPr>
            <w:tcW w:w="3369" w:type="dxa"/>
            <w:shd w:val="clear" w:color="auto" w:fill="DBE5F1" w:themeFill="accent1" w:themeFillTint="33"/>
          </w:tcPr>
          <w:p w:rsidR="0040521B" w:rsidRPr="00B44F04" w:rsidRDefault="0040521B" w:rsidP="0053283A">
            <w:pPr>
              <w:rPr>
                <w:rFonts w:cs="Calibri"/>
                <w:b/>
                <w:color w:val="000000"/>
              </w:rPr>
            </w:pPr>
          </w:p>
        </w:tc>
        <w:tc>
          <w:tcPr>
            <w:tcW w:w="850" w:type="dxa"/>
            <w:shd w:val="clear" w:color="auto" w:fill="DBE5F1" w:themeFill="accent1" w:themeFillTint="33"/>
          </w:tcPr>
          <w:p w:rsidR="0040521B" w:rsidRPr="00B44F04" w:rsidRDefault="0040521B" w:rsidP="0053283A">
            <w:pPr>
              <w:jc w:val="center"/>
              <w:rPr>
                <w:rFonts w:cs="Calibri"/>
                <w:b/>
                <w:color w:val="000000"/>
              </w:rPr>
            </w:pPr>
            <w:r w:rsidRPr="00B44F04">
              <w:rPr>
                <w:rFonts w:cs="Calibri"/>
                <w:b/>
                <w:color w:val="000000"/>
              </w:rPr>
              <w:t>ACT</w:t>
            </w:r>
          </w:p>
        </w:tc>
        <w:tc>
          <w:tcPr>
            <w:tcW w:w="851"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NSW</w:t>
            </w:r>
          </w:p>
        </w:tc>
        <w:tc>
          <w:tcPr>
            <w:tcW w:w="708"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NT</w:t>
            </w:r>
          </w:p>
        </w:tc>
        <w:tc>
          <w:tcPr>
            <w:tcW w:w="709"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QLD</w:t>
            </w:r>
          </w:p>
        </w:tc>
        <w:tc>
          <w:tcPr>
            <w:tcW w:w="709"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SA</w:t>
            </w:r>
          </w:p>
        </w:tc>
        <w:tc>
          <w:tcPr>
            <w:tcW w:w="709"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TAS</w:t>
            </w:r>
          </w:p>
        </w:tc>
        <w:tc>
          <w:tcPr>
            <w:tcW w:w="708"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VIC</w:t>
            </w:r>
          </w:p>
        </w:tc>
        <w:tc>
          <w:tcPr>
            <w:tcW w:w="666" w:type="dxa"/>
            <w:shd w:val="clear" w:color="auto" w:fill="DBE5F1" w:themeFill="accent1" w:themeFillTint="33"/>
          </w:tcPr>
          <w:p w:rsidR="0040521B" w:rsidRPr="00B44F04" w:rsidRDefault="0040521B" w:rsidP="0053283A">
            <w:pPr>
              <w:jc w:val="center"/>
              <w:rPr>
                <w:rFonts w:cs="Calibri"/>
                <w:b/>
                <w:color w:val="000000"/>
              </w:rPr>
            </w:pPr>
            <w:r>
              <w:rPr>
                <w:rFonts w:cs="Calibri"/>
                <w:b/>
                <w:color w:val="000000"/>
              </w:rPr>
              <w:t>WA</w:t>
            </w:r>
          </w:p>
        </w:tc>
        <w:tc>
          <w:tcPr>
            <w:tcW w:w="999" w:type="dxa"/>
            <w:shd w:val="clear" w:color="auto" w:fill="DBE5F1" w:themeFill="accent1" w:themeFillTint="33"/>
          </w:tcPr>
          <w:p w:rsidR="0040521B" w:rsidRDefault="0040521B" w:rsidP="0053283A">
            <w:pPr>
              <w:jc w:val="center"/>
              <w:rPr>
                <w:rFonts w:cs="Calibri"/>
                <w:b/>
                <w:color w:val="000000"/>
              </w:rPr>
            </w:pPr>
            <w:r>
              <w:rPr>
                <w:rFonts w:cs="Calibri"/>
                <w:b/>
                <w:color w:val="000000"/>
              </w:rPr>
              <w:t>National</w:t>
            </w:r>
          </w:p>
        </w:tc>
      </w:tr>
      <w:tr w:rsidR="0040521B" w:rsidTr="0053283A">
        <w:tc>
          <w:tcPr>
            <w:tcW w:w="3369" w:type="dxa"/>
          </w:tcPr>
          <w:p w:rsidR="0040521B" w:rsidRDefault="0040521B" w:rsidP="0053283A">
            <w:r>
              <w:t>% of caseload that is humanitarian refugee</w:t>
            </w:r>
          </w:p>
        </w:tc>
        <w:tc>
          <w:tcPr>
            <w:tcW w:w="850" w:type="dxa"/>
            <w:vAlign w:val="center"/>
          </w:tcPr>
          <w:p w:rsidR="0040521B" w:rsidRPr="00B44F04" w:rsidRDefault="0040521B" w:rsidP="0053283A">
            <w:pPr>
              <w:jc w:val="center"/>
              <w:rPr>
                <w:rFonts w:cs="Calibri"/>
                <w:color w:val="000000"/>
              </w:rPr>
            </w:pPr>
            <w:r>
              <w:rPr>
                <w:rFonts w:cs="Calibri"/>
                <w:color w:val="000000"/>
              </w:rPr>
              <w:t>4</w:t>
            </w:r>
            <w:r w:rsidRPr="00B44F04">
              <w:rPr>
                <w:rFonts w:cs="Calibri"/>
                <w:color w:val="000000"/>
              </w:rPr>
              <w:t>%</w:t>
            </w:r>
          </w:p>
        </w:tc>
        <w:tc>
          <w:tcPr>
            <w:tcW w:w="851" w:type="dxa"/>
            <w:vAlign w:val="center"/>
          </w:tcPr>
          <w:p w:rsidR="0040521B" w:rsidRPr="00B44F04" w:rsidRDefault="0040521B" w:rsidP="0053283A">
            <w:pPr>
              <w:jc w:val="center"/>
              <w:rPr>
                <w:rFonts w:cs="Calibri"/>
                <w:color w:val="000000"/>
              </w:rPr>
            </w:pPr>
            <w:r>
              <w:rPr>
                <w:rFonts w:cs="Calibri"/>
                <w:color w:val="000000"/>
              </w:rPr>
              <w:t>1%</w:t>
            </w:r>
          </w:p>
        </w:tc>
        <w:tc>
          <w:tcPr>
            <w:tcW w:w="708" w:type="dxa"/>
            <w:vAlign w:val="center"/>
          </w:tcPr>
          <w:p w:rsidR="0040521B" w:rsidRPr="00B44F04" w:rsidRDefault="0040521B" w:rsidP="0053283A">
            <w:pPr>
              <w:jc w:val="center"/>
              <w:rPr>
                <w:rFonts w:cs="Calibri"/>
                <w:color w:val="000000"/>
              </w:rPr>
            </w:pPr>
            <w:r>
              <w:rPr>
                <w:rFonts w:cs="Calibri"/>
                <w:color w:val="000000"/>
              </w:rPr>
              <w:t>0%</w:t>
            </w:r>
          </w:p>
        </w:tc>
        <w:tc>
          <w:tcPr>
            <w:tcW w:w="709" w:type="dxa"/>
            <w:vAlign w:val="center"/>
          </w:tcPr>
          <w:p w:rsidR="0040521B" w:rsidRPr="00B44F04" w:rsidRDefault="0040521B" w:rsidP="0053283A">
            <w:pPr>
              <w:jc w:val="center"/>
              <w:rPr>
                <w:rFonts w:cs="Calibri"/>
                <w:color w:val="000000"/>
              </w:rPr>
            </w:pPr>
            <w:r>
              <w:rPr>
                <w:rFonts w:cs="Calibri"/>
                <w:color w:val="000000"/>
              </w:rPr>
              <w:t>1%</w:t>
            </w:r>
          </w:p>
        </w:tc>
        <w:tc>
          <w:tcPr>
            <w:tcW w:w="709" w:type="dxa"/>
            <w:vAlign w:val="center"/>
          </w:tcPr>
          <w:p w:rsidR="0040521B" w:rsidRPr="00B44F04" w:rsidRDefault="0040521B" w:rsidP="0053283A">
            <w:pPr>
              <w:jc w:val="center"/>
              <w:rPr>
                <w:rFonts w:cs="Calibri"/>
                <w:color w:val="000000"/>
              </w:rPr>
            </w:pPr>
            <w:r>
              <w:rPr>
                <w:rFonts w:cs="Calibri"/>
                <w:color w:val="000000"/>
              </w:rPr>
              <w:t>1%</w:t>
            </w:r>
          </w:p>
        </w:tc>
        <w:tc>
          <w:tcPr>
            <w:tcW w:w="709" w:type="dxa"/>
            <w:vAlign w:val="center"/>
          </w:tcPr>
          <w:p w:rsidR="0040521B" w:rsidRPr="00B44F04" w:rsidRDefault="0040521B" w:rsidP="0053283A">
            <w:pPr>
              <w:jc w:val="center"/>
              <w:rPr>
                <w:rFonts w:cs="Calibri"/>
                <w:color w:val="000000"/>
              </w:rPr>
            </w:pPr>
            <w:r>
              <w:rPr>
                <w:rFonts w:cs="Calibri"/>
                <w:color w:val="000000"/>
              </w:rPr>
              <w:t>2%</w:t>
            </w:r>
          </w:p>
        </w:tc>
        <w:tc>
          <w:tcPr>
            <w:tcW w:w="708" w:type="dxa"/>
            <w:vAlign w:val="center"/>
          </w:tcPr>
          <w:p w:rsidR="0040521B" w:rsidRPr="00B44F04" w:rsidRDefault="0040521B" w:rsidP="0053283A">
            <w:pPr>
              <w:jc w:val="center"/>
              <w:rPr>
                <w:rFonts w:cs="Calibri"/>
                <w:color w:val="000000"/>
              </w:rPr>
            </w:pPr>
            <w:r>
              <w:rPr>
                <w:rFonts w:cs="Calibri"/>
                <w:color w:val="000000"/>
              </w:rPr>
              <w:t>3%</w:t>
            </w:r>
          </w:p>
        </w:tc>
        <w:tc>
          <w:tcPr>
            <w:tcW w:w="666" w:type="dxa"/>
            <w:vAlign w:val="center"/>
          </w:tcPr>
          <w:p w:rsidR="0040521B" w:rsidRPr="00B44F04" w:rsidRDefault="0040521B" w:rsidP="0053283A">
            <w:pPr>
              <w:jc w:val="center"/>
              <w:rPr>
                <w:rFonts w:cs="Calibri"/>
                <w:color w:val="000000"/>
              </w:rPr>
            </w:pPr>
            <w:r>
              <w:rPr>
                <w:rFonts w:cs="Calibri"/>
                <w:color w:val="000000"/>
              </w:rPr>
              <w:t>1%</w:t>
            </w:r>
          </w:p>
        </w:tc>
        <w:tc>
          <w:tcPr>
            <w:tcW w:w="999" w:type="dxa"/>
            <w:vAlign w:val="center"/>
          </w:tcPr>
          <w:p w:rsidR="0040521B" w:rsidRDefault="0040521B" w:rsidP="0053283A">
            <w:pPr>
              <w:jc w:val="center"/>
              <w:rPr>
                <w:rFonts w:cs="Calibri"/>
                <w:color w:val="000000"/>
              </w:rPr>
            </w:pPr>
            <w:r>
              <w:rPr>
                <w:rFonts w:cs="Calibri"/>
                <w:color w:val="000000"/>
              </w:rPr>
              <w:t>2%</w:t>
            </w:r>
          </w:p>
        </w:tc>
      </w:tr>
    </w:tbl>
    <w:p w:rsidR="0040521B" w:rsidRDefault="0040521B" w:rsidP="00665270">
      <w:pPr>
        <w:pStyle w:val="Heading3"/>
      </w:pPr>
      <w:r>
        <w:t>Table 25: Humanitarian refugee participants – SA and National</w:t>
      </w:r>
    </w:p>
    <w:tbl>
      <w:tblPr>
        <w:tblW w:w="7880" w:type="dxa"/>
        <w:tblInd w:w="89" w:type="dxa"/>
        <w:tblLook w:val="04A0" w:firstRow="1" w:lastRow="0" w:firstColumn="1" w:lastColumn="0" w:noHBand="0" w:noVBand="1"/>
      </w:tblPr>
      <w:tblGrid>
        <w:gridCol w:w="5264"/>
        <w:gridCol w:w="1276"/>
        <w:gridCol w:w="1340"/>
      </w:tblGrid>
      <w:tr w:rsidR="0040521B" w:rsidRPr="00BC0B36" w:rsidTr="0053283A">
        <w:trPr>
          <w:trHeight w:val="300"/>
        </w:trPr>
        <w:tc>
          <w:tcPr>
            <w:tcW w:w="52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40521B" w:rsidRPr="00BC0B36" w:rsidRDefault="0040521B" w:rsidP="0053283A">
            <w:pPr>
              <w:rPr>
                <w:rFonts w:cs="Calibri"/>
                <w:b/>
                <w:color w:val="000000"/>
              </w:rPr>
            </w:pPr>
            <w:r w:rsidRPr="00BC0B36">
              <w:rPr>
                <w:rFonts w:cs="Calibri"/>
                <w:b/>
                <w:color w:val="000000"/>
              </w:rPr>
              <w:t> </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40521B" w:rsidRPr="00BC0B36" w:rsidRDefault="0040521B" w:rsidP="0053283A">
            <w:pPr>
              <w:jc w:val="center"/>
              <w:rPr>
                <w:rFonts w:cs="Calibri"/>
                <w:b/>
                <w:color w:val="000000"/>
              </w:rPr>
            </w:pPr>
            <w:r>
              <w:rPr>
                <w:rFonts w:cs="Calibri"/>
                <w:b/>
                <w:color w:val="000000"/>
              </w:rPr>
              <w:t>SA</w:t>
            </w:r>
          </w:p>
        </w:tc>
        <w:tc>
          <w:tcPr>
            <w:tcW w:w="134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40521B" w:rsidRPr="00BC0B36" w:rsidRDefault="0040521B" w:rsidP="0053283A">
            <w:pPr>
              <w:jc w:val="center"/>
              <w:rPr>
                <w:rFonts w:cs="Calibri"/>
                <w:b/>
                <w:color w:val="000000"/>
              </w:rPr>
            </w:pPr>
            <w:r w:rsidRPr="00BC0B36">
              <w:rPr>
                <w:rFonts w:cs="Calibri"/>
                <w:b/>
                <w:color w:val="000000"/>
              </w:rPr>
              <w:t>National</w:t>
            </w:r>
          </w:p>
        </w:tc>
      </w:tr>
      <w:tr w:rsidR="0040521B" w:rsidRPr="00BC0B36" w:rsidTr="0053283A">
        <w:trPr>
          <w:trHeight w:val="368"/>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40521B" w:rsidRPr="00BC0B36" w:rsidRDefault="0040521B" w:rsidP="0053283A">
            <w:pPr>
              <w:rPr>
                <w:rFonts w:cs="Calibri"/>
                <w:color w:val="000000"/>
              </w:rPr>
            </w:pPr>
            <w:r>
              <w:rPr>
                <w:rFonts w:cs="Calibri"/>
                <w:color w:val="000000"/>
              </w:rPr>
              <w:t>Humanitarian Refugee Participants</w:t>
            </w:r>
          </w:p>
        </w:tc>
        <w:tc>
          <w:tcPr>
            <w:tcW w:w="1276" w:type="dxa"/>
            <w:tcBorders>
              <w:top w:val="nil"/>
              <w:left w:val="nil"/>
              <w:bottom w:val="single" w:sz="4" w:space="0" w:color="auto"/>
              <w:right w:val="single" w:sz="4" w:space="0" w:color="auto"/>
            </w:tcBorders>
            <w:shd w:val="clear" w:color="auto" w:fill="auto"/>
            <w:noWrap/>
            <w:vAlign w:val="center"/>
            <w:hideMark/>
          </w:tcPr>
          <w:p w:rsidR="0040521B" w:rsidRPr="00BC0B36" w:rsidRDefault="0040521B" w:rsidP="0053283A">
            <w:pPr>
              <w:jc w:val="center"/>
              <w:rPr>
                <w:rFonts w:cs="Calibri"/>
                <w:color w:val="000000"/>
              </w:rPr>
            </w:pPr>
            <w:r>
              <w:rPr>
                <w:rFonts w:cs="Calibri"/>
                <w:color w:val="000000"/>
              </w:rPr>
              <w:t>49</w:t>
            </w:r>
          </w:p>
        </w:tc>
        <w:tc>
          <w:tcPr>
            <w:tcW w:w="1340" w:type="dxa"/>
            <w:tcBorders>
              <w:top w:val="nil"/>
              <w:left w:val="nil"/>
              <w:bottom w:val="single" w:sz="4" w:space="0" w:color="auto"/>
              <w:right w:val="single" w:sz="4" w:space="0" w:color="auto"/>
            </w:tcBorders>
            <w:shd w:val="clear" w:color="auto" w:fill="auto"/>
            <w:noWrap/>
            <w:vAlign w:val="center"/>
            <w:hideMark/>
          </w:tcPr>
          <w:p w:rsidR="0040521B" w:rsidRPr="00BC0B36" w:rsidRDefault="0040521B" w:rsidP="0053283A">
            <w:pPr>
              <w:jc w:val="center"/>
              <w:rPr>
                <w:rFonts w:cs="Calibri"/>
                <w:color w:val="000000"/>
              </w:rPr>
            </w:pPr>
            <w:r>
              <w:rPr>
                <w:rFonts w:cs="Calibri"/>
                <w:color w:val="000000"/>
              </w:rPr>
              <w:t>892</w:t>
            </w:r>
          </w:p>
        </w:tc>
      </w:tr>
      <w:tr w:rsidR="0040521B" w:rsidRPr="00BC0B36" w:rsidTr="0053283A">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40521B" w:rsidRPr="00BC0B36" w:rsidRDefault="0040521B" w:rsidP="0053283A">
            <w:pPr>
              <w:rPr>
                <w:rFonts w:cs="Calibri"/>
                <w:color w:val="000000"/>
              </w:rPr>
            </w:pPr>
            <w:r>
              <w:rPr>
                <w:rFonts w:cs="Calibri"/>
                <w:color w:val="000000"/>
              </w:rPr>
              <w:t>All Participants</w:t>
            </w:r>
          </w:p>
        </w:tc>
        <w:tc>
          <w:tcPr>
            <w:tcW w:w="1276" w:type="dxa"/>
            <w:tcBorders>
              <w:top w:val="nil"/>
              <w:left w:val="nil"/>
              <w:bottom w:val="single" w:sz="4" w:space="0" w:color="auto"/>
              <w:right w:val="single" w:sz="4" w:space="0" w:color="auto"/>
            </w:tcBorders>
            <w:shd w:val="clear" w:color="auto" w:fill="auto"/>
            <w:noWrap/>
            <w:vAlign w:val="center"/>
            <w:hideMark/>
          </w:tcPr>
          <w:p w:rsidR="0040521B" w:rsidRPr="00BC0B36" w:rsidRDefault="0040521B" w:rsidP="0053283A">
            <w:pPr>
              <w:jc w:val="center"/>
              <w:rPr>
                <w:rFonts w:cs="Calibri"/>
                <w:color w:val="000000"/>
              </w:rPr>
            </w:pPr>
            <w:r>
              <w:rPr>
                <w:rFonts w:cs="Calibri"/>
                <w:color w:val="000000"/>
              </w:rPr>
              <w:t>3390</w:t>
            </w:r>
          </w:p>
        </w:tc>
        <w:tc>
          <w:tcPr>
            <w:tcW w:w="1340" w:type="dxa"/>
            <w:tcBorders>
              <w:top w:val="nil"/>
              <w:left w:val="nil"/>
              <w:bottom w:val="single" w:sz="4" w:space="0" w:color="auto"/>
              <w:right w:val="single" w:sz="4" w:space="0" w:color="auto"/>
            </w:tcBorders>
            <w:shd w:val="clear" w:color="auto" w:fill="auto"/>
            <w:noWrap/>
            <w:vAlign w:val="center"/>
            <w:hideMark/>
          </w:tcPr>
          <w:p w:rsidR="0040521B" w:rsidRPr="00BC0B36" w:rsidRDefault="0040521B" w:rsidP="0053283A">
            <w:pPr>
              <w:jc w:val="center"/>
              <w:rPr>
                <w:rFonts w:cs="Calibri"/>
                <w:color w:val="000000"/>
              </w:rPr>
            </w:pPr>
            <w:r>
              <w:rPr>
                <w:rFonts w:cs="Calibri"/>
                <w:color w:val="000000"/>
              </w:rPr>
              <w:t>58,408</w:t>
            </w:r>
          </w:p>
        </w:tc>
      </w:tr>
      <w:tr w:rsidR="0040521B" w:rsidRPr="00BC0B36" w:rsidTr="0053283A">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40521B" w:rsidRPr="00BC0B36" w:rsidRDefault="0040521B" w:rsidP="0053283A">
            <w:pPr>
              <w:rPr>
                <w:rFonts w:cs="Calibri"/>
                <w:color w:val="000000"/>
              </w:rPr>
            </w:pPr>
            <w:r>
              <w:rPr>
                <w:rFonts w:cs="Calibri"/>
                <w:color w:val="000000"/>
              </w:rPr>
              <w:t xml:space="preserve">% Humanitarian Refugee </w:t>
            </w:r>
          </w:p>
        </w:tc>
        <w:tc>
          <w:tcPr>
            <w:tcW w:w="1276" w:type="dxa"/>
            <w:tcBorders>
              <w:top w:val="nil"/>
              <w:left w:val="nil"/>
              <w:bottom w:val="single" w:sz="4" w:space="0" w:color="auto"/>
              <w:right w:val="single" w:sz="4" w:space="0" w:color="auto"/>
            </w:tcBorders>
            <w:shd w:val="clear" w:color="auto" w:fill="auto"/>
            <w:noWrap/>
            <w:vAlign w:val="center"/>
            <w:hideMark/>
          </w:tcPr>
          <w:p w:rsidR="0040521B" w:rsidRPr="00BC0B36" w:rsidRDefault="0040521B" w:rsidP="0053283A">
            <w:pPr>
              <w:jc w:val="center"/>
              <w:rPr>
                <w:rFonts w:cs="Calibri"/>
                <w:color w:val="000000"/>
              </w:rPr>
            </w:pPr>
            <w:r>
              <w:rPr>
                <w:rFonts w:cs="Calibri"/>
                <w:color w:val="000000"/>
              </w:rPr>
              <w:t>1%</w:t>
            </w:r>
          </w:p>
        </w:tc>
        <w:tc>
          <w:tcPr>
            <w:tcW w:w="1340" w:type="dxa"/>
            <w:tcBorders>
              <w:top w:val="nil"/>
              <w:left w:val="nil"/>
              <w:bottom w:val="single" w:sz="4" w:space="0" w:color="auto"/>
              <w:right w:val="single" w:sz="4" w:space="0" w:color="auto"/>
            </w:tcBorders>
            <w:shd w:val="clear" w:color="auto" w:fill="auto"/>
            <w:noWrap/>
            <w:vAlign w:val="center"/>
            <w:hideMark/>
          </w:tcPr>
          <w:p w:rsidR="0040521B" w:rsidRPr="00BC0B36" w:rsidRDefault="0040521B" w:rsidP="0053283A">
            <w:pPr>
              <w:jc w:val="center"/>
              <w:rPr>
                <w:rFonts w:cs="Calibri"/>
                <w:color w:val="000000"/>
              </w:rPr>
            </w:pPr>
            <w:r>
              <w:rPr>
                <w:rFonts w:cs="Calibri"/>
                <w:color w:val="000000"/>
              </w:rPr>
              <w:t>2%</w:t>
            </w:r>
          </w:p>
        </w:tc>
      </w:tr>
    </w:tbl>
    <w:p w:rsidR="0040521B" w:rsidRDefault="0040521B" w:rsidP="0040521B">
      <w:pPr>
        <w:ind w:firstLine="720"/>
      </w:pPr>
    </w:p>
    <w:p w:rsidR="0040521B" w:rsidRDefault="0040521B" w:rsidP="00665270">
      <w:pPr>
        <w:pStyle w:val="Heading3"/>
      </w:pPr>
      <w:r>
        <w:t>Table 26: SA and National- Humanitarian refugee participant outcomes achievement</w:t>
      </w:r>
    </w:p>
    <w:p w:rsidR="0040521B" w:rsidRDefault="0040521B" w:rsidP="0040521B"/>
    <w:tbl>
      <w:tblPr>
        <w:tblW w:w="10084" w:type="dxa"/>
        <w:tblInd w:w="89" w:type="dxa"/>
        <w:tblLayout w:type="fixed"/>
        <w:tblLook w:val="04A0" w:firstRow="1" w:lastRow="0" w:firstColumn="1" w:lastColumn="0" w:noHBand="0" w:noVBand="1"/>
      </w:tblPr>
      <w:tblGrid>
        <w:gridCol w:w="4981"/>
        <w:gridCol w:w="1275"/>
        <w:gridCol w:w="1276"/>
        <w:gridCol w:w="1276"/>
        <w:gridCol w:w="1276"/>
      </w:tblGrid>
      <w:tr w:rsidR="0040521B" w:rsidRPr="00BC0B36" w:rsidTr="0053283A">
        <w:trPr>
          <w:trHeight w:val="300"/>
          <w:tblHeader/>
        </w:trPr>
        <w:tc>
          <w:tcPr>
            <w:tcW w:w="498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40521B" w:rsidRPr="00BC0B36" w:rsidRDefault="0040521B" w:rsidP="0053283A">
            <w:pPr>
              <w:rPr>
                <w:rFonts w:cs="Calibri"/>
                <w:b/>
                <w:color w:val="000000"/>
              </w:rPr>
            </w:pPr>
            <w:r w:rsidRPr="00BC0B36">
              <w:rPr>
                <w:rFonts w:cs="Calibri"/>
                <w:b/>
                <w:color w:val="000000"/>
              </w:rPr>
              <w:t> </w:t>
            </w:r>
          </w:p>
        </w:tc>
        <w:tc>
          <w:tcPr>
            <w:tcW w:w="1275"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40521B" w:rsidRPr="00BC0B36" w:rsidRDefault="0040521B" w:rsidP="0053283A">
            <w:pPr>
              <w:jc w:val="center"/>
              <w:rPr>
                <w:rFonts w:cs="Calibri"/>
                <w:b/>
                <w:color w:val="000000"/>
              </w:rPr>
            </w:pPr>
            <w:r>
              <w:rPr>
                <w:rFonts w:cs="Calibri"/>
                <w:b/>
                <w:color w:val="000000"/>
              </w:rPr>
              <w:t>SA</w:t>
            </w:r>
          </w:p>
        </w:tc>
        <w:tc>
          <w:tcPr>
            <w:tcW w:w="1276"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40521B" w:rsidRPr="00BC0B36" w:rsidRDefault="0040521B" w:rsidP="0053283A">
            <w:pPr>
              <w:jc w:val="center"/>
              <w:rPr>
                <w:rFonts w:cs="Calibri"/>
                <w:b/>
                <w:color w:val="000000"/>
              </w:rPr>
            </w:pPr>
            <w:r>
              <w:rPr>
                <w:rFonts w:cs="Calibri"/>
                <w:b/>
                <w:color w:val="000000"/>
              </w:rPr>
              <w:t>SA %</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40521B" w:rsidRPr="00BC0B36" w:rsidRDefault="0040521B" w:rsidP="0053283A">
            <w:pPr>
              <w:jc w:val="center"/>
              <w:rPr>
                <w:rFonts w:cs="Calibri"/>
                <w:b/>
                <w:color w:val="000000"/>
              </w:rPr>
            </w:pPr>
            <w:r w:rsidRPr="00BC0B36">
              <w:rPr>
                <w:rFonts w:cs="Calibri"/>
                <w:b/>
                <w:color w:val="000000"/>
              </w:rPr>
              <w:t>National</w:t>
            </w:r>
          </w:p>
        </w:tc>
        <w:tc>
          <w:tcPr>
            <w:tcW w:w="1276"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40521B" w:rsidRPr="00BC0B36" w:rsidRDefault="0040521B" w:rsidP="0053283A">
            <w:pPr>
              <w:jc w:val="center"/>
              <w:rPr>
                <w:rFonts w:cs="Calibri"/>
                <w:b/>
                <w:color w:val="000000"/>
              </w:rPr>
            </w:pPr>
            <w:r>
              <w:rPr>
                <w:rFonts w:cs="Calibri"/>
                <w:b/>
                <w:color w:val="000000"/>
              </w:rPr>
              <w:t>National %</w:t>
            </w:r>
          </w:p>
        </w:tc>
      </w:tr>
      <w:tr w:rsidR="0040521B" w:rsidRPr="00BC0B36" w:rsidTr="0053283A">
        <w:trPr>
          <w:trHeight w:val="368"/>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40521B" w:rsidRPr="00BC0B36" w:rsidRDefault="0040521B" w:rsidP="0053283A">
            <w:pPr>
              <w:rPr>
                <w:rFonts w:cs="Calibri"/>
                <w:color w:val="000000"/>
              </w:rPr>
            </w:pPr>
            <w:r>
              <w:rPr>
                <w:rFonts w:cs="Calibri"/>
                <w:color w:val="000000"/>
              </w:rPr>
              <w:t>Humanitarian Refugee young people enrolled in individual support services</w:t>
            </w:r>
            <w:r w:rsidRPr="00BC0B36">
              <w:rPr>
                <w:rFonts w:cs="Calibri"/>
                <w:color w:val="00000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0521B" w:rsidRPr="00BC0B36" w:rsidRDefault="0040521B" w:rsidP="0053283A">
            <w:pPr>
              <w:jc w:val="center"/>
              <w:rPr>
                <w:rFonts w:cs="Calibri"/>
                <w:color w:val="000000"/>
              </w:rPr>
            </w:pPr>
            <w:r>
              <w:rPr>
                <w:rFonts w:cs="Calibri"/>
                <w:color w:val="000000"/>
              </w:rPr>
              <w:t>49</w:t>
            </w:r>
          </w:p>
        </w:tc>
        <w:tc>
          <w:tcPr>
            <w:tcW w:w="1276" w:type="dxa"/>
            <w:tcBorders>
              <w:top w:val="nil"/>
              <w:left w:val="nil"/>
              <w:bottom w:val="single" w:sz="4" w:space="0" w:color="auto"/>
              <w:right w:val="single" w:sz="4" w:space="0" w:color="auto"/>
            </w:tcBorders>
            <w:shd w:val="clear" w:color="auto" w:fill="auto"/>
            <w:vAlign w:val="center"/>
          </w:tcPr>
          <w:p w:rsidR="0040521B" w:rsidRPr="00BC0B36" w:rsidRDefault="0040521B" w:rsidP="0053283A">
            <w:pPr>
              <w:jc w:val="center"/>
              <w:rPr>
                <w:rFonts w:cs="Calibri"/>
                <w:color w:val="000000"/>
              </w:rPr>
            </w:pPr>
            <w:r>
              <w:rPr>
                <w:rFonts w:cs="Calibri"/>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rsidR="0040521B" w:rsidRPr="00BC0B36" w:rsidRDefault="0040521B" w:rsidP="0053283A">
            <w:pPr>
              <w:jc w:val="center"/>
              <w:rPr>
                <w:rFonts w:cs="Calibri"/>
                <w:color w:val="000000"/>
              </w:rPr>
            </w:pPr>
            <w:r>
              <w:rPr>
                <w:rFonts w:cs="Calibri"/>
                <w:color w:val="000000"/>
              </w:rPr>
              <w:t>892</w:t>
            </w:r>
          </w:p>
        </w:tc>
        <w:tc>
          <w:tcPr>
            <w:tcW w:w="1276" w:type="dxa"/>
            <w:tcBorders>
              <w:top w:val="nil"/>
              <w:left w:val="nil"/>
              <w:bottom w:val="single" w:sz="4" w:space="0" w:color="auto"/>
              <w:right w:val="single" w:sz="4" w:space="0" w:color="auto"/>
            </w:tcBorders>
            <w:shd w:val="clear" w:color="auto" w:fill="auto"/>
            <w:vAlign w:val="center"/>
          </w:tcPr>
          <w:p w:rsidR="0040521B" w:rsidRPr="00BC0B36" w:rsidRDefault="0040521B" w:rsidP="0053283A">
            <w:pPr>
              <w:jc w:val="center"/>
              <w:rPr>
                <w:rFonts w:cs="Calibri"/>
                <w:color w:val="000000"/>
              </w:rPr>
            </w:pPr>
            <w:r>
              <w:rPr>
                <w:rFonts w:cs="Calibri"/>
                <w:color w:val="000000"/>
              </w:rPr>
              <w:t>-</w:t>
            </w:r>
          </w:p>
        </w:tc>
      </w:tr>
      <w:tr w:rsidR="0040521B" w:rsidRPr="00BC0B36" w:rsidTr="0053283A">
        <w:trPr>
          <w:trHeight w:val="600"/>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40521B" w:rsidRPr="00BC0B36" w:rsidRDefault="0040521B" w:rsidP="0053283A">
            <w:pPr>
              <w:rPr>
                <w:rFonts w:cs="Calibri"/>
                <w:color w:val="000000"/>
              </w:rPr>
            </w:pPr>
            <w:r>
              <w:rPr>
                <w:rFonts w:cs="Calibri"/>
                <w:color w:val="000000"/>
              </w:rPr>
              <w:t>Humanitarian Refugee young people who have achieved a progressive outcome</w:t>
            </w:r>
          </w:p>
        </w:tc>
        <w:tc>
          <w:tcPr>
            <w:tcW w:w="1275" w:type="dxa"/>
            <w:tcBorders>
              <w:top w:val="nil"/>
              <w:left w:val="nil"/>
              <w:bottom w:val="single" w:sz="4" w:space="0" w:color="auto"/>
              <w:right w:val="single" w:sz="4" w:space="0" w:color="auto"/>
            </w:tcBorders>
            <w:shd w:val="clear" w:color="auto" w:fill="auto"/>
            <w:noWrap/>
            <w:vAlign w:val="center"/>
            <w:hideMark/>
          </w:tcPr>
          <w:p w:rsidR="0040521B" w:rsidRPr="00BC0B36" w:rsidRDefault="0040521B" w:rsidP="0053283A">
            <w:pPr>
              <w:jc w:val="center"/>
              <w:rPr>
                <w:rFonts w:cs="Calibri"/>
                <w:color w:val="000000"/>
              </w:rPr>
            </w:pPr>
            <w:r>
              <w:rPr>
                <w:rFonts w:cs="Calibri"/>
                <w:color w:val="000000"/>
              </w:rPr>
              <w:t>36</w:t>
            </w:r>
          </w:p>
        </w:tc>
        <w:tc>
          <w:tcPr>
            <w:tcW w:w="1276" w:type="dxa"/>
            <w:tcBorders>
              <w:top w:val="nil"/>
              <w:left w:val="nil"/>
              <w:bottom w:val="single" w:sz="4" w:space="0" w:color="auto"/>
              <w:right w:val="single" w:sz="4" w:space="0" w:color="auto"/>
            </w:tcBorders>
            <w:shd w:val="clear" w:color="auto" w:fill="auto"/>
            <w:vAlign w:val="center"/>
          </w:tcPr>
          <w:p w:rsidR="0040521B" w:rsidRPr="00BC0B36" w:rsidRDefault="0040521B" w:rsidP="0053283A">
            <w:pPr>
              <w:jc w:val="center"/>
              <w:rPr>
                <w:rFonts w:cs="Calibri"/>
                <w:color w:val="000000"/>
              </w:rPr>
            </w:pPr>
            <w:r>
              <w:rPr>
                <w:rFonts w:cs="Calibri"/>
                <w:color w:val="000000"/>
              </w:rPr>
              <w:t>73%</w:t>
            </w:r>
          </w:p>
        </w:tc>
        <w:tc>
          <w:tcPr>
            <w:tcW w:w="1276" w:type="dxa"/>
            <w:tcBorders>
              <w:top w:val="nil"/>
              <w:left w:val="nil"/>
              <w:bottom w:val="single" w:sz="4" w:space="0" w:color="auto"/>
              <w:right w:val="single" w:sz="4" w:space="0" w:color="auto"/>
            </w:tcBorders>
            <w:shd w:val="clear" w:color="auto" w:fill="auto"/>
            <w:noWrap/>
            <w:vAlign w:val="center"/>
            <w:hideMark/>
          </w:tcPr>
          <w:p w:rsidR="0040521B" w:rsidRPr="00BC0B36" w:rsidRDefault="0040521B" w:rsidP="0053283A">
            <w:pPr>
              <w:jc w:val="center"/>
              <w:rPr>
                <w:rFonts w:cs="Calibri"/>
                <w:color w:val="000000"/>
              </w:rPr>
            </w:pPr>
            <w:r>
              <w:rPr>
                <w:rFonts w:cs="Calibri"/>
                <w:color w:val="000000"/>
              </w:rPr>
              <w:t>730</w:t>
            </w:r>
          </w:p>
        </w:tc>
        <w:tc>
          <w:tcPr>
            <w:tcW w:w="1276" w:type="dxa"/>
            <w:tcBorders>
              <w:top w:val="nil"/>
              <w:left w:val="nil"/>
              <w:bottom w:val="single" w:sz="4" w:space="0" w:color="auto"/>
              <w:right w:val="single" w:sz="4" w:space="0" w:color="auto"/>
            </w:tcBorders>
            <w:shd w:val="clear" w:color="auto" w:fill="auto"/>
            <w:vAlign w:val="center"/>
          </w:tcPr>
          <w:p w:rsidR="0040521B" w:rsidRPr="00BC0B36" w:rsidRDefault="0040521B" w:rsidP="0053283A">
            <w:pPr>
              <w:jc w:val="center"/>
              <w:rPr>
                <w:rFonts w:cs="Calibri"/>
                <w:color w:val="000000"/>
              </w:rPr>
            </w:pPr>
            <w:r>
              <w:rPr>
                <w:rFonts w:cs="Calibri"/>
                <w:color w:val="000000"/>
              </w:rPr>
              <w:t>82%</w:t>
            </w:r>
          </w:p>
        </w:tc>
      </w:tr>
      <w:tr w:rsidR="0040521B" w:rsidRPr="00BC0B36" w:rsidTr="0053283A">
        <w:trPr>
          <w:trHeight w:val="600"/>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40521B" w:rsidRPr="00BC0B36" w:rsidRDefault="0040521B" w:rsidP="0053283A">
            <w:pPr>
              <w:rPr>
                <w:rFonts w:cs="Calibri"/>
                <w:color w:val="000000"/>
              </w:rPr>
            </w:pPr>
            <w:r>
              <w:rPr>
                <w:rFonts w:cs="Calibri"/>
                <w:color w:val="000000"/>
              </w:rPr>
              <w:t>Humanitarian Refugee young people who have achieved a final outcome</w:t>
            </w:r>
          </w:p>
        </w:tc>
        <w:tc>
          <w:tcPr>
            <w:tcW w:w="1275" w:type="dxa"/>
            <w:tcBorders>
              <w:top w:val="nil"/>
              <w:left w:val="nil"/>
              <w:bottom w:val="single" w:sz="4" w:space="0" w:color="auto"/>
              <w:right w:val="single" w:sz="4" w:space="0" w:color="auto"/>
            </w:tcBorders>
            <w:shd w:val="clear" w:color="auto" w:fill="auto"/>
            <w:noWrap/>
            <w:vAlign w:val="center"/>
            <w:hideMark/>
          </w:tcPr>
          <w:p w:rsidR="0040521B" w:rsidRPr="00BC0B36" w:rsidRDefault="0040521B" w:rsidP="0053283A">
            <w:pPr>
              <w:jc w:val="center"/>
              <w:rPr>
                <w:rFonts w:cs="Calibri"/>
                <w:color w:val="000000"/>
              </w:rPr>
            </w:pPr>
            <w:r>
              <w:rPr>
                <w:rFonts w:cs="Calibri"/>
                <w:color w:val="000000"/>
              </w:rPr>
              <w:t>14</w:t>
            </w:r>
          </w:p>
        </w:tc>
        <w:tc>
          <w:tcPr>
            <w:tcW w:w="1276" w:type="dxa"/>
            <w:tcBorders>
              <w:top w:val="nil"/>
              <w:left w:val="nil"/>
              <w:bottom w:val="single" w:sz="4" w:space="0" w:color="auto"/>
              <w:right w:val="single" w:sz="4" w:space="0" w:color="auto"/>
            </w:tcBorders>
            <w:shd w:val="clear" w:color="auto" w:fill="auto"/>
            <w:vAlign w:val="center"/>
          </w:tcPr>
          <w:p w:rsidR="0040521B" w:rsidRPr="00BC0B36" w:rsidRDefault="0040521B" w:rsidP="0053283A">
            <w:pPr>
              <w:jc w:val="center"/>
              <w:rPr>
                <w:rFonts w:cs="Calibri"/>
                <w:color w:val="000000"/>
              </w:rPr>
            </w:pPr>
            <w:r>
              <w:rPr>
                <w:rFonts w:cs="Calibri"/>
                <w:color w:val="000000"/>
              </w:rPr>
              <w:t>29%</w:t>
            </w:r>
          </w:p>
        </w:tc>
        <w:tc>
          <w:tcPr>
            <w:tcW w:w="1276" w:type="dxa"/>
            <w:tcBorders>
              <w:top w:val="nil"/>
              <w:left w:val="nil"/>
              <w:bottom w:val="single" w:sz="4" w:space="0" w:color="auto"/>
              <w:right w:val="single" w:sz="4" w:space="0" w:color="auto"/>
            </w:tcBorders>
            <w:shd w:val="clear" w:color="auto" w:fill="auto"/>
            <w:noWrap/>
            <w:vAlign w:val="center"/>
            <w:hideMark/>
          </w:tcPr>
          <w:p w:rsidR="0040521B" w:rsidRPr="00BC0B36" w:rsidRDefault="0040521B" w:rsidP="0053283A">
            <w:pPr>
              <w:jc w:val="center"/>
              <w:rPr>
                <w:rFonts w:cs="Calibri"/>
                <w:color w:val="000000"/>
              </w:rPr>
            </w:pPr>
            <w:r>
              <w:rPr>
                <w:rFonts w:cs="Calibri"/>
                <w:color w:val="000000"/>
              </w:rPr>
              <w:t>622</w:t>
            </w:r>
          </w:p>
        </w:tc>
        <w:tc>
          <w:tcPr>
            <w:tcW w:w="1276" w:type="dxa"/>
            <w:tcBorders>
              <w:top w:val="nil"/>
              <w:left w:val="nil"/>
              <w:bottom w:val="single" w:sz="4" w:space="0" w:color="auto"/>
              <w:right w:val="single" w:sz="4" w:space="0" w:color="auto"/>
            </w:tcBorders>
            <w:shd w:val="clear" w:color="auto" w:fill="auto"/>
            <w:vAlign w:val="center"/>
          </w:tcPr>
          <w:p w:rsidR="0040521B" w:rsidRPr="00BC0B36" w:rsidRDefault="0040521B" w:rsidP="0053283A">
            <w:pPr>
              <w:jc w:val="center"/>
              <w:rPr>
                <w:rFonts w:cs="Calibri"/>
                <w:color w:val="000000"/>
              </w:rPr>
            </w:pPr>
            <w:r>
              <w:rPr>
                <w:rFonts w:cs="Calibri"/>
                <w:color w:val="000000"/>
              </w:rPr>
              <w:t>70%</w:t>
            </w:r>
          </w:p>
        </w:tc>
      </w:tr>
    </w:tbl>
    <w:p w:rsidR="0040521B" w:rsidRPr="003754C6" w:rsidRDefault="0040521B" w:rsidP="00665270">
      <w:pPr>
        <w:pStyle w:val="Heading2"/>
      </w:pPr>
      <w:bookmarkStart w:id="45" w:name="_Toc384038245"/>
      <w:r w:rsidRPr="003754C6">
        <w:t>Outreach and Re-engagement Services</w:t>
      </w:r>
      <w:bookmarkEnd w:id="45"/>
    </w:p>
    <w:p w:rsidR="0040521B" w:rsidRDefault="0040521B" w:rsidP="0040521B">
      <w:pPr>
        <w:ind w:right="-188"/>
      </w:pPr>
      <w:r>
        <w:t xml:space="preserve">Providers in South Australia </w:t>
      </w:r>
      <w:r w:rsidRPr="00D80AD9">
        <w:t xml:space="preserve">have conducted </w:t>
      </w:r>
      <w:r>
        <w:t>947</w:t>
      </w:r>
      <w:r w:rsidRPr="00D80AD9">
        <w:t xml:space="preserve"> Outreach and Re-engagement activities (some were held multiple times, resulting in</w:t>
      </w:r>
      <w:r>
        <w:t xml:space="preserve"> 1,708</w:t>
      </w:r>
      <w:r w:rsidRPr="00D80AD9">
        <w:t xml:space="preserve"> events). These activities were attended by more </w:t>
      </w:r>
      <w:r>
        <w:t>than 25,684</w:t>
      </w:r>
      <w:r w:rsidRPr="00D80AD9">
        <w:t xml:space="preserve"> people.</w:t>
      </w:r>
    </w:p>
    <w:p w:rsidR="0040521B" w:rsidRDefault="0040521B" w:rsidP="0040521B">
      <w:pPr>
        <w:ind w:right="-188"/>
      </w:pPr>
    </w:p>
    <w:p w:rsidR="0040521B" w:rsidRDefault="0040521B" w:rsidP="00665270">
      <w:pPr>
        <w:pStyle w:val="Heading3"/>
      </w:pPr>
      <w:r>
        <w:lastRenderedPageBreak/>
        <w:t>Table 27: SA Outreach and Re-engagement activities</w:t>
      </w:r>
    </w:p>
    <w:tbl>
      <w:tblPr>
        <w:tblW w:w="35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559"/>
      </w:tblGrid>
      <w:tr w:rsidR="0040521B" w:rsidRPr="00E55E11" w:rsidTr="0053283A">
        <w:trPr>
          <w:trHeight w:val="909"/>
        </w:trPr>
        <w:tc>
          <w:tcPr>
            <w:tcW w:w="2000" w:type="dxa"/>
            <w:shd w:val="clear" w:color="auto" w:fill="C6D9F1" w:themeFill="text2" w:themeFillTint="33"/>
            <w:noWrap/>
            <w:vAlign w:val="bottom"/>
            <w:hideMark/>
          </w:tcPr>
          <w:p w:rsidR="0040521B" w:rsidRPr="00E55E11" w:rsidRDefault="0040521B" w:rsidP="0053283A">
            <w:pPr>
              <w:jc w:val="center"/>
              <w:rPr>
                <w:rFonts w:cs="Calibri"/>
                <w:b/>
                <w:color w:val="000000"/>
              </w:rPr>
            </w:pPr>
            <w:r w:rsidRPr="00E55E11">
              <w:rPr>
                <w:rFonts w:cs="Calibri"/>
                <w:b/>
                <w:color w:val="000000"/>
              </w:rPr>
              <w:t>Number of people attending each event</w:t>
            </w:r>
          </w:p>
        </w:tc>
        <w:tc>
          <w:tcPr>
            <w:tcW w:w="1559" w:type="dxa"/>
            <w:shd w:val="clear" w:color="auto" w:fill="C6D9F1" w:themeFill="text2" w:themeFillTint="33"/>
            <w:noWrap/>
            <w:vAlign w:val="bottom"/>
            <w:hideMark/>
          </w:tcPr>
          <w:p w:rsidR="0040521B" w:rsidRPr="00E55E11" w:rsidRDefault="0040521B" w:rsidP="0053283A">
            <w:pPr>
              <w:jc w:val="center"/>
              <w:rPr>
                <w:rFonts w:cs="Calibri"/>
                <w:b/>
                <w:color w:val="000000"/>
              </w:rPr>
            </w:pPr>
            <w:r w:rsidRPr="00E55E11">
              <w:rPr>
                <w:rFonts w:cs="Calibri"/>
                <w:b/>
                <w:color w:val="000000"/>
              </w:rPr>
              <w:t>Number of events</w:t>
            </w:r>
          </w:p>
        </w:tc>
      </w:tr>
      <w:tr w:rsidR="0040521B" w:rsidRPr="00E55E11" w:rsidTr="0053283A">
        <w:trPr>
          <w:trHeight w:val="300"/>
        </w:trPr>
        <w:tc>
          <w:tcPr>
            <w:tcW w:w="2000" w:type="dxa"/>
            <w:shd w:val="clear" w:color="auto" w:fill="auto"/>
            <w:noWrap/>
            <w:vAlign w:val="bottom"/>
            <w:hideMark/>
          </w:tcPr>
          <w:p w:rsidR="0040521B" w:rsidRPr="00E55E11" w:rsidRDefault="0040521B" w:rsidP="0053283A">
            <w:pPr>
              <w:rPr>
                <w:rFonts w:cs="Calibri"/>
                <w:color w:val="000000"/>
              </w:rPr>
            </w:pPr>
            <w:r w:rsidRPr="00E55E11">
              <w:rPr>
                <w:rFonts w:cs="Calibri"/>
                <w:color w:val="000000"/>
              </w:rPr>
              <w:t>&lt;10</w:t>
            </w:r>
          </w:p>
        </w:tc>
        <w:tc>
          <w:tcPr>
            <w:tcW w:w="1559" w:type="dxa"/>
            <w:shd w:val="clear" w:color="auto" w:fill="auto"/>
            <w:noWrap/>
            <w:vAlign w:val="bottom"/>
            <w:hideMark/>
          </w:tcPr>
          <w:p w:rsidR="0040521B" w:rsidRDefault="0040521B" w:rsidP="0053283A">
            <w:pPr>
              <w:jc w:val="right"/>
              <w:rPr>
                <w:rFonts w:cs="Calibri"/>
                <w:color w:val="000000"/>
              </w:rPr>
            </w:pPr>
            <w:r>
              <w:rPr>
                <w:rFonts w:cs="Calibri"/>
                <w:color w:val="000000"/>
              </w:rPr>
              <w:t>1275</w:t>
            </w:r>
          </w:p>
        </w:tc>
      </w:tr>
      <w:tr w:rsidR="0040521B" w:rsidRPr="00E55E11" w:rsidTr="0053283A">
        <w:trPr>
          <w:trHeight w:val="300"/>
        </w:trPr>
        <w:tc>
          <w:tcPr>
            <w:tcW w:w="2000" w:type="dxa"/>
            <w:shd w:val="clear" w:color="auto" w:fill="auto"/>
            <w:noWrap/>
            <w:vAlign w:val="bottom"/>
            <w:hideMark/>
          </w:tcPr>
          <w:p w:rsidR="0040521B" w:rsidRPr="00E55E11" w:rsidRDefault="0040521B" w:rsidP="0053283A">
            <w:pPr>
              <w:rPr>
                <w:rFonts w:cs="Calibri"/>
                <w:color w:val="000000"/>
              </w:rPr>
            </w:pPr>
            <w:r w:rsidRPr="00E55E11">
              <w:rPr>
                <w:rFonts w:cs="Calibri"/>
                <w:color w:val="000000"/>
              </w:rPr>
              <w:t>&lt;20</w:t>
            </w:r>
          </w:p>
        </w:tc>
        <w:tc>
          <w:tcPr>
            <w:tcW w:w="1559" w:type="dxa"/>
            <w:shd w:val="clear" w:color="auto" w:fill="auto"/>
            <w:noWrap/>
            <w:vAlign w:val="bottom"/>
            <w:hideMark/>
          </w:tcPr>
          <w:p w:rsidR="0040521B" w:rsidRDefault="0040521B" w:rsidP="0053283A">
            <w:pPr>
              <w:jc w:val="right"/>
              <w:rPr>
                <w:rFonts w:cs="Calibri"/>
                <w:color w:val="000000"/>
              </w:rPr>
            </w:pPr>
            <w:r>
              <w:rPr>
                <w:rFonts w:cs="Calibri"/>
                <w:color w:val="000000"/>
              </w:rPr>
              <w:t>261</w:t>
            </w:r>
          </w:p>
        </w:tc>
      </w:tr>
      <w:tr w:rsidR="0040521B" w:rsidRPr="00E55E11" w:rsidTr="0053283A">
        <w:trPr>
          <w:trHeight w:val="300"/>
        </w:trPr>
        <w:tc>
          <w:tcPr>
            <w:tcW w:w="2000" w:type="dxa"/>
            <w:shd w:val="clear" w:color="auto" w:fill="auto"/>
            <w:noWrap/>
            <w:vAlign w:val="bottom"/>
            <w:hideMark/>
          </w:tcPr>
          <w:p w:rsidR="0040521B" w:rsidRPr="00E55E11" w:rsidRDefault="0040521B" w:rsidP="0053283A">
            <w:pPr>
              <w:rPr>
                <w:rFonts w:cs="Calibri"/>
                <w:color w:val="000000"/>
              </w:rPr>
            </w:pPr>
            <w:r w:rsidRPr="00E55E11">
              <w:rPr>
                <w:rFonts w:cs="Calibri"/>
                <w:color w:val="000000"/>
              </w:rPr>
              <w:t>&lt;50</w:t>
            </w:r>
          </w:p>
        </w:tc>
        <w:tc>
          <w:tcPr>
            <w:tcW w:w="1559" w:type="dxa"/>
            <w:shd w:val="clear" w:color="auto" w:fill="auto"/>
            <w:noWrap/>
            <w:vAlign w:val="bottom"/>
            <w:hideMark/>
          </w:tcPr>
          <w:p w:rsidR="0040521B" w:rsidRDefault="0040521B" w:rsidP="0053283A">
            <w:pPr>
              <w:jc w:val="right"/>
              <w:rPr>
                <w:rFonts w:cs="Calibri"/>
                <w:color w:val="000000"/>
              </w:rPr>
            </w:pPr>
            <w:r>
              <w:rPr>
                <w:rFonts w:cs="Calibri"/>
                <w:color w:val="000000"/>
              </w:rPr>
              <w:t>66</w:t>
            </w:r>
          </w:p>
        </w:tc>
      </w:tr>
      <w:tr w:rsidR="0040521B" w:rsidRPr="00E55E11" w:rsidTr="0053283A">
        <w:trPr>
          <w:trHeight w:val="300"/>
        </w:trPr>
        <w:tc>
          <w:tcPr>
            <w:tcW w:w="2000" w:type="dxa"/>
            <w:shd w:val="clear" w:color="auto" w:fill="auto"/>
            <w:noWrap/>
            <w:vAlign w:val="bottom"/>
            <w:hideMark/>
          </w:tcPr>
          <w:p w:rsidR="0040521B" w:rsidRPr="00E55E11" w:rsidRDefault="0040521B" w:rsidP="0053283A">
            <w:pPr>
              <w:rPr>
                <w:rFonts w:cs="Calibri"/>
                <w:color w:val="000000"/>
              </w:rPr>
            </w:pPr>
            <w:r>
              <w:rPr>
                <w:rFonts w:cs="Calibri"/>
                <w:color w:val="000000"/>
              </w:rPr>
              <w:t>&lt;5</w:t>
            </w:r>
            <w:r w:rsidRPr="00E55E11">
              <w:rPr>
                <w:rFonts w:cs="Calibri"/>
                <w:color w:val="000000"/>
              </w:rPr>
              <w:t>00</w:t>
            </w:r>
          </w:p>
        </w:tc>
        <w:tc>
          <w:tcPr>
            <w:tcW w:w="1559" w:type="dxa"/>
            <w:shd w:val="clear" w:color="auto" w:fill="auto"/>
            <w:noWrap/>
            <w:vAlign w:val="bottom"/>
            <w:hideMark/>
          </w:tcPr>
          <w:p w:rsidR="0040521B" w:rsidRDefault="0040521B" w:rsidP="0053283A">
            <w:pPr>
              <w:jc w:val="right"/>
              <w:rPr>
                <w:rFonts w:cs="Calibri"/>
                <w:color w:val="000000"/>
              </w:rPr>
            </w:pPr>
            <w:r>
              <w:rPr>
                <w:rFonts w:cs="Calibri"/>
                <w:color w:val="000000"/>
              </w:rPr>
              <w:t>104</w:t>
            </w:r>
          </w:p>
        </w:tc>
      </w:tr>
      <w:tr w:rsidR="0040521B" w:rsidRPr="00E55E11" w:rsidTr="0053283A">
        <w:trPr>
          <w:trHeight w:val="300"/>
        </w:trPr>
        <w:tc>
          <w:tcPr>
            <w:tcW w:w="2000" w:type="dxa"/>
            <w:shd w:val="clear" w:color="auto" w:fill="auto"/>
            <w:noWrap/>
            <w:vAlign w:val="bottom"/>
            <w:hideMark/>
          </w:tcPr>
          <w:p w:rsidR="0040521B" w:rsidRPr="00E55E11" w:rsidRDefault="0040521B" w:rsidP="0053283A">
            <w:pPr>
              <w:rPr>
                <w:rFonts w:cs="Calibri"/>
                <w:color w:val="000000"/>
              </w:rPr>
            </w:pPr>
            <w:r>
              <w:rPr>
                <w:rFonts w:cs="Calibri"/>
                <w:color w:val="000000"/>
              </w:rPr>
              <w:t>&gt;5</w:t>
            </w:r>
            <w:r w:rsidRPr="00E55E11">
              <w:rPr>
                <w:rFonts w:cs="Calibri"/>
                <w:color w:val="000000"/>
              </w:rPr>
              <w:t>00</w:t>
            </w:r>
          </w:p>
        </w:tc>
        <w:tc>
          <w:tcPr>
            <w:tcW w:w="1559" w:type="dxa"/>
            <w:shd w:val="clear" w:color="auto" w:fill="auto"/>
            <w:noWrap/>
            <w:vAlign w:val="bottom"/>
            <w:hideMark/>
          </w:tcPr>
          <w:p w:rsidR="0040521B" w:rsidRDefault="0040521B" w:rsidP="0053283A">
            <w:pPr>
              <w:jc w:val="right"/>
              <w:rPr>
                <w:rFonts w:cs="Calibri"/>
                <w:color w:val="000000"/>
              </w:rPr>
            </w:pPr>
            <w:r>
              <w:rPr>
                <w:rFonts w:cs="Calibri"/>
                <w:color w:val="000000"/>
              </w:rPr>
              <w:t>2</w:t>
            </w:r>
          </w:p>
        </w:tc>
      </w:tr>
    </w:tbl>
    <w:p w:rsidR="0040521B" w:rsidRDefault="0040521B" w:rsidP="0040521B">
      <w:pPr>
        <w:ind w:right="-188"/>
      </w:pPr>
    </w:p>
    <w:p w:rsidR="0040521B" w:rsidRDefault="0040521B" w:rsidP="0040521B">
      <w:pPr>
        <w:ind w:right="-188"/>
      </w:pPr>
      <w:r>
        <w:t>638 of these activities were identified as having an Indigenous focus; 272 were identified as having a humanitarian refugee focus.</w:t>
      </w:r>
    </w:p>
    <w:p w:rsidR="0040521B" w:rsidRPr="003754C6" w:rsidRDefault="0040521B" w:rsidP="001C2321">
      <w:pPr>
        <w:pStyle w:val="Heading2"/>
        <w:spacing w:after="0"/>
      </w:pPr>
      <w:bookmarkStart w:id="46" w:name="_Toc384038246"/>
      <w:r w:rsidRPr="003754C6">
        <w:t>Strengthening Services in the Region</w:t>
      </w:r>
      <w:bookmarkEnd w:id="46"/>
    </w:p>
    <w:p w:rsidR="0040521B" w:rsidRDefault="0040521B" w:rsidP="0040521B">
      <w:pPr>
        <w:ind w:right="-188"/>
      </w:pPr>
      <w:r>
        <w:t>Providers in South Australia have conducted 698 activities to strengthen services in their region. 238 of these activities were identified as having an Indigenous focus, 62 were identified as having a humanitarian refugee focus.</w:t>
      </w:r>
    </w:p>
    <w:p w:rsidR="0040521B" w:rsidRDefault="0040521B" w:rsidP="00665270">
      <w:pPr>
        <w:pStyle w:val="Heading3"/>
      </w:pPr>
      <w:r>
        <w:t>Table 28: SA Strengthening Services in the Region activities</w:t>
      </w:r>
    </w:p>
    <w:tbl>
      <w:tblPr>
        <w:tblStyle w:val="TableGrid"/>
        <w:tblW w:w="0" w:type="auto"/>
        <w:tblLook w:val="04A0" w:firstRow="1" w:lastRow="0" w:firstColumn="1" w:lastColumn="0" w:noHBand="0" w:noVBand="1"/>
        <w:tblDescription w:val="Table 28: SA Strengthening Services in the Region activities"/>
      </w:tblPr>
      <w:tblGrid>
        <w:gridCol w:w="7045"/>
        <w:gridCol w:w="1683"/>
        <w:gridCol w:w="1268"/>
      </w:tblGrid>
      <w:tr w:rsidR="0040521B" w:rsidRPr="00AC5CCC" w:rsidTr="0058742A">
        <w:trPr>
          <w:tblHeader/>
        </w:trPr>
        <w:tc>
          <w:tcPr>
            <w:tcW w:w="7196" w:type="dxa"/>
            <w:shd w:val="clear" w:color="auto" w:fill="C6D9F1" w:themeFill="text2" w:themeFillTint="33"/>
            <w:vAlign w:val="center"/>
          </w:tcPr>
          <w:p w:rsidR="0040521B" w:rsidRPr="00AC5CCC" w:rsidRDefault="0040521B" w:rsidP="0053283A">
            <w:pPr>
              <w:jc w:val="center"/>
              <w:rPr>
                <w:b/>
              </w:rPr>
            </w:pPr>
            <w:r w:rsidRPr="00AC5CCC">
              <w:rPr>
                <w:b/>
              </w:rPr>
              <w:t>Outcome</w:t>
            </w:r>
          </w:p>
        </w:tc>
        <w:tc>
          <w:tcPr>
            <w:tcW w:w="1701" w:type="dxa"/>
            <w:shd w:val="clear" w:color="auto" w:fill="C6D9F1" w:themeFill="text2" w:themeFillTint="33"/>
            <w:vAlign w:val="center"/>
          </w:tcPr>
          <w:p w:rsidR="0040521B" w:rsidRPr="00AC5CCC" w:rsidRDefault="0040521B" w:rsidP="001C2321">
            <w:pPr>
              <w:jc w:val="center"/>
              <w:rPr>
                <w:b/>
              </w:rPr>
            </w:pPr>
            <w:r w:rsidRPr="00AC5CCC">
              <w:rPr>
                <w:b/>
              </w:rPr>
              <w:t>Number of times outcome selected</w:t>
            </w:r>
          </w:p>
        </w:tc>
        <w:tc>
          <w:tcPr>
            <w:tcW w:w="1276" w:type="dxa"/>
            <w:shd w:val="clear" w:color="auto" w:fill="C6D9F1" w:themeFill="text2" w:themeFillTint="33"/>
            <w:vAlign w:val="center"/>
          </w:tcPr>
          <w:p w:rsidR="0040521B" w:rsidRPr="00AC5CCC" w:rsidRDefault="0040521B" w:rsidP="001C2321">
            <w:pPr>
              <w:jc w:val="center"/>
              <w:rPr>
                <w:b/>
              </w:rPr>
            </w:pPr>
            <w:r w:rsidRPr="00AC5CCC">
              <w:rPr>
                <w:b/>
              </w:rPr>
              <w:t>Average rating</w:t>
            </w:r>
          </w:p>
        </w:tc>
      </w:tr>
      <w:tr w:rsidR="0040521B" w:rsidTr="001C2321">
        <w:tc>
          <w:tcPr>
            <w:tcW w:w="7196" w:type="dxa"/>
            <w:vAlign w:val="bottom"/>
          </w:tcPr>
          <w:p w:rsidR="0040521B" w:rsidRDefault="0040521B" w:rsidP="0053283A">
            <w:pPr>
              <w:rPr>
                <w:rFonts w:cs="Calibri"/>
                <w:color w:val="000000"/>
              </w:rPr>
            </w:pPr>
            <w:r>
              <w:rPr>
                <w:rFonts w:cs="Calibri"/>
                <w:color w:val="000000"/>
              </w:rPr>
              <w:t>Communication channels between agencies which support at risk young people were created or strengthened.</w:t>
            </w:r>
          </w:p>
        </w:tc>
        <w:tc>
          <w:tcPr>
            <w:tcW w:w="1701" w:type="dxa"/>
            <w:vAlign w:val="bottom"/>
          </w:tcPr>
          <w:p w:rsidR="0040521B" w:rsidRDefault="0040521B" w:rsidP="001C2321">
            <w:pPr>
              <w:jc w:val="right"/>
              <w:rPr>
                <w:rFonts w:cs="Calibri"/>
                <w:color w:val="000000"/>
              </w:rPr>
            </w:pPr>
            <w:r>
              <w:rPr>
                <w:rFonts w:cs="Calibri"/>
                <w:color w:val="000000"/>
              </w:rPr>
              <w:t>474</w:t>
            </w:r>
          </w:p>
        </w:tc>
        <w:tc>
          <w:tcPr>
            <w:tcW w:w="1276" w:type="dxa"/>
            <w:vAlign w:val="bottom"/>
          </w:tcPr>
          <w:p w:rsidR="0040521B" w:rsidRDefault="0040521B" w:rsidP="001C2321">
            <w:pPr>
              <w:jc w:val="right"/>
              <w:rPr>
                <w:rFonts w:cs="Calibri"/>
                <w:color w:val="000000"/>
              </w:rPr>
            </w:pPr>
            <w:r>
              <w:rPr>
                <w:rFonts w:cs="Calibri"/>
                <w:color w:val="000000"/>
              </w:rPr>
              <w:t>3.9</w:t>
            </w:r>
          </w:p>
        </w:tc>
      </w:tr>
      <w:tr w:rsidR="0040521B" w:rsidTr="001C2321">
        <w:tc>
          <w:tcPr>
            <w:tcW w:w="7196" w:type="dxa"/>
            <w:vAlign w:val="bottom"/>
          </w:tcPr>
          <w:p w:rsidR="0040521B" w:rsidRDefault="0040521B" w:rsidP="0053283A">
            <w:pPr>
              <w:rPr>
                <w:rFonts w:cs="Calibri"/>
                <w:color w:val="000000"/>
              </w:rPr>
            </w:pPr>
            <w:r>
              <w:rPr>
                <w:rFonts w:cs="Calibri"/>
                <w:color w:val="000000"/>
              </w:rPr>
              <w:t>Families and communities are more positively involved in the lives of at risk young people.</w:t>
            </w:r>
          </w:p>
        </w:tc>
        <w:tc>
          <w:tcPr>
            <w:tcW w:w="1701" w:type="dxa"/>
            <w:vAlign w:val="bottom"/>
          </w:tcPr>
          <w:p w:rsidR="0040521B" w:rsidRDefault="0040521B" w:rsidP="001C2321">
            <w:pPr>
              <w:jc w:val="right"/>
              <w:rPr>
                <w:rFonts w:cs="Calibri"/>
                <w:color w:val="000000"/>
              </w:rPr>
            </w:pPr>
            <w:r>
              <w:rPr>
                <w:rFonts w:cs="Calibri"/>
                <w:color w:val="000000"/>
              </w:rPr>
              <w:t>150</w:t>
            </w:r>
          </w:p>
        </w:tc>
        <w:tc>
          <w:tcPr>
            <w:tcW w:w="1276" w:type="dxa"/>
            <w:vAlign w:val="bottom"/>
          </w:tcPr>
          <w:p w:rsidR="0040521B" w:rsidRDefault="0040521B" w:rsidP="001C2321">
            <w:pPr>
              <w:jc w:val="right"/>
              <w:rPr>
                <w:rFonts w:cs="Calibri"/>
                <w:color w:val="000000"/>
              </w:rPr>
            </w:pPr>
            <w:r>
              <w:rPr>
                <w:rFonts w:cs="Calibri"/>
                <w:color w:val="000000"/>
              </w:rPr>
              <w:t>3.6</w:t>
            </w:r>
          </w:p>
        </w:tc>
      </w:tr>
      <w:tr w:rsidR="0040521B" w:rsidTr="001C2321">
        <w:tc>
          <w:tcPr>
            <w:tcW w:w="7196" w:type="dxa"/>
            <w:vAlign w:val="bottom"/>
          </w:tcPr>
          <w:p w:rsidR="0040521B" w:rsidRDefault="0040521B" w:rsidP="0053283A">
            <w:pPr>
              <w:rPr>
                <w:rFonts w:cs="Calibri"/>
                <w:color w:val="000000"/>
              </w:rPr>
            </w:pPr>
            <w:r>
              <w:rPr>
                <w:rFonts w:cs="Calibri"/>
                <w:color w:val="000000"/>
              </w:rPr>
              <w:t>Families of at risk young people are more involved in their community.</w:t>
            </w:r>
          </w:p>
        </w:tc>
        <w:tc>
          <w:tcPr>
            <w:tcW w:w="1701" w:type="dxa"/>
            <w:vAlign w:val="bottom"/>
          </w:tcPr>
          <w:p w:rsidR="0040521B" w:rsidRDefault="0040521B" w:rsidP="001C2321">
            <w:pPr>
              <w:jc w:val="right"/>
              <w:rPr>
                <w:rFonts w:cs="Calibri"/>
                <w:color w:val="000000"/>
              </w:rPr>
            </w:pPr>
            <w:r>
              <w:rPr>
                <w:rFonts w:cs="Calibri"/>
                <w:color w:val="000000"/>
              </w:rPr>
              <w:t>83</w:t>
            </w:r>
          </w:p>
        </w:tc>
        <w:tc>
          <w:tcPr>
            <w:tcW w:w="1276" w:type="dxa"/>
            <w:vAlign w:val="bottom"/>
          </w:tcPr>
          <w:p w:rsidR="0040521B" w:rsidRDefault="0040521B" w:rsidP="001C2321">
            <w:pPr>
              <w:jc w:val="right"/>
              <w:rPr>
                <w:rFonts w:cs="Calibri"/>
                <w:color w:val="000000"/>
              </w:rPr>
            </w:pPr>
            <w:r>
              <w:rPr>
                <w:rFonts w:cs="Calibri"/>
                <w:color w:val="000000"/>
              </w:rPr>
              <w:t>3.5</w:t>
            </w:r>
          </w:p>
        </w:tc>
      </w:tr>
      <w:tr w:rsidR="0040521B" w:rsidTr="001C2321">
        <w:tc>
          <w:tcPr>
            <w:tcW w:w="7196" w:type="dxa"/>
            <w:vAlign w:val="bottom"/>
          </w:tcPr>
          <w:p w:rsidR="0040521B" w:rsidRDefault="0040521B" w:rsidP="0053283A">
            <w:pPr>
              <w:rPr>
                <w:rFonts w:cs="Calibri"/>
                <w:color w:val="000000"/>
              </w:rPr>
            </w:pPr>
            <w:r>
              <w:rPr>
                <w:rFonts w:cs="Calibri"/>
                <w:color w:val="000000"/>
              </w:rPr>
              <w:t>Regional solutions were implemented to improve careers and transitions services in the region with a focus on supporting at risk young people.</w:t>
            </w:r>
          </w:p>
        </w:tc>
        <w:tc>
          <w:tcPr>
            <w:tcW w:w="1701" w:type="dxa"/>
            <w:vAlign w:val="bottom"/>
          </w:tcPr>
          <w:p w:rsidR="0040521B" w:rsidRDefault="0040521B" w:rsidP="001C2321">
            <w:pPr>
              <w:jc w:val="right"/>
              <w:rPr>
                <w:rFonts w:cs="Calibri"/>
                <w:color w:val="000000"/>
              </w:rPr>
            </w:pPr>
            <w:r>
              <w:rPr>
                <w:rFonts w:cs="Calibri"/>
                <w:color w:val="000000"/>
              </w:rPr>
              <w:t>114</w:t>
            </w:r>
          </w:p>
        </w:tc>
        <w:tc>
          <w:tcPr>
            <w:tcW w:w="1276" w:type="dxa"/>
            <w:vAlign w:val="bottom"/>
          </w:tcPr>
          <w:p w:rsidR="0040521B" w:rsidRDefault="0040521B" w:rsidP="001C2321">
            <w:pPr>
              <w:jc w:val="right"/>
              <w:rPr>
                <w:rFonts w:cs="Calibri"/>
                <w:color w:val="000000"/>
              </w:rPr>
            </w:pPr>
            <w:r>
              <w:rPr>
                <w:rFonts w:cs="Calibri"/>
                <w:color w:val="000000"/>
              </w:rPr>
              <w:t>3.6</w:t>
            </w:r>
          </w:p>
        </w:tc>
      </w:tr>
      <w:tr w:rsidR="0040521B" w:rsidTr="001C2321">
        <w:tc>
          <w:tcPr>
            <w:tcW w:w="7196" w:type="dxa"/>
            <w:vAlign w:val="bottom"/>
          </w:tcPr>
          <w:p w:rsidR="0040521B" w:rsidRDefault="0040521B" w:rsidP="0053283A">
            <w:pPr>
              <w:rPr>
                <w:rFonts w:cs="Calibri"/>
                <w:color w:val="000000"/>
              </w:rPr>
            </w:pPr>
            <w:r>
              <w:rPr>
                <w:rFonts w:cs="Calibri"/>
                <w:color w:val="000000"/>
              </w:rPr>
              <w:t>Schools and education providers established procedures with other agencies to identify at risk young people earlier.</w:t>
            </w:r>
          </w:p>
        </w:tc>
        <w:tc>
          <w:tcPr>
            <w:tcW w:w="1701" w:type="dxa"/>
            <w:vAlign w:val="bottom"/>
          </w:tcPr>
          <w:p w:rsidR="0040521B" w:rsidRDefault="0040521B" w:rsidP="001C2321">
            <w:pPr>
              <w:jc w:val="right"/>
              <w:rPr>
                <w:rFonts w:cs="Calibri"/>
                <w:color w:val="000000"/>
              </w:rPr>
            </w:pPr>
            <w:r>
              <w:rPr>
                <w:rFonts w:cs="Calibri"/>
                <w:color w:val="000000"/>
              </w:rPr>
              <w:t>165</w:t>
            </w:r>
          </w:p>
        </w:tc>
        <w:tc>
          <w:tcPr>
            <w:tcW w:w="1276" w:type="dxa"/>
            <w:vAlign w:val="bottom"/>
          </w:tcPr>
          <w:p w:rsidR="0040521B" w:rsidRDefault="0040521B" w:rsidP="001C2321">
            <w:pPr>
              <w:jc w:val="right"/>
              <w:rPr>
                <w:rFonts w:cs="Calibri"/>
                <w:color w:val="000000"/>
              </w:rPr>
            </w:pPr>
            <w:r>
              <w:rPr>
                <w:rFonts w:cs="Calibri"/>
                <w:color w:val="000000"/>
              </w:rPr>
              <w:t>3.6</w:t>
            </w:r>
          </w:p>
        </w:tc>
      </w:tr>
      <w:tr w:rsidR="0040521B" w:rsidTr="001C2321">
        <w:tc>
          <w:tcPr>
            <w:tcW w:w="7196" w:type="dxa"/>
            <w:vAlign w:val="bottom"/>
          </w:tcPr>
          <w:p w:rsidR="0040521B" w:rsidRDefault="0040521B" w:rsidP="0053283A">
            <w:pPr>
              <w:rPr>
                <w:rFonts w:cs="Calibri"/>
                <w:color w:val="000000"/>
              </w:rPr>
            </w:pPr>
            <w:r>
              <w:rPr>
                <w:rFonts w:cs="Calibri"/>
                <w:color w:val="000000"/>
              </w:rPr>
              <w:t>Schools and education providers increased their referrals to support at risk young people.</w:t>
            </w:r>
          </w:p>
        </w:tc>
        <w:tc>
          <w:tcPr>
            <w:tcW w:w="1701" w:type="dxa"/>
            <w:vAlign w:val="bottom"/>
          </w:tcPr>
          <w:p w:rsidR="0040521B" w:rsidRDefault="0040521B" w:rsidP="001C2321">
            <w:pPr>
              <w:jc w:val="right"/>
              <w:rPr>
                <w:rFonts w:cs="Calibri"/>
                <w:color w:val="000000"/>
              </w:rPr>
            </w:pPr>
            <w:r>
              <w:rPr>
                <w:rFonts w:cs="Calibri"/>
                <w:color w:val="000000"/>
              </w:rPr>
              <w:t>213</w:t>
            </w:r>
          </w:p>
        </w:tc>
        <w:tc>
          <w:tcPr>
            <w:tcW w:w="1276" w:type="dxa"/>
            <w:vAlign w:val="bottom"/>
          </w:tcPr>
          <w:p w:rsidR="0040521B" w:rsidRDefault="0040521B" w:rsidP="001C2321">
            <w:pPr>
              <w:jc w:val="right"/>
              <w:rPr>
                <w:rFonts w:cs="Calibri"/>
                <w:color w:val="000000"/>
              </w:rPr>
            </w:pPr>
            <w:r>
              <w:rPr>
                <w:rFonts w:cs="Calibri"/>
                <w:color w:val="000000"/>
              </w:rPr>
              <w:t>3.8</w:t>
            </w:r>
          </w:p>
        </w:tc>
      </w:tr>
      <w:tr w:rsidR="0040521B" w:rsidTr="001C2321">
        <w:tc>
          <w:tcPr>
            <w:tcW w:w="7196" w:type="dxa"/>
            <w:vAlign w:val="bottom"/>
          </w:tcPr>
          <w:p w:rsidR="0040521B" w:rsidRDefault="0040521B" w:rsidP="0053283A">
            <w:pPr>
              <w:rPr>
                <w:rFonts w:cs="Calibri"/>
                <w:color w:val="000000"/>
              </w:rPr>
            </w:pPr>
            <w:r>
              <w:rPr>
                <w:rFonts w:cs="Calibri"/>
                <w:color w:val="000000"/>
              </w:rPr>
              <w:t>Schools and education providers make referrals earlier to support at risk young people.</w:t>
            </w:r>
          </w:p>
        </w:tc>
        <w:tc>
          <w:tcPr>
            <w:tcW w:w="1701" w:type="dxa"/>
            <w:vAlign w:val="bottom"/>
          </w:tcPr>
          <w:p w:rsidR="0040521B" w:rsidRDefault="0040521B" w:rsidP="001C2321">
            <w:pPr>
              <w:jc w:val="right"/>
              <w:rPr>
                <w:rFonts w:cs="Calibri"/>
                <w:color w:val="000000"/>
              </w:rPr>
            </w:pPr>
            <w:r>
              <w:rPr>
                <w:rFonts w:cs="Calibri"/>
                <w:color w:val="000000"/>
              </w:rPr>
              <w:t>182</w:t>
            </w:r>
          </w:p>
        </w:tc>
        <w:tc>
          <w:tcPr>
            <w:tcW w:w="1276" w:type="dxa"/>
            <w:vAlign w:val="bottom"/>
          </w:tcPr>
          <w:p w:rsidR="0040521B" w:rsidRDefault="0040521B" w:rsidP="001C2321">
            <w:pPr>
              <w:jc w:val="right"/>
              <w:rPr>
                <w:rFonts w:cs="Calibri"/>
                <w:color w:val="000000"/>
              </w:rPr>
            </w:pPr>
            <w:r>
              <w:rPr>
                <w:rFonts w:cs="Calibri"/>
                <w:color w:val="000000"/>
              </w:rPr>
              <w:t>3.9</w:t>
            </w:r>
          </w:p>
        </w:tc>
      </w:tr>
      <w:tr w:rsidR="0040521B" w:rsidTr="001C2321">
        <w:tc>
          <w:tcPr>
            <w:tcW w:w="7196" w:type="dxa"/>
            <w:vAlign w:val="bottom"/>
          </w:tcPr>
          <w:p w:rsidR="0040521B" w:rsidRDefault="0040521B" w:rsidP="0053283A">
            <w:pPr>
              <w:rPr>
                <w:rFonts w:cs="Calibri"/>
                <w:color w:val="000000"/>
              </w:rPr>
            </w:pPr>
            <w:r>
              <w:rPr>
                <w:rFonts w:cs="Calibri"/>
                <w:color w:val="000000"/>
              </w:rPr>
              <w:t>Schools and other education providers were assisted to establish or share their best practice models for working with at risk young people.</w:t>
            </w:r>
          </w:p>
        </w:tc>
        <w:tc>
          <w:tcPr>
            <w:tcW w:w="1701" w:type="dxa"/>
            <w:vAlign w:val="bottom"/>
          </w:tcPr>
          <w:p w:rsidR="0040521B" w:rsidRDefault="0040521B" w:rsidP="001C2321">
            <w:pPr>
              <w:jc w:val="right"/>
              <w:rPr>
                <w:rFonts w:cs="Calibri"/>
                <w:color w:val="000000"/>
              </w:rPr>
            </w:pPr>
            <w:r>
              <w:rPr>
                <w:rFonts w:cs="Calibri"/>
                <w:color w:val="000000"/>
              </w:rPr>
              <w:t>74</w:t>
            </w:r>
          </w:p>
        </w:tc>
        <w:tc>
          <w:tcPr>
            <w:tcW w:w="1276" w:type="dxa"/>
            <w:vAlign w:val="bottom"/>
          </w:tcPr>
          <w:p w:rsidR="0040521B" w:rsidRDefault="0040521B" w:rsidP="001C2321">
            <w:pPr>
              <w:jc w:val="right"/>
              <w:rPr>
                <w:rFonts w:cs="Calibri"/>
                <w:color w:val="000000"/>
              </w:rPr>
            </w:pPr>
            <w:r>
              <w:rPr>
                <w:rFonts w:cs="Calibri"/>
                <w:color w:val="000000"/>
              </w:rPr>
              <w:t>3.5</w:t>
            </w:r>
          </w:p>
        </w:tc>
      </w:tr>
      <w:tr w:rsidR="0040521B" w:rsidTr="001C2321">
        <w:tc>
          <w:tcPr>
            <w:tcW w:w="7196" w:type="dxa"/>
            <w:vAlign w:val="bottom"/>
          </w:tcPr>
          <w:p w:rsidR="0040521B" w:rsidRDefault="0040521B" w:rsidP="0053283A">
            <w:pPr>
              <w:rPr>
                <w:rFonts w:cs="Calibri"/>
                <w:color w:val="000000"/>
              </w:rPr>
            </w:pPr>
            <w:r>
              <w:rPr>
                <w:rFonts w:cs="Calibri"/>
                <w:color w:val="000000"/>
              </w:rPr>
              <w:t>The use of infrastructure in the region to support at risk young people is better coordinated.</w:t>
            </w:r>
          </w:p>
        </w:tc>
        <w:tc>
          <w:tcPr>
            <w:tcW w:w="1701" w:type="dxa"/>
            <w:vAlign w:val="bottom"/>
          </w:tcPr>
          <w:p w:rsidR="0040521B" w:rsidRDefault="0040521B" w:rsidP="001C2321">
            <w:pPr>
              <w:jc w:val="right"/>
              <w:rPr>
                <w:rFonts w:cs="Calibri"/>
                <w:color w:val="000000"/>
              </w:rPr>
            </w:pPr>
            <w:r>
              <w:rPr>
                <w:rFonts w:cs="Calibri"/>
                <w:color w:val="000000"/>
              </w:rPr>
              <w:t>327</w:t>
            </w:r>
          </w:p>
        </w:tc>
        <w:tc>
          <w:tcPr>
            <w:tcW w:w="1276" w:type="dxa"/>
            <w:vAlign w:val="bottom"/>
          </w:tcPr>
          <w:p w:rsidR="0040521B" w:rsidRDefault="0040521B" w:rsidP="001C2321">
            <w:pPr>
              <w:jc w:val="right"/>
              <w:rPr>
                <w:rFonts w:cs="Calibri"/>
                <w:color w:val="000000"/>
              </w:rPr>
            </w:pPr>
            <w:r>
              <w:rPr>
                <w:rFonts w:cs="Calibri"/>
                <w:color w:val="000000"/>
              </w:rPr>
              <w:t>3.7</w:t>
            </w:r>
          </w:p>
        </w:tc>
      </w:tr>
      <w:tr w:rsidR="0040521B" w:rsidTr="001C2321">
        <w:tc>
          <w:tcPr>
            <w:tcW w:w="7196" w:type="dxa"/>
            <w:vAlign w:val="bottom"/>
          </w:tcPr>
          <w:p w:rsidR="0040521B" w:rsidRDefault="0040521B" w:rsidP="0053283A">
            <w:pPr>
              <w:rPr>
                <w:rFonts w:cs="Calibri"/>
                <w:color w:val="000000"/>
              </w:rPr>
            </w:pPr>
            <w:r>
              <w:rPr>
                <w:rFonts w:cs="Calibri"/>
                <w:color w:val="000000"/>
              </w:rPr>
              <w:t>There are improved referral channels for community resources which support at risk young people.</w:t>
            </w:r>
          </w:p>
        </w:tc>
        <w:tc>
          <w:tcPr>
            <w:tcW w:w="1701" w:type="dxa"/>
            <w:vAlign w:val="bottom"/>
          </w:tcPr>
          <w:p w:rsidR="0040521B" w:rsidRDefault="0040521B" w:rsidP="001C2321">
            <w:pPr>
              <w:jc w:val="right"/>
              <w:rPr>
                <w:rFonts w:cs="Calibri"/>
                <w:color w:val="000000"/>
              </w:rPr>
            </w:pPr>
            <w:r>
              <w:rPr>
                <w:rFonts w:cs="Calibri"/>
                <w:color w:val="000000"/>
              </w:rPr>
              <w:t>353</w:t>
            </w:r>
          </w:p>
        </w:tc>
        <w:tc>
          <w:tcPr>
            <w:tcW w:w="1276" w:type="dxa"/>
            <w:vAlign w:val="bottom"/>
          </w:tcPr>
          <w:p w:rsidR="0040521B" w:rsidRDefault="0040521B" w:rsidP="001C2321">
            <w:pPr>
              <w:jc w:val="right"/>
              <w:rPr>
                <w:rFonts w:cs="Calibri"/>
                <w:color w:val="000000"/>
              </w:rPr>
            </w:pPr>
            <w:r>
              <w:rPr>
                <w:rFonts w:cs="Calibri"/>
                <w:color w:val="000000"/>
              </w:rPr>
              <w:t>3.7</w:t>
            </w:r>
          </w:p>
        </w:tc>
      </w:tr>
      <w:tr w:rsidR="0040521B" w:rsidTr="001C2321">
        <w:tc>
          <w:tcPr>
            <w:tcW w:w="7196" w:type="dxa"/>
            <w:vAlign w:val="bottom"/>
          </w:tcPr>
          <w:p w:rsidR="0040521B" w:rsidRDefault="0040521B" w:rsidP="0053283A">
            <w:pPr>
              <w:rPr>
                <w:rFonts w:cs="Calibri"/>
                <w:color w:val="000000"/>
              </w:rPr>
            </w:pPr>
            <w:r>
              <w:rPr>
                <w:rFonts w:cs="Calibri"/>
                <w:color w:val="000000"/>
              </w:rPr>
              <w:t>There was a reduction in the duplication of community resources which support at risk young people.</w:t>
            </w:r>
          </w:p>
        </w:tc>
        <w:tc>
          <w:tcPr>
            <w:tcW w:w="1701" w:type="dxa"/>
            <w:vAlign w:val="bottom"/>
          </w:tcPr>
          <w:p w:rsidR="0040521B" w:rsidRDefault="0040521B" w:rsidP="001C2321">
            <w:pPr>
              <w:jc w:val="right"/>
              <w:rPr>
                <w:rFonts w:cs="Calibri"/>
                <w:color w:val="000000"/>
              </w:rPr>
            </w:pPr>
            <w:r>
              <w:rPr>
                <w:rFonts w:cs="Calibri"/>
                <w:color w:val="000000"/>
              </w:rPr>
              <w:t>186</w:t>
            </w:r>
          </w:p>
        </w:tc>
        <w:tc>
          <w:tcPr>
            <w:tcW w:w="1276" w:type="dxa"/>
            <w:vAlign w:val="bottom"/>
          </w:tcPr>
          <w:p w:rsidR="0040521B" w:rsidRDefault="0040521B" w:rsidP="001C2321">
            <w:pPr>
              <w:jc w:val="right"/>
              <w:rPr>
                <w:rFonts w:cs="Calibri"/>
                <w:color w:val="000000"/>
              </w:rPr>
            </w:pPr>
            <w:r>
              <w:rPr>
                <w:rFonts w:cs="Calibri"/>
                <w:color w:val="000000"/>
              </w:rPr>
              <w:t>3.7</w:t>
            </w:r>
          </w:p>
        </w:tc>
      </w:tr>
      <w:tr w:rsidR="0040521B" w:rsidTr="001C2321">
        <w:tc>
          <w:tcPr>
            <w:tcW w:w="7196" w:type="dxa"/>
            <w:vAlign w:val="bottom"/>
          </w:tcPr>
          <w:p w:rsidR="0040521B" w:rsidRDefault="0040521B" w:rsidP="0053283A">
            <w:pPr>
              <w:rPr>
                <w:rFonts w:cs="Calibri"/>
                <w:color w:val="000000"/>
              </w:rPr>
            </w:pPr>
            <w:r>
              <w:rPr>
                <w:rFonts w:cs="Calibri"/>
                <w:color w:val="000000"/>
              </w:rPr>
              <w:t>There was an increase in the number of schools that strengthened their procedures to support young people at risk of disengaging.</w:t>
            </w:r>
          </w:p>
        </w:tc>
        <w:tc>
          <w:tcPr>
            <w:tcW w:w="1701" w:type="dxa"/>
            <w:vAlign w:val="bottom"/>
          </w:tcPr>
          <w:p w:rsidR="0040521B" w:rsidRDefault="0040521B" w:rsidP="001C2321">
            <w:pPr>
              <w:jc w:val="right"/>
              <w:rPr>
                <w:rFonts w:cs="Calibri"/>
                <w:color w:val="000000"/>
              </w:rPr>
            </w:pPr>
            <w:r>
              <w:rPr>
                <w:rFonts w:cs="Calibri"/>
                <w:color w:val="000000"/>
              </w:rPr>
              <w:t>384</w:t>
            </w:r>
          </w:p>
        </w:tc>
        <w:tc>
          <w:tcPr>
            <w:tcW w:w="1276" w:type="dxa"/>
            <w:vAlign w:val="bottom"/>
          </w:tcPr>
          <w:p w:rsidR="0040521B" w:rsidRDefault="0040521B" w:rsidP="001C2321">
            <w:pPr>
              <w:jc w:val="right"/>
              <w:rPr>
                <w:rFonts w:cs="Calibri"/>
                <w:color w:val="000000"/>
              </w:rPr>
            </w:pPr>
            <w:r>
              <w:rPr>
                <w:rFonts w:cs="Calibri"/>
                <w:color w:val="000000"/>
              </w:rPr>
              <w:t>3.9</w:t>
            </w:r>
          </w:p>
        </w:tc>
      </w:tr>
      <w:tr w:rsidR="0040521B" w:rsidTr="001C2321">
        <w:tc>
          <w:tcPr>
            <w:tcW w:w="7196" w:type="dxa"/>
            <w:vAlign w:val="bottom"/>
          </w:tcPr>
          <w:p w:rsidR="0040521B" w:rsidRDefault="0040521B" w:rsidP="0053283A">
            <w:pPr>
              <w:rPr>
                <w:rFonts w:cs="Calibri"/>
                <w:color w:val="000000"/>
              </w:rPr>
            </w:pPr>
            <w:r>
              <w:rPr>
                <w:rFonts w:cs="Calibri"/>
                <w:color w:val="000000"/>
              </w:rPr>
              <w:t>There was an increase or improvement in the available services for families of at risk young people.</w:t>
            </w:r>
          </w:p>
        </w:tc>
        <w:tc>
          <w:tcPr>
            <w:tcW w:w="1701" w:type="dxa"/>
            <w:vAlign w:val="bottom"/>
          </w:tcPr>
          <w:p w:rsidR="0040521B" w:rsidRDefault="0040521B" w:rsidP="001C2321">
            <w:pPr>
              <w:jc w:val="right"/>
              <w:rPr>
                <w:rFonts w:cs="Calibri"/>
                <w:color w:val="000000"/>
              </w:rPr>
            </w:pPr>
            <w:r>
              <w:rPr>
                <w:rFonts w:cs="Calibri"/>
                <w:color w:val="000000"/>
              </w:rPr>
              <w:t>183</w:t>
            </w:r>
          </w:p>
        </w:tc>
        <w:tc>
          <w:tcPr>
            <w:tcW w:w="1276" w:type="dxa"/>
            <w:vAlign w:val="bottom"/>
          </w:tcPr>
          <w:p w:rsidR="0040521B" w:rsidRDefault="0040521B" w:rsidP="001C2321">
            <w:pPr>
              <w:jc w:val="right"/>
              <w:rPr>
                <w:rFonts w:cs="Calibri"/>
                <w:color w:val="000000"/>
              </w:rPr>
            </w:pPr>
            <w:r>
              <w:rPr>
                <w:rFonts w:cs="Calibri"/>
                <w:color w:val="000000"/>
              </w:rPr>
              <w:t>3.6</w:t>
            </w:r>
          </w:p>
        </w:tc>
      </w:tr>
      <w:tr w:rsidR="0040521B" w:rsidTr="001C2321">
        <w:tc>
          <w:tcPr>
            <w:tcW w:w="7196" w:type="dxa"/>
            <w:vAlign w:val="bottom"/>
          </w:tcPr>
          <w:p w:rsidR="0040521B" w:rsidRDefault="0040521B" w:rsidP="0053283A">
            <w:pPr>
              <w:rPr>
                <w:rFonts w:cs="Calibri"/>
                <w:color w:val="000000"/>
              </w:rPr>
            </w:pPr>
            <w:r>
              <w:rPr>
                <w:rFonts w:cs="Calibri"/>
                <w:color w:val="000000"/>
              </w:rPr>
              <w:t>Young people disengage less frequently from school or education providers.</w:t>
            </w:r>
          </w:p>
        </w:tc>
        <w:tc>
          <w:tcPr>
            <w:tcW w:w="1701" w:type="dxa"/>
            <w:vAlign w:val="bottom"/>
          </w:tcPr>
          <w:p w:rsidR="0040521B" w:rsidRDefault="0040521B" w:rsidP="001C2321">
            <w:pPr>
              <w:jc w:val="right"/>
              <w:rPr>
                <w:rFonts w:cs="Calibri"/>
                <w:color w:val="000000"/>
              </w:rPr>
            </w:pPr>
            <w:r>
              <w:rPr>
                <w:rFonts w:cs="Calibri"/>
                <w:color w:val="000000"/>
              </w:rPr>
              <w:t>172</w:t>
            </w:r>
          </w:p>
        </w:tc>
        <w:tc>
          <w:tcPr>
            <w:tcW w:w="1276" w:type="dxa"/>
            <w:vAlign w:val="bottom"/>
          </w:tcPr>
          <w:p w:rsidR="0040521B" w:rsidRDefault="0040521B" w:rsidP="001C2321">
            <w:pPr>
              <w:jc w:val="right"/>
              <w:rPr>
                <w:rFonts w:cs="Calibri"/>
                <w:color w:val="000000"/>
              </w:rPr>
            </w:pPr>
            <w:r>
              <w:rPr>
                <w:rFonts w:cs="Calibri"/>
                <w:color w:val="000000"/>
              </w:rPr>
              <w:t>3.3</w:t>
            </w:r>
          </w:p>
        </w:tc>
      </w:tr>
    </w:tbl>
    <w:p w:rsidR="0040521B" w:rsidRPr="003754C6" w:rsidRDefault="0040521B" w:rsidP="009F1919">
      <w:pPr>
        <w:pStyle w:val="Heading2"/>
      </w:pPr>
      <w:bookmarkStart w:id="47" w:name="_Toc384038247"/>
      <w:r>
        <w:lastRenderedPageBreak/>
        <w:t>Specialised Services</w:t>
      </w:r>
      <w:bookmarkEnd w:id="47"/>
    </w:p>
    <w:p w:rsidR="0040521B" w:rsidRDefault="0040521B" w:rsidP="0040521B">
      <w:pPr>
        <w:ind w:right="-188"/>
      </w:pPr>
      <w:r>
        <w:t>The performance information above includes the contribution made by Youth Connections - Specialised Services, the juvenile justice specific program element in South Australia. The information below reports on the Specialised Services performance in particular.</w:t>
      </w:r>
    </w:p>
    <w:p w:rsidR="0040521B" w:rsidRDefault="0040521B" w:rsidP="0040521B">
      <w:pPr>
        <w:ind w:right="-188"/>
      </w:pPr>
    </w:p>
    <w:p w:rsidR="0040521B" w:rsidRDefault="0040521B" w:rsidP="009F1919">
      <w:pPr>
        <w:pStyle w:val="Heading3"/>
      </w:pPr>
      <w:r>
        <w:t>Table 29: SA Specialised Services - Participant Status</w:t>
      </w:r>
    </w:p>
    <w:tbl>
      <w:tblPr>
        <w:tblW w:w="72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8"/>
        <w:gridCol w:w="1687"/>
      </w:tblGrid>
      <w:tr w:rsidR="0040521B" w:rsidRPr="00E840D1" w:rsidTr="0053283A">
        <w:trPr>
          <w:trHeight w:val="300"/>
        </w:trPr>
        <w:tc>
          <w:tcPr>
            <w:tcW w:w="5558" w:type="dxa"/>
            <w:shd w:val="clear" w:color="auto" w:fill="DBE5F1" w:themeFill="accent1" w:themeFillTint="33"/>
            <w:noWrap/>
            <w:vAlign w:val="bottom"/>
            <w:hideMark/>
          </w:tcPr>
          <w:p w:rsidR="0040521B" w:rsidRPr="0090002E" w:rsidRDefault="0040521B" w:rsidP="0053283A">
            <w:pPr>
              <w:jc w:val="center"/>
              <w:rPr>
                <w:rFonts w:cs="Calibri"/>
                <w:b/>
                <w:color w:val="000000"/>
              </w:rPr>
            </w:pPr>
            <w:r w:rsidRPr="0090002E">
              <w:rPr>
                <w:rFonts w:cs="Calibri"/>
                <w:b/>
                <w:color w:val="000000"/>
              </w:rPr>
              <w:t>Participant Status</w:t>
            </w:r>
          </w:p>
        </w:tc>
        <w:tc>
          <w:tcPr>
            <w:tcW w:w="1687" w:type="dxa"/>
            <w:shd w:val="clear" w:color="auto" w:fill="DBE5F1" w:themeFill="accent1" w:themeFillTint="33"/>
            <w:noWrap/>
            <w:vAlign w:val="bottom"/>
            <w:hideMark/>
          </w:tcPr>
          <w:p w:rsidR="0040521B" w:rsidRPr="0090002E" w:rsidRDefault="0040521B" w:rsidP="0053283A">
            <w:pPr>
              <w:jc w:val="center"/>
              <w:rPr>
                <w:rFonts w:cs="Calibri"/>
                <w:b/>
                <w:color w:val="000000"/>
              </w:rPr>
            </w:pPr>
            <w:r>
              <w:rPr>
                <w:rFonts w:cs="Calibri"/>
                <w:b/>
                <w:color w:val="000000"/>
              </w:rPr>
              <w:t>Specialised Services</w:t>
            </w:r>
          </w:p>
        </w:tc>
      </w:tr>
      <w:tr w:rsidR="0040521B" w:rsidRPr="00E840D1" w:rsidTr="0053283A">
        <w:trPr>
          <w:trHeight w:val="300"/>
        </w:trPr>
        <w:tc>
          <w:tcPr>
            <w:tcW w:w="5558" w:type="dxa"/>
            <w:shd w:val="clear" w:color="auto" w:fill="auto"/>
            <w:noWrap/>
            <w:vAlign w:val="bottom"/>
            <w:hideMark/>
          </w:tcPr>
          <w:p w:rsidR="0040521B" w:rsidRPr="00E840D1" w:rsidRDefault="0040521B" w:rsidP="0053283A">
            <w:pPr>
              <w:rPr>
                <w:rFonts w:cs="Calibri"/>
                <w:color w:val="000000"/>
              </w:rPr>
            </w:pPr>
            <w:r w:rsidRPr="00E840D1">
              <w:rPr>
                <w:rFonts w:cs="Calibri"/>
                <w:color w:val="000000"/>
              </w:rPr>
              <w:t>Receiving Individual Support Services</w:t>
            </w:r>
          </w:p>
        </w:tc>
        <w:tc>
          <w:tcPr>
            <w:tcW w:w="1687" w:type="dxa"/>
            <w:shd w:val="clear" w:color="auto" w:fill="auto"/>
            <w:noWrap/>
            <w:vAlign w:val="bottom"/>
            <w:hideMark/>
          </w:tcPr>
          <w:p w:rsidR="0040521B" w:rsidRDefault="0040521B" w:rsidP="0053283A">
            <w:pPr>
              <w:jc w:val="right"/>
              <w:rPr>
                <w:rFonts w:cs="Calibri"/>
                <w:color w:val="000000"/>
              </w:rPr>
            </w:pPr>
            <w:r>
              <w:rPr>
                <w:rFonts w:cs="Calibri"/>
                <w:color w:val="000000"/>
              </w:rPr>
              <w:t>15</w:t>
            </w:r>
          </w:p>
        </w:tc>
      </w:tr>
      <w:tr w:rsidR="0040521B" w:rsidRPr="00E840D1" w:rsidTr="0053283A">
        <w:trPr>
          <w:trHeight w:val="300"/>
        </w:trPr>
        <w:tc>
          <w:tcPr>
            <w:tcW w:w="5558" w:type="dxa"/>
            <w:shd w:val="clear" w:color="auto" w:fill="auto"/>
            <w:noWrap/>
            <w:vAlign w:val="bottom"/>
            <w:hideMark/>
          </w:tcPr>
          <w:p w:rsidR="0040521B" w:rsidRPr="00E840D1" w:rsidRDefault="0040521B" w:rsidP="0053283A">
            <w:pPr>
              <w:rPr>
                <w:rFonts w:cs="Calibri"/>
                <w:color w:val="000000"/>
              </w:rPr>
            </w:pPr>
            <w:r>
              <w:rPr>
                <w:rFonts w:cs="Calibri"/>
                <w:color w:val="000000"/>
              </w:rPr>
              <w:t>Received Individual support servi</w:t>
            </w:r>
            <w:r w:rsidRPr="00E840D1">
              <w:rPr>
                <w:rFonts w:cs="Calibri"/>
                <w:color w:val="000000"/>
              </w:rPr>
              <w:t>ces previously and exited</w:t>
            </w:r>
          </w:p>
        </w:tc>
        <w:tc>
          <w:tcPr>
            <w:tcW w:w="1687" w:type="dxa"/>
            <w:shd w:val="clear" w:color="auto" w:fill="auto"/>
            <w:noWrap/>
            <w:vAlign w:val="bottom"/>
            <w:hideMark/>
          </w:tcPr>
          <w:p w:rsidR="0040521B" w:rsidRDefault="0040521B" w:rsidP="0053283A">
            <w:pPr>
              <w:jc w:val="right"/>
              <w:rPr>
                <w:rFonts w:cs="Calibri"/>
                <w:color w:val="000000"/>
              </w:rPr>
            </w:pPr>
            <w:r>
              <w:rPr>
                <w:rFonts w:cs="Calibri"/>
                <w:color w:val="000000"/>
              </w:rPr>
              <w:t>90</w:t>
            </w:r>
          </w:p>
        </w:tc>
      </w:tr>
      <w:tr w:rsidR="0040521B" w:rsidRPr="00E840D1" w:rsidTr="0053283A">
        <w:trPr>
          <w:trHeight w:val="300"/>
        </w:trPr>
        <w:tc>
          <w:tcPr>
            <w:tcW w:w="5558" w:type="dxa"/>
            <w:shd w:val="clear" w:color="auto" w:fill="auto"/>
            <w:noWrap/>
            <w:vAlign w:val="bottom"/>
            <w:hideMark/>
          </w:tcPr>
          <w:p w:rsidR="0040521B" w:rsidRPr="00E840D1" w:rsidRDefault="0040521B" w:rsidP="0053283A">
            <w:pPr>
              <w:rPr>
                <w:rFonts w:cs="Calibri"/>
                <w:color w:val="000000"/>
              </w:rPr>
            </w:pPr>
            <w:r w:rsidRPr="00E840D1">
              <w:rPr>
                <w:rFonts w:cs="Calibri"/>
                <w:color w:val="000000"/>
              </w:rPr>
              <w:t>Registered but not yet enrolled for individual support services</w:t>
            </w:r>
          </w:p>
        </w:tc>
        <w:tc>
          <w:tcPr>
            <w:tcW w:w="1687" w:type="dxa"/>
            <w:shd w:val="clear" w:color="auto" w:fill="auto"/>
            <w:noWrap/>
            <w:vAlign w:val="bottom"/>
            <w:hideMark/>
          </w:tcPr>
          <w:p w:rsidR="0040521B" w:rsidRDefault="0040521B" w:rsidP="0053283A">
            <w:pPr>
              <w:jc w:val="right"/>
              <w:rPr>
                <w:rFonts w:cs="Calibri"/>
                <w:color w:val="000000"/>
              </w:rPr>
            </w:pPr>
            <w:r>
              <w:rPr>
                <w:rFonts w:cs="Calibri"/>
                <w:color w:val="000000"/>
              </w:rPr>
              <w:t>0</w:t>
            </w:r>
          </w:p>
        </w:tc>
      </w:tr>
      <w:tr w:rsidR="0040521B" w:rsidRPr="00E840D1" w:rsidTr="0053283A">
        <w:trPr>
          <w:trHeight w:val="300"/>
        </w:trPr>
        <w:tc>
          <w:tcPr>
            <w:tcW w:w="5558" w:type="dxa"/>
            <w:shd w:val="clear" w:color="auto" w:fill="auto"/>
            <w:noWrap/>
            <w:vAlign w:val="bottom"/>
            <w:hideMark/>
          </w:tcPr>
          <w:p w:rsidR="0040521B" w:rsidRPr="00E840D1" w:rsidRDefault="0040521B" w:rsidP="0053283A">
            <w:pPr>
              <w:rPr>
                <w:rFonts w:cs="Calibri"/>
                <w:color w:val="000000"/>
              </w:rPr>
            </w:pPr>
            <w:r w:rsidRPr="00E840D1">
              <w:rPr>
                <w:rFonts w:cs="Calibri"/>
                <w:color w:val="000000"/>
              </w:rPr>
              <w:t>Total</w:t>
            </w:r>
          </w:p>
        </w:tc>
        <w:tc>
          <w:tcPr>
            <w:tcW w:w="1687" w:type="dxa"/>
            <w:shd w:val="clear" w:color="auto" w:fill="auto"/>
            <w:noWrap/>
            <w:vAlign w:val="bottom"/>
            <w:hideMark/>
          </w:tcPr>
          <w:p w:rsidR="0040521B" w:rsidRDefault="0040521B" w:rsidP="0053283A">
            <w:pPr>
              <w:jc w:val="right"/>
              <w:rPr>
                <w:rFonts w:cs="Calibri"/>
                <w:color w:val="000000"/>
              </w:rPr>
            </w:pPr>
            <w:r>
              <w:rPr>
                <w:rFonts w:cs="Calibri"/>
                <w:color w:val="000000"/>
              </w:rPr>
              <w:t>105</w:t>
            </w:r>
          </w:p>
        </w:tc>
      </w:tr>
    </w:tbl>
    <w:p w:rsidR="0040521B" w:rsidRDefault="0040521B" w:rsidP="0040521B">
      <w:pPr>
        <w:ind w:right="-188"/>
      </w:pPr>
    </w:p>
    <w:p w:rsidR="0040521B" w:rsidRPr="00F50A69" w:rsidRDefault="0040521B" w:rsidP="009F1919">
      <w:pPr>
        <w:pStyle w:val="Heading4"/>
      </w:pPr>
      <w:r w:rsidRPr="00F50A69">
        <w:t>Figure 21: SA Specialist Services - Percentage of Participants who have been identified as having a characteristic</w:t>
      </w:r>
    </w:p>
    <w:p w:rsidR="0040521B" w:rsidRDefault="0040521B" w:rsidP="0040521B">
      <w:pPr>
        <w:ind w:right="-188"/>
      </w:pPr>
      <w:r>
        <w:rPr>
          <w:noProof/>
          <w:lang w:eastAsia="en-AU"/>
        </w:rPr>
        <w:drawing>
          <wp:inline distT="0" distB="0" distL="0" distR="0" wp14:anchorId="52553783" wp14:editId="2A3F7A54">
            <wp:extent cx="5943600" cy="5193102"/>
            <wp:effectExtent l="0" t="0" r="0" b="7620"/>
            <wp:docPr id="6" name="Chart 6" descr="Specialised services, South Australia and National percentage of participants who have been identified as having a characteristic, graphic representation of table 30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D2716" w:rsidRDefault="004D2716">
      <w:pPr>
        <w:spacing w:after="200"/>
        <w:rPr>
          <w:rFonts w:ascii="Arial" w:eastAsiaTheme="majorEastAsia" w:hAnsi="Arial" w:cstheme="majorBidi"/>
          <w:b/>
          <w:bCs/>
        </w:rPr>
      </w:pPr>
      <w:r>
        <w:br w:type="page"/>
      </w:r>
    </w:p>
    <w:p w:rsidR="0040521B" w:rsidRDefault="0040521B" w:rsidP="009F1919">
      <w:pPr>
        <w:pStyle w:val="Heading3"/>
      </w:pPr>
      <w:r>
        <w:lastRenderedPageBreak/>
        <w:t>Table 30:</w:t>
      </w:r>
      <w:r w:rsidRPr="00D36A5C">
        <w:t xml:space="preserve"> </w:t>
      </w:r>
      <w:r>
        <w:t>SA Participants who have been identified as having a characteristic</w:t>
      </w:r>
    </w:p>
    <w:p w:rsidR="0040521B" w:rsidRDefault="0040521B" w:rsidP="0040521B">
      <w:pPr>
        <w:rPr>
          <w:b/>
        </w:rPr>
      </w:pPr>
    </w:p>
    <w:tbl>
      <w:tblPr>
        <w:tblW w:w="9928" w:type="dxa"/>
        <w:tblInd w:w="103" w:type="dxa"/>
        <w:tblLayout w:type="fixed"/>
        <w:tblLook w:val="04A0" w:firstRow="1" w:lastRow="0" w:firstColumn="1" w:lastColumn="0" w:noHBand="0" w:noVBand="1"/>
      </w:tblPr>
      <w:tblGrid>
        <w:gridCol w:w="3407"/>
        <w:gridCol w:w="1418"/>
        <w:gridCol w:w="1417"/>
        <w:gridCol w:w="709"/>
        <w:gridCol w:w="709"/>
        <w:gridCol w:w="1134"/>
        <w:gridCol w:w="1134"/>
      </w:tblGrid>
      <w:tr w:rsidR="0040521B" w:rsidRPr="00FF725A" w:rsidTr="0053283A">
        <w:trPr>
          <w:trHeight w:val="315"/>
        </w:trPr>
        <w:tc>
          <w:tcPr>
            <w:tcW w:w="3407"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40521B" w:rsidRPr="00FF725A" w:rsidRDefault="0040521B" w:rsidP="0053283A">
            <w:pPr>
              <w:jc w:val="center"/>
              <w:rPr>
                <w:rFonts w:cs="Calibri"/>
                <w:b/>
                <w:bCs/>
                <w:color w:val="000000"/>
              </w:rPr>
            </w:pPr>
            <w:r w:rsidRPr="00FF725A">
              <w:rPr>
                <w:rFonts w:cs="Calibri"/>
                <w:b/>
                <w:bCs/>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40521B" w:rsidRDefault="0040521B" w:rsidP="0053283A">
            <w:pPr>
              <w:jc w:val="center"/>
              <w:rPr>
                <w:rFonts w:cs="Calibri"/>
                <w:b/>
                <w:bCs/>
                <w:color w:val="000000"/>
              </w:rPr>
            </w:pPr>
            <w:r>
              <w:rPr>
                <w:rFonts w:cs="Calibri"/>
                <w:b/>
                <w:bCs/>
                <w:color w:val="000000"/>
              </w:rPr>
              <w:t>No.</w:t>
            </w:r>
          </w:p>
          <w:p w:rsidR="0040521B" w:rsidRPr="00FF725A" w:rsidRDefault="0040521B" w:rsidP="0053283A">
            <w:pPr>
              <w:jc w:val="center"/>
              <w:rPr>
                <w:rFonts w:cs="Calibri"/>
                <w:b/>
                <w:bCs/>
                <w:color w:val="000000"/>
              </w:rPr>
            </w:pPr>
            <w:r w:rsidRPr="00FF725A">
              <w:rPr>
                <w:rFonts w:cs="Calibri"/>
                <w:b/>
                <w:bCs/>
                <w:color w:val="000000"/>
              </w:rPr>
              <w:t>Specialised Services</w:t>
            </w:r>
          </w:p>
        </w:tc>
        <w:tc>
          <w:tcPr>
            <w:tcW w:w="1417"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40521B" w:rsidRDefault="0040521B" w:rsidP="0053283A">
            <w:pPr>
              <w:jc w:val="center"/>
              <w:rPr>
                <w:rFonts w:cs="Calibri"/>
                <w:b/>
                <w:bCs/>
                <w:color w:val="000000"/>
              </w:rPr>
            </w:pPr>
            <w:r>
              <w:rPr>
                <w:rFonts w:cs="Calibri"/>
                <w:b/>
                <w:bCs/>
                <w:color w:val="000000"/>
              </w:rPr>
              <w:t>%</w:t>
            </w:r>
          </w:p>
          <w:p w:rsidR="0040521B" w:rsidRPr="00FF725A" w:rsidRDefault="0040521B" w:rsidP="0053283A">
            <w:pPr>
              <w:jc w:val="center"/>
              <w:rPr>
                <w:rFonts w:cs="Calibri"/>
                <w:b/>
                <w:bCs/>
                <w:color w:val="000000"/>
              </w:rPr>
            </w:pPr>
            <w:r w:rsidRPr="00FF725A">
              <w:rPr>
                <w:rFonts w:cs="Calibri"/>
                <w:b/>
                <w:bCs/>
                <w:color w:val="000000"/>
              </w:rPr>
              <w:t>Specialised Services</w:t>
            </w:r>
          </w:p>
        </w:tc>
        <w:tc>
          <w:tcPr>
            <w:tcW w:w="709"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40521B" w:rsidRDefault="0040521B" w:rsidP="0053283A">
            <w:pPr>
              <w:jc w:val="center"/>
              <w:rPr>
                <w:rFonts w:cs="Calibri"/>
                <w:b/>
                <w:bCs/>
                <w:color w:val="000000"/>
              </w:rPr>
            </w:pPr>
          </w:p>
          <w:p w:rsidR="0040521B" w:rsidRDefault="0040521B" w:rsidP="0053283A">
            <w:pPr>
              <w:jc w:val="center"/>
              <w:rPr>
                <w:rFonts w:cs="Calibri"/>
                <w:b/>
                <w:bCs/>
                <w:color w:val="000000"/>
              </w:rPr>
            </w:pPr>
            <w:r>
              <w:rPr>
                <w:rFonts w:cs="Calibri"/>
                <w:b/>
                <w:bCs/>
                <w:color w:val="000000"/>
              </w:rPr>
              <w:t>No.</w:t>
            </w:r>
          </w:p>
          <w:p w:rsidR="0040521B" w:rsidRPr="00FF725A" w:rsidRDefault="0040521B" w:rsidP="0053283A">
            <w:pPr>
              <w:jc w:val="center"/>
              <w:rPr>
                <w:rFonts w:cs="Calibri"/>
                <w:b/>
                <w:bCs/>
                <w:color w:val="000000"/>
              </w:rPr>
            </w:pPr>
            <w:r>
              <w:rPr>
                <w:rFonts w:cs="Calibri"/>
                <w:b/>
                <w:bCs/>
                <w:color w:val="000000"/>
              </w:rPr>
              <w:t>SA</w:t>
            </w:r>
          </w:p>
        </w:tc>
        <w:tc>
          <w:tcPr>
            <w:tcW w:w="709"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40521B" w:rsidRDefault="0040521B" w:rsidP="0053283A">
            <w:pPr>
              <w:jc w:val="center"/>
              <w:rPr>
                <w:rFonts w:cs="Calibri"/>
                <w:b/>
                <w:bCs/>
                <w:color w:val="000000"/>
              </w:rPr>
            </w:pPr>
            <w:r>
              <w:rPr>
                <w:rFonts w:cs="Calibri"/>
                <w:b/>
                <w:bCs/>
                <w:color w:val="000000"/>
              </w:rPr>
              <w:t>%</w:t>
            </w:r>
          </w:p>
          <w:p w:rsidR="0040521B" w:rsidRPr="00FF725A" w:rsidRDefault="0040521B" w:rsidP="0053283A">
            <w:pPr>
              <w:jc w:val="center"/>
              <w:rPr>
                <w:rFonts w:cs="Calibri"/>
                <w:b/>
                <w:bCs/>
                <w:color w:val="000000"/>
              </w:rPr>
            </w:pPr>
            <w:r>
              <w:rPr>
                <w:rFonts w:cs="Calibri"/>
                <w:b/>
                <w:bCs/>
                <w:color w:val="000000"/>
              </w:rPr>
              <w:t>SA</w:t>
            </w:r>
          </w:p>
        </w:tc>
        <w:tc>
          <w:tcPr>
            <w:tcW w:w="1134" w:type="dxa"/>
            <w:tcBorders>
              <w:top w:val="single" w:sz="4" w:space="0" w:color="auto"/>
              <w:left w:val="single" w:sz="4" w:space="0" w:color="auto"/>
              <w:bottom w:val="single" w:sz="4" w:space="0" w:color="auto"/>
              <w:right w:val="single" w:sz="4" w:space="0" w:color="auto"/>
            </w:tcBorders>
            <w:shd w:val="clear" w:color="000000" w:fill="C5D9F1"/>
          </w:tcPr>
          <w:p w:rsidR="0040521B" w:rsidRPr="00580A81" w:rsidRDefault="0040521B" w:rsidP="0053283A">
            <w:pPr>
              <w:tabs>
                <w:tab w:val="left" w:pos="6153"/>
              </w:tabs>
              <w:jc w:val="center"/>
              <w:rPr>
                <w:b/>
              </w:rPr>
            </w:pPr>
            <w:r>
              <w:rPr>
                <w:b/>
              </w:rPr>
              <w:t>No. National</w:t>
            </w:r>
          </w:p>
        </w:tc>
        <w:tc>
          <w:tcPr>
            <w:tcW w:w="1134" w:type="dxa"/>
            <w:tcBorders>
              <w:top w:val="single" w:sz="4" w:space="0" w:color="auto"/>
              <w:left w:val="single" w:sz="4" w:space="0" w:color="auto"/>
              <w:bottom w:val="single" w:sz="4" w:space="0" w:color="auto"/>
              <w:right w:val="single" w:sz="4" w:space="0" w:color="auto"/>
            </w:tcBorders>
            <w:shd w:val="clear" w:color="000000" w:fill="C5D9F1"/>
          </w:tcPr>
          <w:p w:rsidR="0040521B" w:rsidRPr="00580A81" w:rsidRDefault="0040521B" w:rsidP="0053283A">
            <w:pPr>
              <w:tabs>
                <w:tab w:val="left" w:pos="6153"/>
              </w:tabs>
              <w:jc w:val="center"/>
              <w:rPr>
                <w:b/>
              </w:rPr>
            </w:pPr>
            <w:r>
              <w:rPr>
                <w:b/>
              </w:rPr>
              <w:t>% National</w:t>
            </w:r>
          </w:p>
        </w:tc>
      </w:tr>
      <w:tr w:rsidR="0040521B" w:rsidRPr="00FF725A" w:rsidTr="0053283A">
        <w:trPr>
          <w:trHeight w:val="315"/>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40521B" w:rsidRDefault="0040521B" w:rsidP="0053283A">
            <w:pPr>
              <w:rPr>
                <w:rFonts w:cs="Calibri"/>
                <w:color w:val="000000"/>
              </w:rPr>
            </w:pPr>
            <w:r>
              <w:rPr>
                <w:rFonts w:cs="Calibri"/>
                <w:color w:val="000000"/>
              </w:rPr>
              <w:t>Culturally and linguistically diverse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2%</w:t>
            </w:r>
          </w:p>
        </w:tc>
        <w:tc>
          <w:tcPr>
            <w:tcW w:w="1134"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3779</w:t>
            </w:r>
          </w:p>
        </w:tc>
        <w:tc>
          <w:tcPr>
            <w:tcW w:w="1134"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7%</w:t>
            </w:r>
          </w:p>
        </w:tc>
      </w:tr>
      <w:tr w:rsidR="0040521B" w:rsidRPr="00FF725A" w:rsidTr="0053283A">
        <w:trPr>
          <w:trHeight w:val="315"/>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40521B" w:rsidRDefault="0040521B" w:rsidP="0053283A">
            <w:pPr>
              <w:rPr>
                <w:rFonts w:cs="Calibri"/>
                <w:color w:val="000000"/>
              </w:rPr>
            </w:pPr>
            <w:r>
              <w:rPr>
                <w:rFonts w:cs="Calibri"/>
                <w:color w:val="000000"/>
              </w:rPr>
              <w:t>Disability</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237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7%</w:t>
            </w:r>
          </w:p>
        </w:tc>
        <w:tc>
          <w:tcPr>
            <w:tcW w:w="1134"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2451</w:t>
            </w:r>
          </w:p>
        </w:tc>
        <w:tc>
          <w:tcPr>
            <w:tcW w:w="1134"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4%</w:t>
            </w:r>
          </w:p>
        </w:tc>
      </w:tr>
      <w:tr w:rsidR="0040521B" w:rsidRPr="00FF725A" w:rsidTr="0053283A">
        <w:trPr>
          <w:trHeight w:val="315"/>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40521B" w:rsidRDefault="0040521B" w:rsidP="0053283A">
            <w:pPr>
              <w:rPr>
                <w:rFonts w:cs="Calibri"/>
                <w:color w:val="000000"/>
              </w:rPr>
            </w:pPr>
            <w:r>
              <w:rPr>
                <w:rFonts w:cs="Calibri"/>
                <w:color w:val="000000"/>
              </w:rPr>
              <w:t>Humanitarian Refugee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49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1%</w:t>
            </w:r>
          </w:p>
        </w:tc>
        <w:tc>
          <w:tcPr>
            <w:tcW w:w="1134"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825</w:t>
            </w:r>
          </w:p>
        </w:tc>
        <w:tc>
          <w:tcPr>
            <w:tcW w:w="1134"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1%</w:t>
            </w:r>
          </w:p>
        </w:tc>
      </w:tr>
      <w:tr w:rsidR="0040521B" w:rsidRPr="00FF725A" w:rsidTr="0053283A">
        <w:trPr>
          <w:trHeight w:val="315"/>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40521B" w:rsidRDefault="0040521B" w:rsidP="0053283A">
            <w:pPr>
              <w:rPr>
                <w:rFonts w:cs="Calibri"/>
                <w:color w:val="000000"/>
              </w:rPr>
            </w:pPr>
            <w:r>
              <w:rPr>
                <w:rFonts w:cs="Calibri"/>
                <w:color w:val="000000"/>
              </w:rPr>
              <w:t>Indigenous Australian</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488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14%</w:t>
            </w:r>
          </w:p>
        </w:tc>
        <w:tc>
          <w:tcPr>
            <w:tcW w:w="1134"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10420</w:t>
            </w:r>
          </w:p>
        </w:tc>
        <w:tc>
          <w:tcPr>
            <w:tcW w:w="1134"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19%</w:t>
            </w:r>
          </w:p>
        </w:tc>
      </w:tr>
      <w:tr w:rsidR="0040521B" w:rsidRPr="00FF725A" w:rsidTr="0053283A">
        <w:trPr>
          <w:trHeight w:val="315"/>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40521B" w:rsidRDefault="0040521B" w:rsidP="0053283A">
            <w:pPr>
              <w:rPr>
                <w:rFonts w:cs="Calibri"/>
                <w:color w:val="000000"/>
              </w:rPr>
            </w:pPr>
            <w:r>
              <w:rPr>
                <w:rFonts w:cs="Calibri"/>
                <w:color w:val="000000"/>
              </w:rPr>
              <w:t>Parent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94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3%</w:t>
            </w:r>
          </w:p>
        </w:tc>
        <w:tc>
          <w:tcPr>
            <w:tcW w:w="1134"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1136</w:t>
            </w:r>
          </w:p>
        </w:tc>
        <w:tc>
          <w:tcPr>
            <w:tcW w:w="1134"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2%</w:t>
            </w:r>
          </w:p>
        </w:tc>
      </w:tr>
      <w:tr w:rsidR="0040521B" w:rsidRPr="00FF725A" w:rsidTr="0053283A">
        <w:trPr>
          <w:trHeight w:val="315"/>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40521B" w:rsidRDefault="0040521B" w:rsidP="0053283A">
            <w:pPr>
              <w:rPr>
                <w:rFonts w:cs="Calibri"/>
                <w:color w:val="000000"/>
              </w:rPr>
            </w:pPr>
            <w:r>
              <w:rPr>
                <w:rFonts w:cs="Calibri"/>
                <w:color w:val="000000"/>
              </w:rPr>
              <w:t>Receiving Centrelink Income Support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1749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52%</w:t>
            </w:r>
          </w:p>
        </w:tc>
        <w:tc>
          <w:tcPr>
            <w:tcW w:w="1134"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17359</w:t>
            </w:r>
          </w:p>
        </w:tc>
        <w:tc>
          <w:tcPr>
            <w:tcW w:w="1134"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31%</w:t>
            </w:r>
          </w:p>
        </w:tc>
      </w:tr>
      <w:tr w:rsidR="0040521B" w:rsidRPr="00FF725A" w:rsidTr="0053283A">
        <w:trPr>
          <w:trHeight w:val="315"/>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40521B" w:rsidRDefault="0040521B" w:rsidP="0053283A">
            <w:pPr>
              <w:rPr>
                <w:rFonts w:cs="Calibri"/>
                <w:color w:val="000000"/>
              </w:rPr>
            </w:pPr>
            <w:r>
              <w:rPr>
                <w:rFonts w:cs="Calibri"/>
                <w:color w:val="000000"/>
              </w:rPr>
              <w:t>Suspected or diagnosed mental health issue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1%</w:t>
            </w:r>
          </w:p>
        </w:tc>
        <w:tc>
          <w:tcPr>
            <w:tcW w:w="1134"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319</w:t>
            </w:r>
          </w:p>
        </w:tc>
        <w:tc>
          <w:tcPr>
            <w:tcW w:w="1134"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1%</w:t>
            </w:r>
          </w:p>
        </w:tc>
      </w:tr>
      <w:tr w:rsidR="0040521B" w:rsidRPr="00FF725A" w:rsidTr="0053283A">
        <w:trPr>
          <w:trHeight w:val="315"/>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40521B" w:rsidRDefault="0040521B" w:rsidP="0053283A">
            <w:pPr>
              <w:rPr>
                <w:rFonts w:cs="Calibri"/>
                <w:color w:val="000000"/>
              </w:rPr>
            </w:pPr>
            <w:r>
              <w:rPr>
                <w:rFonts w:cs="Calibri"/>
                <w:color w:val="000000"/>
              </w:rPr>
              <w:t>Young Carer</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1084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21B" w:rsidRDefault="0040521B" w:rsidP="0053283A">
            <w:pPr>
              <w:jc w:val="right"/>
              <w:rPr>
                <w:rFonts w:cs="Calibri"/>
                <w:color w:val="000000"/>
              </w:rPr>
            </w:pPr>
            <w:r>
              <w:rPr>
                <w:rFonts w:cs="Calibri"/>
                <w:color w:val="000000"/>
              </w:rPr>
              <w:t>32%</w:t>
            </w:r>
          </w:p>
        </w:tc>
        <w:tc>
          <w:tcPr>
            <w:tcW w:w="1134"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11902</w:t>
            </w:r>
          </w:p>
        </w:tc>
        <w:tc>
          <w:tcPr>
            <w:tcW w:w="1134" w:type="dxa"/>
            <w:tcBorders>
              <w:top w:val="single" w:sz="4" w:space="0" w:color="auto"/>
              <w:left w:val="single" w:sz="4" w:space="0" w:color="auto"/>
              <w:bottom w:val="single" w:sz="4" w:space="0" w:color="auto"/>
              <w:right w:val="single" w:sz="4" w:space="0" w:color="auto"/>
            </w:tcBorders>
            <w:vAlign w:val="bottom"/>
          </w:tcPr>
          <w:p w:rsidR="0040521B" w:rsidRDefault="0040521B" w:rsidP="0053283A">
            <w:pPr>
              <w:jc w:val="right"/>
              <w:rPr>
                <w:rFonts w:cs="Calibri"/>
                <w:color w:val="000000"/>
              </w:rPr>
            </w:pPr>
            <w:r>
              <w:rPr>
                <w:rFonts w:cs="Calibri"/>
                <w:color w:val="000000"/>
              </w:rPr>
              <w:t>21%</w:t>
            </w:r>
          </w:p>
        </w:tc>
      </w:tr>
    </w:tbl>
    <w:p w:rsidR="0040521B" w:rsidRDefault="0040521B" w:rsidP="0040521B">
      <w:pPr>
        <w:ind w:right="-188"/>
      </w:pPr>
    </w:p>
    <w:p w:rsidR="009F1919" w:rsidRDefault="009F1919">
      <w:pPr>
        <w:spacing w:after="200"/>
        <w:rPr>
          <w:b/>
          <w:bCs/>
          <w:color w:val="4F81BD" w:themeColor="accent1"/>
          <w:sz w:val="18"/>
          <w:szCs w:val="18"/>
        </w:rPr>
      </w:pPr>
      <w:r>
        <w:rPr>
          <w:b/>
          <w:bCs/>
          <w:color w:val="4F81BD" w:themeColor="accent1"/>
          <w:sz w:val="18"/>
          <w:szCs w:val="18"/>
        </w:rPr>
        <w:br w:type="page"/>
      </w:r>
    </w:p>
    <w:p w:rsidR="0040521B" w:rsidRPr="006A3845" w:rsidRDefault="0040521B" w:rsidP="009F1919">
      <w:pPr>
        <w:pStyle w:val="Heading4"/>
      </w:pPr>
      <w:r w:rsidRPr="006A3845">
        <w:lastRenderedPageBreak/>
        <w:t>Figure 22: Percentage of Participants identified as having a barrier</w:t>
      </w:r>
    </w:p>
    <w:p w:rsidR="0040521B" w:rsidRDefault="0040521B" w:rsidP="0040521B">
      <w:pPr>
        <w:ind w:right="-188"/>
      </w:pPr>
      <w:r>
        <w:rPr>
          <w:noProof/>
          <w:lang w:eastAsia="en-AU"/>
        </w:rPr>
        <w:drawing>
          <wp:inline distT="0" distB="0" distL="0" distR="0" wp14:anchorId="6044A4E8" wp14:editId="4477418E">
            <wp:extent cx="6590581" cy="8281359"/>
            <wp:effectExtent l="0" t="0" r="1270" b="5715"/>
            <wp:docPr id="26" name="Chart 26" descr="Specialised services, South Australia and National percentage of participants who have been identified as having a barrier, graphic representation of table 31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0521B" w:rsidRDefault="0040521B" w:rsidP="0040521B">
      <w:pPr>
        <w:ind w:right="-188"/>
      </w:pPr>
    </w:p>
    <w:p w:rsidR="009F1919" w:rsidRDefault="009F1919">
      <w:pPr>
        <w:spacing w:after="200"/>
      </w:pPr>
      <w:r>
        <w:br w:type="page"/>
      </w:r>
    </w:p>
    <w:p w:rsidR="0040521B" w:rsidRDefault="0040521B" w:rsidP="009F1919">
      <w:pPr>
        <w:pStyle w:val="Heading3"/>
      </w:pPr>
      <w:r>
        <w:lastRenderedPageBreak/>
        <w:t>Table 31:</w:t>
      </w:r>
      <w:r w:rsidRPr="00D36A5C">
        <w:t xml:space="preserve"> </w:t>
      </w:r>
      <w:r w:rsidRPr="003E33C6">
        <w:t>Percentage of Participants identified as having a barrier</w:t>
      </w:r>
    </w:p>
    <w:p w:rsidR="0040521B" w:rsidRDefault="0040521B" w:rsidP="0040521B">
      <w:pPr>
        <w:ind w:right="-188"/>
      </w:pPr>
    </w:p>
    <w:tbl>
      <w:tblPr>
        <w:tblStyle w:val="TableGrid"/>
        <w:tblW w:w="0" w:type="auto"/>
        <w:tblLook w:val="04A0" w:firstRow="1" w:lastRow="0" w:firstColumn="1" w:lastColumn="0" w:noHBand="0" w:noVBand="1"/>
        <w:tblDescription w:val="Table 31: Percentage of Participants identified as having a barrier"/>
      </w:tblPr>
      <w:tblGrid>
        <w:gridCol w:w="5778"/>
        <w:gridCol w:w="1418"/>
        <w:gridCol w:w="1417"/>
        <w:gridCol w:w="1276"/>
      </w:tblGrid>
      <w:tr w:rsidR="0040521B" w:rsidRPr="003E33C6" w:rsidTr="0058742A">
        <w:trPr>
          <w:tblHeader/>
        </w:trPr>
        <w:tc>
          <w:tcPr>
            <w:tcW w:w="5778" w:type="dxa"/>
            <w:shd w:val="clear" w:color="auto" w:fill="C6D9F1" w:themeFill="text2" w:themeFillTint="33"/>
            <w:vAlign w:val="bottom"/>
          </w:tcPr>
          <w:p w:rsidR="0040521B" w:rsidRPr="003E33C6" w:rsidRDefault="0040521B" w:rsidP="0053283A">
            <w:pPr>
              <w:jc w:val="center"/>
              <w:rPr>
                <w:rFonts w:cs="Calibri"/>
                <w:b/>
                <w:bCs/>
                <w:color w:val="000000"/>
              </w:rPr>
            </w:pPr>
            <w:r w:rsidRPr="003E33C6">
              <w:rPr>
                <w:rFonts w:cs="Calibri"/>
                <w:b/>
                <w:bCs/>
                <w:color w:val="000000"/>
              </w:rPr>
              <w:t>Barrier</w:t>
            </w:r>
          </w:p>
        </w:tc>
        <w:tc>
          <w:tcPr>
            <w:tcW w:w="1418" w:type="dxa"/>
            <w:shd w:val="clear" w:color="auto" w:fill="C6D9F1" w:themeFill="text2" w:themeFillTint="33"/>
          </w:tcPr>
          <w:p w:rsidR="0040521B" w:rsidRPr="003E33C6" w:rsidRDefault="0040521B" w:rsidP="0053283A">
            <w:pPr>
              <w:jc w:val="center"/>
              <w:rPr>
                <w:b/>
              </w:rPr>
            </w:pPr>
            <w:r>
              <w:rPr>
                <w:b/>
              </w:rPr>
              <w:t>Specialised Services</w:t>
            </w:r>
          </w:p>
        </w:tc>
        <w:tc>
          <w:tcPr>
            <w:tcW w:w="1417" w:type="dxa"/>
            <w:shd w:val="clear" w:color="auto" w:fill="C6D9F1" w:themeFill="text2" w:themeFillTint="33"/>
          </w:tcPr>
          <w:p w:rsidR="0040521B" w:rsidRPr="003E33C6" w:rsidRDefault="0040521B" w:rsidP="0053283A">
            <w:pPr>
              <w:jc w:val="center"/>
              <w:rPr>
                <w:b/>
              </w:rPr>
            </w:pPr>
            <w:r>
              <w:rPr>
                <w:b/>
              </w:rPr>
              <w:t>SA</w:t>
            </w:r>
          </w:p>
        </w:tc>
        <w:tc>
          <w:tcPr>
            <w:tcW w:w="1276" w:type="dxa"/>
            <w:shd w:val="clear" w:color="auto" w:fill="C6D9F1" w:themeFill="text2" w:themeFillTint="33"/>
          </w:tcPr>
          <w:p w:rsidR="0040521B" w:rsidRPr="003E33C6" w:rsidRDefault="0040521B" w:rsidP="0053283A">
            <w:pPr>
              <w:jc w:val="center"/>
              <w:rPr>
                <w:b/>
              </w:rPr>
            </w:pPr>
            <w:r w:rsidRPr="003E33C6">
              <w:rPr>
                <w:b/>
              </w:rPr>
              <w:t>National</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Abuse/Domestic Violence issue</w:t>
            </w:r>
          </w:p>
        </w:tc>
        <w:tc>
          <w:tcPr>
            <w:tcW w:w="1418" w:type="dxa"/>
            <w:vAlign w:val="bottom"/>
          </w:tcPr>
          <w:p w:rsidR="0040521B" w:rsidRDefault="0040521B" w:rsidP="0053283A">
            <w:pPr>
              <w:jc w:val="right"/>
              <w:rPr>
                <w:rFonts w:cs="Calibri"/>
                <w:color w:val="000000"/>
              </w:rPr>
            </w:pPr>
            <w:r>
              <w:rPr>
                <w:rFonts w:cs="Calibri"/>
                <w:color w:val="000000"/>
              </w:rPr>
              <w:t>10%</w:t>
            </w:r>
          </w:p>
        </w:tc>
        <w:tc>
          <w:tcPr>
            <w:tcW w:w="1417" w:type="dxa"/>
            <w:vAlign w:val="bottom"/>
          </w:tcPr>
          <w:p w:rsidR="0040521B" w:rsidRDefault="0040521B" w:rsidP="0053283A">
            <w:pPr>
              <w:jc w:val="right"/>
              <w:rPr>
                <w:rFonts w:cs="Calibri"/>
                <w:color w:val="000000"/>
              </w:rPr>
            </w:pPr>
            <w:r>
              <w:rPr>
                <w:rFonts w:cs="Calibri"/>
                <w:color w:val="000000"/>
              </w:rPr>
              <w:t>16%</w:t>
            </w:r>
          </w:p>
        </w:tc>
        <w:tc>
          <w:tcPr>
            <w:tcW w:w="1276" w:type="dxa"/>
            <w:vAlign w:val="bottom"/>
          </w:tcPr>
          <w:p w:rsidR="0040521B" w:rsidRDefault="0040521B" w:rsidP="0053283A">
            <w:pPr>
              <w:jc w:val="right"/>
              <w:rPr>
                <w:rFonts w:cs="Calibri"/>
                <w:color w:val="000000"/>
              </w:rPr>
            </w:pPr>
            <w:r>
              <w:rPr>
                <w:rFonts w:cs="Calibri"/>
                <w:color w:val="000000"/>
              </w:rPr>
              <w:t>10%</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Alcohol and/or drug misuse</w:t>
            </w:r>
          </w:p>
        </w:tc>
        <w:tc>
          <w:tcPr>
            <w:tcW w:w="1418" w:type="dxa"/>
            <w:vAlign w:val="bottom"/>
          </w:tcPr>
          <w:p w:rsidR="0040521B" w:rsidRDefault="0040521B" w:rsidP="0053283A">
            <w:pPr>
              <w:jc w:val="right"/>
              <w:rPr>
                <w:rFonts w:cs="Calibri"/>
                <w:color w:val="000000"/>
              </w:rPr>
            </w:pPr>
            <w:r>
              <w:rPr>
                <w:rFonts w:cs="Calibri"/>
                <w:color w:val="000000"/>
              </w:rPr>
              <w:t>45%</w:t>
            </w:r>
          </w:p>
        </w:tc>
        <w:tc>
          <w:tcPr>
            <w:tcW w:w="1417" w:type="dxa"/>
            <w:vAlign w:val="bottom"/>
          </w:tcPr>
          <w:p w:rsidR="0040521B" w:rsidRDefault="0040521B" w:rsidP="0053283A">
            <w:pPr>
              <w:jc w:val="right"/>
              <w:rPr>
                <w:rFonts w:cs="Calibri"/>
                <w:color w:val="000000"/>
              </w:rPr>
            </w:pPr>
            <w:r>
              <w:rPr>
                <w:rFonts w:cs="Calibri"/>
                <w:color w:val="000000"/>
              </w:rPr>
              <w:t>26%</w:t>
            </w:r>
          </w:p>
        </w:tc>
        <w:tc>
          <w:tcPr>
            <w:tcW w:w="1276" w:type="dxa"/>
            <w:vAlign w:val="bottom"/>
          </w:tcPr>
          <w:p w:rsidR="0040521B" w:rsidRDefault="0040521B" w:rsidP="0053283A">
            <w:pPr>
              <w:jc w:val="right"/>
              <w:rPr>
                <w:rFonts w:cs="Calibri"/>
                <w:color w:val="000000"/>
              </w:rPr>
            </w:pPr>
            <w:r>
              <w:rPr>
                <w:rFonts w:cs="Calibri"/>
                <w:color w:val="000000"/>
              </w:rPr>
              <w:t>19%</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Anger management issues</w:t>
            </w:r>
          </w:p>
        </w:tc>
        <w:tc>
          <w:tcPr>
            <w:tcW w:w="1418" w:type="dxa"/>
            <w:vAlign w:val="bottom"/>
          </w:tcPr>
          <w:p w:rsidR="0040521B" w:rsidRDefault="0040521B" w:rsidP="0053283A">
            <w:pPr>
              <w:jc w:val="right"/>
              <w:rPr>
                <w:rFonts w:cs="Calibri"/>
                <w:color w:val="000000"/>
              </w:rPr>
            </w:pPr>
            <w:r>
              <w:rPr>
                <w:rFonts w:cs="Calibri"/>
                <w:color w:val="000000"/>
              </w:rPr>
              <w:t>23%</w:t>
            </w:r>
          </w:p>
        </w:tc>
        <w:tc>
          <w:tcPr>
            <w:tcW w:w="1417" w:type="dxa"/>
            <w:vAlign w:val="bottom"/>
          </w:tcPr>
          <w:p w:rsidR="0040521B" w:rsidRDefault="0040521B" w:rsidP="0053283A">
            <w:pPr>
              <w:jc w:val="right"/>
              <w:rPr>
                <w:rFonts w:cs="Calibri"/>
                <w:color w:val="000000"/>
              </w:rPr>
            </w:pPr>
            <w:r>
              <w:rPr>
                <w:rFonts w:cs="Calibri"/>
                <w:color w:val="000000"/>
              </w:rPr>
              <w:t>32%</w:t>
            </w:r>
          </w:p>
        </w:tc>
        <w:tc>
          <w:tcPr>
            <w:tcW w:w="1276" w:type="dxa"/>
            <w:vAlign w:val="bottom"/>
          </w:tcPr>
          <w:p w:rsidR="0040521B" w:rsidRDefault="0040521B" w:rsidP="0053283A">
            <w:pPr>
              <w:jc w:val="right"/>
              <w:rPr>
                <w:rFonts w:cs="Calibri"/>
                <w:color w:val="000000"/>
              </w:rPr>
            </w:pPr>
            <w:r>
              <w:rPr>
                <w:rFonts w:cs="Calibri"/>
                <w:color w:val="000000"/>
              </w:rPr>
              <w:t>30%</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Behavioural problems</w:t>
            </w:r>
          </w:p>
        </w:tc>
        <w:tc>
          <w:tcPr>
            <w:tcW w:w="1418" w:type="dxa"/>
            <w:vAlign w:val="bottom"/>
          </w:tcPr>
          <w:p w:rsidR="0040521B" w:rsidRDefault="0040521B" w:rsidP="0053283A">
            <w:pPr>
              <w:jc w:val="right"/>
              <w:rPr>
                <w:rFonts w:cs="Calibri"/>
                <w:color w:val="000000"/>
              </w:rPr>
            </w:pPr>
            <w:r>
              <w:rPr>
                <w:rFonts w:cs="Calibri"/>
                <w:color w:val="000000"/>
              </w:rPr>
              <w:t>27%</w:t>
            </w:r>
          </w:p>
        </w:tc>
        <w:tc>
          <w:tcPr>
            <w:tcW w:w="1417" w:type="dxa"/>
            <w:vAlign w:val="bottom"/>
          </w:tcPr>
          <w:p w:rsidR="0040521B" w:rsidRDefault="0040521B" w:rsidP="0053283A">
            <w:pPr>
              <w:jc w:val="right"/>
              <w:rPr>
                <w:rFonts w:cs="Calibri"/>
                <w:color w:val="000000"/>
              </w:rPr>
            </w:pPr>
            <w:r>
              <w:rPr>
                <w:rFonts w:cs="Calibri"/>
                <w:color w:val="000000"/>
              </w:rPr>
              <w:t>42%</w:t>
            </w:r>
          </w:p>
        </w:tc>
        <w:tc>
          <w:tcPr>
            <w:tcW w:w="1276" w:type="dxa"/>
            <w:vAlign w:val="bottom"/>
          </w:tcPr>
          <w:p w:rsidR="0040521B" w:rsidRDefault="0040521B" w:rsidP="0053283A">
            <w:pPr>
              <w:jc w:val="right"/>
              <w:rPr>
                <w:rFonts w:cs="Calibri"/>
                <w:color w:val="000000"/>
              </w:rPr>
            </w:pPr>
            <w:r>
              <w:rPr>
                <w:rFonts w:cs="Calibri"/>
                <w:color w:val="000000"/>
              </w:rPr>
              <w:t>50%</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Bullying</w:t>
            </w:r>
          </w:p>
        </w:tc>
        <w:tc>
          <w:tcPr>
            <w:tcW w:w="1418" w:type="dxa"/>
            <w:vAlign w:val="bottom"/>
          </w:tcPr>
          <w:p w:rsidR="0040521B" w:rsidRDefault="0040521B" w:rsidP="0053283A">
            <w:pPr>
              <w:jc w:val="right"/>
              <w:rPr>
                <w:rFonts w:cs="Calibri"/>
                <w:color w:val="000000"/>
              </w:rPr>
            </w:pPr>
            <w:r>
              <w:rPr>
                <w:rFonts w:cs="Calibri"/>
                <w:color w:val="000000"/>
              </w:rPr>
              <w:t>7%</w:t>
            </w:r>
          </w:p>
        </w:tc>
        <w:tc>
          <w:tcPr>
            <w:tcW w:w="1417" w:type="dxa"/>
            <w:vAlign w:val="bottom"/>
          </w:tcPr>
          <w:p w:rsidR="0040521B" w:rsidRDefault="0040521B" w:rsidP="0053283A">
            <w:pPr>
              <w:jc w:val="right"/>
              <w:rPr>
                <w:rFonts w:cs="Calibri"/>
                <w:color w:val="000000"/>
              </w:rPr>
            </w:pPr>
            <w:r>
              <w:rPr>
                <w:rFonts w:cs="Calibri"/>
                <w:color w:val="000000"/>
              </w:rPr>
              <w:t>26%</w:t>
            </w:r>
          </w:p>
        </w:tc>
        <w:tc>
          <w:tcPr>
            <w:tcW w:w="1276" w:type="dxa"/>
            <w:vAlign w:val="bottom"/>
          </w:tcPr>
          <w:p w:rsidR="0040521B" w:rsidRDefault="0040521B" w:rsidP="0053283A">
            <w:pPr>
              <w:jc w:val="right"/>
              <w:rPr>
                <w:rFonts w:cs="Calibri"/>
                <w:color w:val="000000"/>
              </w:rPr>
            </w:pPr>
            <w:r>
              <w:rPr>
                <w:rFonts w:cs="Calibri"/>
                <w:color w:val="000000"/>
              </w:rPr>
              <w:t>25%</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Critical life event</w:t>
            </w:r>
          </w:p>
        </w:tc>
        <w:tc>
          <w:tcPr>
            <w:tcW w:w="1418" w:type="dxa"/>
            <w:vAlign w:val="bottom"/>
          </w:tcPr>
          <w:p w:rsidR="0040521B" w:rsidRDefault="0040521B" w:rsidP="0053283A">
            <w:pPr>
              <w:jc w:val="right"/>
              <w:rPr>
                <w:rFonts w:cs="Calibri"/>
                <w:color w:val="000000"/>
              </w:rPr>
            </w:pPr>
            <w:r>
              <w:rPr>
                <w:rFonts w:cs="Calibri"/>
                <w:color w:val="000000"/>
              </w:rPr>
              <w:t>10%</w:t>
            </w:r>
          </w:p>
        </w:tc>
        <w:tc>
          <w:tcPr>
            <w:tcW w:w="1417" w:type="dxa"/>
            <w:vAlign w:val="bottom"/>
          </w:tcPr>
          <w:p w:rsidR="0040521B" w:rsidRDefault="0040521B" w:rsidP="0053283A">
            <w:pPr>
              <w:jc w:val="right"/>
              <w:rPr>
                <w:rFonts w:cs="Calibri"/>
                <w:color w:val="000000"/>
              </w:rPr>
            </w:pPr>
            <w:r>
              <w:rPr>
                <w:rFonts w:cs="Calibri"/>
                <w:color w:val="000000"/>
              </w:rPr>
              <w:t>22%</w:t>
            </w:r>
          </w:p>
        </w:tc>
        <w:tc>
          <w:tcPr>
            <w:tcW w:w="1276" w:type="dxa"/>
            <w:vAlign w:val="bottom"/>
          </w:tcPr>
          <w:p w:rsidR="0040521B" w:rsidRDefault="0040521B" w:rsidP="0053283A">
            <w:pPr>
              <w:jc w:val="right"/>
              <w:rPr>
                <w:rFonts w:cs="Calibri"/>
                <w:color w:val="000000"/>
              </w:rPr>
            </w:pPr>
            <w:r>
              <w:rPr>
                <w:rFonts w:cs="Calibri"/>
                <w:color w:val="000000"/>
              </w:rPr>
              <w:t>16%</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Current or previous Juvenile Justice Orders</w:t>
            </w:r>
          </w:p>
        </w:tc>
        <w:tc>
          <w:tcPr>
            <w:tcW w:w="1418" w:type="dxa"/>
            <w:vAlign w:val="bottom"/>
          </w:tcPr>
          <w:p w:rsidR="0040521B" w:rsidRDefault="0040521B" w:rsidP="0053283A">
            <w:pPr>
              <w:jc w:val="right"/>
              <w:rPr>
                <w:rFonts w:cs="Calibri"/>
                <w:color w:val="000000"/>
              </w:rPr>
            </w:pPr>
            <w:r>
              <w:rPr>
                <w:rFonts w:cs="Calibri"/>
                <w:color w:val="000000"/>
              </w:rPr>
              <w:t>83%</w:t>
            </w:r>
          </w:p>
        </w:tc>
        <w:tc>
          <w:tcPr>
            <w:tcW w:w="1417" w:type="dxa"/>
            <w:vAlign w:val="bottom"/>
          </w:tcPr>
          <w:p w:rsidR="0040521B" w:rsidRDefault="0040521B" w:rsidP="0053283A">
            <w:pPr>
              <w:jc w:val="right"/>
              <w:rPr>
                <w:rFonts w:cs="Calibri"/>
                <w:color w:val="000000"/>
              </w:rPr>
            </w:pPr>
            <w:r>
              <w:rPr>
                <w:rFonts w:cs="Calibri"/>
                <w:color w:val="000000"/>
              </w:rPr>
              <w:t>16%</w:t>
            </w:r>
          </w:p>
        </w:tc>
        <w:tc>
          <w:tcPr>
            <w:tcW w:w="1276" w:type="dxa"/>
            <w:vAlign w:val="bottom"/>
          </w:tcPr>
          <w:p w:rsidR="0040521B" w:rsidRDefault="0040521B" w:rsidP="0053283A">
            <w:pPr>
              <w:jc w:val="right"/>
              <w:rPr>
                <w:rFonts w:cs="Calibri"/>
                <w:color w:val="000000"/>
              </w:rPr>
            </w:pPr>
            <w:r>
              <w:rPr>
                <w:rFonts w:cs="Calibri"/>
                <w:color w:val="000000"/>
              </w:rPr>
              <w:t>10%</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Disability</w:t>
            </w:r>
          </w:p>
        </w:tc>
        <w:tc>
          <w:tcPr>
            <w:tcW w:w="1418" w:type="dxa"/>
            <w:vAlign w:val="bottom"/>
          </w:tcPr>
          <w:p w:rsidR="0040521B" w:rsidRDefault="0040521B" w:rsidP="0053283A">
            <w:pPr>
              <w:jc w:val="right"/>
              <w:rPr>
                <w:rFonts w:cs="Calibri"/>
                <w:color w:val="000000"/>
              </w:rPr>
            </w:pPr>
            <w:r>
              <w:rPr>
                <w:rFonts w:cs="Calibri"/>
                <w:color w:val="000000"/>
              </w:rPr>
              <w:t>2%</w:t>
            </w:r>
          </w:p>
        </w:tc>
        <w:tc>
          <w:tcPr>
            <w:tcW w:w="1417" w:type="dxa"/>
            <w:vAlign w:val="bottom"/>
          </w:tcPr>
          <w:p w:rsidR="0040521B" w:rsidRDefault="0040521B" w:rsidP="0053283A">
            <w:pPr>
              <w:jc w:val="right"/>
              <w:rPr>
                <w:rFonts w:cs="Calibri"/>
                <w:color w:val="000000"/>
              </w:rPr>
            </w:pPr>
            <w:r>
              <w:rPr>
                <w:rFonts w:cs="Calibri"/>
                <w:color w:val="000000"/>
              </w:rPr>
              <w:t>6%</w:t>
            </w:r>
          </w:p>
        </w:tc>
        <w:tc>
          <w:tcPr>
            <w:tcW w:w="1276" w:type="dxa"/>
            <w:vAlign w:val="bottom"/>
          </w:tcPr>
          <w:p w:rsidR="0040521B" w:rsidRDefault="0040521B" w:rsidP="0053283A">
            <w:pPr>
              <w:jc w:val="right"/>
              <w:rPr>
                <w:rFonts w:cs="Calibri"/>
                <w:color w:val="000000"/>
              </w:rPr>
            </w:pPr>
            <w:r>
              <w:rPr>
                <w:rFonts w:cs="Calibri"/>
                <w:color w:val="000000"/>
              </w:rPr>
              <w:t>5%</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Disconnection from cultural heritage</w:t>
            </w:r>
          </w:p>
        </w:tc>
        <w:tc>
          <w:tcPr>
            <w:tcW w:w="1418" w:type="dxa"/>
            <w:vAlign w:val="bottom"/>
          </w:tcPr>
          <w:p w:rsidR="0040521B" w:rsidRDefault="0040521B" w:rsidP="0053283A">
            <w:pPr>
              <w:jc w:val="right"/>
              <w:rPr>
                <w:rFonts w:cs="Calibri"/>
                <w:color w:val="000000"/>
              </w:rPr>
            </w:pPr>
            <w:r>
              <w:rPr>
                <w:rFonts w:cs="Calibri"/>
                <w:color w:val="000000"/>
              </w:rPr>
              <w:t>8%</w:t>
            </w:r>
          </w:p>
        </w:tc>
        <w:tc>
          <w:tcPr>
            <w:tcW w:w="1417" w:type="dxa"/>
            <w:vAlign w:val="bottom"/>
          </w:tcPr>
          <w:p w:rsidR="0040521B" w:rsidRDefault="0040521B" w:rsidP="0053283A">
            <w:pPr>
              <w:jc w:val="right"/>
              <w:rPr>
                <w:rFonts w:cs="Calibri"/>
                <w:color w:val="000000"/>
              </w:rPr>
            </w:pPr>
            <w:r>
              <w:rPr>
                <w:rFonts w:cs="Calibri"/>
                <w:color w:val="000000"/>
              </w:rPr>
              <w:t>3%</w:t>
            </w:r>
          </w:p>
        </w:tc>
        <w:tc>
          <w:tcPr>
            <w:tcW w:w="1276" w:type="dxa"/>
            <w:vAlign w:val="bottom"/>
          </w:tcPr>
          <w:p w:rsidR="0040521B" w:rsidRDefault="0040521B" w:rsidP="0053283A">
            <w:pPr>
              <w:jc w:val="right"/>
              <w:rPr>
                <w:rFonts w:cs="Calibri"/>
                <w:color w:val="000000"/>
              </w:rPr>
            </w:pPr>
            <w:r>
              <w:rPr>
                <w:rFonts w:cs="Calibri"/>
                <w:color w:val="000000"/>
              </w:rPr>
              <w:t>5%</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Financial distress</w:t>
            </w:r>
          </w:p>
        </w:tc>
        <w:tc>
          <w:tcPr>
            <w:tcW w:w="1418" w:type="dxa"/>
            <w:vAlign w:val="bottom"/>
          </w:tcPr>
          <w:p w:rsidR="0040521B" w:rsidRDefault="0040521B" w:rsidP="0053283A">
            <w:pPr>
              <w:jc w:val="right"/>
              <w:rPr>
                <w:rFonts w:cs="Calibri"/>
                <w:color w:val="000000"/>
              </w:rPr>
            </w:pPr>
            <w:r>
              <w:rPr>
                <w:rFonts w:cs="Calibri"/>
                <w:color w:val="000000"/>
              </w:rPr>
              <w:t>10%</w:t>
            </w:r>
          </w:p>
        </w:tc>
        <w:tc>
          <w:tcPr>
            <w:tcW w:w="1417" w:type="dxa"/>
            <w:vAlign w:val="bottom"/>
          </w:tcPr>
          <w:p w:rsidR="0040521B" w:rsidRDefault="0040521B" w:rsidP="0053283A">
            <w:pPr>
              <w:jc w:val="right"/>
              <w:rPr>
                <w:rFonts w:cs="Calibri"/>
                <w:color w:val="000000"/>
              </w:rPr>
            </w:pPr>
            <w:r>
              <w:rPr>
                <w:rFonts w:cs="Calibri"/>
                <w:color w:val="000000"/>
              </w:rPr>
              <w:t>44%</w:t>
            </w:r>
          </w:p>
        </w:tc>
        <w:tc>
          <w:tcPr>
            <w:tcW w:w="1276" w:type="dxa"/>
            <w:vAlign w:val="bottom"/>
          </w:tcPr>
          <w:p w:rsidR="0040521B" w:rsidRDefault="0040521B" w:rsidP="0053283A">
            <w:pPr>
              <w:jc w:val="right"/>
              <w:rPr>
                <w:rFonts w:cs="Calibri"/>
                <w:color w:val="000000"/>
              </w:rPr>
            </w:pPr>
            <w:r>
              <w:rPr>
                <w:rFonts w:cs="Calibri"/>
                <w:color w:val="000000"/>
              </w:rPr>
              <w:t>28%</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Gifted</w:t>
            </w:r>
          </w:p>
        </w:tc>
        <w:tc>
          <w:tcPr>
            <w:tcW w:w="1418" w:type="dxa"/>
            <w:vAlign w:val="bottom"/>
          </w:tcPr>
          <w:p w:rsidR="0040521B" w:rsidRDefault="0040521B" w:rsidP="0053283A">
            <w:pPr>
              <w:jc w:val="right"/>
              <w:rPr>
                <w:rFonts w:cs="Calibri"/>
                <w:color w:val="000000"/>
              </w:rPr>
            </w:pPr>
            <w:r>
              <w:rPr>
                <w:rFonts w:cs="Calibri"/>
                <w:color w:val="000000"/>
              </w:rPr>
              <w:t>1%</w:t>
            </w:r>
          </w:p>
        </w:tc>
        <w:tc>
          <w:tcPr>
            <w:tcW w:w="1417" w:type="dxa"/>
            <w:vAlign w:val="bottom"/>
          </w:tcPr>
          <w:p w:rsidR="0040521B" w:rsidRDefault="0040521B" w:rsidP="0053283A">
            <w:pPr>
              <w:jc w:val="right"/>
              <w:rPr>
                <w:rFonts w:cs="Calibri"/>
                <w:color w:val="000000"/>
              </w:rPr>
            </w:pPr>
            <w:r>
              <w:rPr>
                <w:rFonts w:cs="Calibri"/>
                <w:color w:val="000000"/>
              </w:rPr>
              <w:t>1%</w:t>
            </w:r>
          </w:p>
        </w:tc>
        <w:tc>
          <w:tcPr>
            <w:tcW w:w="1276" w:type="dxa"/>
            <w:vAlign w:val="bottom"/>
          </w:tcPr>
          <w:p w:rsidR="0040521B" w:rsidRDefault="0040521B" w:rsidP="0053283A">
            <w:pPr>
              <w:jc w:val="right"/>
              <w:rPr>
                <w:rFonts w:cs="Calibri"/>
                <w:color w:val="000000"/>
              </w:rPr>
            </w:pPr>
            <w:r>
              <w:rPr>
                <w:rFonts w:cs="Calibri"/>
                <w:color w:val="000000"/>
              </w:rPr>
              <w:t>1%</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Homelessness</w:t>
            </w:r>
          </w:p>
        </w:tc>
        <w:tc>
          <w:tcPr>
            <w:tcW w:w="1418" w:type="dxa"/>
            <w:vAlign w:val="bottom"/>
          </w:tcPr>
          <w:p w:rsidR="0040521B" w:rsidRDefault="0040521B" w:rsidP="0053283A">
            <w:pPr>
              <w:jc w:val="right"/>
              <w:rPr>
                <w:rFonts w:cs="Calibri"/>
                <w:color w:val="000000"/>
              </w:rPr>
            </w:pPr>
            <w:r>
              <w:rPr>
                <w:rFonts w:cs="Calibri"/>
                <w:color w:val="000000"/>
              </w:rPr>
              <w:t>12%</w:t>
            </w:r>
          </w:p>
        </w:tc>
        <w:tc>
          <w:tcPr>
            <w:tcW w:w="1417" w:type="dxa"/>
            <w:vAlign w:val="bottom"/>
          </w:tcPr>
          <w:p w:rsidR="0040521B" w:rsidRDefault="0040521B" w:rsidP="0053283A">
            <w:pPr>
              <w:jc w:val="right"/>
              <w:rPr>
                <w:rFonts w:cs="Calibri"/>
                <w:color w:val="000000"/>
              </w:rPr>
            </w:pPr>
            <w:r>
              <w:rPr>
                <w:rFonts w:cs="Calibri"/>
                <w:color w:val="000000"/>
              </w:rPr>
              <w:t>7%</w:t>
            </w:r>
          </w:p>
        </w:tc>
        <w:tc>
          <w:tcPr>
            <w:tcW w:w="1276" w:type="dxa"/>
            <w:vAlign w:val="bottom"/>
          </w:tcPr>
          <w:p w:rsidR="0040521B" w:rsidRDefault="0040521B" w:rsidP="0053283A">
            <w:pPr>
              <w:jc w:val="right"/>
              <w:rPr>
                <w:rFonts w:cs="Calibri"/>
                <w:color w:val="000000"/>
              </w:rPr>
            </w:pPr>
            <w:r>
              <w:rPr>
                <w:rFonts w:cs="Calibri"/>
                <w:color w:val="000000"/>
              </w:rPr>
              <w:t>5%</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In detention/previously in detention</w:t>
            </w:r>
          </w:p>
        </w:tc>
        <w:tc>
          <w:tcPr>
            <w:tcW w:w="1418" w:type="dxa"/>
            <w:vAlign w:val="bottom"/>
          </w:tcPr>
          <w:p w:rsidR="0040521B" w:rsidRDefault="0040521B" w:rsidP="0053283A">
            <w:pPr>
              <w:jc w:val="right"/>
              <w:rPr>
                <w:rFonts w:cs="Calibri"/>
                <w:color w:val="000000"/>
              </w:rPr>
            </w:pPr>
            <w:r>
              <w:rPr>
                <w:rFonts w:cs="Calibri"/>
                <w:color w:val="000000"/>
              </w:rPr>
              <w:t>76%</w:t>
            </w:r>
          </w:p>
        </w:tc>
        <w:tc>
          <w:tcPr>
            <w:tcW w:w="1417" w:type="dxa"/>
            <w:vAlign w:val="bottom"/>
          </w:tcPr>
          <w:p w:rsidR="0040521B" w:rsidRDefault="0040521B" w:rsidP="0053283A">
            <w:pPr>
              <w:jc w:val="right"/>
              <w:rPr>
                <w:rFonts w:cs="Calibri"/>
                <w:color w:val="000000"/>
              </w:rPr>
            </w:pPr>
            <w:r>
              <w:rPr>
                <w:rFonts w:cs="Calibri"/>
                <w:color w:val="000000"/>
              </w:rPr>
              <w:t>5%</w:t>
            </w:r>
          </w:p>
        </w:tc>
        <w:tc>
          <w:tcPr>
            <w:tcW w:w="1276" w:type="dxa"/>
            <w:vAlign w:val="bottom"/>
          </w:tcPr>
          <w:p w:rsidR="0040521B" w:rsidRDefault="0040521B" w:rsidP="0053283A">
            <w:pPr>
              <w:jc w:val="right"/>
              <w:rPr>
                <w:rFonts w:cs="Calibri"/>
                <w:color w:val="000000"/>
              </w:rPr>
            </w:pPr>
            <w:r>
              <w:rPr>
                <w:rFonts w:cs="Calibri"/>
                <w:color w:val="000000"/>
              </w:rPr>
              <w:t>3%</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Inadequate family support</w:t>
            </w:r>
          </w:p>
        </w:tc>
        <w:tc>
          <w:tcPr>
            <w:tcW w:w="1418" w:type="dxa"/>
            <w:vAlign w:val="bottom"/>
          </w:tcPr>
          <w:p w:rsidR="0040521B" w:rsidRDefault="0040521B" w:rsidP="0053283A">
            <w:pPr>
              <w:jc w:val="right"/>
              <w:rPr>
                <w:rFonts w:cs="Calibri"/>
                <w:color w:val="000000"/>
              </w:rPr>
            </w:pPr>
            <w:r>
              <w:rPr>
                <w:rFonts w:cs="Calibri"/>
                <w:color w:val="000000"/>
              </w:rPr>
              <w:t>40%</w:t>
            </w:r>
          </w:p>
        </w:tc>
        <w:tc>
          <w:tcPr>
            <w:tcW w:w="1417" w:type="dxa"/>
            <w:vAlign w:val="bottom"/>
          </w:tcPr>
          <w:p w:rsidR="0040521B" w:rsidRDefault="0040521B" w:rsidP="0053283A">
            <w:pPr>
              <w:jc w:val="right"/>
              <w:rPr>
                <w:rFonts w:cs="Calibri"/>
                <w:color w:val="000000"/>
              </w:rPr>
            </w:pPr>
            <w:r>
              <w:rPr>
                <w:rFonts w:cs="Calibri"/>
                <w:color w:val="000000"/>
              </w:rPr>
              <w:t>37%</w:t>
            </w:r>
          </w:p>
        </w:tc>
        <w:tc>
          <w:tcPr>
            <w:tcW w:w="1276" w:type="dxa"/>
            <w:vAlign w:val="bottom"/>
          </w:tcPr>
          <w:p w:rsidR="0040521B" w:rsidRDefault="0040521B" w:rsidP="0053283A">
            <w:pPr>
              <w:jc w:val="right"/>
              <w:rPr>
                <w:rFonts w:cs="Calibri"/>
                <w:color w:val="000000"/>
              </w:rPr>
            </w:pPr>
            <w:r>
              <w:rPr>
                <w:rFonts w:cs="Calibri"/>
                <w:color w:val="000000"/>
              </w:rPr>
              <w:t>28%</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Learning Difficulty</w:t>
            </w:r>
          </w:p>
        </w:tc>
        <w:tc>
          <w:tcPr>
            <w:tcW w:w="1418" w:type="dxa"/>
            <w:vAlign w:val="bottom"/>
          </w:tcPr>
          <w:p w:rsidR="0040521B" w:rsidRDefault="0040521B" w:rsidP="0053283A">
            <w:pPr>
              <w:jc w:val="right"/>
              <w:rPr>
                <w:rFonts w:cs="Calibri"/>
                <w:color w:val="000000"/>
              </w:rPr>
            </w:pPr>
            <w:r>
              <w:rPr>
                <w:rFonts w:cs="Calibri"/>
                <w:color w:val="000000"/>
              </w:rPr>
              <w:t>0%</w:t>
            </w:r>
          </w:p>
        </w:tc>
        <w:tc>
          <w:tcPr>
            <w:tcW w:w="1417" w:type="dxa"/>
            <w:vAlign w:val="bottom"/>
          </w:tcPr>
          <w:p w:rsidR="0040521B" w:rsidRDefault="0040521B" w:rsidP="0053283A">
            <w:pPr>
              <w:jc w:val="right"/>
              <w:rPr>
                <w:rFonts w:cs="Calibri"/>
                <w:color w:val="000000"/>
              </w:rPr>
            </w:pPr>
            <w:r>
              <w:rPr>
                <w:rFonts w:cs="Calibri"/>
                <w:color w:val="000000"/>
              </w:rPr>
              <w:t>10%</w:t>
            </w:r>
          </w:p>
        </w:tc>
        <w:tc>
          <w:tcPr>
            <w:tcW w:w="1276" w:type="dxa"/>
            <w:vAlign w:val="bottom"/>
          </w:tcPr>
          <w:p w:rsidR="0040521B" w:rsidRDefault="0040521B" w:rsidP="0053283A">
            <w:pPr>
              <w:jc w:val="right"/>
              <w:rPr>
                <w:rFonts w:cs="Calibri"/>
                <w:color w:val="000000"/>
              </w:rPr>
            </w:pPr>
            <w:r>
              <w:rPr>
                <w:rFonts w:cs="Calibri"/>
                <w:color w:val="000000"/>
              </w:rPr>
              <w:t>9%</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Low literacy and/or numeracy</w:t>
            </w:r>
          </w:p>
        </w:tc>
        <w:tc>
          <w:tcPr>
            <w:tcW w:w="1418" w:type="dxa"/>
            <w:vAlign w:val="bottom"/>
          </w:tcPr>
          <w:p w:rsidR="0040521B" w:rsidRDefault="0040521B" w:rsidP="0053283A">
            <w:pPr>
              <w:jc w:val="right"/>
              <w:rPr>
                <w:rFonts w:cs="Calibri"/>
                <w:color w:val="000000"/>
              </w:rPr>
            </w:pPr>
            <w:r>
              <w:rPr>
                <w:rFonts w:cs="Calibri"/>
                <w:color w:val="000000"/>
              </w:rPr>
              <w:t>46%</w:t>
            </w:r>
          </w:p>
        </w:tc>
        <w:tc>
          <w:tcPr>
            <w:tcW w:w="1417" w:type="dxa"/>
            <w:vAlign w:val="bottom"/>
          </w:tcPr>
          <w:p w:rsidR="0040521B" w:rsidRDefault="0040521B" w:rsidP="0053283A">
            <w:pPr>
              <w:jc w:val="right"/>
              <w:rPr>
                <w:rFonts w:cs="Calibri"/>
                <w:color w:val="000000"/>
              </w:rPr>
            </w:pPr>
            <w:r>
              <w:rPr>
                <w:rFonts w:cs="Calibri"/>
                <w:color w:val="000000"/>
              </w:rPr>
              <w:t>50%</w:t>
            </w:r>
          </w:p>
        </w:tc>
        <w:tc>
          <w:tcPr>
            <w:tcW w:w="1276" w:type="dxa"/>
            <w:vAlign w:val="bottom"/>
          </w:tcPr>
          <w:p w:rsidR="0040521B" w:rsidRDefault="0040521B" w:rsidP="0053283A">
            <w:pPr>
              <w:jc w:val="right"/>
              <w:rPr>
                <w:rFonts w:cs="Calibri"/>
                <w:color w:val="000000"/>
              </w:rPr>
            </w:pPr>
            <w:r>
              <w:rPr>
                <w:rFonts w:cs="Calibri"/>
                <w:color w:val="000000"/>
              </w:rPr>
              <w:t>49%</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Low Self Esteem</w:t>
            </w:r>
          </w:p>
        </w:tc>
        <w:tc>
          <w:tcPr>
            <w:tcW w:w="1418" w:type="dxa"/>
            <w:vAlign w:val="bottom"/>
          </w:tcPr>
          <w:p w:rsidR="0040521B" w:rsidRDefault="0040521B" w:rsidP="0053283A">
            <w:pPr>
              <w:jc w:val="right"/>
              <w:rPr>
                <w:rFonts w:cs="Calibri"/>
                <w:color w:val="000000"/>
              </w:rPr>
            </w:pPr>
            <w:r>
              <w:rPr>
                <w:rFonts w:cs="Calibri"/>
                <w:color w:val="000000"/>
              </w:rPr>
              <w:t>20%</w:t>
            </w:r>
          </w:p>
        </w:tc>
        <w:tc>
          <w:tcPr>
            <w:tcW w:w="1417" w:type="dxa"/>
            <w:vAlign w:val="bottom"/>
          </w:tcPr>
          <w:p w:rsidR="0040521B" w:rsidRDefault="0040521B" w:rsidP="0053283A">
            <w:pPr>
              <w:jc w:val="right"/>
              <w:rPr>
                <w:rFonts w:cs="Calibri"/>
                <w:color w:val="000000"/>
              </w:rPr>
            </w:pPr>
            <w:r>
              <w:rPr>
                <w:rFonts w:cs="Calibri"/>
                <w:color w:val="000000"/>
              </w:rPr>
              <w:t>57%</w:t>
            </w:r>
          </w:p>
        </w:tc>
        <w:tc>
          <w:tcPr>
            <w:tcW w:w="1276" w:type="dxa"/>
            <w:vAlign w:val="bottom"/>
          </w:tcPr>
          <w:p w:rsidR="0040521B" w:rsidRDefault="0040521B" w:rsidP="0053283A">
            <w:pPr>
              <w:jc w:val="right"/>
              <w:rPr>
                <w:rFonts w:cs="Calibri"/>
                <w:color w:val="000000"/>
              </w:rPr>
            </w:pPr>
            <w:r>
              <w:rPr>
                <w:rFonts w:cs="Calibri"/>
                <w:color w:val="000000"/>
              </w:rPr>
              <w:t>56%</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Medical or other health issue</w:t>
            </w:r>
          </w:p>
        </w:tc>
        <w:tc>
          <w:tcPr>
            <w:tcW w:w="1418" w:type="dxa"/>
            <w:vAlign w:val="bottom"/>
          </w:tcPr>
          <w:p w:rsidR="0040521B" w:rsidRDefault="0040521B" w:rsidP="0053283A">
            <w:pPr>
              <w:jc w:val="right"/>
              <w:rPr>
                <w:rFonts w:cs="Calibri"/>
                <w:color w:val="000000"/>
              </w:rPr>
            </w:pPr>
            <w:r>
              <w:rPr>
                <w:rFonts w:cs="Calibri"/>
                <w:color w:val="000000"/>
              </w:rPr>
              <w:t>3%</w:t>
            </w:r>
          </w:p>
        </w:tc>
        <w:tc>
          <w:tcPr>
            <w:tcW w:w="1417" w:type="dxa"/>
            <w:vAlign w:val="bottom"/>
          </w:tcPr>
          <w:p w:rsidR="0040521B" w:rsidRDefault="0040521B" w:rsidP="0053283A">
            <w:pPr>
              <w:jc w:val="right"/>
              <w:rPr>
                <w:rFonts w:cs="Calibri"/>
                <w:color w:val="000000"/>
              </w:rPr>
            </w:pPr>
            <w:r>
              <w:rPr>
                <w:rFonts w:cs="Calibri"/>
                <w:color w:val="000000"/>
              </w:rPr>
              <w:t>13%</w:t>
            </w:r>
          </w:p>
        </w:tc>
        <w:tc>
          <w:tcPr>
            <w:tcW w:w="1276" w:type="dxa"/>
            <w:vAlign w:val="bottom"/>
          </w:tcPr>
          <w:p w:rsidR="0040521B" w:rsidRDefault="0040521B" w:rsidP="0053283A">
            <w:pPr>
              <w:jc w:val="right"/>
              <w:rPr>
                <w:rFonts w:cs="Calibri"/>
                <w:color w:val="000000"/>
              </w:rPr>
            </w:pPr>
            <w:r>
              <w:rPr>
                <w:rFonts w:cs="Calibri"/>
                <w:color w:val="000000"/>
              </w:rPr>
              <w:t>10%</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Negative experience(s) with education and training</w:t>
            </w:r>
          </w:p>
        </w:tc>
        <w:tc>
          <w:tcPr>
            <w:tcW w:w="1418" w:type="dxa"/>
            <w:vAlign w:val="bottom"/>
          </w:tcPr>
          <w:p w:rsidR="0040521B" w:rsidRDefault="0040521B" w:rsidP="0053283A">
            <w:pPr>
              <w:jc w:val="right"/>
              <w:rPr>
                <w:rFonts w:cs="Calibri"/>
                <w:color w:val="000000"/>
              </w:rPr>
            </w:pPr>
            <w:r>
              <w:rPr>
                <w:rFonts w:cs="Calibri"/>
                <w:color w:val="000000"/>
              </w:rPr>
              <w:t>0%</w:t>
            </w:r>
          </w:p>
        </w:tc>
        <w:tc>
          <w:tcPr>
            <w:tcW w:w="1417" w:type="dxa"/>
            <w:vAlign w:val="bottom"/>
          </w:tcPr>
          <w:p w:rsidR="0040521B" w:rsidRDefault="0040521B" w:rsidP="0053283A">
            <w:pPr>
              <w:jc w:val="right"/>
              <w:rPr>
                <w:rFonts w:cs="Calibri"/>
                <w:color w:val="000000"/>
              </w:rPr>
            </w:pPr>
            <w:r>
              <w:rPr>
                <w:rFonts w:cs="Calibri"/>
                <w:color w:val="000000"/>
              </w:rPr>
              <w:t>16%</w:t>
            </w:r>
          </w:p>
        </w:tc>
        <w:tc>
          <w:tcPr>
            <w:tcW w:w="1276" w:type="dxa"/>
            <w:vAlign w:val="bottom"/>
          </w:tcPr>
          <w:p w:rsidR="0040521B" w:rsidRDefault="0040521B" w:rsidP="0053283A">
            <w:pPr>
              <w:jc w:val="right"/>
              <w:rPr>
                <w:rFonts w:cs="Calibri"/>
                <w:color w:val="000000"/>
              </w:rPr>
            </w:pPr>
            <w:r>
              <w:rPr>
                <w:rFonts w:cs="Calibri"/>
                <w:color w:val="000000"/>
              </w:rPr>
              <w:t>14%</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Out of home care</w:t>
            </w:r>
          </w:p>
        </w:tc>
        <w:tc>
          <w:tcPr>
            <w:tcW w:w="1418" w:type="dxa"/>
            <w:vAlign w:val="bottom"/>
          </w:tcPr>
          <w:p w:rsidR="0040521B" w:rsidRDefault="0040521B" w:rsidP="0053283A">
            <w:pPr>
              <w:jc w:val="right"/>
              <w:rPr>
                <w:rFonts w:cs="Calibri"/>
                <w:color w:val="000000"/>
              </w:rPr>
            </w:pPr>
            <w:r>
              <w:rPr>
                <w:rFonts w:cs="Calibri"/>
                <w:color w:val="000000"/>
              </w:rPr>
              <w:t>3%</w:t>
            </w:r>
          </w:p>
        </w:tc>
        <w:tc>
          <w:tcPr>
            <w:tcW w:w="1417" w:type="dxa"/>
            <w:vAlign w:val="bottom"/>
          </w:tcPr>
          <w:p w:rsidR="0040521B" w:rsidRDefault="0040521B" w:rsidP="0053283A">
            <w:pPr>
              <w:jc w:val="right"/>
              <w:rPr>
                <w:rFonts w:cs="Calibri"/>
                <w:color w:val="000000"/>
              </w:rPr>
            </w:pPr>
            <w:r>
              <w:rPr>
                <w:rFonts w:cs="Calibri"/>
                <w:color w:val="000000"/>
              </w:rPr>
              <w:t>3%</w:t>
            </w:r>
          </w:p>
        </w:tc>
        <w:tc>
          <w:tcPr>
            <w:tcW w:w="1276" w:type="dxa"/>
            <w:vAlign w:val="bottom"/>
          </w:tcPr>
          <w:p w:rsidR="0040521B" w:rsidRDefault="0040521B" w:rsidP="0053283A">
            <w:pPr>
              <w:jc w:val="right"/>
              <w:rPr>
                <w:rFonts w:cs="Calibri"/>
                <w:color w:val="000000"/>
              </w:rPr>
            </w:pPr>
            <w:r>
              <w:rPr>
                <w:rFonts w:cs="Calibri"/>
                <w:color w:val="000000"/>
              </w:rPr>
              <w:t>4%</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Parent/Pregnancy</w:t>
            </w:r>
          </w:p>
        </w:tc>
        <w:tc>
          <w:tcPr>
            <w:tcW w:w="1418" w:type="dxa"/>
            <w:vAlign w:val="bottom"/>
          </w:tcPr>
          <w:p w:rsidR="0040521B" w:rsidRDefault="0040521B" w:rsidP="0053283A">
            <w:pPr>
              <w:jc w:val="right"/>
              <w:rPr>
                <w:rFonts w:cs="Calibri"/>
                <w:color w:val="000000"/>
              </w:rPr>
            </w:pPr>
            <w:r>
              <w:rPr>
                <w:rFonts w:cs="Calibri"/>
                <w:color w:val="000000"/>
              </w:rPr>
              <w:t>7%</w:t>
            </w:r>
          </w:p>
        </w:tc>
        <w:tc>
          <w:tcPr>
            <w:tcW w:w="1417" w:type="dxa"/>
            <w:vAlign w:val="bottom"/>
          </w:tcPr>
          <w:p w:rsidR="0040521B" w:rsidRDefault="0040521B" w:rsidP="0053283A">
            <w:pPr>
              <w:jc w:val="right"/>
              <w:rPr>
                <w:rFonts w:cs="Calibri"/>
                <w:color w:val="000000"/>
              </w:rPr>
            </w:pPr>
            <w:r>
              <w:rPr>
                <w:rFonts w:cs="Calibri"/>
                <w:color w:val="000000"/>
              </w:rPr>
              <w:t>5%</w:t>
            </w:r>
          </w:p>
        </w:tc>
        <w:tc>
          <w:tcPr>
            <w:tcW w:w="1276" w:type="dxa"/>
            <w:vAlign w:val="bottom"/>
          </w:tcPr>
          <w:p w:rsidR="0040521B" w:rsidRDefault="0040521B" w:rsidP="0053283A">
            <w:pPr>
              <w:jc w:val="right"/>
              <w:rPr>
                <w:rFonts w:cs="Calibri"/>
                <w:color w:val="000000"/>
              </w:rPr>
            </w:pPr>
            <w:r>
              <w:rPr>
                <w:rFonts w:cs="Calibri"/>
                <w:color w:val="000000"/>
              </w:rPr>
              <w:t>4%</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Petrol sniffing</w:t>
            </w:r>
          </w:p>
        </w:tc>
        <w:tc>
          <w:tcPr>
            <w:tcW w:w="1418" w:type="dxa"/>
            <w:vAlign w:val="bottom"/>
          </w:tcPr>
          <w:p w:rsidR="0040521B" w:rsidRDefault="0040521B" w:rsidP="0053283A">
            <w:pPr>
              <w:jc w:val="right"/>
              <w:rPr>
                <w:rFonts w:cs="Calibri"/>
                <w:color w:val="000000"/>
              </w:rPr>
            </w:pPr>
            <w:r>
              <w:rPr>
                <w:rFonts w:cs="Calibri"/>
                <w:color w:val="000000"/>
              </w:rPr>
              <w:t>0%</w:t>
            </w:r>
          </w:p>
        </w:tc>
        <w:tc>
          <w:tcPr>
            <w:tcW w:w="1417" w:type="dxa"/>
            <w:vAlign w:val="bottom"/>
          </w:tcPr>
          <w:p w:rsidR="0040521B" w:rsidRDefault="0040521B" w:rsidP="0053283A">
            <w:pPr>
              <w:jc w:val="right"/>
              <w:rPr>
                <w:rFonts w:cs="Calibri"/>
                <w:color w:val="000000"/>
              </w:rPr>
            </w:pPr>
            <w:r>
              <w:rPr>
                <w:rFonts w:cs="Calibri"/>
                <w:color w:val="000000"/>
              </w:rPr>
              <w:t>0%</w:t>
            </w:r>
          </w:p>
        </w:tc>
        <w:tc>
          <w:tcPr>
            <w:tcW w:w="1276" w:type="dxa"/>
            <w:vAlign w:val="bottom"/>
          </w:tcPr>
          <w:p w:rsidR="0040521B" w:rsidRDefault="0040521B" w:rsidP="0053283A">
            <w:pPr>
              <w:jc w:val="right"/>
              <w:rPr>
                <w:rFonts w:cs="Calibri"/>
                <w:color w:val="000000"/>
              </w:rPr>
            </w:pPr>
            <w:r>
              <w:rPr>
                <w:rFonts w:cs="Calibri"/>
                <w:color w:val="000000"/>
              </w:rPr>
              <w:t>0%</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Socialisation issues</w:t>
            </w:r>
          </w:p>
        </w:tc>
        <w:tc>
          <w:tcPr>
            <w:tcW w:w="1418" w:type="dxa"/>
            <w:vAlign w:val="bottom"/>
          </w:tcPr>
          <w:p w:rsidR="0040521B" w:rsidRDefault="0040521B" w:rsidP="0053283A">
            <w:pPr>
              <w:jc w:val="right"/>
              <w:rPr>
                <w:rFonts w:cs="Calibri"/>
                <w:color w:val="000000"/>
              </w:rPr>
            </w:pPr>
            <w:r>
              <w:rPr>
                <w:rFonts w:cs="Calibri"/>
                <w:color w:val="000000"/>
              </w:rPr>
              <w:t>24%</w:t>
            </w:r>
          </w:p>
        </w:tc>
        <w:tc>
          <w:tcPr>
            <w:tcW w:w="1417" w:type="dxa"/>
            <w:vAlign w:val="bottom"/>
          </w:tcPr>
          <w:p w:rsidR="0040521B" w:rsidRDefault="0040521B" w:rsidP="0053283A">
            <w:pPr>
              <w:jc w:val="right"/>
              <w:rPr>
                <w:rFonts w:cs="Calibri"/>
                <w:color w:val="000000"/>
              </w:rPr>
            </w:pPr>
            <w:r>
              <w:rPr>
                <w:rFonts w:cs="Calibri"/>
                <w:color w:val="000000"/>
              </w:rPr>
              <w:t>46%</w:t>
            </w:r>
          </w:p>
        </w:tc>
        <w:tc>
          <w:tcPr>
            <w:tcW w:w="1276" w:type="dxa"/>
            <w:vAlign w:val="bottom"/>
          </w:tcPr>
          <w:p w:rsidR="0040521B" w:rsidRDefault="0040521B" w:rsidP="0053283A">
            <w:pPr>
              <w:jc w:val="right"/>
              <w:rPr>
                <w:rFonts w:cs="Calibri"/>
                <w:color w:val="000000"/>
              </w:rPr>
            </w:pPr>
            <w:r>
              <w:rPr>
                <w:rFonts w:cs="Calibri"/>
                <w:color w:val="000000"/>
              </w:rPr>
              <w:t>42%</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Suspected or diagnosed mental health issue</w:t>
            </w:r>
          </w:p>
        </w:tc>
        <w:tc>
          <w:tcPr>
            <w:tcW w:w="1418" w:type="dxa"/>
            <w:vAlign w:val="bottom"/>
          </w:tcPr>
          <w:p w:rsidR="0040521B" w:rsidRDefault="0040521B" w:rsidP="0053283A">
            <w:pPr>
              <w:jc w:val="right"/>
              <w:rPr>
                <w:rFonts w:cs="Calibri"/>
                <w:color w:val="000000"/>
              </w:rPr>
            </w:pPr>
            <w:r>
              <w:rPr>
                <w:rFonts w:cs="Calibri"/>
                <w:color w:val="000000"/>
              </w:rPr>
              <w:t>24%</w:t>
            </w:r>
          </w:p>
        </w:tc>
        <w:tc>
          <w:tcPr>
            <w:tcW w:w="1417" w:type="dxa"/>
            <w:vAlign w:val="bottom"/>
          </w:tcPr>
          <w:p w:rsidR="0040521B" w:rsidRDefault="0040521B" w:rsidP="0053283A">
            <w:pPr>
              <w:jc w:val="right"/>
              <w:rPr>
                <w:rFonts w:cs="Calibri"/>
                <w:color w:val="000000"/>
              </w:rPr>
            </w:pPr>
            <w:r>
              <w:rPr>
                <w:rFonts w:cs="Calibri"/>
                <w:color w:val="000000"/>
              </w:rPr>
              <w:t>38%</w:t>
            </w:r>
          </w:p>
        </w:tc>
        <w:tc>
          <w:tcPr>
            <w:tcW w:w="1276" w:type="dxa"/>
            <w:vAlign w:val="bottom"/>
          </w:tcPr>
          <w:p w:rsidR="0040521B" w:rsidRDefault="0040521B" w:rsidP="0053283A">
            <w:pPr>
              <w:jc w:val="right"/>
              <w:rPr>
                <w:rFonts w:cs="Calibri"/>
                <w:color w:val="000000"/>
              </w:rPr>
            </w:pPr>
            <w:r>
              <w:rPr>
                <w:rFonts w:cs="Calibri"/>
                <w:color w:val="000000"/>
              </w:rPr>
              <w:t>27%</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Unstable living arrangements</w:t>
            </w:r>
          </w:p>
        </w:tc>
        <w:tc>
          <w:tcPr>
            <w:tcW w:w="1418" w:type="dxa"/>
            <w:vAlign w:val="bottom"/>
          </w:tcPr>
          <w:p w:rsidR="0040521B" w:rsidRDefault="0040521B" w:rsidP="0053283A">
            <w:pPr>
              <w:jc w:val="right"/>
              <w:rPr>
                <w:rFonts w:cs="Calibri"/>
                <w:color w:val="000000"/>
              </w:rPr>
            </w:pPr>
            <w:r>
              <w:rPr>
                <w:rFonts w:cs="Calibri"/>
                <w:color w:val="000000"/>
              </w:rPr>
              <w:t>40%</w:t>
            </w:r>
          </w:p>
        </w:tc>
        <w:tc>
          <w:tcPr>
            <w:tcW w:w="1417" w:type="dxa"/>
            <w:vAlign w:val="bottom"/>
          </w:tcPr>
          <w:p w:rsidR="0040521B" w:rsidRDefault="0040521B" w:rsidP="0053283A">
            <w:pPr>
              <w:jc w:val="right"/>
              <w:rPr>
                <w:rFonts w:cs="Calibri"/>
                <w:color w:val="000000"/>
              </w:rPr>
            </w:pPr>
            <w:r>
              <w:rPr>
                <w:rFonts w:cs="Calibri"/>
                <w:color w:val="000000"/>
              </w:rPr>
              <w:t>26%</w:t>
            </w:r>
          </w:p>
        </w:tc>
        <w:tc>
          <w:tcPr>
            <w:tcW w:w="1276" w:type="dxa"/>
            <w:vAlign w:val="bottom"/>
          </w:tcPr>
          <w:p w:rsidR="0040521B" w:rsidRDefault="0040521B" w:rsidP="0053283A">
            <w:pPr>
              <w:jc w:val="right"/>
              <w:rPr>
                <w:rFonts w:cs="Calibri"/>
                <w:color w:val="000000"/>
              </w:rPr>
            </w:pPr>
            <w:r>
              <w:rPr>
                <w:rFonts w:cs="Calibri"/>
                <w:color w:val="000000"/>
              </w:rPr>
              <w:t>18%</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Volatile substance misuse</w:t>
            </w:r>
          </w:p>
        </w:tc>
        <w:tc>
          <w:tcPr>
            <w:tcW w:w="1418" w:type="dxa"/>
            <w:vAlign w:val="bottom"/>
          </w:tcPr>
          <w:p w:rsidR="0040521B" w:rsidRDefault="0040521B" w:rsidP="0053283A">
            <w:pPr>
              <w:jc w:val="right"/>
              <w:rPr>
                <w:rFonts w:cs="Calibri"/>
                <w:color w:val="000000"/>
              </w:rPr>
            </w:pPr>
            <w:r>
              <w:rPr>
                <w:rFonts w:cs="Calibri"/>
                <w:color w:val="000000"/>
              </w:rPr>
              <w:t>2%</w:t>
            </w:r>
          </w:p>
        </w:tc>
        <w:tc>
          <w:tcPr>
            <w:tcW w:w="1417" w:type="dxa"/>
            <w:vAlign w:val="bottom"/>
          </w:tcPr>
          <w:p w:rsidR="0040521B" w:rsidRDefault="0040521B" w:rsidP="0053283A">
            <w:pPr>
              <w:jc w:val="right"/>
              <w:rPr>
                <w:rFonts w:cs="Calibri"/>
                <w:color w:val="000000"/>
              </w:rPr>
            </w:pPr>
            <w:r>
              <w:rPr>
                <w:rFonts w:cs="Calibri"/>
                <w:color w:val="000000"/>
              </w:rPr>
              <w:t>1%</w:t>
            </w:r>
          </w:p>
        </w:tc>
        <w:tc>
          <w:tcPr>
            <w:tcW w:w="1276" w:type="dxa"/>
            <w:vAlign w:val="bottom"/>
          </w:tcPr>
          <w:p w:rsidR="0040521B" w:rsidRDefault="0040521B" w:rsidP="0053283A">
            <w:pPr>
              <w:jc w:val="right"/>
              <w:rPr>
                <w:rFonts w:cs="Calibri"/>
                <w:color w:val="000000"/>
              </w:rPr>
            </w:pPr>
            <w:r>
              <w:rPr>
                <w:rFonts w:cs="Calibri"/>
                <w:color w:val="000000"/>
              </w:rPr>
              <w:t>0%</w:t>
            </w:r>
          </w:p>
        </w:tc>
      </w:tr>
      <w:tr w:rsidR="0040521B" w:rsidTr="0053283A">
        <w:tc>
          <w:tcPr>
            <w:tcW w:w="5778" w:type="dxa"/>
            <w:vAlign w:val="bottom"/>
          </w:tcPr>
          <w:p w:rsidR="0040521B" w:rsidRPr="00C763A7" w:rsidRDefault="0040521B" w:rsidP="0053283A">
            <w:pPr>
              <w:spacing w:before="40" w:after="40"/>
              <w:rPr>
                <w:rFonts w:cs="Calibri"/>
                <w:color w:val="000000"/>
              </w:rPr>
            </w:pPr>
            <w:r w:rsidRPr="00C763A7">
              <w:rPr>
                <w:rFonts w:cs="Calibri"/>
                <w:color w:val="000000"/>
              </w:rPr>
              <w:t>Young Carer responsibilities</w:t>
            </w:r>
          </w:p>
        </w:tc>
        <w:tc>
          <w:tcPr>
            <w:tcW w:w="1418" w:type="dxa"/>
            <w:vAlign w:val="bottom"/>
          </w:tcPr>
          <w:p w:rsidR="0040521B" w:rsidRDefault="0040521B" w:rsidP="0053283A">
            <w:pPr>
              <w:jc w:val="right"/>
              <w:rPr>
                <w:rFonts w:cs="Calibri"/>
                <w:color w:val="000000"/>
              </w:rPr>
            </w:pPr>
            <w:r>
              <w:rPr>
                <w:rFonts w:cs="Calibri"/>
                <w:color w:val="000000"/>
              </w:rPr>
              <w:t>3%</w:t>
            </w:r>
          </w:p>
        </w:tc>
        <w:tc>
          <w:tcPr>
            <w:tcW w:w="1417" w:type="dxa"/>
            <w:vAlign w:val="bottom"/>
          </w:tcPr>
          <w:p w:rsidR="0040521B" w:rsidRDefault="0040521B" w:rsidP="0053283A">
            <w:pPr>
              <w:jc w:val="right"/>
              <w:rPr>
                <w:rFonts w:cs="Calibri"/>
                <w:color w:val="000000"/>
              </w:rPr>
            </w:pPr>
            <w:r>
              <w:rPr>
                <w:rFonts w:cs="Calibri"/>
                <w:color w:val="000000"/>
              </w:rPr>
              <w:t>5%</w:t>
            </w:r>
          </w:p>
        </w:tc>
        <w:tc>
          <w:tcPr>
            <w:tcW w:w="1276" w:type="dxa"/>
            <w:vAlign w:val="bottom"/>
          </w:tcPr>
          <w:p w:rsidR="0040521B" w:rsidRDefault="0040521B" w:rsidP="0053283A">
            <w:pPr>
              <w:jc w:val="right"/>
              <w:rPr>
                <w:rFonts w:cs="Calibri"/>
                <w:color w:val="000000"/>
              </w:rPr>
            </w:pPr>
            <w:r>
              <w:rPr>
                <w:rFonts w:cs="Calibri"/>
                <w:color w:val="000000"/>
              </w:rPr>
              <w:t>4%</w:t>
            </w:r>
          </w:p>
        </w:tc>
      </w:tr>
    </w:tbl>
    <w:p w:rsidR="009F1919" w:rsidRDefault="009F1919" w:rsidP="009F1919">
      <w:pPr>
        <w:pStyle w:val="Heading2"/>
      </w:pPr>
    </w:p>
    <w:p w:rsidR="009F1919" w:rsidRDefault="009F1919">
      <w:pPr>
        <w:spacing w:after="200"/>
        <w:rPr>
          <w:rFonts w:eastAsiaTheme="majorEastAsia" w:cstheme="majorBidi"/>
          <w:b/>
          <w:bCs/>
          <w:color w:val="000000" w:themeColor="text1"/>
          <w:sz w:val="28"/>
          <w:szCs w:val="26"/>
        </w:rPr>
      </w:pPr>
      <w:r>
        <w:br w:type="page"/>
      </w:r>
    </w:p>
    <w:p w:rsidR="0040521B" w:rsidRPr="001C3005" w:rsidRDefault="0040521B" w:rsidP="009F1919">
      <w:pPr>
        <w:pStyle w:val="Heading2"/>
      </w:pPr>
      <w:bookmarkStart w:id="48" w:name="_Toc384038248"/>
      <w:r w:rsidRPr="001C3005">
        <w:lastRenderedPageBreak/>
        <w:t>Outcomes</w:t>
      </w:r>
      <w:bookmarkEnd w:id="48"/>
      <w:r w:rsidRPr="001C3005">
        <w:t xml:space="preserve"> </w:t>
      </w:r>
    </w:p>
    <w:p w:rsidR="0040521B" w:rsidRPr="006A3845" w:rsidRDefault="0040521B" w:rsidP="009F1919">
      <w:pPr>
        <w:pStyle w:val="Heading3"/>
      </w:pPr>
      <w:r w:rsidRPr="00514AED">
        <w:t xml:space="preserve">Table 32: </w:t>
      </w:r>
      <w:r>
        <w:rPr>
          <w:rFonts w:cs="Calibri"/>
          <w:color w:val="000000"/>
        </w:rPr>
        <w:t>Specialised Services</w:t>
      </w:r>
      <w:r w:rsidRPr="00514AED">
        <w:t xml:space="preserve"> - Number of young people achieving outcomes</w:t>
      </w:r>
    </w:p>
    <w:tbl>
      <w:tblPr>
        <w:tblStyle w:val="TableGrid1"/>
        <w:tblW w:w="6760" w:type="dxa"/>
        <w:tblLook w:val="04A0" w:firstRow="1" w:lastRow="0" w:firstColumn="1" w:lastColumn="0" w:noHBand="0" w:noVBand="1"/>
        <w:tblDescription w:val="Table 32: Specialised Services - Number of young people achieving outcomes"/>
      </w:tblPr>
      <w:tblGrid>
        <w:gridCol w:w="3880"/>
        <w:gridCol w:w="1370"/>
        <w:gridCol w:w="1510"/>
      </w:tblGrid>
      <w:tr w:rsidR="0040521B" w:rsidRPr="00731B7B" w:rsidTr="009C52A1">
        <w:trPr>
          <w:trHeight w:val="600"/>
          <w:tblHeader/>
        </w:trPr>
        <w:tc>
          <w:tcPr>
            <w:tcW w:w="3880" w:type="dxa"/>
            <w:shd w:val="clear" w:color="auto" w:fill="C6D9F1" w:themeFill="text2" w:themeFillTint="33"/>
          </w:tcPr>
          <w:p w:rsidR="0040521B" w:rsidRPr="008F0F66" w:rsidRDefault="0040521B" w:rsidP="009C52A1">
            <w:pPr>
              <w:jc w:val="center"/>
              <w:rPr>
                <w:rFonts w:cs="Calibri"/>
                <w:b/>
                <w:bCs/>
                <w:color w:val="000000"/>
              </w:rPr>
            </w:pPr>
            <w:r w:rsidRPr="008F0F66">
              <w:rPr>
                <w:rFonts w:cs="Calibri"/>
                <w:b/>
                <w:bCs/>
                <w:color w:val="000000"/>
              </w:rPr>
              <w:t>Participant outcomes</w:t>
            </w:r>
          </w:p>
        </w:tc>
        <w:tc>
          <w:tcPr>
            <w:tcW w:w="1370" w:type="dxa"/>
            <w:shd w:val="clear" w:color="auto" w:fill="C6D9F1" w:themeFill="text2" w:themeFillTint="33"/>
            <w:noWrap/>
          </w:tcPr>
          <w:p w:rsidR="0040521B" w:rsidRPr="008F0F66" w:rsidRDefault="0040521B" w:rsidP="009C52A1">
            <w:pPr>
              <w:jc w:val="center"/>
              <w:rPr>
                <w:rFonts w:cs="Calibri"/>
                <w:b/>
                <w:bCs/>
                <w:color w:val="000000"/>
              </w:rPr>
            </w:pPr>
            <w:r w:rsidRPr="008F0F66">
              <w:rPr>
                <w:rFonts w:cs="Calibri"/>
                <w:b/>
                <w:bCs/>
                <w:color w:val="000000"/>
              </w:rPr>
              <w:t>Number</w:t>
            </w:r>
          </w:p>
        </w:tc>
        <w:tc>
          <w:tcPr>
            <w:tcW w:w="1510" w:type="dxa"/>
            <w:shd w:val="clear" w:color="auto" w:fill="C6D9F1" w:themeFill="text2" w:themeFillTint="33"/>
            <w:noWrap/>
          </w:tcPr>
          <w:p w:rsidR="0040521B" w:rsidRPr="008F0F66" w:rsidRDefault="0040521B" w:rsidP="009C52A1">
            <w:pPr>
              <w:jc w:val="center"/>
              <w:rPr>
                <w:rFonts w:cs="Calibri"/>
                <w:b/>
                <w:bCs/>
                <w:color w:val="000000"/>
              </w:rPr>
            </w:pPr>
            <w:r w:rsidRPr="008F0F66">
              <w:rPr>
                <w:rFonts w:cs="Calibri"/>
                <w:b/>
                <w:bCs/>
                <w:color w:val="000000"/>
              </w:rPr>
              <w:t>%</w:t>
            </w:r>
          </w:p>
        </w:tc>
      </w:tr>
      <w:tr w:rsidR="0040521B" w:rsidRPr="00731B7B" w:rsidTr="009C52A1">
        <w:trPr>
          <w:trHeight w:val="600"/>
        </w:trPr>
        <w:tc>
          <w:tcPr>
            <w:tcW w:w="3880" w:type="dxa"/>
          </w:tcPr>
          <w:p w:rsidR="0040521B" w:rsidRPr="00731B7B" w:rsidRDefault="0040521B" w:rsidP="009C52A1">
            <w:pPr>
              <w:rPr>
                <w:rFonts w:cs="Calibri"/>
                <w:color w:val="000000"/>
              </w:rPr>
            </w:pPr>
            <w:r w:rsidRPr="00731B7B">
              <w:rPr>
                <w:rFonts w:cs="Calibri"/>
                <w:color w:val="000000"/>
              </w:rPr>
              <w:t>Young people enrolled in individual support services</w:t>
            </w:r>
          </w:p>
        </w:tc>
        <w:tc>
          <w:tcPr>
            <w:tcW w:w="1370" w:type="dxa"/>
            <w:noWrap/>
          </w:tcPr>
          <w:p w:rsidR="0040521B" w:rsidRDefault="0040521B" w:rsidP="009C52A1">
            <w:pPr>
              <w:jc w:val="center"/>
              <w:rPr>
                <w:rFonts w:cs="Calibri"/>
                <w:color w:val="000000"/>
              </w:rPr>
            </w:pPr>
            <w:r>
              <w:rPr>
                <w:rFonts w:cs="Calibri"/>
                <w:color w:val="000000"/>
              </w:rPr>
              <w:t>105</w:t>
            </w:r>
          </w:p>
        </w:tc>
        <w:tc>
          <w:tcPr>
            <w:tcW w:w="1510" w:type="dxa"/>
            <w:noWrap/>
          </w:tcPr>
          <w:p w:rsidR="0040521B" w:rsidRDefault="0040521B" w:rsidP="009C52A1">
            <w:pPr>
              <w:jc w:val="center"/>
              <w:rPr>
                <w:rFonts w:cs="Calibri"/>
                <w:color w:val="000000"/>
              </w:rPr>
            </w:pPr>
            <w:r>
              <w:rPr>
                <w:rFonts w:cs="Calibri"/>
                <w:color w:val="000000"/>
              </w:rPr>
              <w:t>-</w:t>
            </w:r>
          </w:p>
        </w:tc>
      </w:tr>
      <w:tr w:rsidR="0040521B" w:rsidRPr="00731B7B" w:rsidTr="009C52A1">
        <w:trPr>
          <w:trHeight w:val="600"/>
        </w:trPr>
        <w:tc>
          <w:tcPr>
            <w:tcW w:w="3880" w:type="dxa"/>
            <w:hideMark/>
          </w:tcPr>
          <w:p w:rsidR="0040521B" w:rsidRPr="00731B7B" w:rsidRDefault="0040521B" w:rsidP="009C52A1">
            <w:pPr>
              <w:rPr>
                <w:rFonts w:cs="Calibri"/>
                <w:color w:val="000000"/>
              </w:rPr>
            </w:pPr>
            <w:r w:rsidRPr="00731B7B">
              <w:rPr>
                <w:rFonts w:cs="Calibri"/>
                <w:color w:val="000000"/>
              </w:rPr>
              <w:t>Y</w:t>
            </w:r>
            <w:r>
              <w:rPr>
                <w:rFonts w:cs="Calibri"/>
                <w:color w:val="000000"/>
              </w:rPr>
              <w:t>oung people who have achieved a progressive</w:t>
            </w:r>
            <w:r w:rsidRPr="00731B7B">
              <w:rPr>
                <w:rFonts w:cs="Calibri"/>
                <w:color w:val="000000"/>
              </w:rPr>
              <w:t xml:space="preserve"> outcome</w:t>
            </w:r>
          </w:p>
        </w:tc>
        <w:tc>
          <w:tcPr>
            <w:tcW w:w="1370" w:type="dxa"/>
            <w:noWrap/>
            <w:hideMark/>
          </w:tcPr>
          <w:p w:rsidR="0040521B" w:rsidRPr="00731B7B" w:rsidRDefault="0040521B" w:rsidP="009C52A1">
            <w:pPr>
              <w:jc w:val="center"/>
              <w:rPr>
                <w:rFonts w:cs="Calibri"/>
                <w:color w:val="000000"/>
              </w:rPr>
            </w:pPr>
            <w:r>
              <w:rPr>
                <w:rFonts w:cs="Calibri"/>
                <w:color w:val="000000"/>
              </w:rPr>
              <w:t>87</w:t>
            </w:r>
          </w:p>
        </w:tc>
        <w:tc>
          <w:tcPr>
            <w:tcW w:w="1510" w:type="dxa"/>
            <w:noWrap/>
            <w:hideMark/>
          </w:tcPr>
          <w:p w:rsidR="0040521B" w:rsidRPr="00731B7B" w:rsidRDefault="0040521B" w:rsidP="009C52A1">
            <w:pPr>
              <w:jc w:val="center"/>
              <w:rPr>
                <w:rFonts w:cs="Calibri"/>
                <w:color w:val="000000"/>
              </w:rPr>
            </w:pPr>
            <w:r>
              <w:rPr>
                <w:rFonts w:cs="Calibri"/>
                <w:color w:val="000000"/>
              </w:rPr>
              <w:t>83</w:t>
            </w:r>
            <w:r w:rsidRPr="00731B7B">
              <w:rPr>
                <w:rFonts w:cs="Calibri"/>
                <w:color w:val="000000"/>
              </w:rPr>
              <w:t>%</w:t>
            </w:r>
          </w:p>
        </w:tc>
      </w:tr>
      <w:tr w:rsidR="0040521B" w:rsidRPr="00731B7B" w:rsidTr="009C52A1">
        <w:trPr>
          <w:trHeight w:val="600"/>
        </w:trPr>
        <w:tc>
          <w:tcPr>
            <w:tcW w:w="3880" w:type="dxa"/>
            <w:hideMark/>
          </w:tcPr>
          <w:p w:rsidR="0040521B" w:rsidRPr="00731B7B" w:rsidRDefault="0040521B" w:rsidP="009C52A1">
            <w:pPr>
              <w:rPr>
                <w:rFonts w:cs="Calibri"/>
                <w:color w:val="000000"/>
              </w:rPr>
            </w:pPr>
            <w:r w:rsidRPr="00731B7B">
              <w:rPr>
                <w:rFonts w:cs="Calibri"/>
                <w:color w:val="000000"/>
              </w:rPr>
              <w:t>Young people who have achieved a final outcome</w:t>
            </w:r>
          </w:p>
        </w:tc>
        <w:tc>
          <w:tcPr>
            <w:tcW w:w="1370" w:type="dxa"/>
            <w:noWrap/>
            <w:hideMark/>
          </w:tcPr>
          <w:p w:rsidR="0040521B" w:rsidRPr="00731B7B" w:rsidRDefault="0040521B" w:rsidP="009C52A1">
            <w:pPr>
              <w:jc w:val="center"/>
              <w:rPr>
                <w:rFonts w:cs="Calibri"/>
                <w:color w:val="000000"/>
              </w:rPr>
            </w:pPr>
            <w:r>
              <w:rPr>
                <w:rFonts w:cs="Calibri"/>
                <w:color w:val="000000"/>
              </w:rPr>
              <w:t>69</w:t>
            </w:r>
          </w:p>
        </w:tc>
        <w:tc>
          <w:tcPr>
            <w:tcW w:w="1510" w:type="dxa"/>
            <w:noWrap/>
            <w:hideMark/>
          </w:tcPr>
          <w:p w:rsidR="0040521B" w:rsidRPr="00731B7B" w:rsidRDefault="0040521B" w:rsidP="009C52A1">
            <w:pPr>
              <w:jc w:val="center"/>
              <w:rPr>
                <w:rFonts w:cs="Calibri"/>
                <w:color w:val="000000"/>
              </w:rPr>
            </w:pPr>
            <w:r>
              <w:rPr>
                <w:rFonts w:cs="Calibri"/>
                <w:color w:val="000000"/>
              </w:rPr>
              <w:t>66</w:t>
            </w:r>
            <w:r w:rsidRPr="00731B7B">
              <w:rPr>
                <w:rFonts w:cs="Calibri"/>
                <w:color w:val="000000"/>
              </w:rPr>
              <w:t>%</w:t>
            </w:r>
          </w:p>
        </w:tc>
      </w:tr>
    </w:tbl>
    <w:p w:rsidR="0040521B" w:rsidRPr="002512A8" w:rsidRDefault="0040521B" w:rsidP="0040521B"/>
    <w:p w:rsidR="0040521B" w:rsidRPr="002512A8" w:rsidRDefault="0040521B" w:rsidP="009F1919">
      <w:pPr>
        <w:pStyle w:val="Heading4"/>
      </w:pPr>
      <w:r>
        <w:t>Figure 23: Specialised Services – Final Outcomes Achieved.</w:t>
      </w:r>
    </w:p>
    <w:p w:rsidR="0040521B" w:rsidRPr="002512A8" w:rsidRDefault="0040521B" w:rsidP="0040521B">
      <w:r>
        <w:rPr>
          <w:noProof/>
          <w:lang w:eastAsia="en-AU"/>
        </w:rPr>
        <w:drawing>
          <wp:inline distT="0" distB="0" distL="0" distR="0" wp14:anchorId="2E1AC64B" wp14:editId="5435FFB0">
            <wp:extent cx="5943600" cy="1928495"/>
            <wp:effectExtent l="0" t="0" r="0" b="0"/>
            <wp:docPr id="7" name="Chart 7" descr="Specialised services final outcomes achieved, graphic representation of table 33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0521B" w:rsidRPr="00B76849" w:rsidRDefault="0040521B" w:rsidP="009F1919">
      <w:pPr>
        <w:pStyle w:val="Heading3"/>
      </w:pPr>
      <w:r w:rsidRPr="00B76849">
        <w:t>Table 33: Specialised Services – Final Outcomes Achieved</w:t>
      </w:r>
    </w:p>
    <w:tbl>
      <w:tblPr>
        <w:tblW w:w="10206" w:type="dxa"/>
        <w:tblInd w:w="108" w:type="dxa"/>
        <w:tblBorders>
          <w:top w:val="single" w:sz="18" w:space="0" w:color="auto"/>
          <w:left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8660"/>
        <w:gridCol w:w="1546"/>
      </w:tblGrid>
      <w:tr w:rsidR="0040521B" w:rsidRPr="00C763A7" w:rsidTr="0053283A">
        <w:trPr>
          <w:trHeight w:val="674"/>
          <w:tblHeader/>
        </w:trPr>
        <w:tc>
          <w:tcPr>
            <w:tcW w:w="8660" w:type="dxa"/>
            <w:shd w:val="clear" w:color="auto" w:fill="C6D9F1" w:themeFill="text2" w:themeFillTint="33"/>
            <w:vAlign w:val="center"/>
          </w:tcPr>
          <w:p w:rsidR="0040521B" w:rsidRPr="00C763A7" w:rsidRDefault="0040521B" w:rsidP="0053283A">
            <w:pPr>
              <w:jc w:val="center"/>
              <w:rPr>
                <w:rFonts w:cs="Calibri"/>
                <w:b/>
                <w:bCs/>
                <w:color w:val="000000"/>
              </w:rPr>
            </w:pPr>
            <w:r>
              <w:rPr>
                <w:rFonts w:cs="Calibri"/>
                <w:b/>
                <w:bCs/>
                <w:color w:val="000000"/>
              </w:rPr>
              <w:t>Final Outcomes Achieved</w:t>
            </w:r>
          </w:p>
        </w:tc>
        <w:tc>
          <w:tcPr>
            <w:tcW w:w="1546" w:type="dxa"/>
            <w:shd w:val="clear" w:color="auto" w:fill="C6D9F1" w:themeFill="text2" w:themeFillTint="33"/>
            <w:vAlign w:val="center"/>
          </w:tcPr>
          <w:p w:rsidR="0040521B" w:rsidRPr="00C763A7" w:rsidRDefault="0040521B" w:rsidP="0053283A">
            <w:pPr>
              <w:jc w:val="center"/>
              <w:rPr>
                <w:rFonts w:cs="Calibri"/>
                <w:b/>
                <w:bCs/>
                <w:color w:val="000000"/>
              </w:rPr>
            </w:pPr>
            <w:r>
              <w:rPr>
                <w:rFonts w:cs="Calibri"/>
                <w:b/>
                <w:bCs/>
                <w:color w:val="000000"/>
              </w:rPr>
              <w:t>Total</w:t>
            </w:r>
          </w:p>
        </w:tc>
      </w:tr>
      <w:tr w:rsidR="0040521B" w:rsidTr="0053283A">
        <w:trPr>
          <w:trHeight w:val="300"/>
        </w:trPr>
        <w:tc>
          <w:tcPr>
            <w:tcW w:w="8660" w:type="dxa"/>
            <w:vAlign w:val="bottom"/>
          </w:tcPr>
          <w:p w:rsidR="0040521B" w:rsidRDefault="0040521B" w:rsidP="0053283A">
            <w:pPr>
              <w:rPr>
                <w:rFonts w:cs="Calibri"/>
                <w:color w:val="000000"/>
              </w:rPr>
            </w:pPr>
            <w:r>
              <w:rPr>
                <w:rFonts w:cs="Calibri"/>
                <w:color w:val="000000"/>
              </w:rPr>
              <w:t>Strengthened engagement: The participant’s engagement was strengthened and they remained engaged in education over the whole school term, or for 13 weeks.</w:t>
            </w:r>
          </w:p>
        </w:tc>
        <w:tc>
          <w:tcPr>
            <w:tcW w:w="1546" w:type="dxa"/>
            <w:vAlign w:val="bottom"/>
          </w:tcPr>
          <w:p w:rsidR="0040521B" w:rsidRDefault="0040521B" w:rsidP="0053283A">
            <w:pPr>
              <w:jc w:val="right"/>
              <w:rPr>
                <w:rFonts w:cs="Calibri"/>
                <w:color w:val="000000"/>
              </w:rPr>
            </w:pPr>
            <w:r>
              <w:rPr>
                <w:rFonts w:cs="Calibri"/>
                <w:color w:val="000000"/>
              </w:rPr>
              <w:t>1</w:t>
            </w:r>
          </w:p>
        </w:tc>
      </w:tr>
      <w:tr w:rsidR="0040521B" w:rsidTr="0053283A">
        <w:trPr>
          <w:trHeight w:val="300"/>
        </w:trPr>
        <w:tc>
          <w:tcPr>
            <w:tcW w:w="8660" w:type="dxa"/>
            <w:vAlign w:val="bottom"/>
          </w:tcPr>
          <w:p w:rsidR="0040521B" w:rsidRDefault="0040521B" w:rsidP="0053283A">
            <w:pPr>
              <w:rPr>
                <w:rFonts w:cs="Calibri"/>
                <w:color w:val="000000"/>
              </w:rPr>
            </w:pPr>
            <w:r>
              <w:rPr>
                <w:rFonts w:cs="Calibri"/>
                <w:color w:val="000000"/>
              </w:rPr>
              <w:t>Engaged in employment: The participant started employment and has remained in that employment for 13 weeks.</w:t>
            </w:r>
          </w:p>
        </w:tc>
        <w:tc>
          <w:tcPr>
            <w:tcW w:w="1546" w:type="dxa"/>
            <w:vAlign w:val="bottom"/>
          </w:tcPr>
          <w:p w:rsidR="0040521B" w:rsidRDefault="0040521B" w:rsidP="0053283A">
            <w:pPr>
              <w:jc w:val="right"/>
              <w:rPr>
                <w:rFonts w:cs="Calibri"/>
                <w:color w:val="000000"/>
              </w:rPr>
            </w:pPr>
            <w:r>
              <w:rPr>
                <w:rFonts w:cs="Calibri"/>
                <w:color w:val="000000"/>
              </w:rPr>
              <w:t>1</w:t>
            </w:r>
          </w:p>
        </w:tc>
      </w:tr>
      <w:tr w:rsidR="0040521B" w:rsidTr="0053283A">
        <w:trPr>
          <w:trHeight w:val="300"/>
        </w:trPr>
        <w:tc>
          <w:tcPr>
            <w:tcW w:w="8660" w:type="dxa"/>
            <w:vAlign w:val="bottom"/>
          </w:tcPr>
          <w:p w:rsidR="0040521B" w:rsidRDefault="0040521B" w:rsidP="0053283A">
            <w:pPr>
              <w:rPr>
                <w:rFonts w:cs="Calibri"/>
                <w:color w:val="000000"/>
              </w:rPr>
            </w:pPr>
            <w:r>
              <w:rPr>
                <w:rFonts w:cs="Calibri"/>
                <w:color w:val="000000"/>
              </w:rPr>
              <w:t>Re-engaged in education: The participant re-engaged in education and sustained that engagement for 13 weeks.</w:t>
            </w:r>
          </w:p>
        </w:tc>
        <w:tc>
          <w:tcPr>
            <w:tcW w:w="1546" w:type="dxa"/>
            <w:vAlign w:val="bottom"/>
          </w:tcPr>
          <w:p w:rsidR="0040521B" w:rsidRDefault="0040521B" w:rsidP="0053283A">
            <w:pPr>
              <w:jc w:val="right"/>
              <w:rPr>
                <w:rFonts w:cs="Calibri"/>
                <w:color w:val="000000"/>
              </w:rPr>
            </w:pPr>
            <w:r>
              <w:rPr>
                <w:rFonts w:cs="Calibri"/>
                <w:color w:val="000000"/>
              </w:rPr>
              <w:t>57</w:t>
            </w:r>
          </w:p>
        </w:tc>
      </w:tr>
      <w:tr w:rsidR="0040521B" w:rsidTr="0053283A">
        <w:trPr>
          <w:trHeight w:val="300"/>
        </w:trPr>
        <w:tc>
          <w:tcPr>
            <w:tcW w:w="8660" w:type="dxa"/>
            <w:tcBorders>
              <w:bottom w:val="single" w:sz="18" w:space="0" w:color="auto"/>
            </w:tcBorders>
            <w:vAlign w:val="bottom"/>
          </w:tcPr>
          <w:p w:rsidR="0040521B" w:rsidRDefault="0040521B" w:rsidP="0053283A">
            <w:pPr>
              <w:rPr>
                <w:rFonts w:cs="Calibri"/>
                <w:color w:val="000000"/>
              </w:rPr>
            </w:pPr>
            <w:r>
              <w:rPr>
                <w:rFonts w:cs="Calibri"/>
                <w:color w:val="000000"/>
              </w:rPr>
              <w:t>Commenced in education: The participant commenced in education.</w:t>
            </w:r>
          </w:p>
        </w:tc>
        <w:tc>
          <w:tcPr>
            <w:tcW w:w="1546" w:type="dxa"/>
            <w:tcBorders>
              <w:bottom w:val="single" w:sz="18" w:space="0" w:color="auto"/>
            </w:tcBorders>
            <w:vAlign w:val="bottom"/>
          </w:tcPr>
          <w:p w:rsidR="0040521B" w:rsidRDefault="0040521B" w:rsidP="0053283A">
            <w:pPr>
              <w:jc w:val="right"/>
              <w:rPr>
                <w:rFonts w:cs="Calibri"/>
                <w:color w:val="000000"/>
              </w:rPr>
            </w:pPr>
            <w:r>
              <w:rPr>
                <w:rFonts w:cs="Calibri"/>
                <w:color w:val="000000"/>
              </w:rPr>
              <w:t>10</w:t>
            </w:r>
          </w:p>
        </w:tc>
      </w:tr>
    </w:tbl>
    <w:p w:rsidR="0040521B" w:rsidRDefault="0040521B" w:rsidP="0040521B">
      <w:pPr>
        <w:ind w:right="-188"/>
      </w:pPr>
    </w:p>
    <w:p w:rsidR="0040521B" w:rsidRPr="001C3005" w:rsidRDefault="0040521B" w:rsidP="009F1919">
      <w:pPr>
        <w:pStyle w:val="Heading2"/>
      </w:pPr>
      <w:bookmarkStart w:id="49" w:name="_Toc384038249"/>
      <w:r w:rsidRPr="001C3005">
        <w:t>Outreach and Re-engagement Services</w:t>
      </w:r>
      <w:bookmarkEnd w:id="49"/>
    </w:p>
    <w:p w:rsidR="0040521B" w:rsidRPr="00467C11" w:rsidRDefault="0040521B" w:rsidP="0040521B">
      <w:pPr>
        <w:ind w:right="-188"/>
      </w:pPr>
      <w:r>
        <w:t>Youth Connections - Specialised Services</w:t>
      </w:r>
      <w:r w:rsidRPr="00D80AD9">
        <w:t xml:space="preserve"> have conducted </w:t>
      </w:r>
      <w:r>
        <w:t>168</w:t>
      </w:r>
      <w:r w:rsidRPr="00D80AD9">
        <w:t xml:space="preserve"> Outreach and Re-engagement activities. These activities were attended by more than </w:t>
      </w:r>
      <w:r>
        <w:t>1,160</w:t>
      </w:r>
      <w:r w:rsidRPr="00D80AD9">
        <w:t xml:space="preserve"> people.</w:t>
      </w:r>
    </w:p>
    <w:p w:rsidR="0040521B" w:rsidRPr="003D1EBC" w:rsidRDefault="0040521B" w:rsidP="0040521B">
      <w:pPr>
        <w:ind w:right="-188"/>
        <w:rPr>
          <w:b/>
          <w:sz w:val="20"/>
          <w:szCs w:val="20"/>
        </w:rPr>
      </w:pPr>
    </w:p>
    <w:p w:rsidR="009F1919" w:rsidRDefault="009F1919">
      <w:pPr>
        <w:spacing w:after="200"/>
        <w:rPr>
          <w:rFonts w:ascii="Arial" w:eastAsiaTheme="majorEastAsia" w:hAnsi="Arial" w:cstheme="majorBidi"/>
          <w:b/>
          <w:bCs/>
        </w:rPr>
      </w:pPr>
      <w:r>
        <w:br w:type="page"/>
      </w:r>
    </w:p>
    <w:p w:rsidR="0040521B" w:rsidRDefault="0040521B" w:rsidP="009F1919">
      <w:pPr>
        <w:pStyle w:val="Heading3"/>
      </w:pPr>
      <w:r>
        <w:lastRenderedPageBreak/>
        <w:t>Table 34</w:t>
      </w:r>
      <w:r w:rsidRPr="00514AED">
        <w:t xml:space="preserve">: </w:t>
      </w:r>
      <w:r>
        <w:rPr>
          <w:rFonts w:cs="Calibri"/>
          <w:color w:val="000000"/>
        </w:rPr>
        <w:t>Specialised Services</w:t>
      </w:r>
      <w:r w:rsidRPr="00514AED">
        <w:t xml:space="preserve"> </w:t>
      </w:r>
      <w:r>
        <w:t>– Outreach and Re-engagement activities</w:t>
      </w:r>
    </w:p>
    <w:tbl>
      <w:tblPr>
        <w:tblW w:w="35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559"/>
      </w:tblGrid>
      <w:tr w:rsidR="0040521B" w:rsidRPr="00E55E11" w:rsidTr="0053283A">
        <w:trPr>
          <w:trHeight w:val="300"/>
        </w:trPr>
        <w:tc>
          <w:tcPr>
            <w:tcW w:w="2000" w:type="dxa"/>
            <w:shd w:val="clear" w:color="auto" w:fill="C6D9F1" w:themeFill="text2" w:themeFillTint="33"/>
            <w:noWrap/>
            <w:vAlign w:val="bottom"/>
            <w:hideMark/>
          </w:tcPr>
          <w:p w:rsidR="0040521B" w:rsidRPr="00E55E11" w:rsidRDefault="0040521B" w:rsidP="0053283A">
            <w:pPr>
              <w:jc w:val="center"/>
              <w:rPr>
                <w:rFonts w:cs="Calibri"/>
                <w:b/>
                <w:color w:val="000000"/>
              </w:rPr>
            </w:pPr>
            <w:r w:rsidRPr="00E55E11">
              <w:rPr>
                <w:rFonts w:cs="Calibri"/>
                <w:b/>
                <w:color w:val="000000"/>
              </w:rPr>
              <w:t>Number of people attending each event</w:t>
            </w:r>
          </w:p>
        </w:tc>
        <w:tc>
          <w:tcPr>
            <w:tcW w:w="1559" w:type="dxa"/>
            <w:shd w:val="clear" w:color="auto" w:fill="C6D9F1" w:themeFill="text2" w:themeFillTint="33"/>
            <w:noWrap/>
            <w:vAlign w:val="bottom"/>
            <w:hideMark/>
          </w:tcPr>
          <w:p w:rsidR="0040521B" w:rsidRPr="00E55E11" w:rsidRDefault="0040521B" w:rsidP="0053283A">
            <w:pPr>
              <w:jc w:val="center"/>
              <w:rPr>
                <w:rFonts w:cs="Calibri"/>
                <w:b/>
                <w:color w:val="000000"/>
              </w:rPr>
            </w:pPr>
            <w:r w:rsidRPr="00E55E11">
              <w:rPr>
                <w:rFonts w:cs="Calibri"/>
                <w:b/>
                <w:color w:val="000000"/>
              </w:rPr>
              <w:t>Number of events</w:t>
            </w:r>
          </w:p>
        </w:tc>
      </w:tr>
      <w:tr w:rsidR="0040521B" w:rsidRPr="00E55E11" w:rsidTr="0053283A">
        <w:trPr>
          <w:trHeight w:val="300"/>
        </w:trPr>
        <w:tc>
          <w:tcPr>
            <w:tcW w:w="2000" w:type="dxa"/>
            <w:shd w:val="clear" w:color="auto" w:fill="auto"/>
            <w:noWrap/>
            <w:vAlign w:val="bottom"/>
            <w:hideMark/>
          </w:tcPr>
          <w:p w:rsidR="0040521B" w:rsidRPr="00E55E11" w:rsidRDefault="0040521B" w:rsidP="0053283A">
            <w:pPr>
              <w:rPr>
                <w:rFonts w:cs="Calibri"/>
                <w:color w:val="000000"/>
              </w:rPr>
            </w:pPr>
            <w:r w:rsidRPr="00E55E11">
              <w:rPr>
                <w:rFonts w:cs="Calibri"/>
                <w:color w:val="000000"/>
              </w:rPr>
              <w:t>&lt;10</w:t>
            </w:r>
          </w:p>
        </w:tc>
        <w:tc>
          <w:tcPr>
            <w:tcW w:w="1559" w:type="dxa"/>
            <w:shd w:val="clear" w:color="auto" w:fill="auto"/>
            <w:noWrap/>
            <w:vAlign w:val="bottom"/>
            <w:hideMark/>
          </w:tcPr>
          <w:p w:rsidR="0040521B" w:rsidRDefault="0040521B" w:rsidP="0053283A">
            <w:pPr>
              <w:jc w:val="right"/>
              <w:rPr>
                <w:rFonts w:cs="Calibri"/>
                <w:color w:val="000000"/>
              </w:rPr>
            </w:pPr>
            <w:r>
              <w:rPr>
                <w:rFonts w:cs="Calibri"/>
                <w:color w:val="000000"/>
              </w:rPr>
              <w:t>110</w:t>
            </w:r>
          </w:p>
        </w:tc>
      </w:tr>
      <w:tr w:rsidR="0040521B" w:rsidRPr="00E55E11" w:rsidTr="0053283A">
        <w:trPr>
          <w:trHeight w:val="300"/>
        </w:trPr>
        <w:tc>
          <w:tcPr>
            <w:tcW w:w="2000" w:type="dxa"/>
            <w:shd w:val="clear" w:color="auto" w:fill="auto"/>
            <w:noWrap/>
            <w:vAlign w:val="bottom"/>
            <w:hideMark/>
          </w:tcPr>
          <w:p w:rsidR="0040521B" w:rsidRPr="00E55E11" w:rsidRDefault="0040521B" w:rsidP="0053283A">
            <w:pPr>
              <w:rPr>
                <w:rFonts w:cs="Calibri"/>
                <w:color w:val="000000"/>
              </w:rPr>
            </w:pPr>
            <w:r w:rsidRPr="00E55E11">
              <w:rPr>
                <w:rFonts w:cs="Calibri"/>
                <w:color w:val="000000"/>
              </w:rPr>
              <w:t>&lt;20</w:t>
            </w:r>
          </w:p>
        </w:tc>
        <w:tc>
          <w:tcPr>
            <w:tcW w:w="1559" w:type="dxa"/>
            <w:shd w:val="clear" w:color="auto" w:fill="auto"/>
            <w:noWrap/>
            <w:vAlign w:val="bottom"/>
            <w:hideMark/>
          </w:tcPr>
          <w:p w:rsidR="0040521B" w:rsidRDefault="0040521B" w:rsidP="0053283A">
            <w:pPr>
              <w:jc w:val="right"/>
              <w:rPr>
                <w:rFonts w:cs="Calibri"/>
                <w:color w:val="000000"/>
              </w:rPr>
            </w:pPr>
            <w:r>
              <w:rPr>
                <w:rFonts w:cs="Calibri"/>
                <w:color w:val="000000"/>
              </w:rPr>
              <w:t>54</w:t>
            </w:r>
          </w:p>
        </w:tc>
      </w:tr>
      <w:tr w:rsidR="0040521B" w:rsidRPr="00E55E11" w:rsidTr="0053283A">
        <w:trPr>
          <w:trHeight w:val="300"/>
        </w:trPr>
        <w:tc>
          <w:tcPr>
            <w:tcW w:w="2000" w:type="dxa"/>
            <w:shd w:val="clear" w:color="auto" w:fill="auto"/>
            <w:noWrap/>
            <w:vAlign w:val="bottom"/>
            <w:hideMark/>
          </w:tcPr>
          <w:p w:rsidR="0040521B" w:rsidRPr="00E55E11" w:rsidRDefault="0040521B" w:rsidP="0053283A">
            <w:pPr>
              <w:rPr>
                <w:rFonts w:cs="Calibri"/>
                <w:color w:val="000000"/>
              </w:rPr>
            </w:pPr>
            <w:r w:rsidRPr="00E55E11">
              <w:rPr>
                <w:rFonts w:cs="Calibri"/>
                <w:color w:val="000000"/>
              </w:rPr>
              <w:t>&lt;50</w:t>
            </w:r>
          </w:p>
        </w:tc>
        <w:tc>
          <w:tcPr>
            <w:tcW w:w="1559" w:type="dxa"/>
            <w:shd w:val="clear" w:color="auto" w:fill="auto"/>
            <w:noWrap/>
            <w:vAlign w:val="bottom"/>
            <w:hideMark/>
          </w:tcPr>
          <w:p w:rsidR="0040521B" w:rsidRDefault="0040521B" w:rsidP="0053283A">
            <w:pPr>
              <w:jc w:val="right"/>
              <w:rPr>
                <w:rFonts w:cs="Calibri"/>
                <w:color w:val="000000"/>
              </w:rPr>
            </w:pPr>
            <w:r>
              <w:rPr>
                <w:rFonts w:cs="Calibri"/>
                <w:color w:val="000000"/>
              </w:rPr>
              <w:t>4</w:t>
            </w:r>
          </w:p>
        </w:tc>
      </w:tr>
    </w:tbl>
    <w:p w:rsidR="0040521B" w:rsidRDefault="0040521B" w:rsidP="0040521B">
      <w:pPr>
        <w:ind w:right="-188"/>
      </w:pPr>
    </w:p>
    <w:p w:rsidR="0040521B" w:rsidRDefault="0040521B" w:rsidP="0040521B">
      <w:pPr>
        <w:ind w:right="-188"/>
      </w:pPr>
      <w:r>
        <w:t>142 of these activities were identified as having an Indigenous focus; 121 were identified as having a humanitarian refugee focus.</w:t>
      </w:r>
    </w:p>
    <w:p w:rsidR="0040521B" w:rsidRPr="001C3005" w:rsidRDefault="0040521B" w:rsidP="009F1919">
      <w:pPr>
        <w:pStyle w:val="Heading2"/>
        <w:spacing w:after="0"/>
      </w:pPr>
      <w:bookmarkStart w:id="50" w:name="_Toc384038250"/>
      <w:r w:rsidRPr="001C3005">
        <w:t>Strengthening Services in the Region</w:t>
      </w:r>
      <w:bookmarkEnd w:id="50"/>
    </w:p>
    <w:p w:rsidR="0040521B" w:rsidRDefault="0040521B" w:rsidP="0040521B">
      <w:pPr>
        <w:ind w:right="-188"/>
      </w:pPr>
      <w:r>
        <w:t>Providers in South Australia have conducted 56 activities to strengthen services in their region.</w:t>
      </w:r>
    </w:p>
    <w:p w:rsidR="0040521B" w:rsidRDefault="0040521B" w:rsidP="009F1919">
      <w:pPr>
        <w:pStyle w:val="Heading3"/>
      </w:pPr>
      <w:r>
        <w:t>Table 35</w:t>
      </w:r>
      <w:r w:rsidRPr="00514AED">
        <w:t xml:space="preserve">: </w:t>
      </w:r>
      <w:r>
        <w:rPr>
          <w:rFonts w:cs="Calibri"/>
          <w:color w:val="000000"/>
        </w:rPr>
        <w:t>Specialised Services</w:t>
      </w:r>
      <w:r w:rsidRPr="00514AED">
        <w:t xml:space="preserve"> </w:t>
      </w:r>
      <w:r>
        <w:t>- Strengthening Services activities</w:t>
      </w:r>
    </w:p>
    <w:tbl>
      <w:tblPr>
        <w:tblW w:w="10225" w:type="dxa"/>
        <w:tblInd w:w="89" w:type="dxa"/>
        <w:tblLook w:val="04A0" w:firstRow="1" w:lastRow="0" w:firstColumn="1" w:lastColumn="0" w:noHBand="0" w:noVBand="1"/>
      </w:tblPr>
      <w:tblGrid>
        <w:gridCol w:w="6823"/>
        <w:gridCol w:w="1985"/>
        <w:gridCol w:w="1417"/>
      </w:tblGrid>
      <w:tr w:rsidR="0040521B" w:rsidRPr="002512A8" w:rsidTr="0053283A">
        <w:trPr>
          <w:trHeight w:val="300"/>
        </w:trPr>
        <w:tc>
          <w:tcPr>
            <w:tcW w:w="682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40521B" w:rsidRPr="002512A8" w:rsidRDefault="0040521B" w:rsidP="0053283A">
            <w:pPr>
              <w:rPr>
                <w:rFonts w:cs="Calibri"/>
                <w:b/>
                <w:bCs/>
                <w:color w:val="000000"/>
              </w:rPr>
            </w:pPr>
            <w:r w:rsidRPr="002512A8">
              <w:rPr>
                <w:rFonts w:cs="Calibri"/>
                <w:b/>
                <w:bCs/>
                <w:color w:val="000000"/>
              </w:rPr>
              <w:t>Outcome</w:t>
            </w:r>
          </w:p>
        </w:tc>
        <w:tc>
          <w:tcPr>
            <w:tcW w:w="1985" w:type="dxa"/>
            <w:tcBorders>
              <w:top w:val="single" w:sz="4" w:space="0" w:color="auto"/>
              <w:left w:val="nil"/>
              <w:bottom w:val="single" w:sz="4" w:space="0" w:color="auto"/>
              <w:right w:val="single" w:sz="4" w:space="0" w:color="auto"/>
            </w:tcBorders>
            <w:shd w:val="clear" w:color="000000" w:fill="C5D9F1"/>
            <w:noWrap/>
            <w:vAlign w:val="bottom"/>
            <w:hideMark/>
          </w:tcPr>
          <w:p w:rsidR="0040521B" w:rsidRPr="002512A8" w:rsidRDefault="0040521B" w:rsidP="0053283A">
            <w:pPr>
              <w:rPr>
                <w:rFonts w:cs="Calibri"/>
                <w:b/>
                <w:bCs/>
                <w:color w:val="000000"/>
              </w:rPr>
            </w:pPr>
            <w:r w:rsidRPr="002512A8">
              <w:rPr>
                <w:rFonts w:cs="Calibri"/>
                <w:b/>
                <w:bCs/>
                <w:color w:val="000000"/>
              </w:rPr>
              <w:t>Number of times outcome selected</w:t>
            </w:r>
          </w:p>
        </w:tc>
        <w:tc>
          <w:tcPr>
            <w:tcW w:w="1417" w:type="dxa"/>
            <w:tcBorders>
              <w:top w:val="single" w:sz="4" w:space="0" w:color="auto"/>
              <w:left w:val="nil"/>
              <w:bottom w:val="single" w:sz="4" w:space="0" w:color="auto"/>
              <w:right w:val="single" w:sz="4" w:space="0" w:color="auto"/>
            </w:tcBorders>
            <w:shd w:val="clear" w:color="000000" w:fill="C5D9F1"/>
            <w:noWrap/>
            <w:vAlign w:val="bottom"/>
            <w:hideMark/>
          </w:tcPr>
          <w:p w:rsidR="0040521B" w:rsidRPr="002512A8" w:rsidRDefault="0040521B" w:rsidP="0053283A">
            <w:pPr>
              <w:rPr>
                <w:rFonts w:cs="Calibri"/>
                <w:b/>
                <w:bCs/>
                <w:color w:val="000000"/>
              </w:rPr>
            </w:pPr>
            <w:r w:rsidRPr="002512A8">
              <w:rPr>
                <w:rFonts w:cs="Calibri"/>
                <w:b/>
                <w:bCs/>
                <w:color w:val="000000"/>
              </w:rPr>
              <w:t>Average rating</w:t>
            </w:r>
          </w:p>
        </w:tc>
      </w:tr>
      <w:tr w:rsidR="0040521B" w:rsidRPr="002512A8" w:rsidTr="0053283A">
        <w:trPr>
          <w:trHeight w:val="600"/>
        </w:trPr>
        <w:tc>
          <w:tcPr>
            <w:tcW w:w="6823" w:type="dxa"/>
            <w:tcBorders>
              <w:top w:val="nil"/>
              <w:left w:val="single" w:sz="4" w:space="0" w:color="auto"/>
              <w:bottom w:val="single" w:sz="4" w:space="0" w:color="auto"/>
              <w:right w:val="single" w:sz="4" w:space="0" w:color="auto"/>
            </w:tcBorders>
            <w:shd w:val="clear" w:color="auto" w:fill="auto"/>
            <w:vAlign w:val="bottom"/>
            <w:hideMark/>
          </w:tcPr>
          <w:p w:rsidR="0040521B" w:rsidRDefault="0040521B" w:rsidP="0053283A">
            <w:pPr>
              <w:rPr>
                <w:rFonts w:cs="Calibri"/>
                <w:color w:val="000000"/>
              </w:rPr>
            </w:pPr>
            <w:r>
              <w:rPr>
                <w:rFonts w:cs="Calibri"/>
                <w:color w:val="000000"/>
              </w:rPr>
              <w:t>Communication channels between agencies which support at risk young people were created or strengthened.</w:t>
            </w:r>
          </w:p>
        </w:tc>
        <w:tc>
          <w:tcPr>
            <w:tcW w:w="1985"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51</w:t>
            </w:r>
          </w:p>
        </w:tc>
        <w:tc>
          <w:tcPr>
            <w:tcW w:w="1417"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4.9</w:t>
            </w:r>
          </w:p>
        </w:tc>
      </w:tr>
      <w:tr w:rsidR="0040521B" w:rsidRPr="002512A8" w:rsidTr="0053283A">
        <w:trPr>
          <w:trHeight w:val="600"/>
        </w:trPr>
        <w:tc>
          <w:tcPr>
            <w:tcW w:w="6823" w:type="dxa"/>
            <w:tcBorders>
              <w:top w:val="nil"/>
              <w:left w:val="single" w:sz="4" w:space="0" w:color="auto"/>
              <w:bottom w:val="single" w:sz="4" w:space="0" w:color="auto"/>
              <w:right w:val="single" w:sz="4" w:space="0" w:color="auto"/>
            </w:tcBorders>
            <w:shd w:val="clear" w:color="auto" w:fill="auto"/>
            <w:vAlign w:val="bottom"/>
            <w:hideMark/>
          </w:tcPr>
          <w:p w:rsidR="0040521B" w:rsidRDefault="0040521B" w:rsidP="0053283A">
            <w:pPr>
              <w:rPr>
                <w:rFonts w:cs="Calibri"/>
                <w:color w:val="000000"/>
              </w:rPr>
            </w:pPr>
            <w:r>
              <w:rPr>
                <w:rFonts w:cs="Calibri"/>
                <w:color w:val="000000"/>
              </w:rPr>
              <w:t>Families and communities are more positively involved in the lives of at risk young people.</w:t>
            </w:r>
          </w:p>
        </w:tc>
        <w:tc>
          <w:tcPr>
            <w:tcW w:w="1985"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20</w:t>
            </w:r>
          </w:p>
        </w:tc>
        <w:tc>
          <w:tcPr>
            <w:tcW w:w="1417"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4.9</w:t>
            </w:r>
          </w:p>
        </w:tc>
      </w:tr>
      <w:tr w:rsidR="0040521B" w:rsidRPr="002512A8" w:rsidTr="0053283A">
        <w:trPr>
          <w:trHeight w:val="358"/>
        </w:trPr>
        <w:tc>
          <w:tcPr>
            <w:tcW w:w="6823" w:type="dxa"/>
            <w:tcBorders>
              <w:top w:val="nil"/>
              <w:left w:val="single" w:sz="4" w:space="0" w:color="auto"/>
              <w:bottom w:val="single" w:sz="4" w:space="0" w:color="auto"/>
              <w:right w:val="single" w:sz="4" w:space="0" w:color="auto"/>
            </w:tcBorders>
            <w:shd w:val="clear" w:color="auto" w:fill="auto"/>
            <w:vAlign w:val="bottom"/>
            <w:hideMark/>
          </w:tcPr>
          <w:p w:rsidR="0040521B" w:rsidRDefault="0040521B" w:rsidP="0053283A">
            <w:pPr>
              <w:rPr>
                <w:rFonts w:cs="Calibri"/>
                <w:color w:val="000000"/>
              </w:rPr>
            </w:pPr>
            <w:r>
              <w:rPr>
                <w:rFonts w:cs="Calibri"/>
                <w:color w:val="000000"/>
              </w:rPr>
              <w:t>Families of at risk young people are more involved in their community.</w:t>
            </w:r>
          </w:p>
        </w:tc>
        <w:tc>
          <w:tcPr>
            <w:tcW w:w="1985"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10</w:t>
            </w:r>
          </w:p>
        </w:tc>
        <w:tc>
          <w:tcPr>
            <w:tcW w:w="1417"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4.8</w:t>
            </w:r>
          </w:p>
        </w:tc>
      </w:tr>
      <w:tr w:rsidR="0040521B" w:rsidRPr="002512A8" w:rsidTr="0053283A">
        <w:trPr>
          <w:trHeight w:val="593"/>
        </w:trPr>
        <w:tc>
          <w:tcPr>
            <w:tcW w:w="6823" w:type="dxa"/>
            <w:tcBorders>
              <w:top w:val="nil"/>
              <w:left w:val="single" w:sz="4" w:space="0" w:color="auto"/>
              <w:bottom w:val="single" w:sz="4" w:space="0" w:color="auto"/>
              <w:right w:val="single" w:sz="4" w:space="0" w:color="auto"/>
            </w:tcBorders>
            <w:shd w:val="clear" w:color="auto" w:fill="auto"/>
            <w:vAlign w:val="bottom"/>
            <w:hideMark/>
          </w:tcPr>
          <w:p w:rsidR="0040521B" w:rsidRDefault="0040521B" w:rsidP="0053283A">
            <w:pPr>
              <w:rPr>
                <w:rFonts w:cs="Calibri"/>
                <w:color w:val="000000"/>
              </w:rPr>
            </w:pPr>
            <w:r>
              <w:rPr>
                <w:rFonts w:cs="Calibri"/>
                <w:color w:val="000000"/>
              </w:rPr>
              <w:t>Regional solutions were implemented to improve careers and transitions services in the region with a focus on supporting at risk young people.</w:t>
            </w:r>
          </w:p>
        </w:tc>
        <w:tc>
          <w:tcPr>
            <w:tcW w:w="1985"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24</w:t>
            </w:r>
          </w:p>
        </w:tc>
        <w:tc>
          <w:tcPr>
            <w:tcW w:w="1417"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4.7</w:t>
            </w:r>
          </w:p>
        </w:tc>
      </w:tr>
      <w:tr w:rsidR="0040521B" w:rsidRPr="002512A8" w:rsidTr="0053283A">
        <w:trPr>
          <w:trHeight w:val="550"/>
        </w:trPr>
        <w:tc>
          <w:tcPr>
            <w:tcW w:w="6823" w:type="dxa"/>
            <w:tcBorders>
              <w:top w:val="nil"/>
              <w:left w:val="single" w:sz="4" w:space="0" w:color="auto"/>
              <w:bottom w:val="single" w:sz="4" w:space="0" w:color="auto"/>
              <w:right w:val="single" w:sz="4" w:space="0" w:color="auto"/>
            </w:tcBorders>
            <w:shd w:val="clear" w:color="auto" w:fill="auto"/>
            <w:vAlign w:val="bottom"/>
            <w:hideMark/>
          </w:tcPr>
          <w:p w:rsidR="0040521B" w:rsidRDefault="0040521B" w:rsidP="0053283A">
            <w:pPr>
              <w:rPr>
                <w:rFonts w:cs="Calibri"/>
                <w:color w:val="000000"/>
              </w:rPr>
            </w:pPr>
            <w:r>
              <w:rPr>
                <w:rFonts w:cs="Calibri"/>
                <w:color w:val="000000"/>
              </w:rPr>
              <w:t>Schools and education providers established procedures with other agencies to identify at risk young people earlier.</w:t>
            </w:r>
          </w:p>
        </w:tc>
        <w:tc>
          <w:tcPr>
            <w:tcW w:w="1985"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27</w:t>
            </w:r>
          </w:p>
        </w:tc>
        <w:tc>
          <w:tcPr>
            <w:tcW w:w="1417"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4.9</w:t>
            </w:r>
          </w:p>
        </w:tc>
      </w:tr>
      <w:tr w:rsidR="0040521B" w:rsidRPr="002512A8" w:rsidTr="0053283A">
        <w:trPr>
          <w:trHeight w:val="600"/>
        </w:trPr>
        <w:tc>
          <w:tcPr>
            <w:tcW w:w="6823" w:type="dxa"/>
            <w:tcBorders>
              <w:top w:val="nil"/>
              <w:left w:val="single" w:sz="4" w:space="0" w:color="auto"/>
              <w:bottom w:val="single" w:sz="4" w:space="0" w:color="auto"/>
              <w:right w:val="single" w:sz="4" w:space="0" w:color="auto"/>
            </w:tcBorders>
            <w:shd w:val="clear" w:color="auto" w:fill="auto"/>
            <w:vAlign w:val="bottom"/>
            <w:hideMark/>
          </w:tcPr>
          <w:p w:rsidR="0040521B" w:rsidRDefault="0040521B" w:rsidP="0053283A">
            <w:pPr>
              <w:rPr>
                <w:rFonts w:cs="Calibri"/>
                <w:color w:val="000000"/>
              </w:rPr>
            </w:pPr>
            <w:r>
              <w:rPr>
                <w:rFonts w:cs="Calibri"/>
                <w:color w:val="000000"/>
              </w:rPr>
              <w:t>Schools and education providers increased their referrals to support at risk young people.</w:t>
            </w:r>
          </w:p>
        </w:tc>
        <w:tc>
          <w:tcPr>
            <w:tcW w:w="1985"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34</w:t>
            </w:r>
          </w:p>
        </w:tc>
        <w:tc>
          <w:tcPr>
            <w:tcW w:w="1417"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4.8</w:t>
            </w:r>
          </w:p>
        </w:tc>
      </w:tr>
      <w:tr w:rsidR="0040521B" w:rsidRPr="002512A8" w:rsidTr="0053283A">
        <w:trPr>
          <w:trHeight w:val="600"/>
        </w:trPr>
        <w:tc>
          <w:tcPr>
            <w:tcW w:w="6823" w:type="dxa"/>
            <w:tcBorders>
              <w:top w:val="nil"/>
              <w:left w:val="single" w:sz="4" w:space="0" w:color="auto"/>
              <w:bottom w:val="single" w:sz="4" w:space="0" w:color="auto"/>
              <w:right w:val="single" w:sz="4" w:space="0" w:color="auto"/>
            </w:tcBorders>
            <w:shd w:val="clear" w:color="auto" w:fill="auto"/>
            <w:vAlign w:val="bottom"/>
            <w:hideMark/>
          </w:tcPr>
          <w:p w:rsidR="0040521B" w:rsidRDefault="0040521B" w:rsidP="0053283A">
            <w:pPr>
              <w:rPr>
                <w:rFonts w:cs="Calibri"/>
                <w:color w:val="000000"/>
              </w:rPr>
            </w:pPr>
            <w:r>
              <w:rPr>
                <w:rFonts w:cs="Calibri"/>
                <w:color w:val="000000"/>
              </w:rPr>
              <w:t>Schools and education providers make referrals earlier to support at risk young people.</w:t>
            </w:r>
          </w:p>
        </w:tc>
        <w:tc>
          <w:tcPr>
            <w:tcW w:w="1985"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31</w:t>
            </w:r>
          </w:p>
        </w:tc>
        <w:tc>
          <w:tcPr>
            <w:tcW w:w="1417"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4.8</w:t>
            </w:r>
          </w:p>
        </w:tc>
      </w:tr>
      <w:tr w:rsidR="0040521B" w:rsidRPr="002512A8" w:rsidTr="0053283A">
        <w:trPr>
          <w:trHeight w:val="537"/>
        </w:trPr>
        <w:tc>
          <w:tcPr>
            <w:tcW w:w="6823" w:type="dxa"/>
            <w:tcBorders>
              <w:top w:val="nil"/>
              <w:left w:val="single" w:sz="4" w:space="0" w:color="auto"/>
              <w:bottom w:val="single" w:sz="4" w:space="0" w:color="auto"/>
              <w:right w:val="single" w:sz="4" w:space="0" w:color="auto"/>
            </w:tcBorders>
            <w:shd w:val="clear" w:color="auto" w:fill="auto"/>
            <w:vAlign w:val="bottom"/>
            <w:hideMark/>
          </w:tcPr>
          <w:p w:rsidR="0040521B" w:rsidRDefault="0040521B" w:rsidP="0053283A">
            <w:pPr>
              <w:rPr>
                <w:rFonts w:cs="Calibri"/>
                <w:color w:val="000000"/>
              </w:rPr>
            </w:pPr>
            <w:r>
              <w:rPr>
                <w:rFonts w:cs="Calibri"/>
                <w:color w:val="000000"/>
              </w:rPr>
              <w:t>Schools and other education providers were assisted to establish or share their best practice models for working with at risk young people.</w:t>
            </w:r>
          </w:p>
        </w:tc>
        <w:tc>
          <w:tcPr>
            <w:tcW w:w="1985"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20</w:t>
            </w:r>
          </w:p>
        </w:tc>
        <w:tc>
          <w:tcPr>
            <w:tcW w:w="1417"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4.9</w:t>
            </w:r>
          </w:p>
        </w:tc>
      </w:tr>
      <w:tr w:rsidR="0040521B" w:rsidRPr="002512A8" w:rsidTr="0053283A">
        <w:trPr>
          <w:trHeight w:val="562"/>
        </w:trPr>
        <w:tc>
          <w:tcPr>
            <w:tcW w:w="6823" w:type="dxa"/>
            <w:tcBorders>
              <w:top w:val="nil"/>
              <w:left w:val="single" w:sz="4" w:space="0" w:color="auto"/>
              <w:bottom w:val="single" w:sz="4" w:space="0" w:color="auto"/>
              <w:right w:val="single" w:sz="4" w:space="0" w:color="auto"/>
            </w:tcBorders>
            <w:shd w:val="clear" w:color="auto" w:fill="auto"/>
            <w:vAlign w:val="bottom"/>
            <w:hideMark/>
          </w:tcPr>
          <w:p w:rsidR="0040521B" w:rsidRDefault="0040521B" w:rsidP="0053283A">
            <w:pPr>
              <w:rPr>
                <w:rFonts w:cs="Calibri"/>
                <w:color w:val="000000"/>
              </w:rPr>
            </w:pPr>
            <w:r>
              <w:rPr>
                <w:rFonts w:cs="Calibri"/>
                <w:color w:val="000000"/>
              </w:rPr>
              <w:t>The use of infrastructure in the region to support at risk young people is better coordinated.</w:t>
            </w:r>
          </w:p>
        </w:tc>
        <w:tc>
          <w:tcPr>
            <w:tcW w:w="1985"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31</w:t>
            </w:r>
          </w:p>
        </w:tc>
        <w:tc>
          <w:tcPr>
            <w:tcW w:w="1417"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4.8</w:t>
            </w:r>
          </w:p>
        </w:tc>
      </w:tr>
      <w:tr w:rsidR="0040521B" w:rsidRPr="002512A8" w:rsidTr="0053283A">
        <w:trPr>
          <w:trHeight w:val="600"/>
        </w:trPr>
        <w:tc>
          <w:tcPr>
            <w:tcW w:w="6823" w:type="dxa"/>
            <w:tcBorders>
              <w:top w:val="nil"/>
              <w:left w:val="single" w:sz="4" w:space="0" w:color="auto"/>
              <w:bottom w:val="single" w:sz="4" w:space="0" w:color="auto"/>
              <w:right w:val="single" w:sz="4" w:space="0" w:color="auto"/>
            </w:tcBorders>
            <w:shd w:val="clear" w:color="auto" w:fill="auto"/>
            <w:vAlign w:val="bottom"/>
            <w:hideMark/>
          </w:tcPr>
          <w:p w:rsidR="0040521B" w:rsidRDefault="0040521B" w:rsidP="0053283A">
            <w:pPr>
              <w:rPr>
                <w:rFonts w:cs="Calibri"/>
                <w:color w:val="000000"/>
              </w:rPr>
            </w:pPr>
            <w:r>
              <w:rPr>
                <w:rFonts w:cs="Calibri"/>
                <w:color w:val="000000"/>
              </w:rPr>
              <w:t>There are improved referral channels for community resources which support at risk young people.</w:t>
            </w:r>
          </w:p>
        </w:tc>
        <w:tc>
          <w:tcPr>
            <w:tcW w:w="1985"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47</w:t>
            </w:r>
          </w:p>
        </w:tc>
        <w:tc>
          <w:tcPr>
            <w:tcW w:w="1417"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4.9</w:t>
            </w:r>
          </w:p>
        </w:tc>
      </w:tr>
      <w:tr w:rsidR="0040521B" w:rsidRPr="002512A8" w:rsidTr="0053283A">
        <w:trPr>
          <w:trHeight w:val="600"/>
        </w:trPr>
        <w:tc>
          <w:tcPr>
            <w:tcW w:w="6823" w:type="dxa"/>
            <w:tcBorders>
              <w:top w:val="nil"/>
              <w:left w:val="single" w:sz="4" w:space="0" w:color="auto"/>
              <w:bottom w:val="single" w:sz="4" w:space="0" w:color="auto"/>
              <w:right w:val="single" w:sz="4" w:space="0" w:color="auto"/>
            </w:tcBorders>
            <w:shd w:val="clear" w:color="auto" w:fill="auto"/>
            <w:vAlign w:val="bottom"/>
            <w:hideMark/>
          </w:tcPr>
          <w:p w:rsidR="0040521B" w:rsidRDefault="0040521B" w:rsidP="0053283A">
            <w:pPr>
              <w:rPr>
                <w:rFonts w:cs="Calibri"/>
                <w:color w:val="000000"/>
              </w:rPr>
            </w:pPr>
            <w:r>
              <w:rPr>
                <w:rFonts w:cs="Calibri"/>
                <w:color w:val="000000"/>
              </w:rPr>
              <w:t>There was a reduction in the duplication of community resources which support at risk young people.</w:t>
            </w:r>
          </w:p>
        </w:tc>
        <w:tc>
          <w:tcPr>
            <w:tcW w:w="1985"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10</w:t>
            </w:r>
          </w:p>
        </w:tc>
        <w:tc>
          <w:tcPr>
            <w:tcW w:w="1417"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5.0</w:t>
            </w:r>
          </w:p>
        </w:tc>
      </w:tr>
      <w:tr w:rsidR="0040521B" w:rsidRPr="002512A8" w:rsidTr="0053283A">
        <w:trPr>
          <w:trHeight w:val="600"/>
        </w:trPr>
        <w:tc>
          <w:tcPr>
            <w:tcW w:w="6823" w:type="dxa"/>
            <w:tcBorders>
              <w:top w:val="nil"/>
              <w:left w:val="single" w:sz="4" w:space="0" w:color="auto"/>
              <w:bottom w:val="single" w:sz="4" w:space="0" w:color="auto"/>
              <w:right w:val="single" w:sz="4" w:space="0" w:color="auto"/>
            </w:tcBorders>
            <w:shd w:val="clear" w:color="auto" w:fill="auto"/>
            <w:vAlign w:val="bottom"/>
            <w:hideMark/>
          </w:tcPr>
          <w:p w:rsidR="0040521B" w:rsidRDefault="0040521B" w:rsidP="0053283A">
            <w:pPr>
              <w:rPr>
                <w:rFonts w:cs="Calibri"/>
                <w:color w:val="000000"/>
              </w:rPr>
            </w:pPr>
            <w:r>
              <w:rPr>
                <w:rFonts w:cs="Calibri"/>
                <w:color w:val="000000"/>
              </w:rPr>
              <w:t>There was an increase in the number of schools that strengthened their procedures to support young people at risk of disengaging.</w:t>
            </w:r>
          </w:p>
        </w:tc>
        <w:tc>
          <w:tcPr>
            <w:tcW w:w="1985"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101</w:t>
            </w:r>
          </w:p>
        </w:tc>
        <w:tc>
          <w:tcPr>
            <w:tcW w:w="1417"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4.9</w:t>
            </w:r>
          </w:p>
        </w:tc>
      </w:tr>
      <w:tr w:rsidR="0040521B" w:rsidRPr="002512A8" w:rsidTr="0053283A">
        <w:trPr>
          <w:trHeight w:val="557"/>
        </w:trPr>
        <w:tc>
          <w:tcPr>
            <w:tcW w:w="6823" w:type="dxa"/>
            <w:tcBorders>
              <w:top w:val="nil"/>
              <w:left w:val="single" w:sz="4" w:space="0" w:color="auto"/>
              <w:bottom w:val="single" w:sz="4" w:space="0" w:color="auto"/>
              <w:right w:val="single" w:sz="4" w:space="0" w:color="auto"/>
            </w:tcBorders>
            <w:shd w:val="clear" w:color="auto" w:fill="auto"/>
            <w:vAlign w:val="bottom"/>
            <w:hideMark/>
          </w:tcPr>
          <w:p w:rsidR="0040521B" w:rsidRDefault="0040521B" w:rsidP="0053283A">
            <w:pPr>
              <w:rPr>
                <w:rFonts w:cs="Calibri"/>
                <w:color w:val="000000"/>
              </w:rPr>
            </w:pPr>
            <w:r>
              <w:rPr>
                <w:rFonts w:cs="Calibri"/>
                <w:color w:val="000000"/>
              </w:rPr>
              <w:t>There was an increase or improvement in the available services for families of at risk young people.</w:t>
            </w:r>
          </w:p>
        </w:tc>
        <w:tc>
          <w:tcPr>
            <w:tcW w:w="1985"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17</w:t>
            </w:r>
          </w:p>
        </w:tc>
        <w:tc>
          <w:tcPr>
            <w:tcW w:w="1417"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4.9</w:t>
            </w:r>
          </w:p>
        </w:tc>
      </w:tr>
      <w:tr w:rsidR="0040521B" w:rsidRPr="002512A8" w:rsidTr="0053283A">
        <w:trPr>
          <w:trHeight w:val="600"/>
        </w:trPr>
        <w:tc>
          <w:tcPr>
            <w:tcW w:w="6823" w:type="dxa"/>
            <w:tcBorders>
              <w:top w:val="nil"/>
              <w:left w:val="single" w:sz="4" w:space="0" w:color="auto"/>
              <w:bottom w:val="single" w:sz="4" w:space="0" w:color="auto"/>
              <w:right w:val="single" w:sz="4" w:space="0" w:color="auto"/>
            </w:tcBorders>
            <w:shd w:val="clear" w:color="auto" w:fill="auto"/>
            <w:vAlign w:val="bottom"/>
            <w:hideMark/>
          </w:tcPr>
          <w:p w:rsidR="0040521B" w:rsidRDefault="0040521B" w:rsidP="0053283A">
            <w:pPr>
              <w:rPr>
                <w:rFonts w:cs="Calibri"/>
                <w:color w:val="000000"/>
              </w:rPr>
            </w:pPr>
            <w:r>
              <w:rPr>
                <w:rFonts w:cs="Calibri"/>
                <w:color w:val="000000"/>
              </w:rPr>
              <w:t>Young people disengage less frequently from school or education providers.</w:t>
            </w:r>
          </w:p>
        </w:tc>
        <w:tc>
          <w:tcPr>
            <w:tcW w:w="1985"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31</w:t>
            </w:r>
          </w:p>
        </w:tc>
        <w:tc>
          <w:tcPr>
            <w:tcW w:w="1417" w:type="dxa"/>
            <w:tcBorders>
              <w:top w:val="nil"/>
              <w:left w:val="nil"/>
              <w:bottom w:val="single" w:sz="4" w:space="0" w:color="auto"/>
              <w:right w:val="single" w:sz="4" w:space="0" w:color="auto"/>
            </w:tcBorders>
            <w:shd w:val="clear" w:color="auto" w:fill="auto"/>
            <w:noWrap/>
            <w:vAlign w:val="bottom"/>
            <w:hideMark/>
          </w:tcPr>
          <w:p w:rsidR="0040521B" w:rsidRDefault="0040521B" w:rsidP="0053283A">
            <w:pPr>
              <w:jc w:val="center"/>
              <w:rPr>
                <w:rFonts w:cs="Calibri"/>
                <w:color w:val="000000"/>
              </w:rPr>
            </w:pPr>
            <w:r>
              <w:rPr>
                <w:rFonts w:cs="Calibri"/>
                <w:color w:val="000000"/>
              </w:rPr>
              <w:t>4.9</w:t>
            </w:r>
          </w:p>
        </w:tc>
      </w:tr>
    </w:tbl>
    <w:p w:rsidR="00C17E74" w:rsidRPr="00C17E74" w:rsidRDefault="00C17E74" w:rsidP="009F1919">
      <w:pPr>
        <w:pStyle w:val="Heading1"/>
      </w:pPr>
      <w:bookmarkStart w:id="51" w:name="_Toc332716699"/>
      <w:bookmarkStart w:id="52" w:name="_Toc355862688"/>
      <w:bookmarkStart w:id="53" w:name="_Toc292696789"/>
      <w:bookmarkStart w:id="54" w:name="_Toc384038251"/>
      <w:r w:rsidRPr="00C17E74">
        <w:lastRenderedPageBreak/>
        <w:t>ANNEXURE 1 B – School Business Community Partnership Brokers - SA</w:t>
      </w:r>
      <w:bookmarkEnd w:id="54"/>
    </w:p>
    <w:p w:rsidR="00C17E74" w:rsidRPr="00C17E74" w:rsidRDefault="00C17E74" w:rsidP="009F1919">
      <w:pPr>
        <w:pStyle w:val="Heading2"/>
        <w:rPr>
          <w:lang w:eastAsia="en-AU"/>
        </w:rPr>
      </w:pPr>
      <w:bookmarkStart w:id="55" w:name="_Toc384038252"/>
      <w:r w:rsidRPr="00C17E74">
        <w:rPr>
          <w:lang w:eastAsia="en-AU"/>
        </w:rPr>
        <w:t>N</w:t>
      </w:r>
      <w:bookmarkEnd w:id="51"/>
      <w:bookmarkEnd w:id="52"/>
      <w:r w:rsidR="009C205D">
        <w:rPr>
          <w:lang w:eastAsia="en-AU"/>
        </w:rPr>
        <w:t>ational Summary</w:t>
      </w:r>
      <w:bookmarkEnd w:id="55"/>
    </w:p>
    <w:p w:rsidR="00C17E74" w:rsidRPr="00C17E74" w:rsidRDefault="00C17E74" w:rsidP="009F1919">
      <w:pPr>
        <w:pStyle w:val="Heading3"/>
        <w:rPr>
          <w:rFonts w:eastAsia="Times New Roman"/>
        </w:rPr>
      </w:pPr>
      <w:bookmarkStart w:id="56" w:name="_Toc332716700"/>
      <w:bookmarkStart w:id="57" w:name="_Toc355862689"/>
      <w:r w:rsidRPr="00C17E74">
        <w:rPr>
          <w:rFonts w:eastAsia="Times New Roman"/>
        </w:rPr>
        <w:t>Introduction</w:t>
      </w:r>
      <w:bookmarkEnd w:id="56"/>
      <w:bookmarkEnd w:id="57"/>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 xml:space="preserve">The </w:t>
      </w:r>
      <w:r w:rsidRPr="00C17E74">
        <w:rPr>
          <w:rFonts w:eastAsia="Times New Roman" w:cstheme="minorHAnsi"/>
          <w:i/>
          <w:lang w:val="en-US"/>
        </w:rPr>
        <w:t>2008</w:t>
      </w:r>
      <w:r w:rsidRPr="00C17E74">
        <w:rPr>
          <w:rFonts w:eastAsia="Times New Roman" w:cstheme="minorHAnsi"/>
          <w:lang w:val="en-US"/>
        </w:rPr>
        <w:t xml:space="preserve"> </w:t>
      </w:r>
      <w:r w:rsidRPr="00C17E74">
        <w:rPr>
          <w:rFonts w:eastAsia="Times New Roman" w:cstheme="minorHAnsi"/>
          <w:i/>
          <w:lang w:val="en-US"/>
        </w:rPr>
        <w:t xml:space="preserve">Melbourne Declaration on Educational Goals for Young Australians, </w:t>
      </w:r>
      <w:r w:rsidRPr="00C17E74">
        <w:rPr>
          <w:rFonts w:eastAsia="Times New Roman" w:cstheme="minorHAnsi"/>
          <w:lang w:val="en-US"/>
        </w:rPr>
        <w:t xml:space="preserve">agreed to by all Australian governments, </w:t>
      </w:r>
      <w:proofErr w:type="spellStart"/>
      <w:r w:rsidRPr="00C17E74">
        <w:rPr>
          <w:rFonts w:eastAsia="Times New Roman" w:cstheme="minorHAnsi"/>
          <w:lang w:val="en-US"/>
        </w:rPr>
        <w:t>recognises</w:t>
      </w:r>
      <w:proofErr w:type="spellEnd"/>
      <w:r w:rsidRPr="00C17E74">
        <w:rPr>
          <w:rFonts w:eastAsia="Times New Roman" w:cstheme="minorHAnsi"/>
          <w:lang w:val="en-US"/>
        </w:rPr>
        <w:t xml:space="preserve"> that educating our young people is the responsibility of the entire community, not just schools. In many cases, </w:t>
      </w:r>
      <w:proofErr w:type="spellStart"/>
      <w:r w:rsidRPr="00C17E74">
        <w:rPr>
          <w:rFonts w:eastAsia="Times New Roman" w:cstheme="minorHAnsi"/>
          <w:lang w:val="en-US"/>
        </w:rPr>
        <w:t>realising</w:t>
      </w:r>
      <w:proofErr w:type="spellEnd"/>
      <w:r w:rsidRPr="00C17E74">
        <w:rPr>
          <w:rFonts w:eastAsia="Times New Roman" w:cstheme="minorHAnsi"/>
          <w:lang w:val="en-US"/>
        </w:rPr>
        <w:t xml:space="preserve"> this collective responsibility requires a cultural shift and innovative approaches in order to bring about the systemic change that is needed. Change at this level often requires the sort of cross-sector collaboration that is best achieved through a partnership approach. This has led to an increasing focus on schools developing partnerships with business and the broader community. Therefore, it is not surprising that the Declaration lists ‘</w:t>
      </w:r>
      <w:r w:rsidRPr="00C17E74">
        <w:rPr>
          <w:rFonts w:eastAsia="Times New Roman" w:cstheme="minorHAnsi"/>
          <w:i/>
          <w:lang w:val="en-US"/>
        </w:rPr>
        <w:t>developing</w:t>
      </w:r>
      <w:r w:rsidRPr="00C17E74">
        <w:rPr>
          <w:rFonts w:eastAsia="Times New Roman" w:cstheme="minorHAnsi"/>
          <w:lang w:val="en-US"/>
        </w:rPr>
        <w:t xml:space="preserve"> </w:t>
      </w:r>
      <w:r w:rsidRPr="00C17E74">
        <w:rPr>
          <w:rFonts w:eastAsia="Times New Roman" w:cstheme="minorHAnsi"/>
          <w:i/>
          <w:lang w:val="en-US"/>
        </w:rPr>
        <w:t>stronger partnerships’</w:t>
      </w:r>
      <w:r w:rsidRPr="00C17E74">
        <w:rPr>
          <w:rFonts w:eastAsia="Times New Roman" w:cstheme="minorHAnsi"/>
          <w:lang w:val="en-US"/>
        </w:rPr>
        <w:t xml:space="preserve"> among its eight areas of commitment to action.</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It is within this context that the School Business Community Partnership Brokers (Partnership Brokers) program was put in place to build partnerships that support young people to reach their full educational and social potential. While some schools are already engaging in partnerships, we know that many schools, businesses and communities need support to make connections, build networks and develop partnering skills. Partnership Brokers offer this support and assist people and organisations to enter into partnership arrangements, provide tailored support as partners move through the various stages of partnership development and support partnerships to achieve their goals.</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The support provided by Partnership Brokers is particularly important for disadvantaged communities, including Indigenous and low SES communities, which lack the networks, connections and/or infrastructure needed to support their young people. Program data shows that approximately 39 per cent of the schools involved in partnerships, supported by Partnership Brokers, are from the most disadvantaged quartile based on their Index of Community Socio-Educational Advantage (</w:t>
      </w:r>
      <w:proofErr w:type="spellStart"/>
      <w:r w:rsidRPr="00C17E74">
        <w:rPr>
          <w:rFonts w:eastAsia="Times New Roman" w:cstheme="minorHAnsi"/>
          <w:lang w:val="en-US"/>
        </w:rPr>
        <w:t>ICSEA</w:t>
      </w:r>
      <w:proofErr w:type="spellEnd"/>
      <w:r w:rsidRPr="00C17E74">
        <w:rPr>
          <w:rFonts w:eastAsiaTheme="majorEastAsia" w:cstheme="minorHAnsi"/>
          <w:vertAlign w:val="superscript"/>
          <w:lang w:val="en-US"/>
        </w:rPr>
        <w:footnoteReference w:id="2"/>
      </w:r>
      <w:r w:rsidRPr="00C17E74">
        <w:rPr>
          <w:rFonts w:eastAsia="Times New Roman" w:cstheme="minorHAnsi"/>
          <w:lang w:val="en-US"/>
        </w:rPr>
        <w:t xml:space="preserve">) value. </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The Partnership Brokers program is underpinned by the simple premise that by working together we can achieve outcomes that would not have been possible if each of us acted alone. Previous Commonwealth programs in the youth and transitions area focused on direct service delivery and ‘doing things’ for schools, business and community, rather than supporting the cultural shift and lasting reforms that are required to bring about a whole-of-community approach to supporting young people. Partnership Brokers build the capacity of communities to work together to drive change and take responsibility for the learning and development of their young people.</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 xml:space="preserve">One of the great strengths of the Partnership Brokers program is the flexibility to tailor partnerships to meet the needs of communities and their young people. The partnerships being supported by the program are as diverse as the communities they </w:t>
      </w:r>
      <w:proofErr w:type="gramStart"/>
      <w:r w:rsidRPr="00C17E74">
        <w:rPr>
          <w:rFonts w:eastAsia="Times New Roman" w:cstheme="minorHAnsi"/>
          <w:lang w:val="en-US"/>
        </w:rPr>
        <w:t>serve,</w:t>
      </w:r>
      <w:proofErr w:type="gramEnd"/>
      <w:r w:rsidRPr="00C17E74">
        <w:rPr>
          <w:rFonts w:eastAsia="Times New Roman" w:cstheme="minorHAnsi"/>
          <w:lang w:val="en-US"/>
        </w:rPr>
        <w:t xml:space="preserve"> however, they are bound by the common thread of improving outcomes for young people. There are examples of partnerships adding value to local, state and Commonwealth programs and initiatives, as well as examples of innovative new partnership models being established to meet a community’s needs.</w:t>
      </w:r>
    </w:p>
    <w:p w:rsidR="00C17E74" w:rsidRPr="00C17E74" w:rsidRDefault="00C17E74" w:rsidP="009F1919">
      <w:pPr>
        <w:pStyle w:val="Heading3"/>
        <w:rPr>
          <w:rFonts w:eastAsia="Times New Roman"/>
        </w:rPr>
      </w:pPr>
      <w:bookmarkStart w:id="58" w:name="_Toc332716701"/>
      <w:bookmarkStart w:id="59" w:name="_Toc355862690"/>
      <w:r w:rsidRPr="00C17E74">
        <w:rPr>
          <w:rFonts w:eastAsia="Times New Roman"/>
        </w:rPr>
        <w:t>Program Status</w:t>
      </w:r>
      <w:bookmarkEnd w:id="58"/>
      <w:bookmarkEnd w:id="59"/>
      <w:r w:rsidRPr="00C17E74">
        <w:rPr>
          <w:rFonts w:eastAsia="Times New Roman"/>
        </w:rPr>
        <w:t xml:space="preserve"> </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As at April 2013, there were approximately 1600 active and self-sustaining partnerships associated with Partnership Brokers nationally (excludes Victorian data</w:t>
      </w:r>
      <w:r w:rsidRPr="00C17E74">
        <w:rPr>
          <w:rFonts w:eastAsiaTheme="majorEastAsia" w:cstheme="minorHAnsi"/>
          <w:vertAlign w:val="superscript"/>
          <w:lang w:val="en-US"/>
        </w:rPr>
        <w:footnoteReference w:id="3"/>
      </w:r>
      <w:r w:rsidRPr="00C17E74">
        <w:rPr>
          <w:rFonts w:eastAsia="Times New Roman" w:cstheme="minorHAnsi"/>
          <w:lang w:val="en-US"/>
        </w:rPr>
        <w:t>) involving almost 5300 partner organisations. These partnerships are undertaking a range of activity to support the learning and development of young people in their community. Approximately 20 per cent of these partnerships have an Indigenous focus. There have been approximately 13 700 Outcomes Framework Key Performance Measure (</w:t>
      </w:r>
      <w:proofErr w:type="spellStart"/>
      <w:r w:rsidRPr="00C17E74">
        <w:rPr>
          <w:rFonts w:eastAsia="Times New Roman" w:cstheme="minorHAnsi"/>
          <w:lang w:val="en-US"/>
        </w:rPr>
        <w:t>KPM</w:t>
      </w:r>
      <w:proofErr w:type="spellEnd"/>
      <w:r w:rsidRPr="00C17E74">
        <w:rPr>
          <w:rFonts w:eastAsia="Times New Roman" w:cstheme="minorHAnsi"/>
          <w:lang w:val="en-US"/>
        </w:rPr>
        <w:t xml:space="preserve">) evaluations with approximately 5400 (39%) of those evaluations rating the partnership’s progress as ‘Considerable’ or </w:t>
      </w:r>
      <w:r w:rsidRPr="00C17E74">
        <w:rPr>
          <w:rFonts w:eastAsia="Times New Roman" w:cstheme="minorHAnsi"/>
          <w:lang w:val="en-US"/>
        </w:rPr>
        <w:lastRenderedPageBreak/>
        <w:t>‘Achieved’</w:t>
      </w:r>
      <w:r w:rsidRPr="00C17E74">
        <w:rPr>
          <w:rFonts w:eastAsiaTheme="majorEastAsia" w:cstheme="minorHAnsi"/>
          <w:vertAlign w:val="superscript"/>
          <w:lang w:val="en-US"/>
        </w:rPr>
        <w:footnoteReference w:id="4"/>
      </w:r>
      <w:r w:rsidRPr="00C17E74">
        <w:rPr>
          <w:rFonts w:eastAsia="Times New Roman" w:cstheme="minorHAnsi"/>
          <w:lang w:val="en-US"/>
        </w:rPr>
        <w:t>. Approximately 86 per cent of the partnerships being supported by Partnership Brokers are newly created. The remaining 14 per cent are pre-existing partnerships that are being enhanced with support from the Partnership Brokers.</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 xml:space="preserve">A number of one page partnership ‘snapshots’ have been developed in order to share good practice across the network, promote the benefits of partnering and highlight the support available through the Partnership Brokers program. Snapshots have provided some excellent examples of partnership initiatives across a broad range of focus areas involving a variety of stakeholders. They include examples of providers leveraging off and adding value to local, state and Commonwealth programs/initiatives, as well as examples of innovative partnership models being established to meet the needs of young people. Snapshots and case studies have also highlighted the complex, multifaceted nature of the Partnership Broker role. A selection of snapshots is attached at the end of this report and can also be located under the ‘Success Stories’ section of the Youth Attainment and Transitions website: </w:t>
      </w:r>
      <w:hyperlink r:id="rId40" w:history="1">
        <w:r w:rsidRPr="00C17E74">
          <w:rPr>
            <w:rFonts w:eastAsia="Times New Roman" w:cstheme="minorHAnsi"/>
            <w:color w:val="0000FF" w:themeColor="hyperlink"/>
            <w:u w:val="single"/>
            <w:lang w:val="en-US"/>
          </w:rPr>
          <w:t>www.transitions.youth.gov.au</w:t>
        </w:r>
      </w:hyperlink>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In March 2012, Partnership Brokers across the country (excluding Victoria</w:t>
      </w:r>
      <w:r w:rsidRPr="00C17E74">
        <w:rPr>
          <w:rFonts w:eastAsiaTheme="majorEastAsia" w:cstheme="minorHAnsi"/>
          <w:vertAlign w:val="superscript"/>
          <w:lang w:val="en-US"/>
        </w:rPr>
        <w:footnoteReference w:id="5"/>
      </w:r>
      <w:r w:rsidRPr="00C17E74">
        <w:rPr>
          <w:rFonts w:eastAsia="Times New Roman" w:cstheme="minorHAnsi"/>
          <w:lang w:val="en-US"/>
        </w:rPr>
        <w:t xml:space="preserve">) administered a Partner Survey to capture partner </w:t>
      </w:r>
      <w:proofErr w:type="spellStart"/>
      <w:r w:rsidRPr="00C17E74">
        <w:rPr>
          <w:rFonts w:eastAsia="Times New Roman" w:cstheme="minorHAnsi"/>
          <w:lang w:val="en-US"/>
        </w:rPr>
        <w:t>organisations’</w:t>
      </w:r>
      <w:proofErr w:type="spellEnd"/>
      <w:r w:rsidRPr="00C17E74">
        <w:rPr>
          <w:rFonts w:eastAsia="Times New Roman" w:cstheme="minorHAnsi"/>
          <w:lang w:val="en-US"/>
        </w:rPr>
        <w:t xml:space="preserve"> views on the quality of the partnership they are involved in and the effectiveness of the Partnership Broker role. The survey was administered to a random sample of over 4000 schools, businesses, community groups and parent and family stakeholders involved in partnerships. The survey was designed to complement other program evaluation activities and to validate aspects of provider reporting. The survey results were overwhelmingly positive and showed that the vast majority of partner organisations feel that their partnership possesses the key characteristics for effective partnering and is achieving outcomes that support their community and its young people. The results also indicated that partner organisations are strong believers in the benefits of a partnership approach and highly value the support provided by Partnership Brokers. Approximately 80 per cent of the schools surveyed agreed or strongly agreed that their Partnership Broker had helped them become more engaged with their community. Further information and analysis of survey results are available in the 2012 Partner Survey Report which is available on the Youth Attainment and Transitions website: </w:t>
      </w:r>
      <w:hyperlink r:id="rId41" w:history="1">
        <w:r w:rsidRPr="00C17E74">
          <w:rPr>
            <w:rFonts w:eastAsia="Times New Roman" w:cstheme="minorHAnsi"/>
            <w:color w:val="0000FF" w:themeColor="hyperlink"/>
            <w:u w:val="single"/>
            <w:lang w:val="en-US"/>
          </w:rPr>
          <w:t>www.transitions.youth.gov.au</w:t>
        </w:r>
      </w:hyperlink>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 xml:space="preserve">In January 2013, </w:t>
      </w:r>
      <w:proofErr w:type="spellStart"/>
      <w:r w:rsidRPr="00C17E74">
        <w:rPr>
          <w:rFonts w:eastAsia="Times New Roman" w:cstheme="minorHAnsi"/>
          <w:lang w:val="en-US"/>
        </w:rPr>
        <w:t>dandolopartners</w:t>
      </w:r>
      <w:proofErr w:type="spellEnd"/>
      <w:r w:rsidRPr="00C17E74">
        <w:rPr>
          <w:rFonts w:eastAsia="Times New Roman" w:cstheme="minorHAnsi"/>
          <w:lang w:val="en-US"/>
        </w:rPr>
        <w:t xml:space="preserve"> released their second Interim Evaluation Report (</w:t>
      </w:r>
      <w:proofErr w:type="spellStart"/>
      <w:r w:rsidRPr="00C17E74">
        <w:rPr>
          <w:rFonts w:eastAsia="Times New Roman" w:cstheme="minorHAnsi"/>
          <w:lang w:val="en-US"/>
        </w:rPr>
        <w:t>Dandolo’s</w:t>
      </w:r>
      <w:proofErr w:type="spellEnd"/>
      <w:r w:rsidRPr="00C17E74">
        <w:rPr>
          <w:rFonts w:eastAsia="Times New Roman" w:cstheme="minorHAnsi"/>
          <w:lang w:val="en-US"/>
        </w:rPr>
        <w:t xml:space="preserve"> Report) as part of a three-year independent evaluation of the National Partnership (NP) on Youth Attainment and Transitions (YAT). While </w:t>
      </w:r>
      <w:proofErr w:type="spellStart"/>
      <w:r w:rsidRPr="00C17E74">
        <w:rPr>
          <w:rFonts w:eastAsia="Times New Roman" w:cstheme="minorHAnsi"/>
          <w:lang w:val="en-US"/>
        </w:rPr>
        <w:t>Dandolo’s</w:t>
      </w:r>
      <w:proofErr w:type="spellEnd"/>
      <w:r w:rsidRPr="00C17E74">
        <w:rPr>
          <w:rFonts w:eastAsia="Times New Roman" w:cstheme="minorHAnsi"/>
          <w:lang w:val="en-US"/>
        </w:rPr>
        <w:t xml:space="preserve"> Report does not reflect a detailed evaluation of the Partnership Brokers program, it does provide a high level assessment of the status and progress of each element of the NP, including the Partnership Brokers program.</w:t>
      </w:r>
    </w:p>
    <w:p w:rsidR="00C17E74" w:rsidRPr="00C17E74" w:rsidRDefault="00C17E74" w:rsidP="00C17E74">
      <w:pPr>
        <w:spacing w:before="120" w:after="120" w:line="240" w:lineRule="auto"/>
        <w:ind w:right="34"/>
        <w:rPr>
          <w:rFonts w:eastAsia="Times New Roman" w:cstheme="minorHAnsi"/>
          <w:lang w:val="en-US"/>
        </w:rPr>
      </w:pPr>
      <w:proofErr w:type="spellStart"/>
      <w:r w:rsidRPr="00C17E74">
        <w:rPr>
          <w:rFonts w:eastAsia="Times New Roman" w:cstheme="minorHAnsi"/>
          <w:lang w:val="en-US"/>
        </w:rPr>
        <w:t>Dandolo’s</w:t>
      </w:r>
      <w:proofErr w:type="spellEnd"/>
      <w:r w:rsidRPr="00C17E74">
        <w:rPr>
          <w:rFonts w:eastAsia="Times New Roman" w:cstheme="minorHAnsi"/>
          <w:lang w:val="en-US"/>
        </w:rPr>
        <w:t xml:space="preserve"> Report found that the Partnership Brokers program has continued to make steady progress, with improvements in the number and quality of partnerships it supports. </w:t>
      </w:r>
      <w:proofErr w:type="spellStart"/>
      <w:r w:rsidRPr="00C17E74">
        <w:rPr>
          <w:rFonts w:eastAsia="Times New Roman" w:cstheme="minorHAnsi"/>
          <w:lang w:val="en-US"/>
        </w:rPr>
        <w:t>Dandolo’s</w:t>
      </w:r>
      <w:proofErr w:type="spellEnd"/>
      <w:r w:rsidRPr="00C17E74">
        <w:rPr>
          <w:rFonts w:eastAsia="Times New Roman" w:cstheme="minorHAnsi"/>
          <w:lang w:val="en-US"/>
        </w:rPr>
        <w:t xml:space="preserve"> Report also acknowledged the high level of support for the program from partner organisations and found that Partnership Brokers are having increased success engaging with schools.</w:t>
      </w:r>
    </w:p>
    <w:p w:rsidR="00C17E74" w:rsidRPr="00C17E74" w:rsidRDefault="00C17E74" w:rsidP="009F1919">
      <w:pPr>
        <w:pStyle w:val="Heading3"/>
        <w:rPr>
          <w:rFonts w:eastAsia="Times New Roman"/>
        </w:rPr>
      </w:pPr>
      <w:bookmarkStart w:id="60" w:name="_Toc355862691"/>
      <w:bookmarkStart w:id="61" w:name="_Toc332716702"/>
      <w:r w:rsidRPr="00C17E74">
        <w:rPr>
          <w:rFonts w:eastAsia="Times New Roman"/>
        </w:rPr>
        <w:t>Social Return on Investment Evaluation</w:t>
      </w:r>
      <w:bookmarkEnd w:id="60"/>
    </w:p>
    <w:p w:rsidR="00C17E74" w:rsidRPr="00C17E74" w:rsidRDefault="00C17E74" w:rsidP="00C17E74">
      <w:pPr>
        <w:spacing w:after="120" w:line="240" w:lineRule="auto"/>
        <w:rPr>
          <w:rFonts w:eastAsia="Times New Roman" w:cstheme="minorHAnsi"/>
          <w:lang w:eastAsia="en-AU"/>
        </w:rPr>
      </w:pPr>
      <w:r w:rsidRPr="00C17E74">
        <w:rPr>
          <w:rFonts w:eastAsia="Times New Roman" w:cstheme="minorHAnsi"/>
          <w:lang w:val="en-US"/>
        </w:rPr>
        <w:t xml:space="preserve">Within the context of </w:t>
      </w:r>
      <w:proofErr w:type="spellStart"/>
      <w:r w:rsidRPr="00C17E74">
        <w:rPr>
          <w:rFonts w:eastAsia="Times New Roman" w:cstheme="minorHAnsi"/>
          <w:lang w:val="en-US"/>
        </w:rPr>
        <w:t>Dandolo’s</w:t>
      </w:r>
      <w:proofErr w:type="spellEnd"/>
      <w:r w:rsidRPr="00C17E74">
        <w:rPr>
          <w:rFonts w:eastAsia="Times New Roman" w:cstheme="minorHAnsi"/>
          <w:lang w:val="en-US"/>
        </w:rPr>
        <w:t xml:space="preserve"> recommendation that</w:t>
      </w:r>
      <w:r w:rsidRPr="00C17E74">
        <w:rPr>
          <w:rFonts w:eastAsia="Times New Roman" w:cstheme="minorHAnsi"/>
        </w:rPr>
        <w:t xml:space="preserve"> a detailed evaluation of the Partnership Brokers program should occur, the Partnership Brokers National Network commissioned Social Ventures Australia (</w:t>
      </w:r>
      <w:proofErr w:type="spellStart"/>
      <w:r w:rsidRPr="00C17E74">
        <w:rPr>
          <w:rFonts w:eastAsia="Times New Roman" w:cstheme="minorHAnsi"/>
        </w:rPr>
        <w:t>SVA</w:t>
      </w:r>
      <w:proofErr w:type="spellEnd"/>
      <w:r w:rsidRPr="00C17E74">
        <w:rPr>
          <w:rFonts w:eastAsia="Times New Roman" w:cstheme="minorHAnsi"/>
        </w:rPr>
        <w:t>) to undertake a Social Return on Investment (</w:t>
      </w:r>
      <w:proofErr w:type="spellStart"/>
      <w:r w:rsidRPr="00C17E74">
        <w:rPr>
          <w:rFonts w:eastAsia="Times New Roman" w:cstheme="minorHAnsi"/>
        </w:rPr>
        <w:t>SROI</w:t>
      </w:r>
      <w:proofErr w:type="spellEnd"/>
      <w:r w:rsidRPr="00C17E74">
        <w:rPr>
          <w:rFonts w:eastAsia="Times New Roman" w:cstheme="minorHAnsi"/>
        </w:rPr>
        <w:t xml:space="preserve">) evaluation of a number of Partnership Broker regions. The evaluation project commenced in August 2012 and concluded in April 2013 with the release of a series of evaluation reports.  </w:t>
      </w:r>
    </w:p>
    <w:p w:rsidR="00C17E74" w:rsidRPr="00C17E74" w:rsidRDefault="00C17E74" w:rsidP="00C17E74">
      <w:pPr>
        <w:spacing w:after="120" w:line="240" w:lineRule="auto"/>
        <w:rPr>
          <w:rFonts w:eastAsia="Times New Roman" w:cstheme="minorHAnsi"/>
          <w:lang w:val="en-US"/>
        </w:rPr>
      </w:pPr>
      <w:proofErr w:type="spellStart"/>
      <w:r w:rsidRPr="00C17E74">
        <w:rPr>
          <w:rFonts w:eastAsia="Times New Roman" w:cstheme="minorHAnsi"/>
          <w:lang w:val="en-US"/>
        </w:rPr>
        <w:t>SROI</w:t>
      </w:r>
      <w:proofErr w:type="spellEnd"/>
      <w:r w:rsidRPr="00C17E74">
        <w:rPr>
          <w:rFonts w:eastAsia="Times New Roman" w:cstheme="minorHAnsi"/>
          <w:lang w:val="en-US"/>
        </w:rPr>
        <w:t xml:space="preserve"> is a framework that provides a </w:t>
      </w:r>
      <w:proofErr w:type="spellStart"/>
      <w:r w:rsidRPr="00C17E74">
        <w:rPr>
          <w:rFonts w:eastAsia="Times New Roman" w:cstheme="minorHAnsi"/>
          <w:lang w:val="en-US"/>
        </w:rPr>
        <w:t>recognised</w:t>
      </w:r>
      <w:proofErr w:type="spellEnd"/>
      <w:r w:rsidRPr="00C17E74">
        <w:rPr>
          <w:rFonts w:eastAsia="Times New Roman" w:cstheme="minorHAnsi"/>
          <w:lang w:val="en-US"/>
        </w:rPr>
        <w:t xml:space="preserve"> methodology to measure the social, economic and environmental impact of an </w:t>
      </w:r>
      <w:proofErr w:type="spellStart"/>
      <w:r w:rsidRPr="00C17E74">
        <w:rPr>
          <w:rFonts w:eastAsia="Times New Roman" w:cstheme="minorHAnsi"/>
          <w:lang w:val="en-US"/>
        </w:rPr>
        <w:t>organisation</w:t>
      </w:r>
      <w:proofErr w:type="spellEnd"/>
      <w:r w:rsidRPr="00C17E74">
        <w:rPr>
          <w:rFonts w:eastAsia="Times New Roman" w:cstheme="minorHAnsi"/>
          <w:lang w:val="en-US"/>
        </w:rPr>
        <w:t xml:space="preserve"> or program. The evaluation found that partnerships supported through the program help partners to share resources and expertise to build each other’s capacity and capability. This delivers changes in the way partner organisations operate and support young people. These changes lead to benefits for young people, helping them to complete their schooling, and make a successful transition to further education, training or work.</w:t>
      </w:r>
    </w:p>
    <w:p w:rsidR="00C17E74" w:rsidRPr="00C17E74" w:rsidRDefault="00C17E74" w:rsidP="00C17E74">
      <w:pPr>
        <w:spacing w:before="120" w:after="120" w:line="240" w:lineRule="auto"/>
        <w:ind w:right="34"/>
        <w:rPr>
          <w:rFonts w:eastAsia="Times New Roman" w:cstheme="minorHAnsi"/>
          <w:color w:val="000000"/>
          <w:lang w:val="en-US"/>
        </w:rPr>
      </w:pPr>
      <w:r w:rsidRPr="00C17E74">
        <w:rPr>
          <w:rFonts w:eastAsia="Times New Roman" w:cstheme="minorHAnsi"/>
          <w:color w:val="000000"/>
          <w:lang w:val="en-US"/>
        </w:rPr>
        <w:t xml:space="preserve">The </w:t>
      </w:r>
      <w:proofErr w:type="spellStart"/>
      <w:r w:rsidRPr="00C17E74">
        <w:rPr>
          <w:rFonts w:eastAsia="Times New Roman" w:cstheme="minorHAnsi"/>
          <w:color w:val="000000"/>
          <w:lang w:val="en-US"/>
        </w:rPr>
        <w:t>SROI</w:t>
      </w:r>
      <w:proofErr w:type="spellEnd"/>
      <w:r w:rsidRPr="00C17E74">
        <w:rPr>
          <w:rFonts w:eastAsia="Times New Roman" w:cstheme="minorHAnsi"/>
          <w:color w:val="000000"/>
          <w:lang w:val="en-US"/>
        </w:rPr>
        <w:t xml:space="preserve"> evaluation provides valuable insights into the process of partnering, the benefits experienced by partner organisations and the importance of an independent broker in supporting the development of school, business and community partnerships.</w:t>
      </w:r>
    </w:p>
    <w:p w:rsidR="00C17E74" w:rsidRPr="00C17E74" w:rsidRDefault="00C17E74" w:rsidP="00C17E74">
      <w:pPr>
        <w:spacing w:after="120" w:line="240" w:lineRule="auto"/>
        <w:rPr>
          <w:rFonts w:eastAsia="Times New Roman" w:cstheme="minorHAnsi"/>
          <w:lang w:val="en-US"/>
        </w:rPr>
      </w:pPr>
      <w:r w:rsidRPr="00C17E74">
        <w:rPr>
          <w:rFonts w:eastAsia="Times New Roman" w:cstheme="minorHAnsi"/>
          <w:lang w:val="en-US"/>
        </w:rPr>
        <w:lastRenderedPageBreak/>
        <w:t xml:space="preserve">Across the five Partnership Broker regions </w:t>
      </w:r>
      <w:proofErr w:type="spellStart"/>
      <w:r w:rsidRPr="00C17E74">
        <w:rPr>
          <w:rFonts w:eastAsia="Times New Roman" w:cstheme="minorHAnsi"/>
          <w:lang w:val="en-US"/>
        </w:rPr>
        <w:t>analysed</w:t>
      </w:r>
      <w:proofErr w:type="spellEnd"/>
      <w:r w:rsidRPr="00C17E74">
        <w:rPr>
          <w:rFonts w:eastAsia="Times New Roman" w:cstheme="minorHAnsi"/>
          <w:lang w:val="en-US"/>
        </w:rPr>
        <w:t xml:space="preserve">, the evaluation showed that for every $1 invested by the Australian Government, Partnership Brokers have been the catalyst for up to $5.50 of created social value. </w:t>
      </w:r>
      <w:r w:rsidRPr="00C17E74">
        <w:rPr>
          <w:rFonts w:eastAsia="Times New Roman" w:cstheme="minorHAnsi"/>
          <w:color w:val="000000"/>
        </w:rPr>
        <w:t>Examples of created social value include the changes experienced by schools as a result of partner organisations supporting each other to achieve shared objectives through quality partnerships. The evaluation found that changes for schools tend to align with the purpose or theme of the partnership, which can include:</w:t>
      </w:r>
    </w:p>
    <w:p w:rsidR="00C17E74" w:rsidRPr="00C17E74" w:rsidRDefault="00C17E74" w:rsidP="00C17E74">
      <w:pPr>
        <w:numPr>
          <w:ilvl w:val="0"/>
          <w:numId w:val="48"/>
        </w:numPr>
        <w:spacing w:line="240" w:lineRule="auto"/>
        <w:rPr>
          <w:rFonts w:eastAsia="Times New Roman" w:cstheme="minorHAnsi"/>
        </w:rPr>
      </w:pPr>
      <w:r w:rsidRPr="00C17E74">
        <w:rPr>
          <w:rFonts w:eastAsia="Times New Roman" w:cstheme="minorHAnsi"/>
        </w:rPr>
        <w:t>Taking advantage of external resources to free up existing school resources</w:t>
      </w:r>
    </w:p>
    <w:p w:rsidR="00C17E74" w:rsidRPr="00C17E74" w:rsidRDefault="00C17E74" w:rsidP="00C17E74">
      <w:pPr>
        <w:numPr>
          <w:ilvl w:val="0"/>
          <w:numId w:val="48"/>
        </w:numPr>
        <w:spacing w:line="240" w:lineRule="auto"/>
        <w:rPr>
          <w:rFonts w:eastAsia="Times New Roman" w:cstheme="minorHAnsi"/>
        </w:rPr>
      </w:pPr>
      <w:r w:rsidRPr="00C17E74">
        <w:rPr>
          <w:rFonts w:eastAsia="Times New Roman" w:cstheme="minorHAnsi"/>
        </w:rPr>
        <w:t>Accessing external expertise or services to improve the provision of student wellbeing support</w:t>
      </w:r>
    </w:p>
    <w:p w:rsidR="00C17E74" w:rsidRPr="00C17E74" w:rsidRDefault="00C17E74" w:rsidP="00C17E74">
      <w:pPr>
        <w:numPr>
          <w:ilvl w:val="0"/>
          <w:numId w:val="48"/>
        </w:numPr>
        <w:spacing w:line="240" w:lineRule="auto"/>
        <w:rPr>
          <w:rFonts w:eastAsia="Times New Roman" w:cstheme="minorHAnsi"/>
        </w:rPr>
      </w:pPr>
      <w:r w:rsidRPr="00C17E74">
        <w:rPr>
          <w:rFonts w:eastAsia="Times New Roman" w:cstheme="minorHAnsi"/>
        </w:rPr>
        <w:t>Broadening professional networks to access increased career pathway opportunities for students</w:t>
      </w:r>
    </w:p>
    <w:p w:rsidR="00C17E74" w:rsidRPr="00C17E74" w:rsidRDefault="00C17E74" w:rsidP="00C17E74">
      <w:pPr>
        <w:numPr>
          <w:ilvl w:val="0"/>
          <w:numId w:val="48"/>
        </w:numPr>
        <w:spacing w:line="240" w:lineRule="auto"/>
        <w:rPr>
          <w:rFonts w:eastAsia="Times New Roman" w:cstheme="minorHAnsi"/>
        </w:rPr>
      </w:pPr>
      <w:r w:rsidRPr="00C17E74">
        <w:rPr>
          <w:rFonts w:eastAsia="Times New Roman" w:cstheme="minorHAnsi"/>
        </w:rPr>
        <w:t>Aligning school activities with industry trends and using partnerships to demonstrate the real-world application of school curriculum</w:t>
      </w:r>
    </w:p>
    <w:p w:rsidR="00C17E74" w:rsidRPr="00C17E74" w:rsidRDefault="00C17E74" w:rsidP="00C17E74">
      <w:pPr>
        <w:numPr>
          <w:ilvl w:val="0"/>
          <w:numId w:val="48"/>
        </w:numPr>
        <w:spacing w:after="240" w:line="240" w:lineRule="auto"/>
        <w:ind w:left="714" w:hanging="357"/>
        <w:rPr>
          <w:rFonts w:eastAsia="Times New Roman" w:cstheme="minorHAnsi"/>
        </w:rPr>
      </w:pPr>
      <w:r w:rsidRPr="00C17E74">
        <w:rPr>
          <w:rFonts w:eastAsia="Times New Roman" w:cstheme="minorHAnsi"/>
        </w:rPr>
        <w:t xml:space="preserve">Engaging with the broader community (including parents) to create an alignment between expectations of and aspirations for young people both within and outside the school. </w:t>
      </w:r>
    </w:p>
    <w:p w:rsidR="00C17E74" w:rsidRPr="00C17E74" w:rsidRDefault="00C17E74" w:rsidP="00C17E74">
      <w:pPr>
        <w:spacing w:after="120" w:line="240" w:lineRule="auto"/>
        <w:rPr>
          <w:rFonts w:eastAsia="Times New Roman" w:cstheme="minorHAnsi"/>
        </w:rPr>
      </w:pPr>
      <w:r w:rsidRPr="00C17E74">
        <w:rPr>
          <w:rFonts w:eastAsia="Times New Roman" w:cstheme="minorHAnsi"/>
        </w:rPr>
        <w:t>The reports arising from the evaluation are outlined below:</w:t>
      </w:r>
    </w:p>
    <w:p w:rsidR="00C17E74" w:rsidRPr="00C17E74" w:rsidRDefault="00C17E74" w:rsidP="00C17E74">
      <w:pPr>
        <w:numPr>
          <w:ilvl w:val="0"/>
          <w:numId w:val="48"/>
        </w:numPr>
        <w:spacing w:line="240" w:lineRule="auto"/>
        <w:rPr>
          <w:rFonts w:eastAsia="Times New Roman" w:cstheme="minorHAnsi"/>
        </w:rPr>
      </w:pPr>
      <w:r w:rsidRPr="00C17E74">
        <w:rPr>
          <w:rFonts w:eastAsia="Times New Roman" w:cstheme="minorHAnsi"/>
        </w:rPr>
        <w:t xml:space="preserve">‘Summary Report’: This provides an overview of the evaluation process and key findings. </w:t>
      </w:r>
    </w:p>
    <w:p w:rsidR="00C17E74" w:rsidRPr="00C17E74" w:rsidRDefault="00C17E74" w:rsidP="00C17E74">
      <w:pPr>
        <w:numPr>
          <w:ilvl w:val="0"/>
          <w:numId w:val="48"/>
        </w:numPr>
        <w:spacing w:line="240" w:lineRule="auto"/>
        <w:rPr>
          <w:rFonts w:eastAsia="Times New Roman" w:cstheme="minorHAnsi"/>
        </w:rPr>
      </w:pPr>
      <w:r w:rsidRPr="00C17E74">
        <w:rPr>
          <w:rFonts w:eastAsia="Times New Roman" w:cstheme="minorHAnsi"/>
        </w:rPr>
        <w:t xml:space="preserve">‘Part A’: This report presents the approach adopted to complete the five standalone </w:t>
      </w:r>
      <w:proofErr w:type="spellStart"/>
      <w:r w:rsidRPr="00C17E74">
        <w:rPr>
          <w:rFonts w:eastAsia="Times New Roman" w:cstheme="minorHAnsi"/>
        </w:rPr>
        <w:t>SROI</w:t>
      </w:r>
      <w:proofErr w:type="spellEnd"/>
      <w:r w:rsidRPr="00C17E74">
        <w:rPr>
          <w:rFonts w:eastAsia="Times New Roman" w:cstheme="minorHAnsi"/>
        </w:rPr>
        <w:t xml:space="preserve"> analyses. </w:t>
      </w:r>
    </w:p>
    <w:p w:rsidR="00C17E74" w:rsidRPr="00C17E74" w:rsidRDefault="00C17E74" w:rsidP="00C17E74">
      <w:pPr>
        <w:numPr>
          <w:ilvl w:val="0"/>
          <w:numId w:val="48"/>
        </w:numPr>
        <w:spacing w:after="240" w:line="240" w:lineRule="auto"/>
        <w:rPr>
          <w:rFonts w:eastAsia="Times New Roman" w:cstheme="minorHAnsi"/>
          <w:lang w:val="en-US" w:eastAsia="en-AU"/>
        </w:rPr>
      </w:pPr>
      <w:r w:rsidRPr="00C17E74">
        <w:rPr>
          <w:rFonts w:eastAsia="Times New Roman" w:cstheme="minorHAnsi"/>
          <w:lang w:val="en-US"/>
        </w:rPr>
        <w:t xml:space="preserve">‘Part B’:  This comprises five individual reports that present the outcomes and findings from each region subject to evaluation (Central Tablelands, Northern Sydney, South West Sydney, Gold Coast and Sunshine Coast). </w:t>
      </w:r>
    </w:p>
    <w:p w:rsidR="000427B3" w:rsidRPr="000427B3" w:rsidRDefault="000427B3" w:rsidP="000427B3">
      <w:pPr>
        <w:spacing w:after="120" w:line="240" w:lineRule="auto"/>
        <w:ind w:left="360"/>
        <w:rPr>
          <w:rFonts w:eastAsia="Times New Roman" w:cstheme="minorHAnsi"/>
        </w:rPr>
      </w:pPr>
      <w:bookmarkStart w:id="62" w:name="_Toc355862692"/>
      <w:r w:rsidRPr="000427B3">
        <w:rPr>
          <w:rFonts w:eastAsia="Times New Roman" w:cstheme="minorHAnsi"/>
        </w:rPr>
        <w:t xml:space="preserve">These reports are available on the Department of Education website </w:t>
      </w:r>
    </w:p>
    <w:p w:rsidR="000427B3" w:rsidRPr="000427B3" w:rsidRDefault="00C55871" w:rsidP="000427B3">
      <w:pPr>
        <w:spacing w:after="120" w:line="240" w:lineRule="auto"/>
        <w:ind w:left="360"/>
        <w:rPr>
          <w:rFonts w:eastAsia="Times New Roman" w:cstheme="minorHAnsi"/>
        </w:rPr>
      </w:pPr>
      <w:hyperlink r:id="rId42" w:history="1">
        <w:r w:rsidR="000427B3">
          <w:rPr>
            <w:rStyle w:val="Hyperlink"/>
          </w:rPr>
          <w:t>http://education.gov.au/school-business-community-partnership-brokers-programme-reports-and-research</w:t>
        </w:r>
      </w:hyperlink>
    </w:p>
    <w:p w:rsidR="00C17E74" w:rsidRPr="00C17E74" w:rsidRDefault="00C17E74" w:rsidP="009F1919">
      <w:pPr>
        <w:pStyle w:val="Heading3"/>
        <w:rPr>
          <w:rFonts w:eastAsia="Times New Roman"/>
        </w:rPr>
      </w:pPr>
      <w:r w:rsidRPr="00C17E74">
        <w:rPr>
          <w:rFonts w:eastAsia="Times New Roman"/>
        </w:rPr>
        <w:t>Challenges</w:t>
      </w:r>
      <w:bookmarkEnd w:id="61"/>
      <w:bookmarkEnd w:id="62"/>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 xml:space="preserve">While national program data, evaluation findings, case studies and survey results indicate significant progress, individual providers and the program still face challenges that impact on the achievement of program outcomes. Many of these challenges have been identified in </w:t>
      </w:r>
      <w:proofErr w:type="spellStart"/>
      <w:r w:rsidRPr="00C17E74">
        <w:rPr>
          <w:rFonts w:eastAsia="Times New Roman" w:cstheme="minorHAnsi"/>
          <w:lang w:val="en-US"/>
        </w:rPr>
        <w:t>Dandolo’s</w:t>
      </w:r>
      <w:proofErr w:type="spellEnd"/>
      <w:r w:rsidRPr="00C17E74">
        <w:rPr>
          <w:rFonts w:eastAsia="Times New Roman" w:cstheme="minorHAnsi"/>
          <w:lang w:val="en-US"/>
        </w:rPr>
        <w:t xml:space="preserve"> Report. </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 xml:space="preserve">One of these challenges has been connecting with education authorities in a way that enables Partnership Brokers to align their priorities for partnership development with the priorities for schooling at a systemic level. A key factor in the success of the Partnership Brokers program is schools and school systems understanding the benefits of a partnership approach and actively exploring partnership opportunities that can help them achieve their goals. Achieving this understanding universally relies on clear communication from system leaders, to all levels of their organisations, about their expectations that schools should be connecting with business and the broader community. It should be made clear that the Partnership Brokers program is in place to help schools and communities that need assistance to enter into partnership arrangements, and to build their capacity to work together to support their young people. </w:t>
      </w:r>
    </w:p>
    <w:p w:rsidR="00C17E74" w:rsidRPr="00C17E74" w:rsidRDefault="00C17E74" w:rsidP="00C17E74">
      <w:pPr>
        <w:spacing w:before="120" w:after="120" w:line="240" w:lineRule="auto"/>
        <w:ind w:right="34"/>
        <w:rPr>
          <w:rFonts w:eastAsia="Times New Roman" w:cstheme="minorHAnsi"/>
          <w:lang w:val="en-US"/>
        </w:rPr>
      </w:pPr>
      <w:proofErr w:type="spellStart"/>
      <w:r w:rsidRPr="00C17E74">
        <w:rPr>
          <w:rFonts w:eastAsia="Times New Roman" w:cstheme="minorHAnsi"/>
          <w:lang w:val="en-US"/>
        </w:rPr>
        <w:t>Dandolo’s</w:t>
      </w:r>
      <w:proofErr w:type="spellEnd"/>
      <w:r w:rsidRPr="00C17E74">
        <w:rPr>
          <w:rFonts w:eastAsia="Times New Roman" w:cstheme="minorHAnsi"/>
          <w:lang w:val="en-US"/>
        </w:rPr>
        <w:t xml:space="preserve"> Report suggests that there is further scope for jurisdictions to provide encouragement and information to support schools to access the benefits that partnerships, and Partnership Brokers, offer.  However, the Report also cites examples of senior managers within the education sector embracing cross-sector collaboration as the way to succeed, and enlisting the support of Partnership Brokers to make it happen. These examples show how the Partnership Brokers network can work alongside education authorities to support a strategic, systemic and coordinated approach to building partnerships that meet identified school needs, with young people at the </w:t>
      </w:r>
      <w:proofErr w:type="spellStart"/>
      <w:r w:rsidRPr="00C17E74">
        <w:rPr>
          <w:rFonts w:eastAsia="Times New Roman" w:cstheme="minorHAnsi"/>
          <w:lang w:val="en-US"/>
        </w:rPr>
        <w:t>centre</w:t>
      </w:r>
      <w:proofErr w:type="spellEnd"/>
      <w:r w:rsidRPr="00C17E74">
        <w:rPr>
          <w:rFonts w:eastAsia="Times New Roman" w:cstheme="minorHAnsi"/>
          <w:lang w:val="en-US"/>
        </w:rPr>
        <w:t xml:space="preserve">. </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 xml:space="preserve">Managing expectations and educating stakeholders about the intent of the Partnership Brokers program remains an ongoing challenge for providers. Providers have reported that some school leaders don’t understand the role of the Partnership Broker as a facilitator, rather than service delivery provider. This is consistent with </w:t>
      </w:r>
      <w:proofErr w:type="spellStart"/>
      <w:r w:rsidRPr="00C17E74">
        <w:rPr>
          <w:rFonts w:eastAsia="Times New Roman" w:cstheme="minorHAnsi"/>
          <w:lang w:val="en-US"/>
        </w:rPr>
        <w:t>Dandolo’s</w:t>
      </w:r>
      <w:proofErr w:type="spellEnd"/>
      <w:r w:rsidRPr="00C17E74">
        <w:rPr>
          <w:rFonts w:eastAsia="Times New Roman" w:cstheme="minorHAnsi"/>
          <w:lang w:val="en-US"/>
        </w:rPr>
        <w:t xml:space="preserve"> finding that ‘</w:t>
      </w:r>
      <w:r w:rsidRPr="00C17E74">
        <w:rPr>
          <w:rFonts w:eastAsia="Times New Roman" w:cstheme="minorHAnsi"/>
          <w:i/>
          <w:lang w:val="en-US"/>
        </w:rPr>
        <w:t>The role and value of Partnership Brokers is not well understood or appreciated</w:t>
      </w:r>
      <w:r w:rsidRPr="00C17E74">
        <w:rPr>
          <w:rFonts w:eastAsia="Times New Roman" w:cstheme="minorHAnsi"/>
          <w:lang w:val="en-US"/>
        </w:rPr>
        <w:t xml:space="preserve">’ and the recommendation for continued effort in promoting the Partnership Brokers program to regional education authorities and schools, local government and business. This continues to be an area of focus for DEEWR and the Partnership Broker network for 2013, and will require effective collaboration with education authorities in the different jurisdictions. </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lastRenderedPageBreak/>
        <w:t xml:space="preserve">It is hoped that improved understanding about the program will encourage more schools to consider how a partnership approach, supported by a Partnership Broker, can assist them to achieve the outcomes required under the Government’s broad education reform agenda. Results from the 2011 and 2012 Provider Survey suggest that there is increasing recognition among education stakeholders of the benefits of a partnership approach and growing interest in accessing the support offered by a Partnership Broker. </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 xml:space="preserve">Provider reporting has shown that the Parents and Families stakeholder group represents just three per cent of the total number of organisations involved in partnerships. This data is reinforced by results from the 2012 provider survey which found that 84 per cent of Partnership Brokers felt that parents and families were the most challenging stakeholder to engage with. Despite the relatively low representation of parents and families as partners, program data indicates that approximately one third of all partnerships are seeking to address parent and family outcomes in some way. </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There are a number of partnerships that involve parent bodies such as parent and citizen associations and state parent councils. DEEWR and the Partnership Brokers National Network are actively engaging with Australian Parent Council (</w:t>
      </w:r>
      <w:proofErr w:type="spellStart"/>
      <w:r w:rsidRPr="00C17E74">
        <w:rPr>
          <w:rFonts w:eastAsia="Times New Roman" w:cstheme="minorHAnsi"/>
          <w:lang w:val="en-US"/>
        </w:rPr>
        <w:t>APC</w:t>
      </w:r>
      <w:proofErr w:type="spellEnd"/>
      <w:r w:rsidRPr="00C17E74">
        <w:rPr>
          <w:rFonts w:eastAsia="Times New Roman" w:cstheme="minorHAnsi"/>
          <w:lang w:val="en-US"/>
        </w:rPr>
        <w:t xml:space="preserve">) and Australian Council of State School </w:t>
      </w:r>
      <w:proofErr w:type="spellStart"/>
      <w:r w:rsidRPr="00C17E74">
        <w:rPr>
          <w:rFonts w:eastAsia="Times New Roman" w:cstheme="minorHAnsi"/>
          <w:lang w:val="en-US"/>
        </w:rPr>
        <w:t>Organisations</w:t>
      </w:r>
      <w:proofErr w:type="spellEnd"/>
      <w:r w:rsidRPr="00C17E74">
        <w:rPr>
          <w:rFonts w:eastAsia="Times New Roman" w:cstheme="minorHAnsi"/>
          <w:lang w:val="en-US"/>
        </w:rPr>
        <w:t xml:space="preserve"> (</w:t>
      </w:r>
      <w:proofErr w:type="spellStart"/>
      <w:r w:rsidRPr="00C17E74">
        <w:rPr>
          <w:rFonts w:eastAsia="Times New Roman" w:cstheme="minorHAnsi"/>
          <w:lang w:val="en-US"/>
        </w:rPr>
        <w:t>ACSSO</w:t>
      </w:r>
      <w:proofErr w:type="spellEnd"/>
      <w:r w:rsidRPr="00C17E74">
        <w:rPr>
          <w:rFonts w:eastAsia="Times New Roman" w:cstheme="minorHAnsi"/>
          <w:lang w:val="en-US"/>
        </w:rPr>
        <w:t xml:space="preserve">) to explore ways that DEEWR, </w:t>
      </w:r>
      <w:proofErr w:type="spellStart"/>
      <w:r w:rsidRPr="00C17E74">
        <w:rPr>
          <w:rFonts w:eastAsia="Times New Roman" w:cstheme="minorHAnsi"/>
          <w:lang w:val="en-US"/>
        </w:rPr>
        <w:t>APC</w:t>
      </w:r>
      <w:proofErr w:type="spellEnd"/>
      <w:r w:rsidRPr="00C17E74">
        <w:rPr>
          <w:rFonts w:eastAsia="Times New Roman" w:cstheme="minorHAnsi"/>
          <w:lang w:val="en-US"/>
        </w:rPr>
        <w:t xml:space="preserve">, </w:t>
      </w:r>
      <w:proofErr w:type="spellStart"/>
      <w:r w:rsidRPr="00C17E74">
        <w:rPr>
          <w:rFonts w:eastAsia="Times New Roman" w:cstheme="minorHAnsi"/>
          <w:lang w:val="en-US"/>
        </w:rPr>
        <w:t>ACSSO</w:t>
      </w:r>
      <w:proofErr w:type="spellEnd"/>
      <w:r w:rsidRPr="00C17E74">
        <w:rPr>
          <w:rFonts w:eastAsia="Times New Roman" w:cstheme="minorHAnsi"/>
          <w:lang w:val="en-US"/>
        </w:rPr>
        <w:t xml:space="preserve"> and the Partnership Brokers network can work together to support </w:t>
      </w:r>
      <w:proofErr w:type="gramStart"/>
      <w:r w:rsidRPr="00C17E74">
        <w:rPr>
          <w:rFonts w:eastAsia="Times New Roman" w:cstheme="minorHAnsi"/>
          <w:lang w:val="en-US"/>
        </w:rPr>
        <w:t>more,</w:t>
      </w:r>
      <w:proofErr w:type="gramEnd"/>
      <w:r w:rsidRPr="00C17E74">
        <w:rPr>
          <w:rFonts w:eastAsia="Times New Roman" w:cstheme="minorHAnsi"/>
          <w:lang w:val="en-US"/>
        </w:rPr>
        <w:t xml:space="preserve"> and deeper levels, of parental engagement through a partnership approach.</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Another challenge for providers is building cross-</w:t>
      </w:r>
      <w:proofErr w:type="spellStart"/>
      <w:r w:rsidRPr="00C17E74">
        <w:rPr>
          <w:rFonts w:eastAsia="Times New Roman" w:cstheme="minorHAnsi"/>
          <w:lang w:val="en-US"/>
        </w:rPr>
        <w:t>sectoral</w:t>
      </w:r>
      <w:proofErr w:type="spellEnd"/>
      <w:r w:rsidRPr="00C17E74">
        <w:rPr>
          <w:rFonts w:eastAsia="Times New Roman" w:cstheme="minorHAnsi"/>
          <w:lang w:val="en-US"/>
        </w:rPr>
        <w:t xml:space="preserve"> partnerships involving stakeholders that may not have worked together before. Within this context, an important part of the Partnership Brokers’ work is building partners’ understanding of each other’s needs, developing trust between partners and securing commitment to a shared goal. To do this effectively, Partnership Brokers need to engage with organisations at a decision-making level where there is authority to enter into partnership arrangements and commit resources. Providers report that this is particularly challenging when working with schools and school systems. </w:t>
      </w:r>
    </w:p>
    <w:p w:rsidR="00C17E74" w:rsidRPr="00C17E74" w:rsidRDefault="00C17E74" w:rsidP="009F1919">
      <w:pPr>
        <w:pStyle w:val="Heading3"/>
        <w:rPr>
          <w:rFonts w:eastAsia="Times New Roman"/>
        </w:rPr>
      </w:pPr>
      <w:bookmarkStart w:id="63" w:name="_Toc332716703"/>
      <w:bookmarkStart w:id="64" w:name="_Toc355862693"/>
      <w:r w:rsidRPr="00C17E74">
        <w:rPr>
          <w:rFonts w:eastAsia="Times New Roman"/>
        </w:rPr>
        <w:t>Variation in performance</w:t>
      </w:r>
      <w:bookmarkEnd w:id="63"/>
      <w:bookmarkEnd w:id="64"/>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 xml:space="preserve">It is clear that there are varying degrees of success amongst providers and some providers appear to be struggling to deliver the program in line with program expectations. There are a number of reasons for this, including: </w:t>
      </w:r>
    </w:p>
    <w:p w:rsidR="00C17E74" w:rsidRPr="00C17E74" w:rsidRDefault="00C17E74" w:rsidP="00C17E74">
      <w:pPr>
        <w:numPr>
          <w:ilvl w:val="0"/>
          <w:numId w:val="44"/>
        </w:numPr>
        <w:tabs>
          <w:tab w:val="right" w:leader="dot" w:pos="9639"/>
        </w:tabs>
        <w:spacing w:after="60" w:line="240" w:lineRule="auto"/>
        <w:rPr>
          <w:rFonts w:eastAsia="Times New Roman" w:cstheme="minorHAnsi"/>
        </w:rPr>
      </w:pPr>
      <w:r w:rsidRPr="00C17E74">
        <w:rPr>
          <w:rFonts w:eastAsia="Times New Roman" w:cstheme="minorHAnsi"/>
        </w:rPr>
        <w:t xml:space="preserve">Some Partnership Broker organisations were contracted under previous programs in a ‘hands-on’ service delivery role. Some of these organisations have struggled to make the transition to a strategic, facilitation role. </w:t>
      </w:r>
    </w:p>
    <w:p w:rsidR="00C17E74" w:rsidRPr="00C17E74" w:rsidRDefault="00C17E74" w:rsidP="00C17E74">
      <w:pPr>
        <w:numPr>
          <w:ilvl w:val="0"/>
          <w:numId w:val="44"/>
        </w:numPr>
        <w:tabs>
          <w:tab w:val="right" w:leader="dot" w:pos="9639"/>
        </w:tabs>
        <w:spacing w:after="60" w:line="240" w:lineRule="auto"/>
        <w:rPr>
          <w:rFonts w:eastAsia="Times New Roman" w:cstheme="minorHAnsi"/>
        </w:rPr>
      </w:pPr>
      <w:r w:rsidRPr="00C17E74">
        <w:rPr>
          <w:rFonts w:eastAsia="Times New Roman" w:cstheme="minorHAnsi"/>
        </w:rPr>
        <w:t xml:space="preserve">The varying nature of infrastructure, culture and capacity across Service Regions. There are different challenges for providers operating in metropolitan, rural and remote areas. Some Service Regions, and some communities within Service Regions, are more conducive to partnership development than others. </w:t>
      </w:r>
    </w:p>
    <w:p w:rsidR="00C17E74" w:rsidRPr="00C17E74" w:rsidRDefault="00C17E74" w:rsidP="00C17E74">
      <w:pPr>
        <w:numPr>
          <w:ilvl w:val="0"/>
          <w:numId w:val="44"/>
        </w:numPr>
        <w:tabs>
          <w:tab w:val="right" w:leader="dot" w:pos="9639"/>
        </w:tabs>
        <w:spacing w:after="60" w:line="240" w:lineRule="auto"/>
        <w:rPr>
          <w:rFonts w:eastAsia="Times New Roman" w:cstheme="minorHAnsi"/>
        </w:rPr>
      </w:pPr>
      <w:r w:rsidRPr="00C17E74">
        <w:rPr>
          <w:rFonts w:eastAsia="Times New Roman" w:cstheme="minorHAnsi"/>
        </w:rPr>
        <w:t xml:space="preserve">The capacity of personnel undertaking the Partnership Broker role also varies across, and within regions. Some providers, particularly those in remote regions, have had difficulty finding and retaining people with the necessary skill set to deliver program outcomes. </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 xml:space="preserve">Partnership brokering is an emerging discipline requiring a sophisticated skill set. The ability and expertise of individual Partnership Brokers is a key factor in the success of the program. </w:t>
      </w:r>
      <w:proofErr w:type="spellStart"/>
      <w:r w:rsidRPr="00C17E74">
        <w:rPr>
          <w:rFonts w:eastAsia="Times New Roman" w:cstheme="minorHAnsi"/>
          <w:lang w:val="en-US"/>
        </w:rPr>
        <w:t>Dandolo’s</w:t>
      </w:r>
      <w:proofErr w:type="spellEnd"/>
      <w:r w:rsidRPr="00C17E74">
        <w:rPr>
          <w:rFonts w:eastAsia="Times New Roman" w:cstheme="minorHAnsi"/>
          <w:lang w:val="en-US"/>
        </w:rPr>
        <w:t xml:space="preserve"> Report has also identified provider capacity as a key issue for the program. Therefore, building the capacity of organisations and their personnel continues to be a focus for DEEWR and the provider networks at state and national level. </w:t>
      </w:r>
    </w:p>
    <w:p w:rsidR="00C17E74" w:rsidRPr="00C17E74" w:rsidRDefault="00C17E74" w:rsidP="009F1919">
      <w:pPr>
        <w:pStyle w:val="Heading3"/>
        <w:rPr>
          <w:rFonts w:eastAsia="Times New Roman"/>
        </w:rPr>
      </w:pPr>
      <w:bookmarkStart w:id="65" w:name="_Toc332716704"/>
      <w:bookmarkStart w:id="66" w:name="_Toc355862694"/>
      <w:r w:rsidRPr="00C17E74">
        <w:rPr>
          <w:rFonts w:eastAsia="Times New Roman"/>
        </w:rPr>
        <w:t>Support from DEEWR</w:t>
      </w:r>
      <w:bookmarkEnd w:id="65"/>
      <w:bookmarkEnd w:id="66"/>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 xml:space="preserve">DEEWR has supported the achievement of program outcomes through the provision of induction forums, regional forums, training on the information management system, professional development, support tools, a Youth Attainment and Transitions website, sharing of program evaluation data and the funding of state and national provider networks. The contract management approach is focused on developing provider capacity and assisting providers to leverage off and add value to existing national and/or state programs and initiatives. </w:t>
      </w:r>
    </w:p>
    <w:p w:rsidR="00C17E74" w:rsidRPr="00C17E74" w:rsidRDefault="00C17E74" w:rsidP="009F1919">
      <w:pPr>
        <w:pStyle w:val="Heading3"/>
        <w:rPr>
          <w:rFonts w:eastAsia="Times New Roman"/>
        </w:rPr>
      </w:pPr>
      <w:bookmarkStart w:id="67" w:name="_Toc323899458"/>
      <w:bookmarkStart w:id="68" w:name="_Toc332716705"/>
      <w:bookmarkStart w:id="69" w:name="_Toc355862695"/>
      <w:bookmarkStart w:id="70" w:name="_Toc292695921"/>
      <w:bookmarkStart w:id="71" w:name="_Toc322615453"/>
      <w:r w:rsidRPr="00C17E74">
        <w:rPr>
          <w:rFonts w:eastAsia="Times New Roman"/>
        </w:rPr>
        <w:lastRenderedPageBreak/>
        <w:t>State and National Provider Networks</w:t>
      </w:r>
      <w:bookmarkEnd w:id="67"/>
      <w:bookmarkEnd w:id="68"/>
      <w:bookmarkEnd w:id="69"/>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 xml:space="preserve">Provider networks at both a jurisdiction and national level are implementing a range of strategies to support improved outcomes for the program. However, coordination of effort remains a challenge. The establishment of an Executive Officer position to act exclusively on behalf of the Partnership Broker networks has assisted in moving them to a more strategic orientation. There are emerging signs that the networks are engaging with organisations and peak bodies at a state and national level in ways that drive educational reform. </w:t>
      </w:r>
    </w:p>
    <w:p w:rsidR="00C17E74" w:rsidRPr="00C17E74" w:rsidRDefault="00C17E74" w:rsidP="00C17E74">
      <w:pPr>
        <w:spacing w:after="120" w:line="240" w:lineRule="auto"/>
        <w:rPr>
          <w:rFonts w:ascii="Calibri" w:eastAsia="Times New Roman" w:hAnsi="Calibri" w:cs="Calibri"/>
          <w:noProof/>
        </w:rPr>
      </w:pPr>
      <w:r w:rsidRPr="00C17E74">
        <w:rPr>
          <w:rFonts w:ascii="Calibri" w:eastAsia="Times New Roman" w:hAnsi="Calibri" w:cs="Calibri"/>
          <w:noProof/>
        </w:rPr>
        <w:t>For example, the Partnership Brokers National Network has brought together a partnership between The Smith Family, National Australia Bank and the Foundation for Young Australians to drive a Work Inspiration ‘campaign’ in Australia.</w:t>
      </w:r>
    </w:p>
    <w:p w:rsidR="00C17E74" w:rsidRPr="00C17E74" w:rsidRDefault="00C17E74" w:rsidP="00C17E74">
      <w:pPr>
        <w:spacing w:after="120" w:line="240" w:lineRule="auto"/>
        <w:rPr>
          <w:rFonts w:ascii="Calibri" w:eastAsia="Times New Roman" w:hAnsi="Calibri" w:cs="Calibri"/>
          <w:noProof/>
        </w:rPr>
      </w:pPr>
      <w:r w:rsidRPr="00C17E74">
        <w:rPr>
          <w:rFonts w:ascii="Calibri" w:eastAsia="Times New Roman" w:hAnsi="Calibri" w:cs="Calibri"/>
          <w:noProof/>
        </w:rPr>
        <w:t xml:space="preserve">Work Inspiration is an employer-led initiative which was developed by Business in the Community in the UK to turn work experience into an inspirational experience for young people and employers. The UK experience suggests that Work Inspiration is highly successful in engaging employers to have rich career conversations and experiences with young people in order to assist them to make informed decisions about their future and make a successful transition to further education, training or work. </w:t>
      </w:r>
    </w:p>
    <w:p w:rsidR="00C17E74" w:rsidRPr="00C17E74" w:rsidRDefault="00C17E74" w:rsidP="00C17E74">
      <w:pPr>
        <w:spacing w:after="120" w:line="240" w:lineRule="auto"/>
        <w:rPr>
          <w:rFonts w:ascii="Calibri" w:eastAsia="Times New Roman" w:hAnsi="Calibri" w:cs="Calibri"/>
          <w:noProof/>
        </w:rPr>
      </w:pPr>
      <w:r w:rsidRPr="00C17E74">
        <w:rPr>
          <w:rFonts w:ascii="Calibri" w:eastAsia="Times New Roman" w:hAnsi="Calibri" w:cs="Calibri"/>
          <w:noProof/>
        </w:rPr>
        <w:t xml:space="preserve">While the partnership to implement Work Inspiration in Australia is still developing and evolving, the partners are undertaking a series of state-based employer forums (supported by Partnership Brokers) to raise awareness and build momentum for the Work Inspiration campaign. These forums are planned to culminate in a national event and formal launch of Work Inspiration in Australia in August 2013. </w:t>
      </w:r>
    </w:p>
    <w:p w:rsidR="00C17E74" w:rsidRPr="00C17E74" w:rsidRDefault="00C17E74" w:rsidP="009F1919">
      <w:pPr>
        <w:pStyle w:val="Heading3"/>
        <w:rPr>
          <w:rFonts w:eastAsia="Times New Roman"/>
        </w:rPr>
      </w:pPr>
      <w:bookmarkStart w:id="72" w:name="_Toc323899459"/>
      <w:bookmarkStart w:id="73" w:name="_Toc332716706"/>
      <w:bookmarkStart w:id="74" w:name="_Toc355862696"/>
      <w:r w:rsidRPr="00C17E74">
        <w:rPr>
          <w:rFonts w:eastAsia="Times New Roman"/>
        </w:rPr>
        <w:t>Priorities</w:t>
      </w:r>
      <w:bookmarkEnd w:id="70"/>
      <w:bookmarkEnd w:id="71"/>
      <w:r w:rsidRPr="00C17E74">
        <w:rPr>
          <w:rFonts w:eastAsia="Times New Roman"/>
        </w:rPr>
        <w:t xml:space="preserve"> for Partnership Development</w:t>
      </w:r>
      <w:bookmarkEnd w:id="72"/>
      <w:bookmarkEnd w:id="73"/>
      <w:bookmarkEnd w:id="74"/>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In February 2013, 66 per cent of Partnership Brokers reported they were ‘very effective’ or ‘extremely effective’ in addressing their regional priorities for 2012; an increase from 55 per cent in 2011</w:t>
      </w:r>
      <w:r w:rsidRPr="00C17E74">
        <w:rPr>
          <w:rFonts w:eastAsiaTheme="majorEastAsia" w:cstheme="minorHAnsi"/>
          <w:vertAlign w:val="superscript"/>
          <w:lang w:val="en-US"/>
        </w:rPr>
        <w:footnoteReference w:id="6"/>
      </w:r>
      <w:r w:rsidRPr="00C17E74">
        <w:rPr>
          <w:rFonts w:eastAsia="Times New Roman" w:cstheme="minorHAnsi"/>
          <w:lang w:val="en-US"/>
        </w:rPr>
        <w:t>. Among the most commonly reported priorities for partnership development were:</w:t>
      </w:r>
    </w:p>
    <w:p w:rsidR="00C17E74" w:rsidRPr="00C17E74" w:rsidRDefault="00C17E74" w:rsidP="00C17E74">
      <w:pPr>
        <w:tabs>
          <w:tab w:val="num" w:pos="1070"/>
          <w:tab w:val="right" w:leader="dot" w:pos="9639"/>
        </w:tabs>
        <w:spacing w:after="200" w:line="252" w:lineRule="auto"/>
        <w:ind w:left="1070" w:hanging="360"/>
        <w:contextualSpacing/>
        <w:rPr>
          <w:rFonts w:eastAsiaTheme="majorEastAsia" w:cstheme="minorHAnsi"/>
          <w:noProof/>
        </w:rPr>
      </w:pPr>
      <w:r w:rsidRPr="00C17E74">
        <w:rPr>
          <w:rFonts w:eastAsiaTheme="majorEastAsia" w:cstheme="minorHAnsi"/>
          <w:noProof/>
        </w:rPr>
        <w:t>Addressing the needs of at-risk young people (Mental Health, Low SES and Disability were the primary risk factors targeted)</w:t>
      </w:r>
    </w:p>
    <w:p w:rsidR="00C17E74" w:rsidRPr="00C17E74" w:rsidRDefault="00C17E74" w:rsidP="00C17E74">
      <w:pPr>
        <w:tabs>
          <w:tab w:val="num" w:pos="1070"/>
          <w:tab w:val="right" w:leader="dot" w:pos="9639"/>
        </w:tabs>
        <w:spacing w:after="200" w:line="252" w:lineRule="auto"/>
        <w:ind w:left="1070" w:hanging="360"/>
        <w:contextualSpacing/>
        <w:rPr>
          <w:rFonts w:eastAsiaTheme="majorEastAsia" w:cstheme="minorHAnsi"/>
          <w:noProof/>
        </w:rPr>
      </w:pPr>
      <w:r w:rsidRPr="00C17E74">
        <w:rPr>
          <w:rFonts w:eastAsiaTheme="majorEastAsia" w:cstheme="minorHAnsi"/>
          <w:noProof/>
        </w:rPr>
        <w:t>Supporting the transition of young people from secondary schooling to further education, training or employment</w:t>
      </w:r>
    </w:p>
    <w:p w:rsidR="00C17E74" w:rsidRPr="00C17E74" w:rsidRDefault="00C17E74" w:rsidP="00C17E74">
      <w:pPr>
        <w:tabs>
          <w:tab w:val="num" w:pos="1070"/>
          <w:tab w:val="right" w:leader="dot" w:pos="9639"/>
        </w:tabs>
        <w:spacing w:after="200" w:line="252" w:lineRule="auto"/>
        <w:ind w:left="1070" w:hanging="360"/>
        <w:contextualSpacing/>
        <w:rPr>
          <w:rFonts w:eastAsiaTheme="majorEastAsia" w:cstheme="minorHAnsi"/>
          <w:noProof/>
        </w:rPr>
      </w:pPr>
      <w:r w:rsidRPr="00C17E74">
        <w:rPr>
          <w:rFonts w:eastAsiaTheme="majorEastAsia" w:cstheme="minorHAnsi"/>
          <w:noProof/>
        </w:rPr>
        <w:t>Increasing Indigenous engagement and attainment</w:t>
      </w:r>
    </w:p>
    <w:p w:rsidR="00C17E74" w:rsidRPr="00C17E74" w:rsidRDefault="00C17E74" w:rsidP="009F1919">
      <w:pPr>
        <w:pStyle w:val="Heading3"/>
        <w:rPr>
          <w:rFonts w:eastAsia="Times New Roman"/>
        </w:rPr>
      </w:pPr>
      <w:bookmarkStart w:id="75" w:name="_Toc322615454"/>
      <w:bookmarkStart w:id="76" w:name="_Toc323899460"/>
      <w:bookmarkStart w:id="77" w:name="_Toc332716707"/>
      <w:bookmarkStart w:id="78" w:name="_Toc355862697"/>
      <w:r w:rsidRPr="00C17E74">
        <w:rPr>
          <w:rFonts w:eastAsia="Times New Roman"/>
        </w:rPr>
        <w:t>Collaboration between Partnership Brokers and Youth Connections providers</w:t>
      </w:r>
      <w:bookmarkEnd w:id="75"/>
      <w:bookmarkEnd w:id="76"/>
      <w:bookmarkEnd w:id="77"/>
      <w:bookmarkEnd w:id="78"/>
    </w:p>
    <w:p w:rsidR="00C17E74" w:rsidRPr="00C17E74" w:rsidRDefault="00C17E74" w:rsidP="00C17E74">
      <w:pPr>
        <w:spacing w:line="240" w:lineRule="auto"/>
        <w:rPr>
          <w:rFonts w:eastAsia="Times New Roman" w:cstheme="minorHAnsi"/>
        </w:rPr>
      </w:pPr>
      <w:r w:rsidRPr="00C17E74">
        <w:rPr>
          <w:rFonts w:eastAsia="Times New Roman" w:cstheme="minorHAnsi"/>
        </w:rPr>
        <w:t>An important feature of the Partnership Brokers and Youth Connections programs is the requirement for providers to work together to identify and address the needs of their region. In 2012, 60 per cent of Partnership Brokers indicated they were working closely with Youth Connections providers and supporting new or enhanced partnership arrangements to meet identified needs in their region</w:t>
      </w:r>
      <w:r w:rsidRPr="00C17E74">
        <w:rPr>
          <w:rFonts w:eastAsiaTheme="majorEastAsia" w:cstheme="minorHAnsi"/>
          <w:vertAlign w:val="superscript"/>
        </w:rPr>
        <w:footnoteReference w:id="7"/>
      </w:r>
      <w:r w:rsidRPr="00C17E74">
        <w:rPr>
          <w:rFonts w:eastAsia="Times New Roman" w:cstheme="minorHAnsi"/>
        </w:rPr>
        <w:t xml:space="preserve"> (up from 55 per cent in 2011). In regions where collaboration has been limited, Youth Connections providers appear to have concentrated on delivery of case management services and Partnership Brokers have focused on stakeholder engagement and partnership development independently.</w:t>
      </w:r>
    </w:p>
    <w:p w:rsidR="00C17E74" w:rsidRPr="00C17E74" w:rsidRDefault="00C17E74" w:rsidP="00C17E74">
      <w:pPr>
        <w:spacing w:before="120" w:after="120" w:line="240" w:lineRule="auto"/>
        <w:ind w:right="34"/>
        <w:rPr>
          <w:rFonts w:eastAsia="Times New Roman" w:cstheme="minorHAnsi"/>
          <w:lang w:val="en-US" w:eastAsia="en-AU"/>
        </w:rPr>
        <w:sectPr w:rsidR="00C17E74" w:rsidRPr="00C17E74" w:rsidSect="0053283A">
          <w:footerReference w:type="default" r:id="rId43"/>
          <w:pgSz w:w="11906" w:h="16838"/>
          <w:pgMar w:top="820" w:right="1133" w:bottom="709" w:left="993" w:header="708" w:footer="0" w:gutter="0"/>
          <w:cols w:space="708"/>
          <w:docGrid w:linePitch="360"/>
        </w:sectPr>
      </w:pPr>
    </w:p>
    <w:p w:rsidR="00C17E74" w:rsidRPr="00C17E74" w:rsidRDefault="00C17E74" w:rsidP="009F1919">
      <w:pPr>
        <w:pStyle w:val="Heading2"/>
        <w:rPr>
          <w:lang w:eastAsia="en-AU"/>
        </w:rPr>
      </w:pPr>
      <w:bookmarkStart w:id="79" w:name="_Toc323901027"/>
      <w:bookmarkStart w:id="80" w:name="_Toc355862698"/>
      <w:bookmarkStart w:id="81" w:name="_Toc384038253"/>
      <w:bookmarkEnd w:id="53"/>
      <w:r w:rsidRPr="00C17E74">
        <w:rPr>
          <w:lang w:eastAsia="en-AU"/>
        </w:rPr>
        <w:lastRenderedPageBreak/>
        <w:t>S</w:t>
      </w:r>
      <w:bookmarkEnd w:id="79"/>
      <w:bookmarkEnd w:id="80"/>
      <w:r w:rsidR="009C205D">
        <w:rPr>
          <w:lang w:eastAsia="en-AU"/>
        </w:rPr>
        <w:t>outh Australia Summary</w:t>
      </w:r>
      <w:bookmarkEnd w:id="81"/>
    </w:p>
    <w:p w:rsidR="00C17E74" w:rsidRPr="00C17E74" w:rsidRDefault="00C17E74" w:rsidP="009F1919">
      <w:pPr>
        <w:pStyle w:val="Heading3"/>
        <w:rPr>
          <w:rFonts w:eastAsia="Times New Roman"/>
        </w:rPr>
      </w:pPr>
      <w:bookmarkStart w:id="82" w:name="_Toc355862699"/>
      <w:r w:rsidRPr="00C17E74">
        <w:rPr>
          <w:rFonts w:eastAsia="Times New Roman"/>
        </w:rPr>
        <w:t>Context</w:t>
      </w:r>
      <w:bookmarkEnd w:id="82"/>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In South Australia (SA), in its fourth year of operation, the Partnership Broker program has developed into a mature service and providers are developing partnerships across all contracted regions. Although the education sector is continuing to undergo significant change, the expansion of the Innovative Community Action Networks (</w:t>
      </w:r>
      <w:proofErr w:type="spellStart"/>
      <w:r w:rsidRPr="00C17E74">
        <w:rPr>
          <w:rFonts w:eastAsia="Times New Roman" w:cstheme="minorHAnsi"/>
          <w:lang w:val="en-US"/>
        </w:rPr>
        <w:t>ICAN</w:t>
      </w:r>
      <w:proofErr w:type="spellEnd"/>
      <w:r w:rsidRPr="00C17E74">
        <w:rPr>
          <w:rFonts w:eastAsia="Times New Roman" w:cstheme="minorHAnsi"/>
          <w:lang w:val="en-US"/>
        </w:rPr>
        <w:t xml:space="preserve">) initiative under the Smarter Schools Communities Making a Difference National Partnership has continued, and has a presence in every region apart from the </w:t>
      </w:r>
      <w:proofErr w:type="spellStart"/>
      <w:r w:rsidRPr="00C17E74">
        <w:rPr>
          <w:rFonts w:eastAsia="Times New Roman" w:cstheme="minorHAnsi"/>
          <w:lang w:val="en-US"/>
        </w:rPr>
        <w:t>APY</w:t>
      </w:r>
      <w:proofErr w:type="spellEnd"/>
      <w:r w:rsidRPr="00C17E74">
        <w:rPr>
          <w:rFonts w:eastAsia="Times New Roman" w:cstheme="minorHAnsi"/>
          <w:lang w:val="en-US"/>
        </w:rPr>
        <w:t xml:space="preserve"> Lands. Other important considerations for the Partnership Broker program in SA include: the new South Australian Certificate of Education; implementation of the SA Industry Skills Program within schools; funding model changes to State Government schools; and rolling out of other related activity under the three Smarter Schools National Partnerships.</w:t>
      </w:r>
    </w:p>
    <w:p w:rsidR="00C17E74" w:rsidRPr="00C17E74" w:rsidRDefault="00C17E74" w:rsidP="009F1919">
      <w:pPr>
        <w:pStyle w:val="Heading3"/>
        <w:rPr>
          <w:rFonts w:eastAsia="Times New Roman"/>
        </w:rPr>
      </w:pPr>
      <w:bookmarkStart w:id="83" w:name="_Toc355862700"/>
      <w:r w:rsidRPr="00C17E74">
        <w:rPr>
          <w:rFonts w:eastAsia="Times New Roman"/>
        </w:rPr>
        <w:t>Program Status</w:t>
      </w:r>
      <w:bookmarkEnd w:id="83"/>
      <w:r w:rsidRPr="00C17E74">
        <w:rPr>
          <w:rFonts w:eastAsia="Times New Roman"/>
        </w:rPr>
        <w:t xml:space="preserve"> </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As at April 2013, there are approximately 122 active and self-sustaining partnerships associated with Partnership Brokers in SA involving over 490 partner organisations. These partnerships are undertaking a range of activities to support the learning and development of young people in their community. Approximately 20 per cent of these partnerships have an Indigenous focus. There have been approximately 768 Outcomes Framework Key Performance Measure (</w:t>
      </w:r>
      <w:proofErr w:type="spellStart"/>
      <w:r w:rsidRPr="00C17E74">
        <w:rPr>
          <w:rFonts w:eastAsia="Times New Roman" w:cstheme="minorHAnsi"/>
          <w:lang w:val="en-US"/>
        </w:rPr>
        <w:t>KPM</w:t>
      </w:r>
      <w:proofErr w:type="spellEnd"/>
      <w:r w:rsidRPr="00C17E74">
        <w:rPr>
          <w:rFonts w:eastAsia="Times New Roman" w:cstheme="minorHAnsi"/>
          <w:lang w:val="en-US"/>
        </w:rPr>
        <w:t>) evaluations with around 292 (38%) of those evaluations rating the partnership’s progress as ‘Considerable’ or ‘Achieved’.</w:t>
      </w:r>
    </w:p>
    <w:p w:rsidR="00C17E74" w:rsidRPr="00C17E74" w:rsidRDefault="00C17E74" w:rsidP="00C17E74">
      <w:pPr>
        <w:spacing w:before="120" w:after="120" w:line="240" w:lineRule="auto"/>
        <w:ind w:right="34"/>
        <w:rPr>
          <w:rFonts w:eastAsia="Times New Roman" w:cstheme="minorHAnsi"/>
          <w:b/>
          <w:lang w:val="en-US"/>
        </w:rPr>
      </w:pPr>
      <w:r w:rsidRPr="00C17E74">
        <w:rPr>
          <w:rFonts w:eastAsia="Times New Roman" w:cstheme="minorHAnsi"/>
          <w:lang w:val="en-US"/>
        </w:rPr>
        <w:t>Partnership Broker Snapshots have provided some excellent examples of partnership initiatives across a broad range of focus areas involving a variety of stakeholders. A selection of SA Snapshots is included at the end of this report.</w:t>
      </w:r>
    </w:p>
    <w:p w:rsidR="00C17E74" w:rsidRPr="00C17E74" w:rsidRDefault="00C17E74" w:rsidP="009F1919">
      <w:pPr>
        <w:pStyle w:val="Heading3"/>
        <w:rPr>
          <w:rFonts w:eastAsia="Times New Roman"/>
        </w:rPr>
      </w:pPr>
      <w:bookmarkStart w:id="84" w:name="_Toc355862701"/>
      <w:r w:rsidRPr="00C17E74">
        <w:rPr>
          <w:rFonts w:eastAsia="Times New Roman"/>
        </w:rPr>
        <w:t>Challenges</w:t>
      </w:r>
      <w:bookmarkEnd w:id="84"/>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The information above indicates significant progress, but may not reveal the growing depth of understanding of the partnership process resulting from the experience of successful, sustainable partnerships.  One of the present challenges is that as schools, business and the communities come to appreciate what the Partnership Brokers are able to offer, there is now an unmet demand from these sources. Some priorities have emerged that are not only consistent with the strategic direction of the Youth Attainment and Transitions (YAT) National Partnership (NP), but also with the priorities of the Department of Educational and Child Development (DECD).  Providers have made an effort to better understand the strategic direction and planning for school systems, and many have been effective in creating partnerships that align with the goals and efforts of schools in their regions. This has led to considerable challenges for providers which operate in Service Regions that are geographically large but have relatively small populations concentrated in regional and remote communities.</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The level of collaboration between Partnership Brokers and Youth Connections providers in SA is consistent with the national picture. In some regions, providers are working well together and progressing partnership arrangements to improve support services, however, the level of collaboration in other regions is variable but improving.</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 xml:space="preserve">The Department of Education and Child Development (DECD) has completed its roll out of alternative learning options through </w:t>
      </w:r>
      <w:proofErr w:type="spellStart"/>
      <w:r w:rsidRPr="00C17E74">
        <w:rPr>
          <w:rFonts w:eastAsia="Times New Roman" w:cstheme="minorHAnsi"/>
          <w:lang w:val="en-US"/>
        </w:rPr>
        <w:t>ICAN</w:t>
      </w:r>
      <w:proofErr w:type="spellEnd"/>
      <w:r w:rsidRPr="00C17E74">
        <w:rPr>
          <w:rFonts w:eastAsia="Times New Roman" w:cstheme="minorHAnsi"/>
          <w:lang w:val="en-US"/>
        </w:rPr>
        <w:t xml:space="preserve"> across the twelve regions of SA to cater for the needs of disengaging and recently disengaged students. It has become increasingly apparent that Partnership Brokers need to adapt their strategies and work more collaboratively with DECD to achieve the objectives of the YAT NP. Over the past year, we have seen improved levels of collaboration and increasing opportunities for coordinated action. A number of partnerships have been established which include representatives of local </w:t>
      </w:r>
      <w:proofErr w:type="spellStart"/>
      <w:r w:rsidRPr="00C17E74">
        <w:rPr>
          <w:rFonts w:eastAsia="Times New Roman" w:cstheme="minorHAnsi"/>
          <w:lang w:val="en-US"/>
        </w:rPr>
        <w:t>ICANs</w:t>
      </w:r>
      <w:proofErr w:type="spellEnd"/>
      <w:r w:rsidRPr="00C17E74">
        <w:rPr>
          <w:rFonts w:eastAsia="Times New Roman" w:cstheme="minorHAnsi"/>
          <w:lang w:val="en-US"/>
        </w:rPr>
        <w:t>, and make for more effective collaboration at the local level.</w:t>
      </w:r>
    </w:p>
    <w:p w:rsidR="00C17E74" w:rsidRPr="00C17E74" w:rsidRDefault="00C17E74" w:rsidP="00C17E74">
      <w:pPr>
        <w:spacing w:line="240" w:lineRule="auto"/>
        <w:rPr>
          <w:rFonts w:eastAsia="Times New Roman" w:cstheme="minorHAnsi"/>
        </w:rPr>
      </w:pPr>
      <w:r w:rsidRPr="00C17E74">
        <w:rPr>
          <w:rFonts w:eastAsia="Times New Roman" w:cstheme="minorHAnsi"/>
        </w:rPr>
        <w:t xml:space="preserve">It is now well understood that DECD Flexible Learning Options (FLO) (primarily established for government school students) are being accessed by young people from non-government schools, providing their placement can be funded. </w:t>
      </w:r>
      <w:r w:rsidRPr="00C17E74" w:rsidDel="00641BFD">
        <w:rPr>
          <w:rFonts w:eastAsia="Times New Roman" w:cstheme="minorHAnsi"/>
        </w:rPr>
        <w:t xml:space="preserve"> </w:t>
      </w:r>
    </w:p>
    <w:p w:rsidR="00C17E74" w:rsidRPr="00C17E74" w:rsidRDefault="00C17E74" w:rsidP="009F1919">
      <w:pPr>
        <w:pStyle w:val="Heading2"/>
        <w:rPr>
          <w:lang w:eastAsia="en-AU"/>
        </w:rPr>
      </w:pPr>
      <w:bookmarkStart w:id="85" w:name="_Toc292696790"/>
      <w:bookmarkStart w:id="86" w:name="_Toc323901028"/>
      <w:bookmarkStart w:id="87" w:name="_Toc355862702"/>
      <w:bookmarkStart w:id="88" w:name="_Toc384038254"/>
      <w:r w:rsidRPr="00C17E74">
        <w:rPr>
          <w:lang w:eastAsia="en-AU"/>
        </w:rPr>
        <w:lastRenderedPageBreak/>
        <w:t>O</w:t>
      </w:r>
      <w:bookmarkEnd w:id="85"/>
      <w:bookmarkEnd w:id="86"/>
      <w:bookmarkEnd w:id="87"/>
      <w:r w:rsidR="009C205D">
        <w:rPr>
          <w:lang w:eastAsia="en-AU"/>
        </w:rPr>
        <w:t>rganisations</w:t>
      </w:r>
      <w:bookmarkEnd w:id="88"/>
    </w:p>
    <w:p w:rsidR="00C17E74" w:rsidRPr="00C17E74" w:rsidRDefault="00C17E74" w:rsidP="009F1919">
      <w:pPr>
        <w:pStyle w:val="Heading3"/>
        <w:rPr>
          <w:rFonts w:eastAsia="Times New Roman"/>
        </w:rPr>
      </w:pPr>
      <w:bookmarkStart w:id="89" w:name="_Toc292697120"/>
      <w:bookmarkStart w:id="90" w:name="_Toc323901029"/>
      <w:bookmarkStart w:id="91" w:name="_Toc355862703"/>
      <w:r w:rsidRPr="00C17E74">
        <w:rPr>
          <w:rFonts w:eastAsia="Times New Roman"/>
        </w:rPr>
        <w:t xml:space="preserve">Table </w:t>
      </w:r>
      <w:proofErr w:type="gramStart"/>
      <w:r w:rsidRPr="00C17E74">
        <w:rPr>
          <w:rFonts w:eastAsia="Times New Roman"/>
        </w:rPr>
        <w:t>A</w:t>
      </w:r>
      <w:proofErr w:type="gramEnd"/>
      <w:r w:rsidRPr="00C17E74">
        <w:rPr>
          <w:rFonts w:eastAsia="Times New Roman"/>
        </w:rPr>
        <w:t xml:space="preserve"> – Number of Organisations in Partnerships by Stakeholder Group</w:t>
      </w:r>
      <w:bookmarkEnd w:id="89"/>
      <w:bookmarkEnd w:id="90"/>
      <w:bookmarkEnd w:id="91"/>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This table shows the stakeholder groups represented in partnerships.</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b/>
          <w:lang w:val="en-US"/>
        </w:rPr>
        <w:t>Note:</w:t>
      </w:r>
      <w:r w:rsidRPr="00C17E74">
        <w:rPr>
          <w:rFonts w:eastAsia="Times New Roman" w:cstheme="minorHAnsi"/>
          <w:lang w:val="en-US"/>
        </w:rPr>
        <w:t xml:space="preserve"> this data includes organisations in partnerships with status active and self-sustaining. National figures do not include Victoria. Organisations involved in multiple partnerships have only been counted once.</w:t>
      </w:r>
    </w:p>
    <w:tbl>
      <w:tblPr>
        <w:tblW w:w="9363" w:type="dxa"/>
        <w:tblInd w:w="147" w:type="dxa"/>
        <w:tblLayout w:type="fixed"/>
        <w:tblCellMar>
          <w:left w:w="28" w:type="dxa"/>
          <w:right w:w="28" w:type="dxa"/>
        </w:tblCellMar>
        <w:tblLook w:val="0000" w:firstRow="0" w:lastRow="0" w:firstColumn="0" w:lastColumn="0" w:noHBand="0" w:noVBand="0"/>
      </w:tblPr>
      <w:tblGrid>
        <w:gridCol w:w="2240"/>
        <w:gridCol w:w="1772"/>
        <w:gridCol w:w="1709"/>
        <w:gridCol w:w="1790"/>
        <w:gridCol w:w="1852"/>
      </w:tblGrid>
      <w:tr w:rsidR="00C17E74" w:rsidRPr="00C17E74" w:rsidTr="0053283A">
        <w:trPr>
          <w:trHeight w:val="293"/>
        </w:trPr>
        <w:tc>
          <w:tcPr>
            <w:tcW w:w="2240" w:type="dxa"/>
            <w:tcBorders>
              <w:top w:val="single" w:sz="12" w:space="0" w:color="auto"/>
              <w:left w:val="single" w:sz="12" w:space="0" w:color="auto"/>
              <w:bottom w:val="single" w:sz="12" w:space="0" w:color="auto"/>
              <w:right w:val="single" w:sz="12" w:space="0" w:color="auto"/>
            </w:tcBorders>
            <w:shd w:val="clear" w:color="auto" w:fill="B6DDE8" w:themeFill="accent5" w:themeFillTint="66"/>
            <w:noWrap/>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Stakeholder Group</w:t>
            </w:r>
          </w:p>
        </w:tc>
        <w:tc>
          <w:tcPr>
            <w:tcW w:w="1772"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organisations in partnerships (SA)</w:t>
            </w:r>
          </w:p>
        </w:tc>
        <w:tc>
          <w:tcPr>
            <w:tcW w:w="1709"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Percentage of organisations in partnerships (SA)</w:t>
            </w:r>
          </w:p>
        </w:tc>
        <w:tc>
          <w:tcPr>
            <w:tcW w:w="1790"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organisations in partnerships Nationally</w:t>
            </w:r>
          </w:p>
        </w:tc>
        <w:tc>
          <w:tcPr>
            <w:tcW w:w="1852"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Percentage of organisations in partnerships Nationally</w:t>
            </w:r>
          </w:p>
        </w:tc>
      </w:tr>
      <w:tr w:rsidR="00C17E74" w:rsidRPr="00C17E74" w:rsidTr="0053283A">
        <w:trPr>
          <w:trHeight w:val="302"/>
        </w:trPr>
        <w:tc>
          <w:tcPr>
            <w:tcW w:w="2240"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C17E74" w:rsidRPr="00C17E74" w:rsidRDefault="00C17E74" w:rsidP="00C17E74">
            <w:pPr>
              <w:spacing w:line="240" w:lineRule="auto"/>
              <w:ind w:right="-1"/>
              <w:rPr>
                <w:rFonts w:eastAsia="Times New Roman" w:cstheme="minorHAnsi"/>
                <w:lang w:eastAsia="en-AU"/>
              </w:rPr>
            </w:pPr>
            <w:r w:rsidRPr="00C17E74">
              <w:rPr>
                <w:rFonts w:eastAsia="Times New Roman" w:cstheme="minorHAnsi"/>
                <w:lang w:eastAsia="en-AU"/>
              </w:rPr>
              <w:t>Business &amp; Industry</w:t>
            </w:r>
          </w:p>
        </w:tc>
        <w:tc>
          <w:tcPr>
            <w:tcW w:w="1772"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126</w:t>
            </w:r>
          </w:p>
        </w:tc>
        <w:tc>
          <w:tcPr>
            <w:tcW w:w="1709"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26%</w:t>
            </w:r>
          </w:p>
        </w:tc>
        <w:tc>
          <w:tcPr>
            <w:tcW w:w="1790" w:type="dxa"/>
            <w:tcBorders>
              <w:top w:val="single" w:sz="12" w:space="0" w:color="auto"/>
              <w:left w:val="single" w:sz="12"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b/>
                <w:color w:val="000000"/>
                <w:sz w:val="20"/>
                <w:szCs w:val="20"/>
              </w:rPr>
            </w:pPr>
            <w:r w:rsidRPr="00C17E74">
              <w:rPr>
                <w:rFonts w:ascii="Calibri" w:eastAsia="Times New Roman" w:hAnsi="Calibri" w:cs="Calibri"/>
                <w:color w:val="000000"/>
                <w:sz w:val="20"/>
                <w:szCs w:val="20"/>
              </w:rPr>
              <w:t>1508</w:t>
            </w:r>
          </w:p>
        </w:tc>
        <w:tc>
          <w:tcPr>
            <w:tcW w:w="1852" w:type="dxa"/>
            <w:tcBorders>
              <w:top w:val="single" w:sz="12" w:space="0" w:color="auto"/>
              <w:left w:val="single" w:sz="4" w:space="0" w:color="auto"/>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b/>
                <w:color w:val="000000"/>
                <w:sz w:val="20"/>
                <w:szCs w:val="20"/>
              </w:rPr>
            </w:pPr>
            <w:r w:rsidRPr="00C17E74">
              <w:rPr>
                <w:rFonts w:ascii="Calibri" w:eastAsia="Times New Roman" w:hAnsi="Calibri" w:cs="Calibri"/>
                <w:color w:val="000000"/>
                <w:sz w:val="20"/>
                <w:szCs w:val="20"/>
              </w:rPr>
              <w:t>29%</w:t>
            </w:r>
          </w:p>
        </w:tc>
      </w:tr>
      <w:tr w:rsidR="00C17E74" w:rsidRPr="00C17E74" w:rsidTr="0053283A">
        <w:trPr>
          <w:trHeight w:val="302"/>
        </w:trPr>
        <w:tc>
          <w:tcPr>
            <w:tcW w:w="224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C17E74" w:rsidRPr="00C17E74" w:rsidRDefault="00C17E74" w:rsidP="00C17E74">
            <w:pPr>
              <w:spacing w:line="240" w:lineRule="auto"/>
              <w:ind w:right="-1"/>
              <w:rPr>
                <w:rFonts w:eastAsia="Times New Roman" w:cstheme="minorHAnsi"/>
                <w:lang w:eastAsia="en-AU"/>
              </w:rPr>
            </w:pPr>
            <w:r w:rsidRPr="00C17E74">
              <w:rPr>
                <w:rFonts w:eastAsia="Times New Roman" w:cstheme="minorHAnsi"/>
                <w:lang w:eastAsia="en-AU"/>
              </w:rPr>
              <w:t>Community</w:t>
            </w:r>
          </w:p>
        </w:tc>
        <w:tc>
          <w:tcPr>
            <w:tcW w:w="177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151</w:t>
            </w:r>
          </w:p>
        </w:tc>
        <w:tc>
          <w:tcPr>
            <w:tcW w:w="1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31%</w:t>
            </w:r>
          </w:p>
        </w:tc>
        <w:tc>
          <w:tcPr>
            <w:tcW w:w="1790" w:type="dxa"/>
            <w:tcBorders>
              <w:top w:val="single" w:sz="4" w:space="0" w:color="auto"/>
              <w:left w:val="single" w:sz="12"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b/>
                <w:color w:val="000000"/>
                <w:sz w:val="20"/>
                <w:szCs w:val="20"/>
              </w:rPr>
            </w:pPr>
            <w:r w:rsidRPr="00C17E74">
              <w:rPr>
                <w:rFonts w:ascii="Calibri" w:eastAsia="Times New Roman" w:hAnsi="Calibri" w:cs="Calibri"/>
                <w:color w:val="000000"/>
                <w:sz w:val="20"/>
                <w:szCs w:val="20"/>
              </w:rPr>
              <w:t>1645</w:t>
            </w:r>
          </w:p>
        </w:tc>
        <w:tc>
          <w:tcPr>
            <w:tcW w:w="1852" w:type="dxa"/>
            <w:tcBorders>
              <w:top w:val="single" w:sz="4" w:space="0" w:color="auto"/>
              <w:left w:val="single" w:sz="4" w:space="0" w:color="auto"/>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b/>
                <w:color w:val="000000"/>
                <w:sz w:val="20"/>
                <w:szCs w:val="20"/>
              </w:rPr>
            </w:pPr>
            <w:r w:rsidRPr="00C17E74">
              <w:rPr>
                <w:rFonts w:ascii="Calibri" w:eastAsia="Times New Roman" w:hAnsi="Calibri" w:cs="Calibri"/>
                <w:color w:val="000000"/>
                <w:sz w:val="20"/>
                <w:szCs w:val="20"/>
              </w:rPr>
              <w:t>31%</w:t>
            </w:r>
          </w:p>
        </w:tc>
      </w:tr>
      <w:tr w:rsidR="00C17E74" w:rsidRPr="00C17E74" w:rsidTr="0053283A">
        <w:trPr>
          <w:trHeight w:val="302"/>
        </w:trPr>
        <w:tc>
          <w:tcPr>
            <w:tcW w:w="224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C17E74" w:rsidRPr="00C17E74" w:rsidRDefault="00C17E74" w:rsidP="00C17E74">
            <w:pPr>
              <w:spacing w:line="240" w:lineRule="auto"/>
              <w:ind w:right="-1"/>
              <w:rPr>
                <w:rFonts w:eastAsia="Times New Roman" w:cstheme="minorHAnsi"/>
                <w:lang w:eastAsia="en-AU"/>
              </w:rPr>
            </w:pPr>
            <w:r w:rsidRPr="00C17E74">
              <w:rPr>
                <w:rFonts w:eastAsia="Times New Roman" w:cstheme="minorHAnsi"/>
                <w:lang w:eastAsia="en-AU"/>
              </w:rPr>
              <w:t>Education</w:t>
            </w:r>
          </w:p>
        </w:tc>
        <w:tc>
          <w:tcPr>
            <w:tcW w:w="177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196</w:t>
            </w:r>
          </w:p>
        </w:tc>
        <w:tc>
          <w:tcPr>
            <w:tcW w:w="1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40%</w:t>
            </w:r>
          </w:p>
        </w:tc>
        <w:tc>
          <w:tcPr>
            <w:tcW w:w="1790" w:type="dxa"/>
            <w:tcBorders>
              <w:top w:val="single" w:sz="4" w:space="0" w:color="auto"/>
              <w:left w:val="single" w:sz="12"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b/>
                <w:color w:val="000000"/>
                <w:sz w:val="20"/>
                <w:szCs w:val="20"/>
              </w:rPr>
            </w:pPr>
            <w:r w:rsidRPr="00C17E74">
              <w:rPr>
                <w:rFonts w:ascii="Calibri" w:eastAsia="Times New Roman" w:hAnsi="Calibri" w:cs="Calibri"/>
                <w:color w:val="000000"/>
                <w:sz w:val="20"/>
                <w:szCs w:val="20"/>
              </w:rPr>
              <w:t>1968</w:t>
            </w:r>
          </w:p>
        </w:tc>
        <w:tc>
          <w:tcPr>
            <w:tcW w:w="1852" w:type="dxa"/>
            <w:tcBorders>
              <w:top w:val="single" w:sz="4" w:space="0" w:color="auto"/>
              <w:left w:val="single" w:sz="4" w:space="0" w:color="auto"/>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b/>
                <w:color w:val="000000"/>
                <w:sz w:val="20"/>
                <w:szCs w:val="20"/>
              </w:rPr>
            </w:pPr>
            <w:r w:rsidRPr="00C17E74">
              <w:rPr>
                <w:rFonts w:ascii="Calibri" w:eastAsia="Times New Roman" w:hAnsi="Calibri" w:cs="Calibri"/>
                <w:color w:val="000000"/>
                <w:sz w:val="20"/>
                <w:szCs w:val="20"/>
              </w:rPr>
              <w:t>37%</w:t>
            </w:r>
          </w:p>
        </w:tc>
      </w:tr>
      <w:tr w:rsidR="00C17E74" w:rsidRPr="00C17E74" w:rsidTr="0053283A">
        <w:trPr>
          <w:trHeight w:val="302"/>
        </w:trPr>
        <w:tc>
          <w:tcPr>
            <w:tcW w:w="2240"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C17E74" w:rsidRPr="00C17E74" w:rsidRDefault="00C17E74" w:rsidP="00C17E74">
            <w:pPr>
              <w:spacing w:line="240" w:lineRule="auto"/>
              <w:ind w:right="-1"/>
              <w:rPr>
                <w:rFonts w:eastAsia="Times New Roman" w:cstheme="minorHAnsi"/>
                <w:lang w:eastAsia="en-AU"/>
              </w:rPr>
            </w:pPr>
            <w:r w:rsidRPr="00C17E74">
              <w:rPr>
                <w:rFonts w:eastAsia="Times New Roman" w:cstheme="minorHAnsi"/>
                <w:lang w:eastAsia="en-AU"/>
              </w:rPr>
              <w:t>Parents and Families</w:t>
            </w:r>
          </w:p>
        </w:tc>
        <w:tc>
          <w:tcPr>
            <w:tcW w:w="177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18</w:t>
            </w:r>
          </w:p>
        </w:tc>
        <w:tc>
          <w:tcPr>
            <w:tcW w:w="1709"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4%</w:t>
            </w:r>
          </w:p>
        </w:tc>
        <w:tc>
          <w:tcPr>
            <w:tcW w:w="1790" w:type="dxa"/>
            <w:tcBorders>
              <w:top w:val="single" w:sz="4" w:space="0" w:color="auto"/>
              <w:left w:val="single" w:sz="12" w:space="0" w:color="auto"/>
              <w:bottom w:val="single" w:sz="12"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b/>
                <w:color w:val="000000"/>
                <w:sz w:val="20"/>
                <w:szCs w:val="20"/>
              </w:rPr>
            </w:pPr>
            <w:r w:rsidRPr="00C17E74">
              <w:rPr>
                <w:rFonts w:ascii="Calibri" w:eastAsia="Times New Roman" w:hAnsi="Calibri" w:cs="Calibri"/>
                <w:color w:val="000000"/>
                <w:sz w:val="20"/>
                <w:szCs w:val="20"/>
              </w:rPr>
              <w:t>167</w:t>
            </w:r>
          </w:p>
        </w:tc>
        <w:tc>
          <w:tcPr>
            <w:tcW w:w="1852" w:type="dxa"/>
            <w:tcBorders>
              <w:top w:val="single" w:sz="4" w:space="0" w:color="auto"/>
              <w:left w:val="single" w:sz="4" w:space="0" w:color="auto"/>
              <w:bottom w:val="single" w:sz="12"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b/>
                <w:color w:val="000000"/>
                <w:sz w:val="20"/>
                <w:szCs w:val="20"/>
              </w:rPr>
            </w:pPr>
            <w:r w:rsidRPr="00C17E74">
              <w:rPr>
                <w:rFonts w:ascii="Calibri" w:eastAsia="Times New Roman" w:hAnsi="Calibri" w:cs="Calibri"/>
                <w:color w:val="000000"/>
                <w:sz w:val="20"/>
                <w:szCs w:val="20"/>
              </w:rPr>
              <w:t>3%</w:t>
            </w:r>
          </w:p>
        </w:tc>
      </w:tr>
      <w:tr w:rsidR="00C17E74" w:rsidRPr="00C17E74" w:rsidTr="0053283A">
        <w:trPr>
          <w:trHeight w:val="302"/>
        </w:trPr>
        <w:tc>
          <w:tcPr>
            <w:tcW w:w="2240" w:type="dxa"/>
            <w:tcBorders>
              <w:top w:val="single" w:sz="12" w:space="0" w:color="auto"/>
              <w:left w:val="single" w:sz="12" w:space="0" w:color="auto"/>
              <w:bottom w:val="single" w:sz="12" w:space="0" w:color="auto"/>
              <w:right w:val="single" w:sz="12" w:space="0" w:color="auto"/>
            </w:tcBorders>
            <w:shd w:val="clear" w:color="auto" w:fill="DAEEF3" w:themeFill="accent5" w:themeFillTint="33"/>
            <w:noWrap/>
            <w:vAlign w:val="center"/>
          </w:tcPr>
          <w:p w:rsidR="00C17E74" w:rsidRPr="00C17E74" w:rsidRDefault="00C17E74" w:rsidP="00C17E74">
            <w:pPr>
              <w:spacing w:line="240" w:lineRule="auto"/>
              <w:ind w:right="-1"/>
              <w:rPr>
                <w:rFonts w:ascii="Calibri" w:eastAsia="Times New Roman" w:hAnsi="Calibri" w:cs="Calibri"/>
                <w:b/>
                <w:bCs/>
                <w:lang w:val="en-US" w:eastAsia="en-AU"/>
              </w:rPr>
            </w:pPr>
            <w:r w:rsidRPr="00C17E74">
              <w:rPr>
                <w:rFonts w:ascii="Calibri" w:eastAsia="Times New Roman" w:hAnsi="Calibri" w:cs="Calibri"/>
                <w:b/>
                <w:bCs/>
                <w:lang w:val="en-US" w:eastAsia="en-AU"/>
              </w:rPr>
              <w:t>Total</w:t>
            </w:r>
          </w:p>
        </w:tc>
        <w:tc>
          <w:tcPr>
            <w:tcW w:w="1772" w:type="dxa"/>
            <w:tcBorders>
              <w:top w:val="single" w:sz="12" w:space="0" w:color="auto"/>
              <w:left w:val="single" w:sz="12" w:space="0" w:color="auto"/>
              <w:bottom w:val="single" w:sz="12" w:space="0" w:color="auto"/>
              <w:right w:val="single" w:sz="4" w:space="0" w:color="auto"/>
            </w:tcBorders>
            <w:shd w:val="clear" w:color="auto" w:fill="DAEEF3" w:themeFill="accent5" w:themeFillTint="33"/>
            <w:noWrap/>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491</w:t>
            </w:r>
          </w:p>
        </w:tc>
        <w:tc>
          <w:tcPr>
            <w:tcW w:w="1709" w:type="dxa"/>
            <w:tcBorders>
              <w:top w:val="single" w:sz="12" w:space="0" w:color="auto"/>
              <w:left w:val="single" w:sz="4" w:space="0" w:color="auto"/>
              <w:bottom w:val="single" w:sz="12" w:space="0" w:color="auto"/>
              <w:right w:val="single" w:sz="12" w:space="0" w:color="auto"/>
            </w:tcBorders>
            <w:shd w:val="clear" w:color="auto" w:fill="DAEEF3" w:themeFill="accent5" w:themeFillTint="33"/>
            <w:noWrap/>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100%</w:t>
            </w:r>
          </w:p>
        </w:tc>
        <w:tc>
          <w:tcPr>
            <w:tcW w:w="1790" w:type="dxa"/>
            <w:tcBorders>
              <w:top w:val="single" w:sz="12" w:space="0" w:color="auto"/>
              <w:left w:val="single" w:sz="12" w:space="0" w:color="auto"/>
              <w:bottom w:val="single" w:sz="12"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5288</w:t>
            </w:r>
          </w:p>
        </w:tc>
        <w:tc>
          <w:tcPr>
            <w:tcW w:w="1852" w:type="dxa"/>
            <w:tcBorders>
              <w:top w:val="single" w:sz="12" w:space="0" w:color="auto"/>
              <w:left w:val="single" w:sz="4" w:space="0" w:color="auto"/>
              <w:bottom w:val="single" w:sz="12" w:space="0" w:color="auto"/>
              <w:right w:val="single" w:sz="12"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100%</w:t>
            </w:r>
          </w:p>
        </w:tc>
      </w:tr>
    </w:tbl>
    <w:p w:rsidR="00CE0332" w:rsidRDefault="00CE0332" w:rsidP="009F1919">
      <w:pPr>
        <w:pStyle w:val="Heading3"/>
        <w:rPr>
          <w:rFonts w:eastAsia="Times New Roman"/>
        </w:rPr>
      </w:pPr>
      <w:bookmarkStart w:id="92" w:name="_Toc292696374"/>
      <w:bookmarkStart w:id="93" w:name="_Toc355862704"/>
      <w:bookmarkStart w:id="94" w:name="_Toc323901030"/>
    </w:p>
    <w:p w:rsidR="00CE0332" w:rsidRDefault="00CE0332">
      <w:pPr>
        <w:spacing w:after="200"/>
        <w:rPr>
          <w:rFonts w:ascii="Arial" w:eastAsia="Times New Roman" w:hAnsi="Arial" w:cstheme="majorBidi"/>
          <w:b/>
          <w:bCs/>
        </w:rPr>
      </w:pPr>
      <w:r>
        <w:rPr>
          <w:rFonts w:eastAsia="Times New Roman"/>
        </w:rPr>
        <w:br w:type="page"/>
      </w:r>
    </w:p>
    <w:p w:rsidR="00C17E74" w:rsidRPr="00C17E74" w:rsidRDefault="00C17E74" w:rsidP="009F1919">
      <w:pPr>
        <w:pStyle w:val="Heading3"/>
        <w:rPr>
          <w:rFonts w:eastAsia="Times New Roman"/>
        </w:rPr>
      </w:pPr>
      <w:r w:rsidRPr="00C17E74">
        <w:rPr>
          <w:rFonts w:eastAsia="Times New Roman"/>
        </w:rPr>
        <w:lastRenderedPageBreak/>
        <w:t xml:space="preserve">Table B – Number of Organisations in Partnerships by </w:t>
      </w:r>
      <w:proofErr w:type="spellStart"/>
      <w:r w:rsidRPr="00C17E74">
        <w:rPr>
          <w:rFonts w:eastAsia="Times New Roman"/>
        </w:rPr>
        <w:t>ANZSIC</w:t>
      </w:r>
      <w:proofErr w:type="spellEnd"/>
      <w:r w:rsidRPr="00C17E74">
        <w:rPr>
          <w:rFonts w:eastAsia="Times New Roman"/>
        </w:rPr>
        <w:t xml:space="preserve"> Division</w:t>
      </w:r>
      <w:bookmarkEnd w:id="92"/>
      <w:bookmarkEnd w:id="93"/>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 xml:space="preserve">This table shows the </w:t>
      </w:r>
      <w:proofErr w:type="spellStart"/>
      <w:r w:rsidRPr="00C17E74">
        <w:rPr>
          <w:rFonts w:eastAsia="Times New Roman" w:cstheme="minorHAnsi"/>
          <w:lang w:val="en-US"/>
        </w:rPr>
        <w:t>ANZSIC</w:t>
      </w:r>
      <w:proofErr w:type="spellEnd"/>
      <w:r w:rsidRPr="00C17E74">
        <w:rPr>
          <w:rFonts w:eastAsia="Times New Roman" w:cstheme="minorHAnsi"/>
          <w:lang w:val="en-US"/>
        </w:rPr>
        <w:t xml:space="preserve"> divisions represented in partnerships.</w:t>
      </w:r>
    </w:p>
    <w:p w:rsidR="00C17E74" w:rsidRPr="00C17E74" w:rsidRDefault="00C17E74" w:rsidP="00C17E74">
      <w:pPr>
        <w:spacing w:before="120" w:after="120" w:line="240" w:lineRule="auto"/>
        <w:ind w:right="34"/>
        <w:rPr>
          <w:rFonts w:eastAsia="Times New Roman" w:cstheme="minorHAnsi"/>
          <w:sz w:val="20"/>
          <w:lang w:val="en-US"/>
        </w:rPr>
      </w:pPr>
      <w:r w:rsidRPr="00C17E74">
        <w:rPr>
          <w:rFonts w:eastAsia="Times New Roman" w:cstheme="minorHAnsi"/>
          <w:b/>
          <w:lang w:val="en-US"/>
        </w:rPr>
        <w:t>Note:</w:t>
      </w:r>
      <w:r w:rsidRPr="00C17E74">
        <w:rPr>
          <w:rFonts w:eastAsia="Times New Roman" w:cstheme="minorHAnsi"/>
          <w:lang w:val="en-US"/>
        </w:rPr>
        <w:t xml:space="preserve"> this data includes organisations in partnerships with status active and self-sustaining. National figures do not include Victoria. Organisations involved in multiple partnerships have only been counted once.</w:t>
      </w:r>
    </w:p>
    <w:tbl>
      <w:tblPr>
        <w:tblW w:w="9498" w:type="dxa"/>
        <w:tblInd w:w="108" w:type="dxa"/>
        <w:tblLayout w:type="fixed"/>
        <w:tblLook w:val="0000" w:firstRow="0" w:lastRow="0" w:firstColumn="0" w:lastColumn="0" w:noHBand="0" w:noVBand="0"/>
      </w:tblPr>
      <w:tblGrid>
        <w:gridCol w:w="3119"/>
        <w:gridCol w:w="1559"/>
        <w:gridCol w:w="1701"/>
        <w:gridCol w:w="1559"/>
        <w:gridCol w:w="1560"/>
      </w:tblGrid>
      <w:tr w:rsidR="00C17E74" w:rsidRPr="00C17E74" w:rsidTr="0053283A">
        <w:trPr>
          <w:trHeight w:val="274"/>
        </w:trPr>
        <w:tc>
          <w:tcPr>
            <w:tcW w:w="3119" w:type="dxa"/>
            <w:tcBorders>
              <w:top w:val="single" w:sz="8" w:space="0" w:color="auto"/>
              <w:left w:val="single" w:sz="12" w:space="0" w:color="auto"/>
              <w:bottom w:val="single" w:sz="12" w:space="0" w:color="auto"/>
              <w:right w:val="single" w:sz="12" w:space="0" w:color="auto"/>
            </w:tcBorders>
            <w:shd w:val="clear" w:color="auto" w:fill="B6DDE8" w:themeFill="accent5" w:themeFillTint="66"/>
            <w:noWrap/>
            <w:vAlign w:val="center"/>
          </w:tcPr>
          <w:p w:rsidR="00C17E74" w:rsidRPr="00C17E74" w:rsidRDefault="00C17E74" w:rsidP="00C17E74">
            <w:pPr>
              <w:spacing w:line="240" w:lineRule="auto"/>
              <w:jc w:val="center"/>
              <w:rPr>
                <w:rFonts w:ascii="Calibri" w:eastAsia="Times New Roman" w:hAnsi="Calibri" w:cs="Calibri"/>
                <w:b/>
                <w:bCs/>
                <w:sz w:val="20"/>
                <w:lang w:eastAsia="en-AU"/>
              </w:rPr>
            </w:pPr>
            <w:proofErr w:type="spellStart"/>
            <w:r w:rsidRPr="00C17E74">
              <w:rPr>
                <w:rFonts w:ascii="Calibri" w:eastAsia="Times New Roman" w:hAnsi="Calibri" w:cs="Calibri"/>
                <w:b/>
                <w:bCs/>
                <w:sz w:val="20"/>
                <w:lang w:eastAsia="en-AU"/>
              </w:rPr>
              <w:t>ANZSIC</w:t>
            </w:r>
            <w:proofErr w:type="spellEnd"/>
            <w:r w:rsidRPr="00C17E74">
              <w:rPr>
                <w:rFonts w:ascii="Calibri" w:eastAsia="Times New Roman" w:hAnsi="Calibri" w:cs="Calibri"/>
                <w:b/>
                <w:bCs/>
                <w:sz w:val="20"/>
                <w:lang w:eastAsia="en-AU"/>
              </w:rPr>
              <w:t xml:space="preserve"> Division</w:t>
            </w:r>
          </w:p>
        </w:tc>
        <w:tc>
          <w:tcPr>
            <w:tcW w:w="1559" w:type="dxa"/>
            <w:tcBorders>
              <w:top w:val="single" w:sz="4" w:space="0" w:color="auto"/>
              <w:left w:val="single" w:sz="12" w:space="0" w:color="auto"/>
              <w:bottom w:val="single" w:sz="12" w:space="0" w:color="auto"/>
              <w:right w:val="single" w:sz="4" w:space="0" w:color="auto"/>
            </w:tcBorders>
            <w:shd w:val="clear" w:color="auto" w:fill="B6DDE8" w:themeFill="accent5" w:themeFillTint="66"/>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organisations in partnerships (SA)</w:t>
            </w:r>
          </w:p>
        </w:tc>
        <w:tc>
          <w:tcPr>
            <w:tcW w:w="1701" w:type="dxa"/>
            <w:tcBorders>
              <w:top w:val="single" w:sz="4" w:space="0" w:color="auto"/>
              <w:left w:val="nil"/>
              <w:bottom w:val="single" w:sz="12" w:space="0" w:color="auto"/>
              <w:right w:val="single" w:sz="12" w:space="0" w:color="auto"/>
            </w:tcBorders>
            <w:shd w:val="clear" w:color="auto" w:fill="B6DDE8" w:themeFill="accent5" w:themeFillTint="66"/>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 xml:space="preserve"> Percentage of organisations in partnerships (SA)</w:t>
            </w:r>
          </w:p>
        </w:tc>
        <w:tc>
          <w:tcPr>
            <w:tcW w:w="1559" w:type="dxa"/>
            <w:tcBorders>
              <w:top w:val="single" w:sz="4" w:space="0" w:color="auto"/>
              <w:left w:val="single" w:sz="12" w:space="0" w:color="auto"/>
              <w:bottom w:val="single" w:sz="12" w:space="0" w:color="auto"/>
              <w:right w:val="single" w:sz="4" w:space="0" w:color="auto"/>
            </w:tcBorders>
            <w:shd w:val="clear" w:color="auto" w:fill="B6DDE8" w:themeFill="accent5" w:themeFillTint="66"/>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organisations in partnerships Nationally</w:t>
            </w:r>
          </w:p>
        </w:tc>
        <w:tc>
          <w:tcPr>
            <w:tcW w:w="1560" w:type="dxa"/>
            <w:tcBorders>
              <w:top w:val="single" w:sz="4" w:space="0" w:color="auto"/>
              <w:left w:val="nil"/>
              <w:bottom w:val="single" w:sz="12" w:space="0" w:color="auto"/>
              <w:right w:val="single" w:sz="12" w:space="0" w:color="auto"/>
            </w:tcBorders>
            <w:shd w:val="clear" w:color="auto" w:fill="B6DDE8" w:themeFill="accent5" w:themeFillTint="66"/>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Percentage of organisations in partnerships Nationally</w:t>
            </w:r>
          </w:p>
        </w:tc>
      </w:tr>
      <w:tr w:rsidR="00C17E74" w:rsidRPr="00C17E74" w:rsidTr="0053283A">
        <w:trPr>
          <w:trHeight w:val="349"/>
        </w:trPr>
        <w:tc>
          <w:tcPr>
            <w:tcW w:w="3119"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C17E74" w:rsidRPr="00C17E74" w:rsidRDefault="00C17E74" w:rsidP="00C17E74">
            <w:pPr>
              <w:spacing w:line="240" w:lineRule="auto"/>
              <w:ind w:right="-1"/>
              <w:rPr>
                <w:rFonts w:eastAsia="Times New Roman" w:cstheme="minorHAnsi"/>
                <w:lang w:eastAsia="en-AU"/>
              </w:rPr>
            </w:pPr>
            <w:r w:rsidRPr="00C17E74">
              <w:rPr>
                <w:rFonts w:eastAsia="Times New Roman" w:cstheme="minorHAnsi"/>
                <w:lang w:eastAsia="en-AU"/>
              </w:rPr>
              <w:t>Accommodation and Food Services</w:t>
            </w:r>
          </w:p>
        </w:tc>
        <w:tc>
          <w:tcPr>
            <w:tcW w:w="1559"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15</w:t>
            </w:r>
          </w:p>
        </w:tc>
        <w:tc>
          <w:tcPr>
            <w:tcW w:w="1701" w:type="dxa"/>
            <w:tcBorders>
              <w:top w:val="single" w:sz="12" w:space="0" w:color="auto"/>
              <w:left w:val="nil"/>
              <w:bottom w:val="single" w:sz="4"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w:t>
            </w:r>
          </w:p>
        </w:tc>
        <w:tc>
          <w:tcPr>
            <w:tcW w:w="1559" w:type="dxa"/>
            <w:tcBorders>
              <w:top w:val="single" w:sz="12" w:space="0" w:color="auto"/>
              <w:left w:val="single" w:sz="12"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b/>
                <w:bCs/>
                <w:color w:val="000000"/>
                <w:sz w:val="20"/>
                <w:szCs w:val="20"/>
              </w:rPr>
              <w:t>121</w:t>
            </w:r>
          </w:p>
        </w:tc>
        <w:tc>
          <w:tcPr>
            <w:tcW w:w="1560" w:type="dxa"/>
            <w:tcBorders>
              <w:top w:val="single" w:sz="12" w:space="0" w:color="auto"/>
              <w:left w:val="nil"/>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w:t>
            </w:r>
          </w:p>
        </w:tc>
      </w:tr>
      <w:tr w:rsidR="00C17E74" w:rsidRPr="00C17E74" w:rsidTr="0053283A">
        <w:trPr>
          <w:trHeight w:val="349"/>
        </w:trPr>
        <w:tc>
          <w:tcPr>
            <w:tcW w:w="3119" w:type="dxa"/>
            <w:tcBorders>
              <w:top w:val="nil"/>
              <w:left w:val="single" w:sz="12" w:space="0" w:color="auto"/>
              <w:bottom w:val="single" w:sz="4" w:space="0" w:color="auto"/>
              <w:right w:val="single" w:sz="12" w:space="0" w:color="auto"/>
            </w:tcBorders>
            <w:shd w:val="clear" w:color="auto" w:fill="auto"/>
            <w:noWrap/>
            <w:vAlign w:val="center"/>
          </w:tcPr>
          <w:p w:rsidR="00C17E74" w:rsidRPr="00C17E74" w:rsidRDefault="00C17E74" w:rsidP="00C17E74">
            <w:pPr>
              <w:spacing w:line="240" w:lineRule="auto"/>
              <w:ind w:right="-1"/>
              <w:rPr>
                <w:rFonts w:eastAsia="Times New Roman" w:cstheme="minorHAnsi"/>
                <w:lang w:eastAsia="en-AU"/>
              </w:rPr>
            </w:pPr>
            <w:r w:rsidRPr="00C17E74">
              <w:rPr>
                <w:rFonts w:eastAsia="Times New Roman" w:cstheme="minorHAnsi"/>
                <w:lang w:eastAsia="en-AU"/>
              </w:rPr>
              <w:t>Administrative and Support Services</w:t>
            </w:r>
          </w:p>
        </w:tc>
        <w:tc>
          <w:tcPr>
            <w:tcW w:w="155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12</w:t>
            </w:r>
          </w:p>
        </w:tc>
        <w:tc>
          <w:tcPr>
            <w:tcW w:w="1701" w:type="dxa"/>
            <w:tcBorders>
              <w:top w:val="single" w:sz="4" w:space="0" w:color="auto"/>
              <w:left w:val="nil"/>
              <w:bottom w:val="single" w:sz="4"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b/>
                <w:bCs/>
                <w:color w:val="000000"/>
                <w:sz w:val="20"/>
                <w:szCs w:val="20"/>
              </w:rPr>
              <w:t>208</w:t>
            </w:r>
          </w:p>
        </w:tc>
        <w:tc>
          <w:tcPr>
            <w:tcW w:w="1560" w:type="dxa"/>
            <w:tcBorders>
              <w:top w:val="single" w:sz="4" w:space="0" w:color="auto"/>
              <w:left w:val="nil"/>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4%</w:t>
            </w:r>
          </w:p>
        </w:tc>
      </w:tr>
      <w:tr w:rsidR="00C17E74" w:rsidRPr="00C17E74" w:rsidTr="0053283A">
        <w:trPr>
          <w:trHeight w:val="349"/>
        </w:trPr>
        <w:tc>
          <w:tcPr>
            <w:tcW w:w="3119" w:type="dxa"/>
            <w:tcBorders>
              <w:top w:val="nil"/>
              <w:left w:val="single" w:sz="12" w:space="0" w:color="auto"/>
              <w:bottom w:val="single" w:sz="4" w:space="0" w:color="auto"/>
              <w:right w:val="single" w:sz="12" w:space="0" w:color="auto"/>
            </w:tcBorders>
            <w:shd w:val="clear" w:color="auto" w:fill="auto"/>
            <w:noWrap/>
            <w:vAlign w:val="center"/>
          </w:tcPr>
          <w:p w:rsidR="00C17E74" w:rsidRPr="00C17E74" w:rsidRDefault="00C17E74" w:rsidP="00C17E74">
            <w:pPr>
              <w:spacing w:line="240" w:lineRule="auto"/>
              <w:ind w:right="-1"/>
              <w:rPr>
                <w:rFonts w:eastAsia="Times New Roman" w:cstheme="minorHAnsi"/>
                <w:lang w:eastAsia="en-AU"/>
              </w:rPr>
            </w:pPr>
            <w:r w:rsidRPr="00C17E74">
              <w:rPr>
                <w:rFonts w:eastAsia="Times New Roman" w:cstheme="minorHAnsi"/>
                <w:lang w:eastAsia="en-AU"/>
              </w:rPr>
              <w:t>Agriculture, Forestry and Fishing</w:t>
            </w:r>
          </w:p>
        </w:tc>
        <w:tc>
          <w:tcPr>
            <w:tcW w:w="155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17</w:t>
            </w:r>
          </w:p>
        </w:tc>
        <w:tc>
          <w:tcPr>
            <w:tcW w:w="1701" w:type="dxa"/>
            <w:tcBorders>
              <w:top w:val="single" w:sz="4" w:space="0" w:color="auto"/>
              <w:left w:val="nil"/>
              <w:bottom w:val="single" w:sz="4"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b/>
                <w:bCs/>
                <w:color w:val="000000"/>
                <w:sz w:val="20"/>
                <w:szCs w:val="20"/>
              </w:rPr>
              <w:t>101</w:t>
            </w:r>
          </w:p>
        </w:tc>
        <w:tc>
          <w:tcPr>
            <w:tcW w:w="1560" w:type="dxa"/>
            <w:tcBorders>
              <w:top w:val="single" w:sz="4" w:space="0" w:color="auto"/>
              <w:left w:val="nil"/>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w:t>
            </w:r>
          </w:p>
        </w:tc>
      </w:tr>
      <w:tr w:rsidR="00C17E74" w:rsidRPr="00C17E74" w:rsidTr="0053283A">
        <w:trPr>
          <w:trHeight w:val="349"/>
        </w:trPr>
        <w:tc>
          <w:tcPr>
            <w:tcW w:w="3119" w:type="dxa"/>
            <w:tcBorders>
              <w:top w:val="nil"/>
              <w:left w:val="single" w:sz="12" w:space="0" w:color="auto"/>
              <w:bottom w:val="single" w:sz="4" w:space="0" w:color="auto"/>
              <w:right w:val="single" w:sz="12" w:space="0" w:color="auto"/>
            </w:tcBorders>
            <w:shd w:val="clear" w:color="auto" w:fill="auto"/>
            <w:noWrap/>
            <w:vAlign w:val="center"/>
          </w:tcPr>
          <w:p w:rsidR="00C17E74" w:rsidRPr="00C17E74" w:rsidRDefault="00C17E74" w:rsidP="00C17E74">
            <w:pPr>
              <w:spacing w:line="240" w:lineRule="auto"/>
              <w:ind w:right="-1"/>
              <w:rPr>
                <w:rFonts w:eastAsia="Times New Roman" w:cstheme="minorHAnsi"/>
                <w:lang w:eastAsia="en-AU"/>
              </w:rPr>
            </w:pPr>
            <w:r w:rsidRPr="00C17E74">
              <w:rPr>
                <w:rFonts w:eastAsia="Times New Roman" w:cstheme="minorHAnsi"/>
                <w:lang w:eastAsia="en-AU"/>
              </w:rPr>
              <w:t>Arts and Recreation Services</w:t>
            </w:r>
          </w:p>
        </w:tc>
        <w:tc>
          <w:tcPr>
            <w:tcW w:w="155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21</w:t>
            </w:r>
          </w:p>
        </w:tc>
        <w:tc>
          <w:tcPr>
            <w:tcW w:w="1701" w:type="dxa"/>
            <w:tcBorders>
              <w:top w:val="single" w:sz="4" w:space="0" w:color="auto"/>
              <w:left w:val="nil"/>
              <w:bottom w:val="single" w:sz="4"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4%</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b/>
                <w:bCs/>
                <w:color w:val="000000"/>
                <w:sz w:val="20"/>
                <w:szCs w:val="20"/>
              </w:rPr>
              <w:t>190</w:t>
            </w:r>
          </w:p>
        </w:tc>
        <w:tc>
          <w:tcPr>
            <w:tcW w:w="1560" w:type="dxa"/>
            <w:tcBorders>
              <w:top w:val="single" w:sz="4" w:space="0" w:color="auto"/>
              <w:left w:val="nil"/>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4%</w:t>
            </w:r>
          </w:p>
        </w:tc>
      </w:tr>
      <w:tr w:rsidR="00C17E74" w:rsidRPr="00C17E74" w:rsidTr="0053283A">
        <w:trPr>
          <w:trHeight w:val="349"/>
        </w:trPr>
        <w:tc>
          <w:tcPr>
            <w:tcW w:w="3119" w:type="dxa"/>
            <w:tcBorders>
              <w:top w:val="nil"/>
              <w:left w:val="single" w:sz="12" w:space="0" w:color="auto"/>
              <w:bottom w:val="single" w:sz="4" w:space="0" w:color="auto"/>
              <w:right w:val="single" w:sz="12" w:space="0" w:color="auto"/>
            </w:tcBorders>
            <w:shd w:val="clear" w:color="auto" w:fill="auto"/>
            <w:noWrap/>
            <w:vAlign w:val="center"/>
          </w:tcPr>
          <w:p w:rsidR="00C17E74" w:rsidRPr="00C17E74" w:rsidRDefault="00C17E74" w:rsidP="00C17E74">
            <w:pPr>
              <w:spacing w:line="240" w:lineRule="auto"/>
              <w:ind w:right="-1"/>
              <w:rPr>
                <w:rFonts w:eastAsia="Times New Roman" w:cstheme="minorHAnsi"/>
                <w:lang w:eastAsia="en-AU"/>
              </w:rPr>
            </w:pPr>
            <w:r w:rsidRPr="00C17E74">
              <w:rPr>
                <w:rFonts w:eastAsia="Times New Roman" w:cstheme="minorHAnsi"/>
                <w:lang w:eastAsia="en-AU"/>
              </w:rPr>
              <w:t>Construction</w:t>
            </w:r>
          </w:p>
        </w:tc>
        <w:tc>
          <w:tcPr>
            <w:tcW w:w="155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7</w:t>
            </w:r>
          </w:p>
        </w:tc>
        <w:tc>
          <w:tcPr>
            <w:tcW w:w="1701" w:type="dxa"/>
            <w:tcBorders>
              <w:top w:val="single" w:sz="4" w:space="0" w:color="auto"/>
              <w:left w:val="nil"/>
              <w:bottom w:val="single" w:sz="4"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b/>
                <w:bCs/>
                <w:color w:val="000000"/>
                <w:sz w:val="20"/>
                <w:szCs w:val="20"/>
              </w:rPr>
              <w:t>81</w:t>
            </w:r>
          </w:p>
        </w:tc>
        <w:tc>
          <w:tcPr>
            <w:tcW w:w="1560" w:type="dxa"/>
            <w:tcBorders>
              <w:top w:val="single" w:sz="4" w:space="0" w:color="auto"/>
              <w:left w:val="nil"/>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w:t>
            </w:r>
          </w:p>
        </w:tc>
      </w:tr>
      <w:tr w:rsidR="00C17E74" w:rsidRPr="00C17E74" w:rsidTr="0053283A">
        <w:trPr>
          <w:trHeight w:val="349"/>
        </w:trPr>
        <w:tc>
          <w:tcPr>
            <w:tcW w:w="3119" w:type="dxa"/>
            <w:tcBorders>
              <w:top w:val="nil"/>
              <w:left w:val="single" w:sz="12" w:space="0" w:color="auto"/>
              <w:bottom w:val="single" w:sz="4" w:space="0" w:color="auto"/>
              <w:right w:val="single" w:sz="12" w:space="0" w:color="auto"/>
            </w:tcBorders>
            <w:shd w:val="clear" w:color="auto" w:fill="auto"/>
            <w:noWrap/>
            <w:vAlign w:val="center"/>
          </w:tcPr>
          <w:p w:rsidR="00C17E74" w:rsidRPr="00C17E74" w:rsidRDefault="00C17E74" w:rsidP="00C17E74">
            <w:pPr>
              <w:spacing w:line="240" w:lineRule="auto"/>
              <w:ind w:right="-1"/>
              <w:rPr>
                <w:rFonts w:eastAsia="Times New Roman" w:cstheme="minorHAnsi"/>
                <w:lang w:eastAsia="en-AU"/>
              </w:rPr>
            </w:pPr>
            <w:r w:rsidRPr="00C17E74">
              <w:rPr>
                <w:rFonts w:eastAsia="Times New Roman" w:cstheme="minorHAnsi"/>
                <w:lang w:eastAsia="en-AU"/>
              </w:rPr>
              <w:t>Education and Training</w:t>
            </w:r>
          </w:p>
        </w:tc>
        <w:tc>
          <w:tcPr>
            <w:tcW w:w="155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245</w:t>
            </w:r>
          </w:p>
        </w:tc>
        <w:tc>
          <w:tcPr>
            <w:tcW w:w="1701" w:type="dxa"/>
            <w:tcBorders>
              <w:top w:val="single" w:sz="4" w:space="0" w:color="auto"/>
              <w:left w:val="nil"/>
              <w:bottom w:val="single" w:sz="4"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50%</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b/>
                <w:bCs/>
                <w:color w:val="000000"/>
                <w:sz w:val="20"/>
                <w:szCs w:val="20"/>
              </w:rPr>
              <w:t>2409</w:t>
            </w:r>
          </w:p>
        </w:tc>
        <w:tc>
          <w:tcPr>
            <w:tcW w:w="1560" w:type="dxa"/>
            <w:tcBorders>
              <w:top w:val="single" w:sz="4" w:space="0" w:color="auto"/>
              <w:left w:val="nil"/>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45%</w:t>
            </w:r>
          </w:p>
        </w:tc>
      </w:tr>
      <w:tr w:rsidR="00C17E74" w:rsidRPr="00C17E74" w:rsidTr="0053283A">
        <w:trPr>
          <w:trHeight w:val="349"/>
        </w:trPr>
        <w:tc>
          <w:tcPr>
            <w:tcW w:w="3119" w:type="dxa"/>
            <w:tcBorders>
              <w:top w:val="nil"/>
              <w:left w:val="single" w:sz="12" w:space="0" w:color="auto"/>
              <w:bottom w:val="single" w:sz="4" w:space="0" w:color="auto"/>
              <w:right w:val="single" w:sz="12" w:space="0" w:color="auto"/>
            </w:tcBorders>
            <w:shd w:val="clear" w:color="auto" w:fill="auto"/>
            <w:noWrap/>
            <w:vAlign w:val="center"/>
          </w:tcPr>
          <w:p w:rsidR="00C17E74" w:rsidRPr="00C17E74" w:rsidRDefault="00C17E74" w:rsidP="00C17E74">
            <w:pPr>
              <w:spacing w:line="240" w:lineRule="auto"/>
              <w:ind w:right="-1"/>
              <w:rPr>
                <w:rFonts w:eastAsia="Times New Roman" w:cstheme="minorHAnsi"/>
                <w:lang w:eastAsia="en-AU"/>
              </w:rPr>
            </w:pPr>
            <w:r w:rsidRPr="00C17E74">
              <w:rPr>
                <w:rFonts w:eastAsia="Times New Roman" w:cstheme="minorHAnsi"/>
                <w:lang w:eastAsia="en-AU"/>
              </w:rPr>
              <w:t>Electricity, Gas, Water and Waste Services</w:t>
            </w:r>
          </w:p>
        </w:tc>
        <w:tc>
          <w:tcPr>
            <w:tcW w:w="155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0</w:t>
            </w:r>
          </w:p>
        </w:tc>
        <w:tc>
          <w:tcPr>
            <w:tcW w:w="1701" w:type="dxa"/>
            <w:tcBorders>
              <w:top w:val="single" w:sz="4" w:space="0" w:color="auto"/>
              <w:left w:val="nil"/>
              <w:bottom w:val="single" w:sz="4"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0%</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b/>
                <w:bCs/>
                <w:color w:val="000000"/>
                <w:sz w:val="20"/>
                <w:szCs w:val="20"/>
              </w:rPr>
              <w:t>23</w:t>
            </w:r>
          </w:p>
        </w:tc>
        <w:tc>
          <w:tcPr>
            <w:tcW w:w="1560" w:type="dxa"/>
            <w:tcBorders>
              <w:top w:val="single" w:sz="4" w:space="0" w:color="auto"/>
              <w:left w:val="nil"/>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0%</w:t>
            </w:r>
          </w:p>
        </w:tc>
      </w:tr>
      <w:tr w:rsidR="00C17E74" w:rsidRPr="00C17E74" w:rsidTr="0053283A">
        <w:trPr>
          <w:trHeight w:val="349"/>
        </w:trPr>
        <w:tc>
          <w:tcPr>
            <w:tcW w:w="3119" w:type="dxa"/>
            <w:tcBorders>
              <w:top w:val="nil"/>
              <w:left w:val="single" w:sz="12" w:space="0" w:color="auto"/>
              <w:bottom w:val="single" w:sz="4" w:space="0" w:color="auto"/>
              <w:right w:val="single" w:sz="12" w:space="0" w:color="auto"/>
            </w:tcBorders>
            <w:shd w:val="clear" w:color="auto" w:fill="auto"/>
            <w:noWrap/>
            <w:vAlign w:val="center"/>
          </w:tcPr>
          <w:p w:rsidR="00C17E74" w:rsidRPr="00C17E74" w:rsidRDefault="00C17E74" w:rsidP="00C17E74">
            <w:pPr>
              <w:spacing w:line="240" w:lineRule="auto"/>
              <w:ind w:right="-1"/>
              <w:rPr>
                <w:rFonts w:eastAsia="Times New Roman" w:cstheme="minorHAnsi"/>
                <w:lang w:eastAsia="en-AU"/>
              </w:rPr>
            </w:pPr>
            <w:r w:rsidRPr="00C17E74">
              <w:rPr>
                <w:rFonts w:eastAsia="Times New Roman" w:cstheme="minorHAnsi"/>
                <w:lang w:eastAsia="en-AU"/>
              </w:rPr>
              <w:t>Financial and Insurance Services</w:t>
            </w:r>
          </w:p>
        </w:tc>
        <w:tc>
          <w:tcPr>
            <w:tcW w:w="155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0</w:t>
            </w:r>
          </w:p>
        </w:tc>
        <w:tc>
          <w:tcPr>
            <w:tcW w:w="1701" w:type="dxa"/>
            <w:tcBorders>
              <w:top w:val="single" w:sz="4" w:space="0" w:color="auto"/>
              <w:left w:val="nil"/>
              <w:bottom w:val="single" w:sz="4"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0%</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b/>
                <w:bCs/>
                <w:color w:val="000000"/>
                <w:sz w:val="20"/>
                <w:szCs w:val="20"/>
              </w:rPr>
              <w:t>55</w:t>
            </w:r>
          </w:p>
        </w:tc>
        <w:tc>
          <w:tcPr>
            <w:tcW w:w="1560" w:type="dxa"/>
            <w:tcBorders>
              <w:top w:val="single" w:sz="4" w:space="0" w:color="auto"/>
              <w:left w:val="nil"/>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w:t>
            </w:r>
          </w:p>
        </w:tc>
      </w:tr>
      <w:tr w:rsidR="00C17E74" w:rsidRPr="00C17E74" w:rsidTr="0053283A">
        <w:trPr>
          <w:trHeight w:val="349"/>
        </w:trPr>
        <w:tc>
          <w:tcPr>
            <w:tcW w:w="3119" w:type="dxa"/>
            <w:tcBorders>
              <w:top w:val="nil"/>
              <w:left w:val="single" w:sz="12" w:space="0" w:color="auto"/>
              <w:bottom w:val="single" w:sz="4" w:space="0" w:color="auto"/>
              <w:right w:val="single" w:sz="12" w:space="0" w:color="auto"/>
            </w:tcBorders>
            <w:shd w:val="clear" w:color="auto" w:fill="auto"/>
            <w:noWrap/>
            <w:vAlign w:val="center"/>
          </w:tcPr>
          <w:p w:rsidR="00C17E74" w:rsidRPr="00C17E74" w:rsidRDefault="00C17E74" w:rsidP="00C17E74">
            <w:pPr>
              <w:spacing w:line="240" w:lineRule="auto"/>
              <w:ind w:right="-1"/>
              <w:rPr>
                <w:rFonts w:eastAsia="Times New Roman" w:cstheme="minorHAnsi"/>
                <w:lang w:eastAsia="en-AU"/>
              </w:rPr>
            </w:pPr>
            <w:r w:rsidRPr="00C17E74">
              <w:rPr>
                <w:rFonts w:eastAsia="Times New Roman" w:cstheme="minorHAnsi"/>
                <w:lang w:eastAsia="en-AU"/>
              </w:rPr>
              <w:t>Health Care and Social Assistance</w:t>
            </w:r>
          </w:p>
        </w:tc>
        <w:tc>
          <w:tcPr>
            <w:tcW w:w="155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61</w:t>
            </w:r>
          </w:p>
        </w:tc>
        <w:tc>
          <w:tcPr>
            <w:tcW w:w="1701" w:type="dxa"/>
            <w:tcBorders>
              <w:top w:val="single" w:sz="4" w:space="0" w:color="auto"/>
              <w:left w:val="nil"/>
              <w:bottom w:val="single" w:sz="4"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12%</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b/>
                <w:bCs/>
                <w:color w:val="000000"/>
                <w:sz w:val="20"/>
                <w:szCs w:val="20"/>
              </w:rPr>
              <w:t>703</w:t>
            </w:r>
          </w:p>
        </w:tc>
        <w:tc>
          <w:tcPr>
            <w:tcW w:w="1560" w:type="dxa"/>
            <w:tcBorders>
              <w:top w:val="single" w:sz="4" w:space="0" w:color="auto"/>
              <w:left w:val="nil"/>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13%</w:t>
            </w:r>
          </w:p>
        </w:tc>
      </w:tr>
      <w:tr w:rsidR="00C17E74" w:rsidRPr="00C17E74" w:rsidTr="0053283A">
        <w:trPr>
          <w:trHeight w:val="349"/>
        </w:trPr>
        <w:tc>
          <w:tcPr>
            <w:tcW w:w="3119" w:type="dxa"/>
            <w:tcBorders>
              <w:top w:val="nil"/>
              <w:left w:val="single" w:sz="12" w:space="0" w:color="auto"/>
              <w:bottom w:val="single" w:sz="4" w:space="0" w:color="auto"/>
              <w:right w:val="single" w:sz="12" w:space="0" w:color="auto"/>
            </w:tcBorders>
            <w:shd w:val="clear" w:color="auto" w:fill="auto"/>
            <w:noWrap/>
            <w:vAlign w:val="center"/>
          </w:tcPr>
          <w:p w:rsidR="00C17E74" w:rsidRPr="00C17E74" w:rsidRDefault="00C17E74" w:rsidP="00C17E74">
            <w:pPr>
              <w:spacing w:line="240" w:lineRule="auto"/>
              <w:ind w:right="-1"/>
              <w:rPr>
                <w:rFonts w:eastAsia="Times New Roman" w:cstheme="minorHAnsi"/>
                <w:lang w:eastAsia="en-AU"/>
              </w:rPr>
            </w:pPr>
            <w:r w:rsidRPr="00C17E74">
              <w:rPr>
                <w:rFonts w:eastAsia="Times New Roman" w:cstheme="minorHAnsi"/>
                <w:lang w:eastAsia="en-AU"/>
              </w:rPr>
              <w:t>Information Media and Telecommunications</w:t>
            </w:r>
          </w:p>
        </w:tc>
        <w:tc>
          <w:tcPr>
            <w:tcW w:w="155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6</w:t>
            </w:r>
          </w:p>
        </w:tc>
        <w:tc>
          <w:tcPr>
            <w:tcW w:w="1701" w:type="dxa"/>
            <w:tcBorders>
              <w:top w:val="single" w:sz="4" w:space="0" w:color="auto"/>
              <w:left w:val="nil"/>
              <w:bottom w:val="single" w:sz="4"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b/>
                <w:bCs/>
                <w:color w:val="000000"/>
                <w:sz w:val="20"/>
                <w:szCs w:val="20"/>
              </w:rPr>
              <w:t>65</w:t>
            </w:r>
          </w:p>
        </w:tc>
        <w:tc>
          <w:tcPr>
            <w:tcW w:w="1560" w:type="dxa"/>
            <w:tcBorders>
              <w:top w:val="single" w:sz="4" w:space="0" w:color="auto"/>
              <w:left w:val="nil"/>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w:t>
            </w:r>
          </w:p>
        </w:tc>
      </w:tr>
      <w:tr w:rsidR="00C17E74" w:rsidRPr="00C17E74" w:rsidTr="0053283A">
        <w:trPr>
          <w:trHeight w:val="349"/>
        </w:trPr>
        <w:tc>
          <w:tcPr>
            <w:tcW w:w="3119" w:type="dxa"/>
            <w:tcBorders>
              <w:top w:val="nil"/>
              <w:left w:val="single" w:sz="12" w:space="0" w:color="auto"/>
              <w:bottom w:val="single" w:sz="4" w:space="0" w:color="auto"/>
              <w:right w:val="single" w:sz="12" w:space="0" w:color="auto"/>
            </w:tcBorders>
            <w:shd w:val="clear" w:color="auto" w:fill="auto"/>
            <w:noWrap/>
            <w:vAlign w:val="center"/>
          </w:tcPr>
          <w:p w:rsidR="00C17E74" w:rsidRPr="00C17E74" w:rsidRDefault="00C17E74" w:rsidP="00C17E74">
            <w:pPr>
              <w:spacing w:line="240" w:lineRule="auto"/>
              <w:ind w:right="-1"/>
              <w:rPr>
                <w:rFonts w:eastAsia="Times New Roman" w:cstheme="minorHAnsi"/>
                <w:lang w:eastAsia="en-AU"/>
              </w:rPr>
            </w:pPr>
            <w:r w:rsidRPr="00C17E74">
              <w:rPr>
                <w:rFonts w:eastAsia="Times New Roman" w:cstheme="minorHAnsi"/>
                <w:lang w:eastAsia="en-AU"/>
              </w:rPr>
              <w:t>Manufacturing</w:t>
            </w:r>
          </w:p>
        </w:tc>
        <w:tc>
          <w:tcPr>
            <w:tcW w:w="155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6</w:t>
            </w:r>
          </w:p>
        </w:tc>
        <w:tc>
          <w:tcPr>
            <w:tcW w:w="1701" w:type="dxa"/>
            <w:tcBorders>
              <w:top w:val="single" w:sz="4" w:space="0" w:color="auto"/>
              <w:left w:val="nil"/>
              <w:bottom w:val="single" w:sz="4"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b/>
                <w:bCs/>
                <w:color w:val="000000"/>
                <w:sz w:val="20"/>
                <w:szCs w:val="20"/>
              </w:rPr>
              <w:t>77</w:t>
            </w:r>
          </w:p>
        </w:tc>
        <w:tc>
          <w:tcPr>
            <w:tcW w:w="1560" w:type="dxa"/>
            <w:tcBorders>
              <w:top w:val="single" w:sz="4" w:space="0" w:color="auto"/>
              <w:left w:val="nil"/>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w:t>
            </w:r>
          </w:p>
        </w:tc>
      </w:tr>
      <w:tr w:rsidR="00C17E74" w:rsidRPr="00C17E74" w:rsidTr="0053283A">
        <w:trPr>
          <w:trHeight w:val="349"/>
        </w:trPr>
        <w:tc>
          <w:tcPr>
            <w:tcW w:w="3119" w:type="dxa"/>
            <w:tcBorders>
              <w:top w:val="nil"/>
              <w:left w:val="single" w:sz="12" w:space="0" w:color="auto"/>
              <w:bottom w:val="single" w:sz="4" w:space="0" w:color="auto"/>
              <w:right w:val="single" w:sz="12" w:space="0" w:color="auto"/>
            </w:tcBorders>
            <w:shd w:val="clear" w:color="auto" w:fill="auto"/>
            <w:noWrap/>
            <w:vAlign w:val="center"/>
          </w:tcPr>
          <w:p w:rsidR="00C17E74" w:rsidRPr="00C17E74" w:rsidRDefault="00C17E74" w:rsidP="00C17E74">
            <w:pPr>
              <w:spacing w:line="240" w:lineRule="auto"/>
              <w:ind w:right="-1"/>
              <w:rPr>
                <w:rFonts w:eastAsia="Times New Roman" w:cstheme="minorHAnsi"/>
                <w:lang w:eastAsia="en-AU"/>
              </w:rPr>
            </w:pPr>
            <w:r w:rsidRPr="00C17E74">
              <w:rPr>
                <w:rFonts w:eastAsia="Times New Roman" w:cstheme="minorHAnsi"/>
                <w:lang w:eastAsia="en-AU"/>
              </w:rPr>
              <w:t>Mining</w:t>
            </w:r>
          </w:p>
        </w:tc>
        <w:tc>
          <w:tcPr>
            <w:tcW w:w="155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w:t>
            </w:r>
          </w:p>
        </w:tc>
        <w:tc>
          <w:tcPr>
            <w:tcW w:w="1701" w:type="dxa"/>
            <w:tcBorders>
              <w:top w:val="single" w:sz="4" w:space="0" w:color="auto"/>
              <w:left w:val="nil"/>
              <w:bottom w:val="single" w:sz="4"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b/>
                <w:bCs/>
                <w:color w:val="000000"/>
                <w:sz w:val="20"/>
                <w:szCs w:val="20"/>
              </w:rPr>
              <w:t>60</w:t>
            </w:r>
          </w:p>
        </w:tc>
        <w:tc>
          <w:tcPr>
            <w:tcW w:w="1560" w:type="dxa"/>
            <w:tcBorders>
              <w:top w:val="single" w:sz="4" w:space="0" w:color="auto"/>
              <w:left w:val="nil"/>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w:t>
            </w:r>
          </w:p>
        </w:tc>
      </w:tr>
      <w:tr w:rsidR="00C17E74" w:rsidRPr="00C17E74" w:rsidTr="0053283A">
        <w:trPr>
          <w:trHeight w:val="349"/>
        </w:trPr>
        <w:tc>
          <w:tcPr>
            <w:tcW w:w="3119" w:type="dxa"/>
            <w:tcBorders>
              <w:top w:val="nil"/>
              <w:left w:val="single" w:sz="12" w:space="0" w:color="auto"/>
              <w:bottom w:val="single" w:sz="4" w:space="0" w:color="auto"/>
              <w:right w:val="single" w:sz="12" w:space="0" w:color="auto"/>
            </w:tcBorders>
            <w:shd w:val="clear" w:color="auto" w:fill="auto"/>
            <w:noWrap/>
            <w:vAlign w:val="center"/>
          </w:tcPr>
          <w:p w:rsidR="00C17E74" w:rsidRPr="00C17E74" w:rsidRDefault="00C17E74" w:rsidP="00C17E74">
            <w:pPr>
              <w:spacing w:line="240" w:lineRule="auto"/>
              <w:ind w:right="-1"/>
              <w:rPr>
                <w:rFonts w:eastAsia="Times New Roman" w:cstheme="minorHAnsi"/>
                <w:lang w:eastAsia="en-AU"/>
              </w:rPr>
            </w:pPr>
            <w:r w:rsidRPr="00C17E74">
              <w:rPr>
                <w:rFonts w:eastAsia="Times New Roman" w:cstheme="minorHAnsi"/>
                <w:lang w:eastAsia="en-AU"/>
              </w:rPr>
              <w:t>Other Services</w:t>
            </w:r>
          </w:p>
        </w:tc>
        <w:tc>
          <w:tcPr>
            <w:tcW w:w="155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68</w:t>
            </w:r>
          </w:p>
        </w:tc>
        <w:tc>
          <w:tcPr>
            <w:tcW w:w="1701" w:type="dxa"/>
            <w:tcBorders>
              <w:top w:val="single" w:sz="4" w:space="0" w:color="auto"/>
              <w:left w:val="nil"/>
              <w:bottom w:val="single" w:sz="4"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14%</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b/>
                <w:bCs/>
                <w:color w:val="000000"/>
                <w:sz w:val="20"/>
                <w:szCs w:val="20"/>
              </w:rPr>
              <w:t>724</w:t>
            </w:r>
          </w:p>
        </w:tc>
        <w:tc>
          <w:tcPr>
            <w:tcW w:w="1560" w:type="dxa"/>
            <w:tcBorders>
              <w:top w:val="single" w:sz="4" w:space="0" w:color="auto"/>
              <w:left w:val="nil"/>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14%</w:t>
            </w:r>
          </w:p>
        </w:tc>
      </w:tr>
      <w:tr w:rsidR="00C17E74" w:rsidRPr="00C17E74" w:rsidTr="0053283A">
        <w:trPr>
          <w:trHeight w:val="349"/>
        </w:trPr>
        <w:tc>
          <w:tcPr>
            <w:tcW w:w="3119" w:type="dxa"/>
            <w:tcBorders>
              <w:top w:val="nil"/>
              <w:left w:val="single" w:sz="12" w:space="0" w:color="auto"/>
              <w:bottom w:val="single" w:sz="4" w:space="0" w:color="auto"/>
              <w:right w:val="single" w:sz="12" w:space="0" w:color="auto"/>
            </w:tcBorders>
            <w:shd w:val="clear" w:color="auto" w:fill="auto"/>
            <w:noWrap/>
            <w:vAlign w:val="center"/>
          </w:tcPr>
          <w:p w:rsidR="00C17E74" w:rsidRPr="00C17E74" w:rsidRDefault="00C17E74" w:rsidP="00C17E74">
            <w:pPr>
              <w:spacing w:line="240" w:lineRule="auto"/>
              <w:ind w:right="-1"/>
              <w:rPr>
                <w:rFonts w:eastAsia="Times New Roman" w:cstheme="minorHAnsi"/>
                <w:lang w:eastAsia="en-AU"/>
              </w:rPr>
            </w:pPr>
            <w:r w:rsidRPr="00C17E74">
              <w:rPr>
                <w:rFonts w:eastAsia="Times New Roman" w:cstheme="minorHAnsi"/>
                <w:lang w:eastAsia="en-AU"/>
              </w:rPr>
              <w:t>Professional, Scientific and Technical Services</w:t>
            </w:r>
          </w:p>
        </w:tc>
        <w:tc>
          <w:tcPr>
            <w:tcW w:w="155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w:t>
            </w:r>
          </w:p>
        </w:tc>
        <w:tc>
          <w:tcPr>
            <w:tcW w:w="1701" w:type="dxa"/>
            <w:tcBorders>
              <w:top w:val="single" w:sz="4" w:space="0" w:color="auto"/>
              <w:left w:val="nil"/>
              <w:bottom w:val="single" w:sz="4"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0%</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b/>
                <w:bCs/>
                <w:color w:val="000000"/>
                <w:sz w:val="20"/>
                <w:szCs w:val="20"/>
              </w:rPr>
              <w:t>67</w:t>
            </w:r>
          </w:p>
        </w:tc>
        <w:tc>
          <w:tcPr>
            <w:tcW w:w="1560" w:type="dxa"/>
            <w:tcBorders>
              <w:top w:val="single" w:sz="4" w:space="0" w:color="auto"/>
              <w:left w:val="nil"/>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w:t>
            </w:r>
          </w:p>
        </w:tc>
      </w:tr>
      <w:tr w:rsidR="00C17E74" w:rsidRPr="00C17E74" w:rsidTr="0053283A">
        <w:trPr>
          <w:trHeight w:val="349"/>
        </w:trPr>
        <w:tc>
          <w:tcPr>
            <w:tcW w:w="3119" w:type="dxa"/>
            <w:tcBorders>
              <w:top w:val="nil"/>
              <w:left w:val="single" w:sz="12" w:space="0" w:color="auto"/>
              <w:bottom w:val="single" w:sz="4" w:space="0" w:color="auto"/>
              <w:right w:val="single" w:sz="12" w:space="0" w:color="auto"/>
            </w:tcBorders>
            <w:shd w:val="clear" w:color="auto" w:fill="auto"/>
            <w:noWrap/>
            <w:vAlign w:val="center"/>
          </w:tcPr>
          <w:p w:rsidR="00C17E74" w:rsidRPr="00C17E74" w:rsidRDefault="00C17E74" w:rsidP="00C17E74">
            <w:pPr>
              <w:spacing w:line="240" w:lineRule="auto"/>
              <w:ind w:right="-1"/>
              <w:rPr>
                <w:rFonts w:eastAsia="Times New Roman" w:cstheme="minorHAnsi"/>
                <w:lang w:eastAsia="en-AU"/>
              </w:rPr>
            </w:pPr>
            <w:r w:rsidRPr="00C17E74">
              <w:rPr>
                <w:rFonts w:eastAsia="Times New Roman" w:cstheme="minorHAnsi"/>
                <w:lang w:eastAsia="en-AU"/>
              </w:rPr>
              <w:t>Public Administration and Safety</w:t>
            </w:r>
          </w:p>
        </w:tc>
        <w:tc>
          <w:tcPr>
            <w:tcW w:w="155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14</w:t>
            </w:r>
          </w:p>
        </w:tc>
        <w:tc>
          <w:tcPr>
            <w:tcW w:w="1701" w:type="dxa"/>
            <w:tcBorders>
              <w:top w:val="single" w:sz="4" w:space="0" w:color="auto"/>
              <w:left w:val="nil"/>
              <w:bottom w:val="single" w:sz="4"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b/>
                <w:bCs/>
                <w:color w:val="000000"/>
                <w:sz w:val="20"/>
                <w:szCs w:val="20"/>
              </w:rPr>
              <w:t>232</w:t>
            </w:r>
          </w:p>
        </w:tc>
        <w:tc>
          <w:tcPr>
            <w:tcW w:w="1560" w:type="dxa"/>
            <w:tcBorders>
              <w:top w:val="single" w:sz="4" w:space="0" w:color="auto"/>
              <w:left w:val="nil"/>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4%</w:t>
            </w:r>
          </w:p>
        </w:tc>
      </w:tr>
      <w:tr w:rsidR="00C17E74" w:rsidRPr="00C17E74" w:rsidTr="0053283A">
        <w:trPr>
          <w:trHeight w:val="349"/>
        </w:trPr>
        <w:tc>
          <w:tcPr>
            <w:tcW w:w="3119" w:type="dxa"/>
            <w:tcBorders>
              <w:top w:val="nil"/>
              <w:left w:val="single" w:sz="12" w:space="0" w:color="auto"/>
              <w:bottom w:val="single" w:sz="4" w:space="0" w:color="auto"/>
              <w:right w:val="single" w:sz="12" w:space="0" w:color="auto"/>
            </w:tcBorders>
            <w:shd w:val="clear" w:color="auto" w:fill="auto"/>
            <w:noWrap/>
            <w:vAlign w:val="center"/>
          </w:tcPr>
          <w:p w:rsidR="00C17E74" w:rsidRPr="00C17E74" w:rsidRDefault="00C17E74" w:rsidP="00C17E74">
            <w:pPr>
              <w:spacing w:line="240" w:lineRule="auto"/>
              <w:ind w:right="-1"/>
              <w:rPr>
                <w:rFonts w:eastAsia="Times New Roman" w:cstheme="minorHAnsi"/>
                <w:lang w:eastAsia="en-AU"/>
              </w:rPr>
            </w:pPr>
            <w:r w:rsidRPr="00C17E74">
              <w:rPr>
                <w:rFonts w:eastAsia="Times New Roman" w:cstheme="minorHAnsi"/>
                <w:lang w:eastAsia="en-AU"/>
              </w:rPr>
              <w:t>Rental, Hiring and Real Estate Services</w:t>
            </w:r>
          </w:p>
        </w:tc>
        <w:tc>
          <w:tcPr>
            <w:tcW w:w="155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w:t>
            </w:r>
          </w:p>
        </w:tc>
        <w:tc>
          <w:tcPr>
            <w:tcW w:w="1701" w:type="dxa"/>
            <w:tcBorders>
              <w:top w:val="single" w:sz="4" w:space="0" w:color="auto"/>
              <w:left w:val="nil"/>
              <w:bottom w:val="single" w:sz="4"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0%</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b/>
                <w:bCs/>
                <w:color w:val="000000"/>
                <w:sz w:val="20"/>
                <w:szCs w:val="20"/>
              </w:rPr>
              <w:t>10</w:t>
            </w:r>
          </w:p>
        </w:tc>
        <w:tc>
          <w:tcPr>
            <w:tcW w:w="1560" w:type="dxa"/>
            <w:tcBorders>
              <w:top w:val="single" w:sz="4" w:space="0" w:color="auto"/>
              <w:left w:val="nil"/>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0%</w:t>
            </w:r>
          </w:p>
        </w:tc>
      </w:tr>
      <w:tr w:rsidR="00C17E74" w:rsidRPr="00C17E74" w:rsidTr="0053283A">
        <w:trPr>
          <w:trHeight w:val="349"/>
        </w:trPr>
        <w:tc>
          <w:tcPr>
            <w:tcW w:w="3119" w:type="dxa"/>
            <w:tcBorders>
              <w:top w:val="nil"/>
              <w:left w:val="single" w:sz="12" w:space="0" w:color="auto"/>
              <w:bottom w:val="single" w:sz="8" w:space="0" w:color="auto"/>
              <w:right w:val="single" w:sz="12" w:space="0" w:color="auto"/>
            </w:tcBorders>
            <w:shd w:val="clear" w:color="auto" w:fill="auto"/>
            <w:noWrap/>
            <w:vAlign w:val="center"/>
          </w:tcPr>
          <w:p w:rsidR="00C17E74" w:rsidRPr="00C17E74" w:rsidRDefault="00C17E74" w:rsidP="00C17E74">
            <w:pPr>
              <w:spacing w:line="240" w:lineRule="auto"/>
              <w:ind w:right="-1"/>
              <w:rPr>
                <w:rFonts w:eastAsia="Times New Roman" w:cstheme="minorHAnsi"/>
                <w:lang w:eastAsia="en-AU"/>
              </w:rPr>
            </w:pPr>
            <w:r w:rsidRPr="00C17E74">
              <w:rPr>
                <w:rFonts w:eastAsia="Times New Roman" w:cstheme="minorHAnsi"/>
                <w:lang w:eastAsia="en-AU"/>
              </w:rPr>
              <w:t>Retail Trade</w:t>
            </w:r>
          </w:p>
        </w:tc>
        <w:tc>
          <w:tcPr>
            <w:tcW w:w="155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7</w:t>
            </w:r>
          </w:p>
        </w:tc>
        <w:tc>
          <w:tcPr>
            <w:tcW w:w="1701" w:type="dxa"/>
            <w:tcBorders>
              <w:top w:val="single" w:sz="4" w:space="0" w:color="auto"/>
              <w:left w:val="nil"/>
              <w:bottom w:val="single" w:sz="4"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b/>
                <w:bCs/>
                <w:color w:val="000000"/>
                <w:sz w:val="20"/>
                <w:szCs w:val="20"/>
              </w:rPr>
              <w:t>113</w:t>
            </w:r>
          </w:p>
        </w:tc>
        <w:tc>
          <w:tcPr>
            <w:tcW w:w="1560" w:type="dxa"/>
            <w:tcBorders>
              <w:top w:val="single" w:sz="4" w:space="0" w:color="auto"/>
              <w:left w:val="nil"/>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w:t>
            </w:r>
          </w:p>
        </w:tc>
      </w:tr>
      <w:tr w:rsidR="00C17E74" w:rsidRPr="00C17E74" w:rsidTr="0053283A">
        <w:trPr>
          <w:trHeight w:val="349"/>
        </w:trPr>
        <w:tc>
          <w:tcPr>
            <w:tcW w:w="3119" w:type="dxa"/>
            <w:tcBorders>
              <w:top w:val="single" w:sz="8" w:space="0" w:color="auto"/>
              <w:left w:val="single" w:sz="12" w:space="0" w:color="auto"/>
              <w:bottom w:val="single" w:sz="4" w:space="0" w:color="auto"/>
              <w:right w:val="single" w:sz="12" w:space="0" w:color="auto"/>
            </w:tcBorders>
            <w:shd w:val="clear" w:color="auto" w:fill="auto"/>
            <w:noWrap/>
            <w:vAlign w:val="center"/>
          </w:tcPr>
          <w:p w:rsidR="00C17E74" w:rsidRPr="00C17E74" w:rsidRDefault="00C17E74" w:rsidP="00C17E74">
            <w:pPr>
              <w:spacing w:line="240" w:lineRule="auto"/>
              <w:ind w:right="-1"/>
              <w:rPr>
                <w:rFonts w:eastAsia="Times New Roman" w:cstheme="minorHAnsi"/>
                <w:lang w:eastAsia="en-AU"/>
              </w:rPr>
            </w:pPr>
            <w:r w:rsidRPr="00C17E74">
              <w:rPr>
                <w:rFonts w:eastAsia="Times New Roman" w:cstheme="minorHAnsi"/>
                <w:lang w:eastAsia="en-AU"/>
              </w:rPr>
              <w:t>Transport, Postal and Warehousing</w:t>
            </w:r>
          </w:p>
        </w:tc>
        <w:tc>
          <w:tcPr>
            <w:tcW w:w="155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7</w:t>
            </w:r>
          </w:p>
        </w:tc>
        <w:tc>
          <w:tcPr>
            <w:tcW w:w="1701" w:type="dxa"/>
            <w:tcBorders>
              <w:top w:val="single" w:sz="4" w:space="0" w:color="auto"/>
              <w:left w:val="nil"/>
              <w:bottom w:val="single" w:sz="4"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b/>
                <w:bCs/>
                <w:color w:val="000000"/>
                <w:sz w:val="20"/>
                <w:szCs w:val="20"/>
              </w:rPr>
              <w:t>65</w:t>
            </w:r>
          </w:p>
        </w:tc>
        <w:tc>
          <w:tcPr>
            <w:tcW w:w="1560" w:type="dxa"/>
            <w:tcBorders>
              <w:top w:val="single" w:sz="4" w:space="0" w:color="auto"/>
              <w:left w:val="nil"/>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w:t>
            </w:r>
          </w:p>
        </w:tc>
      </w:tr>
      <w:tr w:rsidR="00C17E74" w:rsidRPr="00C17E74" w:rsidTr="0053283A">
        <w:trPr>
          <w:trHeight w:val="349"/>
        </w:trPr>
        <w:tc>
          <w:tcPr>
            <w:tcW w:w="3119" w:type="dxa"/>
            <w:tcBorders>
              <w:top w:val="nil"/>
              <w:left w:val="single" w:sz="12" w:space="0" w:color="auto"/>
              <w:bottom w:val="single" w:sz="12" w:space="0" w:color="auto"/>
              <w:right w:val="single" w:sz="12" w:space="0" w:color="auto"/>
            </w:tcBorders>
            <w:shd w:val="clear" w:color="auto" w:fill="auto"/>
            <w:noWrap/>
            <w:vAlign w:val="center"/>
          </w:tcPr>
          <w:p w:rsidR="00C17E74" w:rsidRPr="00C17E74" w:rsidRDefault="00C17E74" w:rsidP="00C17E74">
            <w:pPr>
              <w:spacing w:line="240" w:lineRule="auto"/>
              <w:ind w:right="-1"/>
              <w:rPr>
                <w:rFonts w:eastAsia="Times New Roman" w:cstheme="minorHAnsi"/>
                <w:lang w:eastAsia="en-AU"/>
              </w:rPr>
            </w:pPr>
            <w:r w:rsidRPr="00C17E74">
              <w:rPr>
                <w:rFonts w:eastAsia="Times New Roman" w:cstheme="minorHAnsi"/>
                <w:lang w:eastAsia="en-AU"/>
              </w:rPr>
              <w:t>Wholesale Trade</w:t>
            </w:r>
          </w:p>
        </w:tc>
        <w:tc>
          <w:tcPr>
            <w:tcW w:w="1559"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0</w:t>
            </w:r>
          </w:p>
        </w:tc>
        <w:tc>
          <w:tcPr>
            <w:tcW w:w="1701" w:type="dxa"/>
            <w:tcBorders>
              <w:top w:val="single" w:sz="4" w:space="0" w:color="auto"/>
              <w:left w:val="nil"/>
              <w:bottom w:val="single" w:sz="12"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0%</w:t>
            </w:r>
          </w:p>
        </w:tc>
        <w:tc>
          <w:tcPr>
            <w:tcW w:w="1559" w:type="dxa"/>
            <w:tcBorders>
              <w:top w:val="single" w:sz="4" w:space="0" w:color="auto"/>
              <w:left w:val="single" w:sz="12" w:space="0" w:color="auto"/>
              <w:bottom w:val="single" w:sz="12"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b/>
                <w:bCs/>
                <w:color w:val="000000"/>
                <w:sz w:val="20"/>
                <w:szCs w:val="20"/>
              </w:rPr>
              <w:t>4</w:t>
            </w:r>
          </w:p>
        </w:tc>
        <w:tc>
          <w:tcPr>
            <w:tcW w:w="1560" w:type="dxa"/>
            <w:tcBorders>
              <w:top w:val="single" w:sz="4" w:space="0" w:color="auto"/>
              <w:left w:val="nil"/>
              <w:bottom w:val="single" w:sz="12"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0%</w:t>
            </w:r>
          </w:p>
        </w:tc>
      </w:tr>
      <w:tr w:rsidR="00C17E74" w:rsidRPr="00C17E74" w:rsidTr="0053283A">
        <w:trPr>
          <w:trHeight w:val="349"/>
        </w:trPr>
        <w:tc>
          <w:tcPr>
            <w:tcW w:w="3119" w:type="dxa"/>
            <w:tcBorders>
              <w:top w:val="single" w:sz="12" w:space="0" w:color="auto"/>
              <w:left w:val="single" w:sz="12" w:space="0" w:color="auto"/>
              <w:bottom w:val="single" w:sz="12" w:space="0" w:color="auto"/>
              <w:right w:val="single" w:sz="12" w:space="0" w:color="auto"/>
            </w:tcBorders>
            <w:shd w:val="clear" w:color="auto" w:fill="DAEEF3" w:themeFill="accent5" w:themeFillTint="33"/>
            <w:noWrap/>
            <w:vAlign w:val="center"/>
          </w:tcPr>
          <w:p w:rsidR="00C17E74" w:rsidRPr="00C17E74" w:rsidRDefault="00C17E74" w:rsidP="00C17E74">
            <w:pPr>
              <w:spacing w:line="240" w:lineRule="auto"/>
              <w:ind w:right="-1"/>
              <w:rPr>
                <w:rFonts w:ascii="Calibri" w:eastAsia="Times New Roman" w:hAnsi="Calibri" w:cs="Calibri"/>
                <w:b/>
                <w:bCs/>
                <w:lang w:val="en-US" w:eastAsia="en-AU"/>
              </w:rPr>
            </w:pPr>
            <w:r w:rsidRPr="00C17E74">
              <w:rPr>
                <w:rFonts w:ascii="Calibri" w:eastAsia="Times New Roman" w:hAnsi="Calibri" w:cs="Calibri"/>
                <w:b/>
                <w:bCs/>
                <w:lang w:val="en-US" w:eastAsia="en-AU"/>
              </w:rPr>
              <w:t>Total</w:t>
            </w:r>
          </w:p>
        </w:tc>
        <w:tc>
          <w:tcPr>
            <w:tcW w:w="1559" w:type="dxa"/>
            <w:tcBorders>
              <w:top w:val="single" w:sz="12" w:space="0" w:color="auto"/>
              <w:left w:val="single" w:sz="12" w:space="0" w:color="auto"/>
              <w:bottom w:val="single" w:sz="12" w:space="0" w:color="auto"/>
              <w:right w:val="single" w:sz="4" w:space="0" w:color="auto"/>
            </w:tcBorders>
            <w:shd w:val="clear" w:color="auto" w:fill="DAEEF3" w:themeFill="accent5" w:themeFillTint="33"/>
            <w:noWrap/>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492</w:t>
            </w:r>
          </w:p>
        </w:tc>
        <w:tc>
          <w:tcPr>
            <w:tcW w:w="1701" w:type="dxa"/>
            <w:tcBorders>
              <w:top w:val="single" w:sz="12" w:space="0" w:color="auto"/>
              <w:left w:val="nil"/>
              <w:bottom w:val="single" w:sz="12" w:space="0" w:color="auto"/>
              <w:right w:val="single" w:sz="12" w:space="0" w:color="auto"/>
            </w:tcBorders>
            <w:shd w:val="clear" w:color="auto" w:fill="DAEEF3" w:themeFill="accent5" w:themeFillTint="33"/>
            <w:noWrap/>
            <w:vAlign w:val="center"/>
          </w:tcPr>
          <w:p w:rsidR="00C17E74" w:rsidRPr="00C17E74" w:rsidRDefault="00C17E74" w:rsidP="00C17E74">
            <w:pPr>
              <w:spacing w:line="240" w:lineRule="auto"/>
              <w:jc w:val="center"/>
              <w:rPr>
                <w:rFonts w:ascii="Calibri" w:eastAsia="Times New Roman" w:hAnsi="Calibri" w:cs="Calibri"/>
                <w:b/>
                <w:color w:val="000000"/>
                <w:sz w:val="20"/>
                <w:szCs w:val="20"/>
              </w:rPr>
            </w:pPr>
            <w:r w:rsidRPr="00C17E74">
              <w:rPr>
                <w:rFonts w:ascii="Calibri" w:eastAsia="Times New Roman" w:hAnsi="Calibri" w:cs="Calibri"/>
                <w:b/>
                <w:color w:val="000000"/>
                <w:sz w:val="20"/>
                <w:szCs w:val="20"/>
              </w:rPr>
              <w:t>100%</w:t>
            </w:r>
          </w:p>
        </w:tc>
        <w:tc>
          <w:tcPr>
            <w:tcW w:w="1559" w:type="dxa"/>
            <w:tcBorders>
              <w:top w:val="single" w:sz="12" w:space="0" w:color="auto"/>
              <w:left w:val="single" w:sz="12" w:space="0" w:color="auto"/>
              <w:bottom w:val="single" w:sz="12"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5308</w:t>
            </w:r>
          </w:p>
        </w:tc>
        <w:tc>
          <w:tcPr>
            <w:tcW w:w="1560" w:type="dxa"/>
            <w:tcBorders>
              <w:top w:val="single" w:sz="12" w:space="0" w:color="auto"/>
              <w:left w:val="nil"/>
              <w:bottom w:val="single" w:sz="12" w:space="0" w:color="auto"/>
              <w:right w:val="single" w:sz="12"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color w:val="000000"/>
                <w:sz w:val="20"/>
                <w:szCs w:val="20"/>
              </w:rPr>
            </w:pPr>
            <w:r w:rsidRPr="00C17E74">
              <w:rPr>
                <w:rFonts w:ascii="Calibri" w:eastAsia="Times New Roman" w:hAnsi="Calibri" w:cs="Calibri"/>
                <w:b/>
                <w:color w:val="000000"/>
                <w:sz w:val="20"/>
                <w:szCs w:val="20"/>
              </w:rPr>
              <w:t>100%</w:t>
            </w:r>
          </w:p>
        </w:tc>
      </w:tr>
    </w:tbl>
    <w:p w:rsidR="00CE0332" w:rsidRDefault="00CE0332" w:rsidP="009F1919">
      <w:pPr>
        <w:pStyle w:val="Heading3"/>
        <w:rPr>
          <w:rFonts w:eastAsia="Times New Roman"/>
        </w:rPr>
      </w:pPr>
      <w:bookmarkStart w:id="95" w:name="_Toc355862705"/>
    </w:p>
    <w:p w:rsidR="00CE0332" w:rsidRDefault="00CE0332">
      <w:pPr>
        <w:spacing w:after="200"/>
        <w:rPr>
          <w:rFonts w:ascii="Arial" w:eastAsia="Times New Roman" w:hAnsi="Arial" w:cstheme="majorBidi"/>
          <w:b/>
          <w:bCs/>
        </w:rPr>
      </w:pPr>
      <w:r>
        <w:rPr>
          <w:rFonts w:eastAsia="Times New Roman"/>
        </w:rPr>
        <w:br w:type="page"/>
      </w:r>
    </w:p>
    <w:p w:rsidR="00C17E74" w:rsidRPr="00C17E74" w:rsidRDefault="00C17E74" w:rsidP="009F1919">
      <w:pPr>
        <w:pStyle w:val="Heading3"/>
        <w:rPr>
          <w:rFonts w:eastAsia="Times New Roman"/>
        </w:rPr>
      </w:pPr>
      <w:r w:rsidRPr="00C17E74">
        <w:rPr>
          <w:rFonts w:eastAsia="Times New Roman"/>
        </w:rPr>
        <w:lastRenderedPageBreak/>
        <w:t>Table C – Number of Schools in Partnerships by Education Level</w:t>
      </w:r>
      <w:bookmarkEnd w:id="94"/>
      <w:bookmarkEnd w:id="95"/>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This table shows the number of schools by education level, represented in active and self-sustaining partnerships.</w:t>
      </w:r>
    </w:p>
    <w:p w:rsidR="00C17E74" w:rsidRPr="00C17E74" w:rsidRDefault="00C17E74" w:rsidP="00C17E74">
      <w:pPr>
        <w:spacing w:before="120" w:after="120" w:line="240" w:lineRule="auto"/>
        <w:ind w:right="34"/>
        <w:rPr>
          <w:rFonts w:eastAsia="Times New Roman" w:cstheme="minorHAnsi"/>
          <w:lang w:val="en-US"/>
        </w:rPr>
      </w:pPr>
    </w:p>
    <w:p w:rsidR="00C17E74" w:rsidRDefault="00C17E74" w:rsidP="00C17E74">
      <w:pPr>
        <w:spacing w:before="120" w:after="120" w:line="240" w:lineRule="auto"/>
        <w:ind w:right="34"/>
        <w:rPr>
          <w:rFonts w:eastAsia="Times New Roman" w:cstheme="minorHAnsi"/>
          <w:lang w:val="en-US"/>
        </w:rPr>
      </w:pPr>
      <w:r w:rsidRPr="00C17E74">
        <w:rPr>
          <w:rFonts w:eastAsia="Times New Roman" w:cstheme="minorHAnsi"/>
          <w:b/>
          <w:lang w:val="en-US"/>
        </w:rPr>
        <w:t>Note:</w:t>
      </w:r>
      <w:r w:rsidRPr="00C17E74">
        <w:rPr>
          <w:rFonts w:eastAsia="Times New Roman" w:cstheme="minorHAnsi"/>
          <w:lang w:val="en-US"/>
        </w:rPr>
        <w:t xml:space="preserve"> this data only includes schools in partnerships with status active and self-sustaining. National figures do not include Victoria. Schools involved in multiple partnerships have only been counted once.</w:t>
      </w:r>
    </w:p>
    <w:p w:rsidR="00CE0332" w:rsidRPr="00C17E74" w:rsidRDefault="00CE0332" w:rsidP="00C17E74">
      <w:pPr>
        <w:spacing w:before="120" w:after="120" w:line="240" w:lineRule="auto"/>
        <w:ind w:right="34"/>
        <w:rPr>
          <w:rFonts w:eastAsia="Times New Roman" w:cstheme="minorHAnsi"/>
          <w:lang w:val="en-US"/>
        </w:rPr>
      </w:pPr>
    </w:p>
    <w:tbl>
      <w:tblPr>
        <w:tblStyle w:val="TableGrid4"/>
        <w:tblW w:w="9461" w:type="dxa"/>
        <w:tblInd w:w="108" w:type="dxa"/>
        <w:tblLook w:val="04A0" w:firstRow="1" w:lastRow="0" w:firstColumn="1" w:lastColumn="0" w:noHBand="0" w:noVBand="1"/>
        <w:tblDescription w:val="Table C - Number of schools in partnerships by education level"/>
      </w:tblPr>
      <w:tblGrid>
        <w:gridCol w:w="1903"/>
        <w:gridCol w:w="1265"/>
        <w:gridCol w:w="1269"/>
        <w:gridCol w:w="1266"/>
        <w:gridCol w:w="1267"/>
        <w:gridCol w:w="2491"/>
      </w:tblGrid>
      <w:tr w:rsidR="00C17E74" w:rsidRPr="00C17E74" w:rsidTr="0058742A">
        <w:trPr>
          <w:trHeight w:val="342"/>
          <w:tblHeader/>
        </w:trPr>
        <w:tc>
          <w:tcPr>
            <w:tcW w:w="1903" w:type="dxa"/>
            <w:tcBorders>
              <w:top w:val="single" w:sz="12" w:space="0" w:color="auto"/>
              <w:left w:val="single" w:sz="12" w:space="0" w:color="auto"/>
              <w:bottom w:val="single" w:sz="12" w:space="0" w:color="auto"/>
              <w:right w:val="single" w:sz="12" w:space="0" w:color="auto"/>
            </w:tcBorders>
            <w:shd w:val="clear" w:color="auto" w:fill="92CDDC" w:themeFill="accent5" w:themeFillTint="99"/>
            <w:vAlign w:val="center"/>
          </w:tcPr>
          <w:p w:rsidR="00C17E74" w:rsidRPr="00C17E74" w:rsidRDefault="00C17E74" w:rsidP="00C17E74">
            <w:pPr>
              <w:jc w:val="center"/>
              <w:rPr>
                <w:rFonts w:ascii="Calibri" w:hAnsi="Calibri" w:cs="Calibri"/>
                <w:b/>
                <w:bCs/>
              </w:rPr>
            </w:pPr>
            <w:r w:rsidRPr="00C17E74">
              <w:rPr>
                <w:rFonts w:ascii="Calibri" w:hAnsi="Calibri" w:cs="Calibri"/>
                <w:b/>
                <w:bCs/>
              </w:rPr>
              <w:t>Education Level</w:t>
            </w:r>
          </w:p>
        </w:tc>
        <w:tc>
          <w:tcPr>
            <w:tcW w:w="1265" w:type="dxa"/>
            <w:tcBorders>
              <w:top w:val="single" w:sz="12" w:space="0" w:color="auto"/>
              <w:left w:val="single" w:sz="12" w:space="0" w:color="auto"/>
              <w:bottom w:val="single" w:sz="12" w:space="0" w:color="auto"/>
            </w:tcBorders>
            <w:shd w:val="clear" w:color="auto" w:fill="92CDDC" w:themeFill="accent5" w:themeFillTint="99"/>
            <w:vAlign w:val="center"/>
          </w:tcPr>
          <w:p w:rsidR="00C17E74" w:rsidRPr="00C17E74" w:rsidRDefault="00C17E74" w:rsidP="00C17E74">
            <w:pPr>
              <w:jc w:val="center"/>
              <w:rPr>
                <w:rFonts w:ascii="Calibri" w:hAnsi="Calibri" w:cs="Calibri"/>
                <w:b/>
                <w:bCs/>
              </w:rPr>
            </w:pPr>
            <w:r w:rsidRPr="00C17E74">
              <w:rPr>
                <w:rFonts w:ascii="Calibri" w:hAnsi="Calibri" w:cs="Calibri"/>
                <w:b/>
                <w:bCs/>
              </w:rPr>
              <w:t>Number of schools in partnerships (SA)</w:t>
            </w:r>
          </w:p>
        </w:tc>
        <w:tc>
          <w:tcPr>
            <w:tcW w:w="1269" w:type="dxa"/>
            <w:tcBorders>
              <w:top w:val="single" w:sz="12" w:space="0" w:color="auto"/>
              <w:bottom w:val="single" w:sz="12" w:space="0" w:color="auto"/>
              <w:right w:val="single" w:sz="12" w:space="0" w:color="auto"/>
            </w:tcBorders>
            <w:shd w:val="clear" w:color="auto" w:fill="92CDDC" w:themeFill="accent5" w:themeFillTint="99"/>
            <w:vAlign w:val="center"/>
          </w:tcPr>
          <w:p w:rsidR="00C17E74" w:rsidRPr="00C17E74" w:rsidRDefault="00C17E74" w:rsidP="00C17E74">
            <w:pPr>
              <w:jc w:val="center"/>
              <w:rPr>
                <w:rFonts w:ascii="Calibri" w:hAnsi="Calibri" w:cs="Calibri"/>
                <w:b/>
                <w:bCs/>
              </w:rPr>
            </w:pPr>
            <w:r w:rsidRPr="00C17E74">
              <w:rPr>
                <w:rFonts w:ascii="Calibri" w:hAnsi="Calibri" w:cs="Calibri"/>
                <w:b/>
                <w:bCs/>
              </w:rPr>
              <w:t>Percentage of schools in partnerships (SA)</w:t>
            </w:r>
          </w:p>
        </w:tc>
        <w:tc>
          <w:tcPr>
            <w:tcW w:w="1266" w:type="dxa"/>
            <w:tcBorders>
              <w:top w:val="single" w:sz="12" w:space="0" w:color="auto"/>
              <w:left w:val="single" w:sz="12" w:space="0" w:color="auto"/>
              <w:bottom w:val="single" w:sz="12" w:space="0" w:color="auto"/>
            </w:tcBorders>
            <w:shd w:val="clear" w:color="auto" w:fill="92CDDC" w:themeFill="accent5" w:themeFillTint="99"/>
            <w:vAlign w:val="center"/>
          </w:tcPr>
          <w:p w:rsidR="00C17E74" w:rsidRPr="00C17E74" w:rsidRDefault="00C17E74" w:rsidP="00C17E74">
            <w:pPr>
              <w:jc w:val="center"/>
              <w:rPr>
                <w:rFonts w:ascii="Calibri" w:hAnsi="Calibri" w:cs="Calibri"/>
                <w:b/>
                <w:bCs/>
              </w:rPr>
            </w:pPr>
            <w:r w:rsidRPr="00C17E74">
              <w:rPr>
                <w:rFonts w:ascii="Calibri" w:hAnsi="Calibri" w:cs="Calibri"/>
                <w:b/>
                <w:bCs/>
              </w:rPr>
              <w:t>Number of schools in partnerships Nationally</w:t>
            </w:r>
          </w:p>
        </w:tc>
        <w:tc>
          <w:tcPr>
            <w:tcW w:w="1267" w:type="dxa"/>
            <w:tcBorders>
              <w:top w:val="single" w:sz="12" w:space="0" w:color="auto"/>
              <w:bottom w:val="single" w:sz="12" w:space="0" w:color="auto"/>
              <w:right w:val="single" w:sz="12" w:space="0" w:color="auto"/>
            </w:tcBorders>
            <w:shd w:val="clear" w:color="auto" w:fill="92CDDC" w:themeFill="accent5" w:themeFillTint="99"/>
            <w:vAlign w:val="center"/>
          </w:tcPr>
          <w:p w:rsidR="00C17E74" w:rsidRPr="00C17E74" w:rsidRDefault="00C17E74" w:rsidP="00C17E74">
            <w:pPr>
              <w:jc w:val="center"/>
              <w:rPr>
                <w:rFonts w:ascii="Calibri" w:hAnsi="Calibri" w:cs="Calibri"/>
                <w:b/>
                <w:bCs/>
              </w:rPr>
            </w:pPr>
            <w:r w:rsidRPr="00C17E74">
              <w:rPr>
                <w:rFonts w:ascii="Calibri" w:hAnsi="Calibri" w:cs="Calibri"/>
                <w:b/>
                <w:bCs/>
              </w:rPr>
              <w:t>Percentage of schools in partnerships Nationally</w:t>
            </w:r>
          </w:p>
        </w:tc>
        <w:tc>
          <w:tcPr>
            <w:tcW w:w="2491" w:type="dxa"/>
            <w:tcBorders>
              <w:top w:val="single" w:sz="12" w:space="0" w:color="auto"/>
              <w:bottom w:val="single" w:sz="12" w:space="0" w:color="auto"/>
              <w:right w:val="single" w:sz="12" w:space="0" w:color="auto"/>
            </w:tcBorders>
            <w:shd w:val="clear" w:color="auto" w:fill="92CDDC" w:themeFill="accent5" w:themeFillTint="99"/>
            <w:vAlign w:val="center"/>
          </w:tcPr>
          <w:p w:rsidR="00C17E74" w:rsidRPr="00C17E74" w:rsidRDefault="00C17E74" w:rsidP="00C17E74">
            <w:pPr>
              <w:jc w:val="center"/>
              <w:rPr>
                <w:rFonts w:ascii="Calibri" w:hAnsi="Calibri" w:cs="Calibri"/>
                <w:b/>
                <w:bCs/>
              </w:rPr>
            </w:pPr>
            <w:r w:rsidRPr="00C17E74">
              <w:rPr>
                <w:rFonts w:ascii="Calibri" w:hAnsi="Calibri" w:cs="Calibri"/>
                <w:b/>
                <w:bCs/>
              </w:rPr>
              <w:t>Number of schools in SA</w:t>
            </w:r>
          </w:p>
        </w:tc>
      </w:tr>
      <w:tr w:rsidR="00C17E74" w:rsidRPr="00C17E74" w:rsidTr="0053283A">
        <w:trPr>
          <w:trHeight w:val="342"/>
        </w:trPr>
        <w:tc>
          <w:tcPr>
            <w:tcW w:w="1903" w:type="dxa"/>
            <w:tcBorders>
              <w:top w:val="single" w:sz="12" w:space="0" w:color="auto"/>
              <w:left w:val="single" w:sz="12" w:space="0" w:color="auto"/>
              <w:right w:val="single" w:sz="12" w:space="0" w:color="auto"/>
            </w:tcBorders>
            <w:shd w:val="clear" w:color="auto" w:fill="auto"/>
            <w:vAlign w:val="center"/>
          </w:tcPr>
          <w:p w:rsidR="00C17E74" w:rsidRPr="00C17E74" w:rsidRDefault="00C17E74" w:rsidP="00C17E74">
            <w:pPr>
              <w:ind w:right="-1"/>
              <w:rPr>
                <w:rFonts w:ascii="Calibri" w:hAnsi="Calibri" w:cs="Calibri"/>
                <w:lang w:val="en-US"/>
              </w:rPr>
            </w:pPr>
            <w:r w:rsidRPr="00C17E74">
              <w:rPr>
                <w:rFonts w:ascii="Calibri" w:hAnsi="Calibri" w:cs="Calibri"/>
                <w:lang w:val="en-US"/>
              </w:rPr>
              <w:t>Primary</w:t>
            </w:r>
          </w:p>
        </w:tc>
        <w:tc>
          <w:tcPr>
            <w:tcW w:w="1265" w:type="dxa"/>
            <w:tcBorders>
              <w:top w:val="single" w:sz="12" w:space="0" w:color="auto"/>
              <w:lef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15</w:t>
            </w:r>
          </w:p>
        </w:tc>
        <w:tc>
          <w:tcPr>
            <w:tcW w:w="1269" w:type="dxa"/>
            <w:tcBorders>
              <w:top w:val="single" w:sz="12" w:space="0" w:color="auto"/>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15%</w:t>
            </w:r>
          </w:p>
        </w:tc>
        <w:tc>
          <w:tcPr>
            <w:tcW w:w="1266" w:type="dxa"/>
            <w:tcBorders>
              <w:top w:val="single" w:sz="12" w:space="0" w:color="auto"/>
              <w:left w:val="single" w:sz="12" w:space="0" w:color="auto"/>
            </w:tcBorders>
            <w:shd w:val="clear" w:color="auto" w:fill="FFFFFF" w:themeFill="background1"/>
            <w:vAlign w:val="center"/>
          </w:tcPr>
          <w:p w:rsidR="00C17E74" w:rsidRPr="00C17E74" w:rsidRDefault="00C17E74" w:rsidP="00C17E74">
            <w:pPr>
              <w:jc w:val="center"/>
              <w:rPr>
                <w:rFonts w:ascii="Calibri" w:hAnsi="Calibri" w:cs="Calibri"/>
              </w:rPr>
            </w:pPr>
            <w:r w:rsidRPr="00C17E74">
              <w:rPr>
                <w:rFonts w:ascii="Calibri" w:hAnsi="Calibri" w:cs="Calibri"/>
              </w:rPr>
              <w:t>220</w:t>
            </w:r>
          </w:p>
        </w:tc>
        <w:tc>
          <w:tcPr>
            <w:tcW w:w="1267" w:type="dxa"/>
            <w:tcBorders>
              <w:top w:val="single" w:sz="12" w:space="0" w:color="auto"/>
              <w:right w:val="single" w:sz="12" w:space="0" w:color="auto"/>
            </w:tcBorders>
            <w:shd w:val="clear" w:color="auto" w:fill="FFFFFF" w:themeFill="background1"/>
            <w:vAlign w:val="center"/>
          </w:tcPr>
          <w:p w:rsidR="00C17E74" w:rsidRPr="00C17E74" w:rsidRDefault="00C17E74" w:rsidP="00C17E74">
            <w:pPr>
              <w:jc w:val="center"/>
              <w:rPr>
                <w:rFonts w:ascii="Calibri" w:hAnsi="Calibri" w:cs="Calibri"/>
              </w:rPr>
            </w:pPr>
            <w:r w:rsidRPr="00C17E74">
              <w:rPr>
                <w:rFonts w:ascii="Calibri" w:hAnsi="Calibri" w:cs="Calibri"/>
              </w:rPr>
              <w:t>20%</w:t>
            </w:r>
          </w:p>
        </w:tc>
        <w:tc>
          <w:tcPr>
            <w:tcW w:w="2491" w:type="dxa"/>
            <w:tcBorders>
              <w:top w:val="single" w:sz="12" w:space="0" w:color="auto"/>
              <w:right w:val="single" w:sz="12" w:space="0" w:color="auto"/>
            </w:tcBorders>
            <w:shd w:val="clear" w:color="auto" w:fill="DAEEF3" w:themeFill="accent5" w:themeFillTint="33"/>
            <w:vAlign w:val="center"/>
          </w:tcPr>
          <w:p w:rsidR="00C17E74" w:rsidRPr="00C17E74" w:rsidRDefault="00C17E74" w:rsidP="00C17E74">
            <w:pPr>
              <w:jc w:val="center"/>
              <w:rPr>
                <w:rFonts w:ascii="Calibri" w:hAnsi="Calibri" w:cs="Calibri"/>
              </w:rPr>
            </w:pPr>
            <w:r w:rsidRPr="00C17E74">
              <w:rPr>
                <w:rFonts w:ascii="Calibri" w:hAnsi="Calibri" w:cs="Calibri"/>
              </w:rPr>
              <w:t>64%</w:t>
            </w:r>
          </w:p>
        </w:tc>
      </w:tr>
      <w:tr w:rsidR="00C17E74" w:rsidRPr="00C17E74" w:rsidTr="0053283A">
        <w:trPr>
          <w:trHeight w:val="362"/>
        </w:trPr>
        <w:tc>
          <w:tcPr>
            <w:tcW w:w="1903" w:type="dxa"/>
            <w:tcBorders>
              <w:left w:val="single" w:sz="12" w:space="0" w:color="auto"/>
              <w:right w:val="single" w:sz="12" w:space="0" w:color="auto"/>
            </w:tcBorders>
            <w:shd w:val="clear" w:color="auto" w:fill="auto"/>
            <w:vAlign w:val="center"/>
          </w:tcPr>
          <w:p w:rsidR="00C17E74" w:rsidRPr="00C17E74" w:rsidRDefault="00C17E74" w:rsidP="00C17E74">
            <w:pPr>
              <w:ind w:right="-1"/>
              <w:rPr>
                <w:rFonts w:ascii="Calibri" w:hAnsi="Calibri" w:cs="Calibri"/>
                <w:lang w:val="en-US"/>
              </w:rPr>
            </w:pPr>
            <w:r w:rsidRPr="00C17E74">
              <w:rPr>
                <w:rFonts w:ascii="Calibri" w:hAnsi="Calibri" w:cs="Calibri"/>
                <w:lang w:val="en-US"/>
              </w:rPr>
              <w:t>Secondary</w:t>
            </w:r>
          </w:p>
        </w:tc>
        <w:tc>
          <w:tcPr>
            <w:tcW w:w="1265" w:type="dxa"/>
            <w:tcBorders>
              <w:lef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36</w:t>
            </w:r>
          </w:p>
        </w:tc>
        <w:tc>
          <w:tcPr>
            <w:tcW w:w="1269" w:type="dxa"/>
            <w:tcBorders>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36%</w:t>
            </w:r>
          </w:p>
        </w:tc>
        <w:tc>
          <w:tcPr>
            <w:tcW w:w="1266" w:type="dxa"/>
            <w:tcBorders>
              <w:left w:val="single" w:sz="12" w:space="0" w:color="auto"/>
            </w:tcBorders>
            <w:shd w:val="clear" w:color="auto" w:fill="FFFFFF" w:themeFill="background1"/>
            <w:vAlign w:val="center"/>
          </w:tcPr>
          <w:p w:rsidR="00C17E74" w:rsidRPr="00C17E74" w:rsidRDefault="00C17E74" w:rsidP="00C17E74">
            <w:pPr>
              <w:jc w:val="center"/>
              <w:rPr>
                <w:rFonts w:ascii="Calibri" w:hAnsi="Calibri" w:cs="Calibri"/>
              </w:rPr>
            </w:pPr>
            <w:r w:rsidRPr="00C17E74">
              <w:rPr>
                <w:rFonts w:ascii="Calibri" w:hAnsi="Calibri" w:cs="Calibri"/>
              </w:rPr>
              <w:t>587</w:t>
            </w:r>
          </w:p>
        </w:tc>
        <w:tc>
          <w:tcPr>
            <w:tcW w:w="1267" w:type="dxa"/>
            <w:tcBorders>
              <w:right w:val="single" w:sz="12" w:space="0" w:color="auto"/>
            </w:tcBorders>
            <w:shd w:val="clear" w:color="auto" w:fill="FFFFFF" w:themeFill="background1"/>
            <w:vAlign w:val="center"/>
          </w:tcPr>
          <w:p w:rsidR="00C17E74" w:rsidRPr="00C17E74" w:rsidRDefault="00C17E74" w:rsidP="00C17E74">
            <w:pPr>
              <w:jc w:val="center"/>
              <w:rPr>
                <w:rFonts w:ascii="Calibri" w:hAnsi="Calibri" w:cs="Calibri"/>
              </w:rPr>
            </w:pPr>
            <w:r w:rsidRPr="00C17E74">
              <w:rPr>
                <w:rFonts w:ascii="Calibri" w:hAnsi="Calibri" w:cs="Calibri"/>
              </w:rPr>
              <w:t>53%</w:t>
            </w:r>
          </w:p>
        </w:tc>
        <w:tc>
          <w:tcPr>
            <w:tcW w:w="2491" w:type="dxa"/>
            <w:tcBorders>
              <w:right w:val="single" w:sz="12" w:space="0" w:color="auto"/>
            </w:tcBorders>
            <w:shd w:val="clear" w:color="auto" w:fill="DAEEF3" w:themeFill="accent5" w:themeFillTint="33"/>
            <w:vAlign w:val="center"/>
          </w:tcPr>
          <w:p w:rsidR="00C17E74" w:rsidRPr="00C17E74" w:rsidRDefault="00C17E74" w:rsidP="00C17E74">
            <w:pPr>
              <w:jc w:val="center"/>
              <w:rPr>
                <w:rFonts w:ascii="Calibri" w:hAnsi="Calibri" w:cs="Calibri"/>
              </w:rPr>
            </w:pPr>
            <w:r w:rsidRPr="00C17E74">
              <w:rPr>
                <w:rFonts w:ascii="Calibri" w:hAnsi="Calibri" w:cs="Calibri"/>
              </w:rPr>
              <w:t>13%</w:t>
            </w:r>
          </w:p>
        </w:tc>
      </w:tr>
      <w:tr w:rsidR="00C17E74" w:rsidRPr="00C17E74" w:rsidTr="0053283A">
        <w:trPr>
          <w:trHeight w:val="362"/>
        </w:trPr>
        <w:tc>
          <w:tcPr>
            <w:tcW w:w="1903" w:type="dxa"/>
            <w:tcBorders>
              <w:left w:val="single" w:sz="12" w:space="0" w:color="auto"/>
              <w:bottom w:val="single" w:sz="12" w:space="0" w:color="auto"/>
              <w:right w:val="single" w:sz="12" w:space="0" w:color="auto"/>
            </w:tcBorders>
            <w:shd w:val="clear" w:color="auto" w:fill="auto"/>
            <w:vAlign w:val="center"/>
          </w:tcPr>
          <w:p w:rsidR="00C17E74" w:rsidRPr="00C17E74" w:rsidRDefault="00C17E74" w:rsidP="00C17E74">
            <w:pPr>
              <w:ind w:right="-1"/>
              <w:rPr>
                <w:rFonts w:ascii="Calibri" w:hAnsi="Calibri" w:cs="Calibri"/>
                <w:lang w:val="en-US"/>
              </w:rPr>
            </w:pPr>
            <w:r w:rsidRPr="00C17E74">
              <w:rPr>
                <w:rFonts w:ascii="Calibri" w:hAnsi="Calibri" w:cs="Calibri"/>
                <w:lang w:val="en-US"/>
              </w:rPr>
              <w:t>Combined</w:t>
            </w:r>
          </w:p>
        </w:tc>
        <w:tc>
          <w:tcPr>
            <w:tcW w:w="1265" w:type="dxa"/>
            <w:tcBorders>
              <w:left w:val="single" w:sz="12" w:space="0" w:color="auto"/>
              <w:bottom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49</w:t>
            </w:r>
          </w:p>
        </w:tc>
        <w:tc>
          <w:tcPr>
            <w:tcW w:w="1269" w:type="dxa"/>
            <w:tcBorders>
              <w:bottom w:val="single" w:sz="12" w:space="0" w:color="auto"/>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49%</w:t>
            </w:r>
          </w:p>
        </w:tc>
        <w:tc>
          <w:tcPr>
            <w:tcW w:w="1266" w:type="dxa"/>
            <w:tcBorders>
              <w:left w:val="single" w:sz="12" w:space="0" w:color="auto"/>
              <w:bottom w:val="single" w:sz="12" w:space="0" w:color="auto"/>
            </w:tcBorders>
            <w:shd w:val="clear" w:color="auto" w:fill="FFFFFF" w:themeFill="background1"/>
            <w:vAlign w:val="center"/>
          </w:tcPr>
          <w:p w:rsidR="00C17E74" w:rsidRPr="00C17E74" w:rsidRDefault="00C17E74" w:rsidP="00C17E74">
            <w:pPr>
              <w:jc w:val="center"/>
              <w:rPr>
                <w:rFonts w:ascii="Calibri" w:hAnsi="Calibri" w:cs="Calibri"/>
              </w:rPr>
            </w:pPr>
            <w:r w:rsidRPr="00C17E74">
              <w:rPr>
                <w:rFonts w:ascii="Calibri" w:hAnsi="Calibri" w:cs="Calibri"/>
              </w:rPr>
              <w:t>291</w:t>
            </w:r>
          </w:p>
        </w:tc>
        <w:tc>
          <w:tcPr>
            <w:tcW w:w="1267" w:type="dxa"/>
            <w:tcBorders>
              <w:bottom w:val="single" w:sz="12" w:space="0" w:color="auto"/>
              <w:right w:val="single" w:sz="12" w:space="0" w:color="auto"/>
            </w:tcBorders>
            <w:shd w:val="clear" w:color="auto" w:fill="FFFFFF" w:themeFill="background1"/>
            <w:vAlign w:val="center"/>
          </w:tcPr>
          <w:p w:rsidR="00C17E74" w:rsidRPr="00C17E74" w:rsidRDefault="00C17E74" w:rsidP="00C17E74">
            <w:pPr>
              <w:jc w:val="center"/>
              <w:rPr>
                <w:rFonts w:ascii="Calibri" w:hAnsi="Calibri" w:cs="Calibri"/>
              </w:rPr>
            </w:pPr>
            <w:r w:rsidRPr="00C17E74">
              <w:rPr>
                <w:rFonts w:ascii="Calibri" w:hAnsi="Calibri" w:cs="Calibri"/>
              </w:rPr>
              <w:t>27%</w:t>
            </w:r>
          </w:p>
        </w:tc>
        <w:tc>
          <w:tcPr>
            <w:tcW w:w="2491" w:type="dxa"/>
            <w:tcBorders>
              <w:bottom w:val="single" w:sz="12" w:space="0" w:color="auto"/>
              <w:right w:val="single" w:sz="12" w:space="0" w:color="auto"/>
            </w:tcBorders>
            <w:shd w:val="clear" w:color="auto" w:fill="DAEEF3" w:themeFill="accent5" w:themeFillTint="33"/>
            <w:vAlign w:val="center"/>
          </w:tcPr>
          <w:p w:rsidR="00C17E74" w:rsidRPr="00C17E74" w:rsidRDefault="00C17E74" w:rsidP="00C17E74">
            <w:pPr>
              <w:jc w:val="center"/>
              <w:rPr>
                <w:rFonts w:ascii="Calibri" w:hAnsi="Calibri" w:cs="Calibri"/>
              </w:rPr>
            </w:pPr>
            <w:r w:rsidRPr="00C17E74">
              <w:rPr>
                <w:rFonts w:ascii="Calibri" w:hAnsi="Calibri" w:cs="Calibri"/>
              </w:rPr>
              <w:t>23%</w:t>
            </w:r>
          </w:p>
        </w:tc>
      </w:tr>
      <w:tr w:rsidR="00C17E74" w:rsidRPr="00C17E74" w:rsidTr="0053283A">
        <w:trPr>
          <w:trHeight w:val="362"/>
        </w:trPr>
        <w:tc>
          <w:tcPr>
            <w:tcW w:w="190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C17E74" w:rsidRPr="00C17E74" w:rsidRDefault="00C17E74" w:rsidP="00C17E74">
            <w:pPr>
              <w:ind w:right="-1"/>
              <w:rPr>
                <w:rFonts w:ascii="Calibri" w:hAnsi="Calibri" w:cs="Calibri"/>
                <w:b/>
                <w:bCs/>
                <w:lang w:val="en-US"/>
              </w:rPr>
            </w:pPr>
            <w:r w:rsidRPr="00C17E74">
              <w:rPr>
                <w:rFonts w:ascii="Calibri" w:hAnsi="Calibri" w:cs="Calibri"/>
                <w:b/>
                <w:bCs/>
                <w:lang w:val="en-US"/>
              </w:rPr>
              <w:t>TOTAL</w:t>
            </w:r>
          </w:p>
        </w:tc>
        <w:tc>
          <w:tcPr>
            <w:tcW w:w="1265" w:type="dxa"/>
            <w:tcBorders>
              <w:top w:val="single" w:sz="12" w:space="0" w:color="auto"/>
              <w:left w:val="single" w:sz="12" w:space="0" w:color="auto"/>
              <w:bottom w:val="single" w:sz="12" w:space="0" w:color="auto"/>
            </w:tcBorders>
            <w:shd w:val="clear" w:color="auto" w:fill="DAEEF3" w:themeFill="accent5" w:themeFillTint="33"/>
            <w:vAlign w:val="center"/>
          </w:tcPr>
          <w:p w:rsidR="00C17E74" w:rsidRPr="00C17E74" w:rsidRDefault="00C17E74" w:rsidP="00C17E74">
            <w:pPr>
              <w:jc w:val="center"/>
              <w:rPr>
                <w:rFonts w:ascii="Calibri" w:hAnsi="Calibri" w:cs="Calibri"/>
                <w:b/>
                <w:bCs/>
              </w:rPr>
            </w:pPr>
            <w:r w:rsidRPr="00C17E74">
              <w:rPr>
                <w:rFonts w:ascii="Calibri" w:hAnsi="Calibri" w:cs="Calibri"/>
                <w:b/>
                <w:bCs/>
              </w:rPr>
              <w:t>100</w:t>
            </w:r>
          </w:p>
        </w:tc>
        <w:tc>
          <w:tcPr>
            <w:tcW w:w="1269" w:type="dxa"/>
            <w:tcBorders>
              <w:top w:val="single" w:sz="12" w:space="0" w:color="auto"/>
              <w:bottom w:val="single" w:sz="12" w:space="0" w:color="auto"/>
              <w:right w:val="single" w:sz="12" w:space="0" w:color="auto"/>
            </w:tcBorders>
            <w:shd w:val="clear" w:color="auto" w:fill="DAEEF3" w:themeFill="accent5" w:themeFillTint="33"/>
            <w:vAlign w:val="center"/>
          </w:tcPr>
          <w:p w:rsidR="00C17E74" w:rsidRPr="00C17E74" w:rsidRDefault="00C17E74" w:rsidP="00C17E74">
            <w:pPr>
              <w:jc w:val="center"/>
              <w:rPr>
                <w:rFonts w:ascii="Calibri" w:hAnsi="Calibri" w:cs="Calibri"/>
                <w:b/>
                <w:bCs/>
              </w:rPr>
            </w:pPr>
            <w:r w:rsidRPr="00C17E74">
              <w:rPr>
                <w:rFonts w:ascii="Calibri" w:hAnsi="Calibri" w:cs="Calibri"/>
                <w:b/>
                <w:bCs/>
              </w:rPr>
              <w:t>100%</w:t>
            </w:r>
          </w:p>
        </w:tc>
        <w:tc>
          <w:tcPr>
            <w:tcW w:w="1266" w:type="dxa"/>
            <w:tcBorders>
              <w:top w:val="single" w:sz="12" w:space="0" w:color="auto"/>
              <w:left w:val="single" w:sz="12" w:space="0" w:color="auto"/>
              <w:bottom w:val="single" w:sz="12" w:space="0" w:color="auto"/>
            </w:tcBorders>
            <w:shd w:val="clear" w:color="auto" w:fill="DAEEF3" w:themeFill="accent5" w:themeFillTint="33"/>
            <w:vAlign w:val="center"/>
          </w:tcPr>
          <w:p w:rsidR="00C17E74" w:rsidRPr="00C17E74" w:rsidRDefault="00C17E74" w:rsidP="00C17E74">
            <w:pPr>
              <w:jc w:val="center"/>
              <w:rPr>
                <w:rFonts w:ascii="Calibri" w:hAnsi="Calibri" w:cs="Calibri"/>
                <w:b/>
                <w:bCs/>
              </w:rPr>
            </w:pPr>
            <w:r w:rsidRPr="00C17E74">
              <w:rPr>
                <w:rFonts w:ascii="Calibri" w:hAnsi="Calibri" w:cs="Calibri"/>
                <w:b/>
                <w:bCs/>
              </w:rPr>
              <w:t>1098</w:t>
            </w:r>
          </w:p>
        </w:tc>
        <w:tc>
          <w:tcPr>
            <w:tcW w:w="1267" w:type="dxa"/>
            <w:tcBorders>
              <w:top w:val="single" w:sz="12" w:space="0" w:color="auto"/>
              <w:bottom w:val="single" w:sz="12" w:space="0" w:color="auto"/>
              <w:right w:val="single" w:sz="12" w:space="0" w:color="auto"/>
            </w:tcBorders>
            <w:shd w:val="clear" w:color="auto" w:fill="DAEEF3" w:themeFill="accent5" w:themeFillTint="33"/>
            <w:vAlign w:val="center"/>
          </w:tcPr>
          <w:p w:rsidR="00C17E74" w:rsidRPr="00C17E74" w:rsidRDefault="00C17E74" w:rsidP="00C17E74">
            <w:pPr>
              <w:jc w:val="center"/>
              <w:rPr>
                <w:rFonts w:ascii="Calibri" w:hAnsi="Calibri" w:cs="Calibri"/>
                <w:b/>
                <w:bCs/>
              </w:rPr>
            </w:pPr>
            <w:r w:rsidRPr="00C17E74">
              <w:rPr>
                <w:rFonts w:ascii="Calibri" w:hAnsi="Calibri" w:cs="Calibri"/>
                <w:b/>
                <w:bCs/>
              </w:rPr>
              <w:t>100%</w:t>
            </w:r>
          </w:p>
        </w:tc>
        <w:tc>
          <w:tcPr>
            <w:tcW w:w="2491" w:type="dxa"/>
            <w:tcBorders>
              <w:top w:val="single" w:sz="12" w:space="0" w:color="auto"/>
              <w:bottom w:val="single" w:sz="12" w:space="0" w:color="auto"/>
              <w:right w:val="single" w:sz="12" w:space="0" w:color="auto"/>
            </w:tcBorders>
            <w:shd w:val="clear" w:color="auto" w:fill="DAEEF3" w:themeFill="accent5" w:themeFillTint="33"/>
            <w:vAlign w:val="center"/>
          </w:tcPr>
          <w:p w:rsidR="00C17E74" w:rsidRPr="00C17E74" w:rsidRDefault="00C17E74" w:rsidP="00C17E74">
            <w:pPr>
              <w:jc w:val="center"/>
              <w:rPr>
                <w:rFonts w:ascii="Calibri" w:hAnsi="Calibri" w:cs="Calibri"/>
                <w:b/>
                <w:bCs/>
              </w:rPr>
            </w:pPr>
            <w:r w:rsidRPr="00C17E74">
              <w:rPr>
                <w:rFonts w:ascii="Calibri" w:hAnsi="Calibri" w:cs="Calibri"/>
                <w:b/>
                <w:bCs/>
              </w:rPr>
              <w:t>100%</w:t>
            </w:r>
          </w:p>
        </w:tc>
      </w:tr>
    </w:tbl>
    <w:p w:rsidR="00C17E74" w:rsidRPr="00C17E74" w:rsidRDefault="00C17E74" w:rsidP="00CE0332">
      <w:pPr>
        <w:pStyle w:val="Heading3"/>
        <w:rPr>
          <w:rFonts w:eastAsia="Times New Roman"/>
        </w:rPr>
      </w:pPr>
      <w:bookmarkStart w:id="96" w:name="_Toc323901031"/>
      <w:bookmarkStart w:id="97" w:name="_Toc355862706"/>
      <w:r w:rsidRPr="00C17E74">
        <w:rPr>
          <w:rFonts w:eastAsia="Times New Roman"/>
        </w:rPr>
        <w:t>Table D – Number of Schools in Partnerships by Sector</w:t>
      </w:r>
      <w:bookmarkEnd w:id="96"/>
      <w:bookmarkEnd w:id="97"/>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This table shows the breakdown of schools by education sector, represented in active and self-sustaining partnerships.</w:t>
      </w:r>
    </w:p>
    <w:p w:rsidR="00C17E74" w:rsidRPr="00C17E74" w:rsidRDefault="00C17E74" w:rsidP="00C17E74">
      <w:pPr>
        <w:spacing w:before="120" w:after="120" w:line="240" w:lineRule="auto"/>
        <w:ind w:right="34"/>
        <w:rPr>
          <w:rFonts w:eastAsia="Times New Roman" w:cstheme="minorHAnsi"/>
          <w:lang w:val="en-US"/>
        </w:rPr>
      </w:pPr>
    </w:p>
    <w:p w:rsidR="00C17E74" w:rsidRDefault="00C17E74" w:rsidP="00C17E74">
      <w:pPr>
        <w:spacing w:before="120" w:after="120" w:line="240" w:lineRule="auto"/>
        <w:ind w:right="34"/>
        <w:rPr>
          <w:rFonts w:eastAsia="Times New Roman" w:cstheme="minorHAnsi"/>
          <w:lang w:val="en-US"/>
        </w:rPr>
      </w:pPr>
      <w:r w:rsidRPr="00C17E74">
        <w:rPr>
          <w:rFonts w:eastAsia="Times New Roman" w:cstheme="minorHAnsi"/>
          <w:b/>
          <w:lang w:val="en-US"/>
        </w:rPr>
        <w:t>Note:</w:t>
      </w:r>
      <w:r w:rsidRPr="00C17E74">
        <w:rPr>
          <w:rFonts w:eastAsia="Times New Roman" w:cstheme="minorHAnsi"/>
          <w:lang w:val="en-US"/>
        </w:rPr>
        <w:t xml:space="preserve"> this data only includes schools in partnerships with status active and self-sustaining. National figures do not include Victoria. Schools involved in multiple partnerships have only been counted once.</w:t>
      </w:r>
    </w:p>
    <w:p w:rsidR="00CE0332" w:rsidRPr="00C17E74" w:rsidRDefault="00CE0332" w:rsidP="00C17E74">
      <w:pPr>
        <w:spacing w:before="120" w:after="120" w:line="240" w:lineRule="auto"/>
        <w:ind w:right="34"/>
        <w:rPr>
          <w:rFonts w:eastAsia="Times New Roman" w:cstheme="minorHAnsi"/>
          <w:lang w:val="en-US"/>
        </w:rPr>
      </w:pPr>
    </w:p>
    <w:tbl>
      <w:tblPr>
        <w:tblStyle w:val="TableGrid4"/>
        <w:tblW w:w="9488" w:type="dxa"/>
        <w:tblInd w:w="108" w:type="dxa"/>
        <w:tblLook w:val="04A0" w:firstRow="1" w:lastRow="0" w:firstColumn="1" w:lastColumn="0" w:noHBand="0" w:noVBand="1"/>
        <w:tblDescription w:val="Table D - Number of schools in partnerships by sector"/>
      </w:tblPr>
      <w:tblGrid>
        <w:gridCol w:w="1978"/>
        <w:gridCol w:w="1265"/>
        <w:gridCol w:w="1268"/>
        <w:gridCol w:w="1265"/>
        <w:gridCol w:w="1265"/>
        <w:gridCol w:w="2447"/>
      </w:tblGrid>
      <w:tr w:rsidR="00C17E74" w:rsidRPr="00C17E74" w:rsidTr="0058742A">
        <w:trPr>
          <w:trHeight w:val="368"/>
          <w:tblHeader/>
        </w:trPr>
        <w:tc>
          <w:tcPr>
            <w:tcW w:w="1978" w:type="dxa"/>
            <w:tcBorders>
              <w:top w:val="single" w:sz="12" w:space="0" w:color="auto"/>
              <w:left w:val="single" w:sz="12" w:space="0" w:color="auto"/>
              <w:bottom w:val="single" w:sz="12" w:space="0" w:color="auto"/>
              <w:right w:val="single" w:sz="12" w:space="0" w:color="auto"/>
            </w:tcBorders>
            <w:shd w:val="clear" w:color="auto" w:fill="92CDDC" w:themeFill="accent5" w:themeFillTint="99"/>
            <w:vAlign w:val="center"/>
          </w:tcPr>
          <w:p w:rsidR="00C17E74" w:rsidRPr="00C17E74" w:rsidRDefault="00C17E74" w:rsidP="00C17E74">
            <w:pPr>
              <w:jc w:val="center"/>
              <w:rPr>
                <w:rFonts w:ascii="Calibri" w:hAnsi="Calibri" w:cs="Calibri"/>
                <w:b/>
                <w:bCs/>
              </w:rPr>
            </w:pPr>
            <w:r w:rsidRPr="00C17E74">
              <w:rPr>
                <w:rFonts w:ascii="Calibri" w:hAnsi="Calibri" w:cs="Calibri"/>
                <w:b/>
                <w:bCs/>
              </w:rPr>
              <w:t>Education Sector</w:t>
            </w:r>
          </w:p>
        </w:tc>
        <w:tc>
          <w:tcPr>
            <w:tcW w:w="1265" w:type="dxa"/>
            <w:tcBorders>
              <w:top w:val="single" w:sz="12" w:space="0" w:color="auto"/>
              <w:left w:val="single" w:sz="12" w:space="0" w:color="auto"/>
              <w:bottom w:val="single" w:sz="12" w:space="0" w:color="auto"/>
            </w:tcBorders>
            <w:shd w:val="clear" w:color="auto" w:fill="92CDDC" w:themeFill="accent5" w:themeFillTint="99"/>
            <w:vAlign w:val="center"/>
          </w:tcPr>
          <w:p w:rsidR="00C17E74" w:rsidRPr="00C17E74" w:rsidRDefault="00C17E74" w:rsidP="00C17E74">
            <w:pPr>
              <w:jc w:val="center"/>
              <w:rPr>
                <w:rFonts w:ascii="Calibri" w:hAnsi="Calibri" w:cs="Calibri"/>
                <w:b/>
                <w:bCs/>
              </w:rPr>
            </w:pPr>
            <w:r w:rsidRPr="00C17E74">
              <w:rPr>
                <w:rFonts w:ascii="Calibri" w:hAnsi="Calibri" w:cs="Calibri"/>
                <w:b/>
                <w:bCs/>
              </w:rPr>
              <w:t>Number of schools in partnerships (SA)</w:t>
            </w:r>
          </w:p>
        </w:tc>
        <w:tc>
          <w:tcPr>
            <w:tcW w:w="1268" w:type="dxa"/>
            <w:tcBorders>
              <w:top w:val="single" w:sz="12" w:space="0" w:color="auto"/>
              <w:bottom w:val="single" w:sz="12" w:space="0" w:color="auto"/>
              <w:right w:val="single" w:sz="12" w:space="0" w:color="auto"/>
            </w:tcBorders>
            <w:shd w:val="clear" w:color="auto" w:fill="92CDDC" w:themeFill="accent5" w:themeFillTint="99"/>
            <w:vAlign w:val="center"/>
          </w:tcPr>
          <w:p w:rsidR="00C17E74" w:rsidRPr="00C17E74" w:rsidRDefault="00C17E74" w:rsidP="00C17E74">
            <w:pPr>
              <w:jc w:val="center"/>
              <w:rPr>
                <w:rFonts w:ascii="Calibri" w:hAnsi="Calibri" w:cs="Calibri"/>
                <w:b/>
                <w:bCs/>
              </w:rPr>
            </w:pPr>
            <w:r w:rsidRPr="00C17E74">
              <w:rPr>
                <w:rFonts w:ascii="Calibri" w:hAnsi="Calibri" w:cs="Calibri"/>
                <w:b/>
                <w:bCs/>
              </w:rPr>
              <w:t>Percentage of schools in partnerships (SA)</w:t>
            </w:r>
          </w:p>
        </w:tc>
        <w:tc>
          <w:tcPr>
            <w:tcW w:w="1265" w:type="dxa"/>
            <w:tcBorders>
              <w:top w:val="single" w:sz="12" w:space="0" w:color="auto"/>
              <w:left w:val="single" w:sz="12" w:space="0" w:color="auto"/>
              <w:bottom w:val="single" w:sz="12" w:space="0" w:color="auto"/>
            </w:tcBorders>
            <w:shd w:val="clear" w:color="auto" w:fill="92CDDC" w:themeFill="accent5" w:themeFillTint="99"/>
            <w:vAlign w:val="center"/>
          </w:tcPr>
          <w:p w:rsidR="00C17E74" w:rsidRPr="00C17E74" w:rsidRDefault="00C17E74" w:rsidP="00C17E74">
            <w:pPr>
              <w:jc w:val="center"/>
              <w:rPr>
                <w:rFonts w:ascii="Calibri" w:hAnsi="Calibri" w:cs="Calibri"/>
                <w:b/>
                <w:bCs/>
              </w:rPr>
            </w:pPr>
            <w:r w:rsidRPr="00C17E74">
              <w:rPr>
                <w:rFonts w:ascii="Calibri" w:hAnsi="Calibri" w:cs="Calibri"/>
                <w:b/>
                <w:bCs/>
              </w:rPr>
              <w:t>Number of schools in partnerships Nationally</w:t>
            </w:r>
          </w:p>
        </w:tc>
        <w:tc>
          <w:tcPr>
            <w:tcW w:w="1265" w:type="dxa"/>
            <w:tcBorders>
              <w:top w:val="single" w:sz="12" w:space="0" w:color="auto"/>
              <w:bottom w:val="single" w:sz="12" w:space="0" w:color="auto"/>
              <w:right w:val="single" w:sz="12" w:space="0" w:color="auto"/>
            </w:tcBorders>
            <w:shd w:val="clear" w:color="auto" w:fill="92CDDC" w:themeFill="accent5" w:themeFillTint="99"/>
            <w:vAlign w:val="center"/>
          </w:tcPr>
          <w:p w:rsidR="00C17E74" w:rsidRPr="00C17E74" w:rsidRDefault="00C17E74" w:rsidP="00C17E74">
            <w:pPr>
              <w:jc w:val="center"/>
              <w:rPr>
                <w:rFonts w:ascii="Calibri" w:hAnsi="Calibri" w:cs="Calibri"/>
                <w:b/>
                <w:bCs/>
              </w:rPr>
            </w:pPr>
            <w:r w:rsidRPr="00C17E74">
              <w:rPr>
                <w:rFonts w:ascii="Calibri" w:hAnsi="Calibri" w:cs="Calibri"/>
                <w:b/>
                <w:bCs/>
              </w:rPr>
              <w:t>Percentage of schools in partnerships Nationally</w:t>
            </w:r>
          </w:p>
        </w:tc>
        <w:tc>
          <w:tcPr>
            <w:tcW w:w="2447" w:type="dxa"/>
            <w:tcBorders>
              <w:top w:val="single" w:sz="12" w:space="0" w:color="auto"/>
              <w:bottom w:val="single" w:sz="12" w:space="0" w:color="auto"/>
              <w:right w:val="single" w:sz="12" w:space="0" w:color="auto"/>
            </w:tcBorders>
            <w:shd w:val="clear" w:color="auto" w:fill="92CDDC" w:themeFill="accent5" w:themeFillTint="99"/>
            <w:vAlign w:val="center"/>
          </w:tcPr>
          <w:p w:rsidR="00C17E74" w:rsidRPr="00C17E74" w:rsidRDefault="00C17E74" w:rsidP="00C17E74">
            <w:pPr>
              <w:jc w:val="center"/>
              <w:rPr>
                <w:rFonts w:ascii="Calibri" w:hAnsi="Calibri" w:cs="Calibri"/>
                <w:b/>
                <w:bCs/>
              </w:rPr>
            </w:pPr>
            <w:r w:rsidRPr="00C17E74">
              <w:rPr>
                <w:rFonts w:ascii="Calibri" w:hAnsi="Calibri" w:cs="Calibri"/>
                <w:b/>
                <w:bCs/>
              </w:rPr>
              <w:t>Number of schools in SA</w:t>
            </w:r>
          </w:p>
        </w:tc>
      </w:tr>
      <w:tr w:rsidR="00C17E74" w:rsidRPr="00C17E74" w:rsidTr="0053283A">
        <w:trPr>
          <w:trHeight w:val="368"/>
        </w:trPr>
        <w:tc>
          <w:tcPr>
            <w:tcW w:w="1978" w:type="dxa"/>
            <w:tcBorders>
              <w:top w:val="single" w:sz="12" w:space="0" w:color="auto"/>
              <w:left w:val="single" w:sz="12" w:space="0" w:color="auto"/>
              <w:right w:val="single" w:sz="12" w:space="0" w:color="auto"/>
            </w:tcBorders>
            <w:shd w:val="clear" w:color="auto" w:fill="auto"/>
            <w:vAlign w:val="center"/>
          </w:tcPr>
          <w:p w:rsidR="00C17E74" w:rsidRPr="00C17E74" w:rsidRDefault="00C17E74" w:rsidP="00C17E74">
            <w:pPr>
              <w:ind w:right="-1"/>
              <w:rPr>
                <w:rFonts w:ascii="Calibri" w:hAnsi="Calibri" w:cs="Calibri"/>
                <w:lang w:val="en-US"/>
              </w:rPr>
            </w:pPr>
            <w:r w:rsidRPr="00C17E74">
              <w:rPr>
                <w:rFonts w:ascii="Calibri" w:hAnsi="Calibri" w:cs="Calibri"/>
                <w:lang w:val="en-US"/>
              </w:rPr>
              <w:t>Government</w:t>
            </w:r>
          </w:p>
        </w:tc>
        <w:tc>
          <w:tcPr>
            <w:tcW w:w="1265" w:type="dxa"/>
            <w:tcBorders>
              <w:top w:val="single" w:sz="12" w:space="0" w:color="auto"/>
              <w:lef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88</w:t>
            </w:r>
          </w:p>
        </w:tc>
        <w:tc>
          <w:tcPr>
            <w:tcW w:w="1268" w:type="dxa"/>
            <w:tcBorders>
              <w:top w:val="single" w:sz="12" w:space="0" w:color="auto"/>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88%</w:t>
            </w:r>
          </w:p>
        </w:tc>
        <w:tc>
          <w:tcPr>
            <w:tcW w:w="1265" w:type="dxa"/>
            <w:tcBorders>
              <w:top w:val="single" w:sz="12" w:space="0" w:color="auto"/>
              <w:lef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858</w:t>
            </w:r>
          </w:p>
        </w:tc>
        <w:tc>
          <w:tcPr>
            <w:tcW w:w="1265" w:type="dxa"/>
            <w:tcBorders>
              <w:top w:val="single" w:sz="12" w:space="0" w:color="auto"/>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78%</w:t>
            </w:r>
          </w:p>
        </w:tc>
        <w:tc>
          <w:tcPr>
            <w:tcW w:w="2447" w:type="dxa"/>
            <w:tcBorders>
              <w:top w:val="single" w:sz="12" w:space="0" w:color="auto"/>
              <w:right w:val="single" w:sz="12" w:space="0" w:color="auto"/>
            </w:tcBorders>
            <w:shd w:val="clear" w:color="auto" w:fill="DAEEF3" w:themeFill="accent5" w:themeFillTint="33"/>
            <w:vAlign w:val="center"/>
          </w:tcPr>
          <w:p w:rsidR="00C17E74" w:rsidRPr="00C17E74" w:rsidRDefault="00C17E74" w:rsidP="00C17E74">
            <w:pPr>
              <w:jc w:val="center"/>
              <w:rPr>
                <w:rFonts w:ascii="Calibri" w:hAnsi="Calibri" w:cs="Calibri"/>
              </w:rPr>
            </w:pPr>
            <w:r w:rsidRPr="00C17E74">
              <w:rPr>
                <w:rFonts w:ascii="Calibri" w:hAnsi="Calibri" w:cs="Calibri"/>
              </w:rPr>
              <w:t>73%</w:t>
            </w:r>
          </w:p>
        </w:tc>
      </w:tr>
      <w:tr w:rsidR="00C17E74" w:rsidRPr="00C17E74" w:rsidTr="0053283A">
        <w:trPr>
          <w:trHeight w:val="368"/>
        </w:trPr>
        <w:tc>
          <w:tcPr>
            <w:tcW w:w="1978" w:type="dxa"/>
            <w:tcBorders>
              <w:left w:val="single" w:sz="12" w:space="0" w:color="auto"/>
              <w:right w:val="single" w:sz="12" w:space="0" w:color="auto"/>
            </w:tcBorders>
            <w:shd w:val="clear" w:color="auto" w:fill="auto"/>
            <w:vAlign w:val="center"/>
          </w:tcPr>
          <w:p w:rsidR="00C17E74" w:rsidRPr="00C17E74" w:rsidRDefault="00C17E74" w:rsidP="00C17E74">
            <w:pPr>
              <w:ind w:right="-1"/>
              <w:rPr>
                <w:rFonts w:ascii="Calibri" w:hAnsi="Calibri" w:cs="Calibri"/>
                <w:lang w:val="en-US"/>
              </w:rPr>
            </w:pPr>
            <w:r w:rsidRPr="00C17E74">
              <w:rPr>
                <w:rFonts w:ascii="Calibri" w:hAnsi="Calibri" w:cs="Calibri"/>
                <w:lang w:val="en-US"/>
              </w:rPr>
              <w:t>Independent</w:t>
            </w:r>
          </w:p>
        </w:tc>
        <w:tc>
          <w:tcPr>
            <w:tcW w:w="1265" w:type="dxa"/>
            <w:tcBorders>
              <w:lef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6</w:t>
            </w:r>
          </w:p>
        </w:tc>
        <w:tc>
          <w:tcPr>
            <w:tcW w:w="1268" w:type="dxa"/>
            <w:tcBorders>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6%</w:t>
            </w:r>
          </w:p>
        </w:tc>
        <w:tc>
          <w:tcPr>
            <w:tcW w:w="1265" w:type="dxa"/>
            <w:tcBorders>
              <w:lef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120</w:t>
            </w:r>
          </w:p>
        </w:tc>
        <w:tc>
          <w:tcPr>
            <w:tcW w:w="1265" w:type="dxa"/>
            <w:tcBorders>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11%</w:t>
            </w:r>
          </w:p>
        </w:tc>
        <w:tc>
          <w:tcPr>
            <w:tcW w:w="2447" w:type="dxa"/>
            <w:tcBorders>
              <w:right w:val="single" w:sz="12" w:space="0" w:color="auto"/>
            </w:tcBorders>
            <w:shd w:val="clear" w:color="auto" w:fill="DAEEF3" w:themeFill="accent5" w:themeFillTint="33"/>
            <w:vAlign w:val="center"/>
          </w:tcPr>
          <w:p w:rsidR="00C17E74" w:rsidRPr="00C17E74" w:rsidRDefault="00C17E74" w:rsidP="00C17E74">
            <w:pPr>
              <w:jc w:val="center"/>
              <w:rPr>
                <w:rFonts w:ascii="Calibri" w:hAnsi="Calibri" w:cs="Calibri"/>
              </w:rPr>
            </w:pPr>
            <w:r w:rsidRPr="00C17E74">
              <w:rPr>
                <w:rFonts w:ascii="Calibri" w:hAnsi="Calibri" w:cs="Calibri"/>
              </w:rPr>
              <w:t>14%</w:t>
            </w:r>
          </w:p>
        </w:tc>
      </w:tr>
      <w:tr w:rsidR="00C17E74" w:rsidRPr="00C17E74" w:rsidTr="0053283A">
        <w:trPr>
          <w:trHeight w:val="368"/>
        </w:trPr>
        <w:tc>
          <w:tcPr>
            <w:tcW w:w="1978" w:type="dxa"/>
            <w:tcBorders>
              <w:left w:val="single" w:sz="12" w:space="0" w:color="auto"/>
              <w:bottom w:val="single" w:sz="12" w:space="0" w:color="auto"/>
              <w:right w:val="single" w:sz="12" w:space="0" w:color="auto"/>
            </w:tcBorders>
            <w:shd w:val="clear" w:color="auto" w:fill="auto"/>
            <w:vAlign w:val="center"/>
          </w:tcPr>
          <w:p w:rsidR="00C17E74" w:rsidRPr="00C17E74" w:rsidRDefault="00C17E74" w:rsidP="00C17E74">
            <w:pPr>
              <w:ind w:right="-1"/>
              <w:rPr>
                <w:rFonts w:ascii="Calibri" w:hAnsi="Calibri" w:cs="Calibri"/>
                <w:lang w:val="en-US"/>
              </w:rPr>
            </w:pPr>
            <w:r w:rsidRPr="00C17E74">
              <w:rPr>
                <w:rFonts w:ascii="Calibri" w:hAnsi="Calibri" w:cs="Calibri"/>
                <w:lang w:val="en-US"/>
              </w:rPr>
              <w:t>Catholic</w:t>
            </w:r>
          </w:p>
        </w:tc>
        <w:tc>
          <w:tcPr>
            <w:tcW w:w="1265" w:type="dxa"/>
            <w:tcBorders>
              <w:left w:val="single" w:sz="12" w:space="0" w:color="auto"/>
              <w:bottom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6</w:t>
            </w:r>
          </w:p>
        </w:tc>
        <w:tc>
          <w:tcPr>
            <w:tcW w:w="1268" w:type="dxa"/>
            <w:tcBorders>
              <w:bottom w:val="single" w:sz="12" w:space="0" w:color="auto"/>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6%</w:t>
            </w:r>
          </w:p>
        </w:tc>
        <w:tc>
          <w:tcPr>
            <w:tcW w:w="1265" w:type="dxa"/>
            <w:tcBorders>
              <w:left w:val="single" w:sz="12" w:space="0" w:color="auto"/>
              <w:bottom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120</w:t>
            </w:r>
          </w:p>
        </w:tc>
        <w:tc>
          <w:tcPr>
            <w:tcW w:w="1265" w:type="dxa"/>
            <w:tcBorders>
              <w:bottom w:val="single" w:sz="12" w:space="0" w:color="auto"/>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11%</w:t>
            </w:r>
          </w:p>
        </w:tc>
        <w:tc>
          <w:tcPr>
            <w:tcW w:w="2447" w:type="dxa"/>
            <w:tcBorders>
              <w:bottom w:val="single" w:sz="12" w:space="0" w:color="auto"/>
              <w:right w:val="single" w:sz="12" w:space="0" w:color="auto"/>
            </w:tcBorders>
            <w:shd w:val="clear" w:color="auto" w:fill="DAEEF3" w:themeFill="accent5" w:themeFillTint="33"/>
            <w:vAlign w:val="center"/>
          </w:tcPr>
          <w:p w:rsidR="00C17E74" w:rsidRPr="00C17E74" w:rsidRDefault="00C17E74" w:rsidP="00C17E74">
            <w:pPr>
              <w:jc w:val="center"/>
              <w:rPr>
                <w:rFonts w:ascii="Calibri" w:hAnsi="Calibri" w:cs="Calibri"/>
              </w:rPr>
            </w:pPr>
            <w:r w:rsidRPr="00C17E74">
              <w:rPr>
                <w:rFonts w:ascii="Calibri" w:hAnsi="Calibri" w:cs="Calibri"/>
              </w:rPr>
              <w:t>13%</w:t>
            </w:r>
          </w:p>
        </w:tc>
      </w:tr>
      <w:tr w:rsidR="00C17E74" w:rsidRPr="00C17E74" w:rsidTr="0053283A">
        <w:trPr>
          <w:trHeight w:val="368"/>
        </w:trPr>
        <w:tc>
          <w:tcPr>
            <w:tcW w:w="197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C17E74" w:rsidRPr="00C17E74" w:rsidRDefault="00C17E74" w:rsidP="00C17E74">
            <w:pPr>
              <w:ind w:right="-1"/>
              <w:rPr>
                <w:rFonts w:ascii="Calibri" w:hAnsi="Calibri" w:cs="Calibri"/>
                <w:b/>
                <w:bCs/>
                <w:lang w:val="en-US"/>
              </w:rPr>
            </w:pPr>
            <w:r w:rsidRPr="00C17E74">
              <w:rPr>
                <w:rFonts w:ascii="Calibri" w:hAnsi="Calibri" w:cs="Calibri"/>
                <w:b/>
                <w:bCs/>
                <w:lang w:val="en-US"/>
              </w:rPr>
              <w:t>TOTAL</w:t>
            </w:r>
          </w:p>
        </w:tc>
        <w:tc>
          <w:tcPr>
            <w:tcW w:w="1265" w:type="dxa"/>
            <w:tcBorders>
              <w:top w:val="single" w:sz="12" w:space="0" w:color="auto"/>
              <w:left w:val="single" w:sz="12" w:space="0" w:color="auto"/>
              <w:bottom w:val="single" w:sz="12" w:space="0" w:color="auto"/>
            </w:tcBorders>
            <w:shd w:val="clear" w:color="auto" w:fill="DAEEF3" w:themeFill="accent5" w:themeFillTint="33"/>
            <w:vAlign w:val="center"/>
          </w:tcPr>
          <w:p w:rsidR="00C17E74" w:rsidRPr="00C17E74" w:rsidRDefault="00C17E74" w:rsidP="00C17E74">
            <w:pPr>
              <w:jc w:val="center"/>
              <w:rPr>
                <w:rFonts w:ascii="Calibri" w:hAnsi="Calibri" w:cs="Calibri"/>
                <w:b/>
                <w:bCs/>
              </w:rPr>
            </w:pPr>
            <w:r w:rsidRPr="00C17E74">
              <w:rPr>
                <w:rFonts w:ascii="Calibri" w:hAnsi="Calibri" w:cs="Calibri"/>
                <w:b/>
                <w:bCs/>
              </w:rPr>
              <w:t>100</w:t>
            </w:r>
          </w:p>
        </w:tc>
        <w:tc>
          <w:tcPr>
            <w:tcW w:w="1268" w:type="dxa"/>
            <w:tcBorders>
              <w:top w:val="single" w:sz="12" w:space="0" w:color="auto"/>
              <w:bottom w:val="single" w:sz="12" w:space="0" w:color="auto"/>
              <w:right w:val="single" w:sz="12" w:space="0" w:color="auto"/>
            </w:tcBorders>
            <w:shd w:val="clear" w:color="auto" w:fill="DAEEF3" w:themeFill="accent5" w:themeFillTint="33"/>
            <w:vAlign w:val="center"/>
          </w:tcPr>
          <w:p w:rsidR="00C17E74" w:rsidRPr="00C17E74" w:rsidRDefault="00C17E74" w:rsidP="00C17E74">
            <w:pPr>
              <w:jc w:val="center"/>
              <w:rPr>
                <w:rFonts w:ascii="Calibri" w:hAnsi="Calibri" w:cs="Calibri"/>
                <w:b/>
                <w:bCs/>
              </w:rPr>
            </w:pPr>
            <w:r w:rsidRPr="00C17E74">
              <w:rPr>
                <w:rFonts w:ascii="Calibri" w:hAnsi="Calibri" w:cs="Calibri"/>
                <w:b/>
                <w:bCs/>
              </w:rPr>
              <w:t>100%</w:t>
            </w:r>
          </w:p>
        </w:tc>
        <w:tc>
          <w:tcPr>
            <w:tcW w:w="1265" w:type="dxa"/>
            <w:tcBorders>
              <w:top w:val="single" w:sz="12" w:space="0" w:color="auto"/>
              <w:left w:val="single" w:sz="12" w:space="0" w:color="auto"/>
              <w:bottom w:val="single" w:sz="12" w:space="0" w:color="auto"/>
            </w:tcBorders>
            <w:shd w:val="clear" w:color="auto" w:fill="DAEEF3" w:themeFill="accent5" w:themeFillTint="33"/>
            <w:vAlign w:val="center"/>
          </w:tcPr>
          <w:p w:rsidR="00C17E74" w:rsidRPr="00C17E74" w:rsidRDefault="00C17E74" w:rsidP="00C17E74">
            <w:pPr>
              <w:jc w:val="center"/>
              <w:rPr>
                <w:rFonts w:ascii="Calibri" w:hAnsi="Calibri" w:cs="Calibri"/>
                <w:b/>
                <w:bCs/>
              </w:rPr>
            </w:pPr>
            <w:r w:rsidRPr="00C17E74">
              <w:rPr>
                <w:rFonts w:ascii="Calibri" w:hAnsi="Calibri" w:cs="Calibri"/>
                <w:b/>
                <w:bCs/>
              </w:rPr>
              <w:t>1098</w:t>
            </w:r>
          </w:p>
        </w:tc>
        <w:tc>
          <w:tcPr>
            <w:tcW w:w="1265" w:type="dxa"/>
            <w:tcBorders>
              <w:top w:val="single" w:sz="12" w:space="0" w:color="auto"/>
              <w:bottom w:val="single" w:sz="12" w:space="0" w:color="auto"/>
              <w:right w:val="single" w:sz="12" w:space="0" w:color="auto"/>
            </w:tcBorders>
            <w:shd w:val="clear" w:color="auto" w:fill="DAEEF3" w:themeFill="accent5" w:themeFillTint="33"/>
            <w:vAlign w:val="center"/>
          </w:tcPr>
          <w:p w:rsidR="00C17E74" w:rsidRPr="00C17E74" w:rsidRDefault="00C17E74" w:rsidP="00C17E74">
            <w:pPr>
              <w:jc w:val="center"/>
              <w:rPr>
                <w:rFonts w:ascii="Calibri" w:hAnsi="Calibri" w:cs="Calibri"/>
                <w:b/>
                <w:bCs/>
              </w:rPr>
            </w:pPr>
            <w:r w:rsidRPr="00C17E74">
              <w:rPr>
                <w:rFonts w:ascii="Calibri" w:hAnsi="Calibri" w:cs="Calibri"/>
                <w:b/>
                <w:bCs/>
              </w:rPr>
              <w:t>100%</w:t>
            </w:r>
          </w:p>
        </w:tc>
        <w:tc>
          <w:tcPr>
            <w:tcW w:w="2447" w:type="dxa"/>
            <w:tcBorders>
              <w:top w:val="single" w:sz="12" w:space="0" w:color="auto"/>
              <w:bottom w:val="single" w:sz="12" w:space="0" w:color="auto"/>
              <w:right w:val="single" w:sz="12" w:space="0" w:color="auto"/>
            </w:tcBorders>
            <w:shd w:val="clear" w:color="auto" w:fill="DAEEF3" w:themeFill="accent5" w:themeFillTint="33"/>
            <w:vAlign w:val="center"/>
          </w:tcPr>
          <w:p w:rsidR="00C17E74" w:rsidRPr="00C17E74" w:rsidRDefault="00C17E74" w:rsidP="00C17E74">
            <w:pPr>
              <w:jc w:val="center"/>
              <w:rPr>
                <w:rFonts w:ascii="Calibri" w:hAnsi="Calibri" w:cs="Calibri"/>
                <w:b/>
                <w:bCs/>
              </w:rPr>
            </w:pPr>
            <w:r w:rsidRPr="00C17E74">
              <w:rPr>
                <w:rFonts w:ascii="Calibri" w:hAnsi="Calibri" w:cs="Calibri"/>
                <w:b/>
                <w:bCs/>
              </w:rPr>
              <w:t>100%</w:t>
            </w:r>
          </w:p>
        </w:tc>
      </w:tr>
    </w:tbl>
    <w:p w:rsidR="00C17E74" w:rsidRPr="00C17E74" w:rsidRDefault="00C17E74" w:rsidP="00C17E74">
      <w:pPr>
        <w:spacing w:before="120" w:after="120" w:line="240" w:lineRule="auto"/>
        <w:ind w:right="34"/>
        <w:rPr>
          <w:rFonts w:eastAsia="Times New Roman" w:cstheme="minorHAnsi"/>
          <w:lang w:val="en-US"/>
        </w:rPr>
      </w:pPr>
    </w:p>
    <w:p w:rsidR="00C17E74" w:rsidRPr="00C17E74" w:rsidRDefault="00C17E74" w:rsidP="00C17E74">
      <w:pPr>
        <w:keepNext/>
        <w:keepLines/>
        <w:spacing w:before="480" w:line="240" w:lineRule="auto"/>
        <w:outlineLvl w:val="0"/>
        <w:rPr>
          <w:rFonts w:asciiTheme="majorHAnsi" w:eastAsiaTheme="majorEastAsia" w:hAnsiTheme="majorHAnsi" w:cstheme="majorBidi"/>
          <w:b/>
          <w:bCs/>
          <w:color w:val="365F91" w:themeColor="accent1" w:themeShade="BF"/>
          <w:sz w:val="28"/>
          <w:szCs w:val="28"/>
          <w:u w:val="single"/>
          <w:lang w:eastAsia="en-AU"/>
        </w:rPr>
        <w:sectPr w:rsidR="00C17E74" w:rsidRPr="00C17E74" w:rsidSect="0053283A">
          <w:pgSz w:w="11906" w:h="16838"/>
          <w:pgMar w:top="993" w:right="1133" w:bottom="709" w:left="993" w:header="708" w:footer="0" w:gutter="0"/>
          <w:cols w:space="708"/>
          <w:docGrid w:linePitch="360"/>
        </w:sectPr>
      </w:pPr>
      <w:bookmarkStart w:id="98" w:name="_Toc323901032"/>
    </w:p>
    <w:p w:rsidR="00C17E74" w:rsidRPr="00C17E74" w:rsidRDefault="00C17E74" w:rsidP="00CE0332">
      <w:pPr>
        <w:pStyle w:val="Heading3"/>
        <w:rPr>
          <w:rFonts w:eastAsia="Times New Roman" w:cs="Calibri"/>
        </w:rPr>
      </w:pPr>
      <w:bookmarkStart w:id="99" w:name="_Toc355862707"/>
      <w:r w:rsidRPr="00C17E74">
        <w:rPr>
          <w:rFonts w:eastAsia="Times New Roman"/>
        </w:rPr>
        <w:lastRenderedPageBreak/>
        <w:t xml:space="preserve">Graph </w:t>
      </w:r>
      <w:proofErr w:type="gramStart"/>
      <w:r w:rsidRPr="00C17E74">
        <w:rPr>
          <w:rFonts w:eastAsia="Times New Roman"/>
        </w:rPr>
        <w:t>A</w:t>
      </w:r>
      <w:proofErr w:type="gramEnd"/>
      <w:r w:rsidRPr="00C17E74">
        <w:rPr>
          <w:rFonts w:eastAsia="Times New Roman"/>
        </w:rPr>
        <w:t xml:space="preserve"> – Number of Schools in Partnerships by </w:t>
      </w:r>
      <w:proofErr w:type="spellStart"/>
      <w:r w:rsidRPr="00C17E74">
        <w:rPr>
          <w:rFonts w:eastAsia="Times New Roman"/>
        </w:rPr>
        <w:t>ICSEA</w:t>
      </w:r>
      <w:bookmarkEnd w:id="98"/>
      <w:bookmarkEnd w:id="99"/>
      <w:proofErr w:type="spellEnd"/>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This graph shows the distribution of schools in partnerships by their Index of Community Socio-Educational Advantage (</w:t>
      </w:r>
      <w:proofErr w:type="spellStart"/>
      <w:r w:rsidRPr="00C17E74">
        <w:rPr>
          <w:rFonts w:eastAsia="Times New Roman" w:cstheme="minorHAnsi"/>
          <w:lang w:val="en-US"/>
        </w:rPr>
        <w:t>ICSEA</w:t>
      </w:r>
      <w:proofErr w:type="spellEnd"/>
      <w:r w:rsidRPr="00C17E74">
        <w:rPr>
          <w:rFonts w:eastAsia="Times New Roman" w:cstheme="minorHAnsi"/>
          <w:lang w:val="en-US"/>
        </w:rPr>
        <w:t xml:space="preserve">) value. </w:t>
      </w:r>
      <w:proofErr w:type="spellStart"/>
      <w:r w:rsidRPr="00C17E74">
        <w:rPr>
          <w:rFonts w:eastAsia="Times New Roman" w:cstheme="minorHAnsi"/>
          <w:lang w:val="en-US"/>
        </w:rPr>
        <w:t>ICSEA</w:t>
      </w:r>
      <w:proofErr w:type="spellEnd"/>
      <w:r w:rsidRPr="00C17E74">
        <w:rPr>
          <w:rFonts w:eastAsia="Times New Roman" w:cstheme="minorHAnsi"/>
          <w:lang w:val="en-US"/>
        </w:rPr>
        <w:t xml:space="preserve"> is used to gain an understanding of the levels of educational advantage or disadvantage that students bring to their academic studies. The variables that make up an </w:t>
      </w:r>
      <w:proofErr w:type="spellStart"/>
      <w:r w:rsidRPr="00C17E74">
        <w:rPr>
          <w:rFonts w:eastAsia="Times New Roman" w:cstheme="minorHAnsi"/>
          <w:lang w:val="en-US"/>
        </w:rPr>
        <w:t>ICSEA</w:t>
      </w:r>
      <w:proofErr w:type="spellEnd"/>
      <w:r w:rsidRPr="00C17E74">
        <w:rPr>
          <w:rFonts w:eastAsia="Times New Roman" w:cstheme="minorHAnsi"/>
          <w:lang w:val="en-US"/>
        </w:rPr>
        <w:t xml:space="preserve"> value are family background information (including parental occupation, and the school and non-school education levels they achieved) and school characteristics (including whether a school is in a metropolitan, regional or remote area; the proportion of Indigenous students;  and the proportion of students with language backgrounds other than English).</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b/>
          <w:lang w:val="en-US"/>
        </w:rPr>
        <w:t>Note:</w:t>
      </w:r>
      <w:r w:rsidRPr="00C17E74">
        <w:rPr>
          <w:rFonts w:eastAsia="Times New Roman" w:cstheme="minorHAnsi"/>
          <w:lang w:val="en-US"/>
        </w:rPr>
        <w:t xml:space="preserve"> This data only includes schools in partnerships with status active and self-sustaining. Schools involved in multiple partnerships have only been counted once. </w:t>
      </w:r>
    </w:p>
    <w:p w:rsidR="00C17E74" w:rsidRPr="00C17E74" w:rsidRDefault="00C17E74" w:rsidP="00C17E74">
      <w:pPr>
        <w:spacing w:before="120" w:after="120" w:line="240" w:lineRule="auto"/>
        <w:ind w:right="34"/>
        <w:rPr>
          <w:rFonts w:eastAsia="Times New Roman" w:cstheme="minorHAnsi"/>
          <w:lang w:val="en-US"/>
        </w:rPr>
      </w:pPr>
    </w:p>
    <w:p w:rsidR="00C17E74" w:rsidRPr="00C17E74" w:rsidRDefault="00C17E74" w:rsidP="00C17E74">
      <w:pPr>
        <w:spacing w:before="120" w:after="120" w:line="240" w:lineRule="auto"/>
        <w:ind w:right="34"/>
        <w:jc w:val="center"/>
        <w:rPr>
          <w:rFonts w:eastAsia="Times New Roman" w:cstheme="minorHAnsi"/>
          <w:u w:val="single"/>
          <w:lang w:val="en-US" w:eastAsia="en-AU"/>
        </w:rPr>
      </w:pPr>
      <w:bookmarkStart w:id="100" w:name="_Toc323901033"/>
      <w:r w:rsidRPr="00C17E74">
        <w:rPr>
          <w:rFonts w:eastAsia="Times New Roman" w:cstheme="minorHAnsi"/>
          <w:noProof/>
          <w:lang w:eastAsia="en-AU"/>
        </w:rPr>
        <w:drawing>
          <wp:inline distT="0" distB="0" distL="0" distR="0" wp14:anchorId="137C937F" wp14:editId="2D331979">
            <wp:extent cx="5838825" cy="2924175"/>
            <wp:effectExtent l="0" t="0" r="9525" b="9525"/>
            <wp:docPr id="30" name="Chart 30" descr="This is a bar graph as described above. This graph shows the distribution of SA schools in partnerships by their Index of Community Socio-Educational Advantage (ICSEA) value. The graph shows the  percentage of schools in partnership compared to the total number of Schools. &#10;Quarter 1 (Disadvantaged) 48% in partnership 23% total schools&#10;Quarter 2 26% in partnership 27% total schools&#10;Quarter 3 23% in partnership 29% total schools&#10;Quarter 4 (Advantaged) 3% in partnership 22% total schools&#10;" title="Graph A - Number of Schools in Partnerships by ICSEA"/>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C17E74" w:rsidRPr="00C17E74" w:rsidRDefault="00C17E74" w:rsidP="00CE0332">
      <w:pPr>
        <w:pStyle w:val="Heading3"/>
        <w:rPr>
          <w:rFonts w:eastAsia="Times New Roman" w:cs="Calibri"/>
        </w:rPr>
      </w:pPr>
      <w:bookmarkStart w:id="101" w:name="_Toc355862708"/>
      <w:r w:rsidRPr="00C17E74">
        <w:rPr>
          <w:rFonts w:eastAsia="Times New Roman"/>
        </w:rPr>
        <w:t>Table E – Number of Schools in Partnerships by ARIA Code</w:t>
      </w:r>
      <w:bookmarkEnd w:id="100"/>
      <w:bookmarkEnd w:id="101"/>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This table shows the number of schools by ARIA Code, represented in active and self-sustaining partnerships.</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b/>
          <w:lang w:val="en-US"/>
        </w:rPr>
        <w:t>Note:</w:t>
      </w:r>
      <w:r w:rsidRPr="00C17E74">
        <w:rPr>
          <w:rFonts w:eastAsia="Times New Roman" w:cstheme="minorHAnsi"/>
          <w:lang w:val="en-US"/>
        </w:rPr>
        <w:t xml:space="preserve"> this data includes schools in partnerships with status active and self-sustaining. National figures do not include Victoria. Schools involved in multiple partnerships have only been counted once. Regions are defined by the Accessibility/Remoteness Index of Australia (ARIA) code developed by the Commonwealth Department of Health and Aged Care (</w:t>
      </w:r>
      <w:proofErr w:type="spellStart"/>
      <w:r w:rsidRPr="00C17E74">
        <w:rPr>
          <w:rFonts w:eastAsia="Times New Roman" w:cstheme="minorHAnsi"/>
          <w:lang w:val="en-US"/>
        </w:rPr>
        <w:t>DHAC</w:t>
      </w:r>
      <w:proofErr w:type="spellEnd"/>
      <w:r w:rsidRPr="00C17E74">
        <w:rPr>
          <w:rFonts w:eastAsia="Times New Roman" w:cstheme="minorHAnsi"/>
          <w:lang w:val="en-US"/>
        </w:rPr>
        <w:t>) and the National Key Centre for Social Applications of GIS (</w:t>
      </w:r>
      <w:proofErr w:type="spellStart"/>
      <w:r w:rsidRPr="00C17E74">
        <w:rPr>
          <w:rFonts w:eastAsia="Times New Roman" w:cstheme="minorHAnsi"/>
          <w:lang w:val="en-US"/>
        </w:rPr>
        <w:t>GISCA</w:t>
      </w:r>
      <w:proofErr w:type="spellEnd"/>
      <w:r w:rsidRPr="00C17E74">
        <w:rPr>
          <w:rFonts w:eastAsia="Times New Roman" w:cstheme="minorHAnsi"/>
          <w:lang w:val="en-US"/>
        </w:rPr>
        <w:t>).</w:t>
      </w:r>
    </w:p>
    <w:p w:rsidR="00C17E74" w:rsidRPr="00C17E74" w:rsidRDefault="00C17E74" w:rsidP="00C17E74">
      <w:pPr>
        <w:spacing w:before="120" w:after="120" w:line="240" w:lineRule="auto"/>
        <w:ind w:right="34"/>
        <w:rPr>
          <w:rFonts w:eastAsia="Times New Roman" w:cstheme="minorHAnsi"/>
          <w:lang w:val="en-US" w:eastAsia="en-AU"/>
        </w:rPr>
      </w:pPr>
    </w:p>
    <w:tbl>
      <w:tblPr>
        <w:tblStyle w:val="TableGrid4"/>
        <w:tblW w:w="9889" w:type="dxa"/>
        <w:tblInd w:w="108" w:type="dxa"/>
        <w:tblLayout w:type="fixed"/>
        <w:tblLook w:val="04A0" w:firstRow="1" w:lastRow="0" w:firstColumn="1" w:lastColumn="0" w:noHBand="0" w:noVBand="1"/>
        <w:tblDescription w:val="Table E - Number of schools in partnerships by ARIA code"/>
      </w:tblPr>
      <w:tblGrid>
        <w:gridCol w:w="2410"/>
        <w:gridCol w:w="1276"/>
        <w:gridCol w:w="1559"/>
        <w:gridCol w:w="1276"/>
        <w:gridCol w:w="1276"/>
        <w:gridCol w:w="2092"/>
      </w:tblGrid>
      <w:tr w:rsidR="00C17E74" w:rsidRPr="00C17E74" w:rsidTr="0058742A">
        <w:trPr>
          <w:trHeight w:val="338"/>
          <w:tblHeader/>
        </w:trPr>
        <w:tc>
          <w:tcPr>
            <w:tcW w:w="2410" w:type="dxa"/>
            <w:tcBorders>
              <w:top w:val="single" w:sz="12" w:space="0" w:color="auto"/>
              <w:left w:val="single" w:sz="12" w:space="0" w:color="auto"/>
              <w:bottom w:val="single" w:sz="12" w:space="0" w:color="auto"/>
              <w:right w:val="single" w:sz="12" w:space="0" w:color="auto"/>
            </w:tcBorders>
            <w:shd w:val="clear" w:color="auto" w:fill="92CDDC" w:themeFill="accent5" w:themeFillTint="99"/>
            <w:vAlign w:val="center"/>
          </w:tcPr>
          <w:p w:rsidR="00C17E74" w:rsidRPr="00C17E74" w:rsidRDefault="00C17E74" w:rsidP="00C17E74">
            <w:pPr>
              <w:jc w:val="center"/>
              <w:rPr>
                <w:rFonts w:ascii="Calibri" w:hAnsi="Calibri" w:cs="Calibri"/>
                <w:b/>
                <w:bCs/>
              </w:rPr>
            </w:pPr>
            <w:r w:rsidRPr="00C17E74">
              <w:rPr>
                <w:rFonts w:ascii="Calibri" w:hAnsi="Calibri" w:cs="Calibri"/>
                <w:b/>
                <w:bCs/>
              </w:rPr>
              <w:t>Regions</w:t>
            </w:r>
          </w:p>
        </w:tc>
        <w:tc>
          <w:tcPr>
            <w:tcW w:w="1276" w:type="dxa"/>
            <w:tcBorders>
              <w:top w:val="single" w:sz="12" w:space="0" w:color="auto"/>
              <w:left w:val="single" w:sz="12" w:space="0" w:color="auto"/>
              <w:bottom w:val="single" w:sz="12" w:space="0" w:color="auto"/>
            </w:tcBorders>
            <w:shd w:val="clear" w:color="auto" w:fill="92CDDC" w:themeFill="accent5" w:themeFillTint="99"/>
            <w:vAlign w:val="center"/>
          </w:tcPr>
          <w:p w:rsidR="00C17E74" w:rsidRPr="00C17E74" w:rsidRDefault="00C17E74" w:rsidP="00C17E74">
            <w:pPr>
              <w:jc w:val="center"/>
              <w:rPr>
                <w:rFonts w:ascii="Calibri" w:hAnsi="Calibri" w:cs="Calibri"/>
                <w:b/>
                <w:bCs/>
              </w:rPr>
            </w:pPr>
            <w:r w:rsidRPr="00C17E74">
              <w:rPr>
                <w:rFonts w:ascii="Calibri" w:hAnsi="Calibri" w:cs="Calibri"/>
                <w:b/>
                <w:bCs/>
              </w:rPr>
              <w:t>Number of schools in partnerships (SA)</w:t>
            </w:r>
          </w:p>
        </w:tc>
        <w:tc>
          <w:tcPr>
            <w:tcW w:w="1559" w:type="dxa"/>
            <w:tcBorders>
              <w:top w:val="single" w:sz="12" w:space="0" w:color="auto"/>
              <w:bottom w:val="single" w:sz="12" w:space="0" w:color="auto"/>
              <w:right w:val="single" w:sz="12" w:space="0" w:color="auto"/>
            </w:tcBorders>
            <w:shd w:val="clear" w:color="auto" w:fill="92CDDC" w:themeFill="accent5" w:themeFillTint="99"/>
            <w:vAlign w:val="center"/>
          </w:tcPr>
          <w:p w:rsidR="00C17E74" w:rsidRPr="00C17E74" w:rsidRDefault="00C17E74" w:rsidP="00C17E74">
            <w:pPr>
              <w:jc w:val="center"/>
              <w:rPr>
                <w:rFonts w:ascii="Calibri" w:hAnsi="Calibri" w:cs="Calibri"/>
                <w:b/>
                <w:bCs/>
              </w:rPr>
            </w:pPr>
            <w:r w:rsidRPr="00C17E74">
              <w:rPr>
                <w:rFonts w:ascii="Calibri" w:hAnsi="Calibri" w:cs="Calibri"/>
                <w:b/>
                <w:bCs/>
              </w:rPr>
              <w:t>Percentage of schools in partnerships (SA)</w:t>
            </w:r>
          </w:p>
        </w:tc>
        <w:tc>
          <w:tcPr>
            <w:tcW w:w="1276" w:type="dxa"/>
            <w:tcBorders>
              <w:top w:val="single" w:sz="12" w:space="0" w:color="auto"/>
              <w:left w:val="single" w:sz="12" w:space="0" w:color="auto"/>
              <w:bottom w:val="single" w:sz="12" w:space="0" w:color="auto"/>
            </w:tcBorders>
            <w:shd w:val="clear" w:color="auto" w:fill="92CDDC" w:themeFill="accent5" w:themeFillTint="99"/>
            <w:vAlign w:val="center"/>
          </w:tcPr>
          <w:p w:rsidR="00C17E74" w:rsidRPr="00C17E74" w:rsidRDefault="00C17E74" w:rsidP="00C17E74">
            <w:pPr>
              <w:jc w:val="center"/>
              <w:rPr>
                <w:rFonts w:ascii="Calibri" w:hAnsi="Calibri" w:cs="Calibri"/>
                <w:b/>
                <w:bCs/>
              </w:rPr>
            </w:pPr>
            <w:r w:rsidRPr="00C17E74">
              <w:rPr>
                <w:rFonts w:ascii="Calibri" w:hAnsi="Calibri" w:cs="Calibri"/>
                <w:b/>
                <w:bCs/>
              </w:rPr>
              <w:t>Number of schools in partnerships Nationally</w:t>
            </w:r>
          </w:p>
        </w:tc>
        <w:tc>
          <w:tcPr>
            <w:tcW w:w="1276" w:type="dxa"/>
            <w:tcBorders>
              <w:top w:val="single" w:sz="12" w:space="0" w:color="auto"/>
              <w:bottom w:val="single" w:sz="12" w:space="0" w:color="auto"/>
              <w:right w:val="single" w:sz="12" w:space="0" w:color="auto"/>
            </w:tcBorders>
            <w:shd w:val="clear" w:color="auto" w:fill="92CDDC" w:themeFill="accent5" w:themeFillTint="99"/>
            <w:vAlign w:val="center"/>
          </w:tcPr>
          <w:p w:rsidR="00C17E74" w:rsidRPr="00C17E74" w:rsidRDefault="00C17E74" w:rsidP="00C17E74">
            <w:pPr>
              <w:jc w:val="center"/>
              <w:rPr>
                <w:rFonts w:ascii="Calibri" w:hAnsi="Calibri" w:cs="Calibri"/>
                <w:b/>
                <w:bCs/>
              </w:rPr>
            </w:pPr>
            <w:r w:rsidRPr="00C17E74">
              <w:rPr>
                <w:rFonts w:ascii="Calibri" w:hAnsi="Calibri" w:cs="Calibri"/>
                <w:b/>
                <w:bCs/>
              </w:rPr>
              <w:t>Percentage of schools in partnerships Nationally</w:t>
            </w:r>
          </w:p>
        </w:tc>
        <w:tc>
          <w:tcPr>
            <w:tcW w:w="2092" w:type="dxa"/>
            <w:tcBorders>
              <w:top w:val="single" w:sz="12" w:space="0" w:color="auto"/>
              <w:bottom w:val="single" w:sz="12" w:space="0" w:color="auto"/>
              <w:right w:val="single" w:sz="12" w:space="0" w:color="auto"/>
            </w:tcBorders>
            <w:shd w:val="clear" w:color="auto" w:fill="92CDDC" w:themeFill="accent5" w:themeFillTint="99"/>
            <w:vAlign w:val="center"/>
          </w:tcPr>
          <w:p w:rsidR="00C17E74" w:rsidRPr="00C17E74" w:rsidRDefault="00C17E74" w:rsidP="00C17E74">
            <w:pPr>
              <w:jc w:val="center"/>
              <w:rPr>
                <w:rFonts w:ascii="Calibri" w:hAnsi="Calibri" w:cs="Calibri"/>
                <w:b/>
                <w:bCs/>
              </w:rPr>
            </w:pPr>
            <w:r w:rsidRPr="00C17E74">
              <w:rPr>
                <w:rFonts w:ascii="Calibri" w:hAnsi="Calibri" w:cs="Calibri"/>
                <w:b/>
                <w:bCs/>
              </w:rPr>
              <w:t>Number of schools in SA</w:t>
            </w:r>
          </w:p>
        </w:tc>
      </w:tr>
      <w:tr w:rsidR="00C17E74" w:rsidRPr="00C17E74" w:rsidTr="0053283A">
        <w:trPr>
          <w:trHeight w:val="338"/>
        </w:trPr>
        <w:tc>
          <w:tcPr>
            <w:tcW w:w="2410" w:type="dxa"/>
            <w:tcBorders>
              <w:top w:val="single" w:sz="12" w:space="0" w:color="auto"/>
              <w:left w:val="single" w:sz="12" w:space="0" w:color="auto"/>
              <w:right w:val="single" w:sz="12" w:space="0" w:color="auto"/>
            </w:tcBorders>
            <w:shd w:val="clear" w:color="auto" w:fill="auto"/>
            <w:vAlign w:val="center"/>
          </w:tcPr>
          <w:p w:rsidR="00C17E74" w:rsidRPr="00C17E74" w:rsidRDefault="00C17E74" w:rsidP="00C17E74">
            <w:pPr>
              <w:ind w:right="-1"/>
              <w:rPr>
                <w:rFonts w:ascii="Calibri" w:hAnsi="Calibri" w:cs="Calibri"/>
                <w:lang w:val="en-US"/>
              </w:rPr>
            </w:pPr>
            <w:r w:rsidRPr="00C17E74">
              <w:rPr>
                <w:rFonts w:ascii="Calibri" w:hAnsi="Calibri" w:cs="Calibri"/>
                <w:lang w:val="en-US"/>
              </w:rPr>
              <w:t>Major Cities of Australia</w:t>
            </w:r>
          </w:p>
        </w:tc>
        <w:tc>
          <w:tcPr>
            <w:tcW w:w="1276" w:type="dxa"/>
            <w:tcBorders>
              <w:top w:val="single" w:sz="12" w:space="0" w:color="auto"/>
              <w:lef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33</w:t>
            </w:r>
          </w:p>
        </w:tc>
        <w:tc>
          <w:tcPr>
            <w:tcW w:w="1559" w:type="dxa"/>
            <w:tcBorders>
              <w:top w:val="single" w:sz="12" w:space="0" w:color="auto"/>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33%</w:t>
            </w:r>
          </w:p>
        </w:tc>
        <w:tc>
          <w:tcPr>
            <w:tcW w:w="1276" w:type="dxa"/>
            <w:tcBorders>
              <w:top w:val="single" w:sz="12" w:space="0" w:color="auto"/>
              <w:lef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517</w:t>
            </w:r>
          </w:p>
        </w:tc>
        <w:tc>
          <w:tcPr>
            <w:tcW w:w="1276" w:type="dxa"/>
            <w:tcBorders>
              <w:top w:val="single" w:sz="12" w:space="0" w:color="auto"/>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47%</w:t>
            </w:r>
          </w:p>
        </w:tc>
        <w:tc>
          <w:tcPr>
            <w:tcW w:w="2092" w:type="dxa"/>
            <w:tcBorders>
              <w:top w:val="single" w:sz="12" w:space="0" w:color="auto"/>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58%</w:t>
            </w:r>
          </w:p>
        </w:tc>
      </w:tr>
      <w:tr w:rsidR="00C17E74" w:rsidRPr="00C17E74" w:rsidTr="0053283A">
        <w:trPr>
          <w:trHeight w:val="338"/>
        </w:trPr>
        <w:tc>
          <w:tcPr>
            <w:tcW w:w="2410" w:type="dxa"/>
            <w:tcBorders>
              <w:left w:val="single" w:sz="12" w:space="0" w:color="auto"/>
              <w:right w:val="single" w:sz="12" w:space="0" w:color="auto"/>
            </w:tcBorders>
            <w:shd w:val="clear" w:color="auto" w:fill="auto"/>
            <w:vAlign w:val="center"/>
          </w:tcPr>
          <w:p w:rsidR="00C17E74" w:rsidRPr="00C17E74" w:rsidRDefault="00C17E74" w:rsidP="00C17E74">
            <w:pPr>
              <w:ind w:right="-1"/>
              <w:rPr>
                <w:rFonts w:ascii="Calibri" w:hAnsi="Calibri" w:cs="Calibri"/>
                <w:lang w:val="en-US"/>
              </w:rPr>
            </w:pPr>
            <w:r w:rsidRPr="00C17E74">
              <w:rPr>
                <w:rFonts w:ascii="Calibri" w:hAnsi="Calibri" w:cs="Calibri"/>
                <w:lang w:val="en-US"/>
              </w:rPr>
              <w:t>Inner Regional Australia</w:t>
            </w:r>
          </w:p>
        </w:tc>
        <w:tc>
          <w:tcPr>
            <w:tcW w:w="1276" w:type="dxa"/>
            <w:tcBorders>
              <w:lef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13</w:t>
            </w:r>
          </w:p>
        </w:tc>
        <w:tc>
          <w:tcPr>
            <w:tcW w:w="1559" w:type="dxa"/>
            <w:tcBorders>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13%</w:t>
            </w:r>
          </w:p>
        </w:tc>
        <w:tc>
          <w:tcPr>
            <w:tcW w:w="1276" w:type="dxa"/>
            <w:tcBorders>
              <w:lef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292</w:t>
            </w:r>
          </w:p>
        </w:tc>
        <w:tc>
          <w:tcPr>
            <w:tcW w:w="1276" w:type="dxa"/>
            <w:tcBorders>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27%</w:t>
            </w:r>
          </w:p>
        </w:tc>
        <w:tc>
          <w:tcPr>
            <w:tcW w:w="2092" w:type="dxa"/>
            <w:tcBorders>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15%</w:t>
            </w:r>
          </w:p>
        </w:tc>
      </w:tr>
      <w:tr w:rsidR="00C17E74" w:rsidRPr="00C17E74" w:rsidTr="0053283A">
        <w:trPr>
          <w:trHeight w:val="321"/>
        </w:trPr>
        <w:tc>
          <w:tcPr>
            <w:tcW w:w="2410" w:type="dxa"/>
            <w:tcBorders>
              <w:left w:val="single" w:sz="12" w:space="0" w:color="auto"/>
              <w:right w:val="single" w:sz="12" w:space="0" w:color="auto"/>
            </w:tcBorders>
            <w:shd w:val="clear" w:color="auto" w:fill="auto"/>
            <w:vAlign w:val="center"/>
          </w:tcPr>
          <w:p w:rsidR="00C17E74" w:rsidRPr="00C17E74" w:rsidRDefault="00C17E74" w:rsidP="00C17E74">
            <w:pPr>
              <w:ind w:right="-1"/>
              <w:rPr>
                <w:rFonts w:ascii="Calibri" w:hAnsi="Calibri" w:cs="Calibri"/>
                <w:lang w:val="en-US"/>
              </w:rPr>
            </w:pPr>
            <w:r w:rsidRPr="00C17E74">
              <w:rPr>
                <w:rFonts w:ascii="Calibri" w:hAnsi="Calibri" w:cs="Calibri"/>
                <w:lang w:val="en-US"/>
              </w:rPr>
              <w:t>Outer Regional Australia</w:t>
            </w:r>
          </w:p>
        </w:tc>
        <w:tc>
          <w:tcPr>
            <w:tcW w:w="1276" w:type="dxa"/>
            <w:tcBorders>
              <w:lef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33</w:t>
            </w:r>
          </w:p>
        </w:tc>
        <w:tc>
          <w:tcPr>
            <w:tcW w:w="1559" w:type="dxa"/>
            <w:tcBorders>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33%</w:t>
            </w:r>
          </w:p>
        </w:tc>
        <w:tc>
          <w:tcPr>
            <w:tcW w:w="1276" w:type="dxa"/>
            <w:tcBorders>
              <w:lef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188</w:t>
            </w:r>
          </w:p>
        </w:tc>
        <w:tc>
          <w:tcPr>
            <w:tcW w:w="1276" w:type="dxa"/>
            <w:tcBorders>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17%</w:t>
            </w:r>
          </w:p>
        </w:tc>
        <w:tc>
          <w:tcPr>
            <w:tcW w:w="2092" w:type="dxa"/>
            <w:tcBorders>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20%</w:t>
            </w:r>
          </w:p>
        </w:tc>
      </w:tr>
      <w:tr w:rsidR="00C17E74" w:rsidRPr="00C17E74" w:rsidTr="0053283A">
        <w:trPr>
          <w:trHeight w:val="321"/>
        </w:trPr>
        <w:tc>
          <w:tcPr>
            <w:tcW w:w="2410" w:type="dxa"/>
            <w:tcBorders>
              <w:left w:val="single" w:sz="12" w:space="0" w:color="auto"/>
              <w:right w:val="single" w:sz="12" w:space="0" w:color="auto"/>
            </w:tcBorders>
            <w:shd w:val="clear" w:color="auto" w:fill="auto"/>
            <w:vAlign w:val="center"/>
          </w:tcPr>
          <w:p w:rsidR="00C17E74" w:rsidRPr="00C17E74" w:rsidRDefault="00C17E74" w:rsidP="00C17E74">
            <w:pPr>
              <w:ind w:right="-1"/>
              <w:rPr>
                <w:rFonts w:ascii="Calibri" w:hAnsi="Calibri" w:cs="Calibri"/>
                <w:lang w:val="en-US"/>
              </w:rPr>
            </w:pPr>
            <w:r w:rsidRPr="00C17E74">
              <w:rPr>
                <w:rFonts w:ascii="Calibri" w:hAnsi="Calibri" w:cs="Calibri"/>
                <w:lang w:val="en-US"/>
              </w:rPr>
              <w:t>Remote Australia</w:t>
            </w:r>
          </w:p>
        </w:tc>
        <w:tc>
          <w:tcPr>
            <w:tcW w:w="1276" w:type="dxa"/>
            <w:tcBorders>
              <w:lef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7</w:t>
            </w:r>
          </w:p>
        </w:tc>
        <w:tc>
          <w:tcPr>
            <w:tcW w:w="1559" w:type="dxa"/>
            <w:tcBorders>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7%</w:t>
            </w:r>
          </w:p>
        </w:tc>
        <w:tc>
          <w:tcPr>
            <w:tcW w:w="1276" w:type="dxa"/>
            <w:tcBorders>
              <w:lef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54</w:t>
            </w:r>
          </w:p>
        </w:tc>
        <w:tc>
          <w:tcPr>
            <w:tcW w:w="1276" w:type="dxa"/>
            <w:tcBorders>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5%</w:t>
            </w:r>
          </w:p>
        </w:tc>
        <w:tc>
          <w:tcPr>
            <w:tcW w:w="2092" w:type="dxa"/>
            <w:tcBorders>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4%</w:t>
            </w:r>
          </w:p>
        </w:tc>
      </w:tr>
      <w:tr w:rsidR="00C17E74" w:rsidRPr="00C17E74" w:rsidTr="0053283A">
        <w:trPr>
          <w:trHeight w:val="338"/>
        </w:trPr>
        <w:tc>
          <w:tcPr>
            <w:tcW w:w="2410" w:type="dxa"/>
            <w:tcBorders>
              <w:left w:val="single" w:sz="12" w:space="0" w:color="auto"/>
              <w:bottom w:val="single" w:sz="12" w:space="0" w:color="auto"/>
              <w:right w:val="single" w:sz="12" w:space="0" w:color="auto"/>
            </w:tcBorders>
            <w:shd w:val="clear" w:color="auto" w:fill="auto"/>
            <w:vAlign w:val="center"/>
          </w:tcPr>
          <w:p w:rsidR="00C17E74" w:rsidRPr="00C17E74" w:rsidRDefault="00C17E74" w:rsidP="00C17E74">
            <w:pPr>
              <w:ind w:right="-1"/>
              <w:rPr>
                <w:rFonts w:ascii="Calibri" w:hAnsi="Calibri" w:cs="Calibri"/>
                <w:lang w:val="en-US"/>
              </w:rPr>
            </w:pPr>
            <w:r w:rsidRPr="00C17E74">
              <w:rPr>
                <w:rFonts w:ascii="Calibri" w:hAnsi="Calibri" w:cs="Calibri"/>
                <w:lang w:val="en-US"/>
              </w:rPr>
              <w:t>Very Remote Australia</w:t>
            </w:r>
          </w:p>
        </w:tc>
        <w:tc>
          <w:tcPr>
            <w:tcW w:w="1276" w:type="dxa"/>
            <w:tcBorders>
              <w:left w:val="single" w:sz="12" w:space="0" w:color="auto"/>
              <w:bottom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14</w:t>
            </w:r>
          </w:p>
        </w:tc>
        <w:tc>
          <w:tcPr>
            <w:tcW w:w="1559" w:type="dxa"/>
            <w:tcBorders>
              <w:bottom w:val="single" w:sz="12" w:space="0" w:color="auto"/>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14%</w:t>
            </w:r>
          </w:p>
        </w:tc>
        <w:tc>
          <w:tcPr>
            <w:tcW w:w="1276" w:type="dxa"/>
            <w:tcBorders>
              <w:left w:val="single" w:sz="12" w:space="0" w:color="auto"/>
              <w:bottom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47</w:t>
            </w:r>
          </w:p>
        </w:tc>
        <w:tc>
          <w:tcPr>
            <w:tcW w:w="1276" w:type="dxa"/>
            <w:tcBorders>
              <w:bottom w:val="single" w:sz="12" w:space="0" w:color="auto"/>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4%</w:t>
            </w:r>
          </w:p>
        </w:tc>
        <w:tc>
          <w:tcPr>
            <w:tcW w:w="2092" w:type="dxa"/>
            <w:tcBorders>
              <w:bottom w:val="single" w:sz="12" w:space="0" w:color="auto"/>
              <w:right w:val="single" w:sz="12" w:space="0" w:color="auto"/>
            </w:tcBorders>
            <w:vAlign w:val="center"/>
          </w:tcPr>
          <w:p w:rsidR="00C17E74" w:rsidRPr="00C17E74" w:rsidRDefault="00C17E74" w:rsidP="00C17E74">
            <w:pPr>
              <w:jc w:val="center"/>
              <w:rPr>
                <w:rFonts w:ascii="Calibri" w:hAnsi="Calibri" w:cs="Calibri"/>
              </w:rPr>
            </w:pPr>
            <w:r w:rsidRPr="00C17E74">
              <w:rPr>
                <w:rFonts w:ascii="Calibri" w:hAnsi="Calibri" w:cs="Calibri"/>
              </w:rPr>
              <w:t>3%</w:t>
            </w:r>
          </w:p>
        </w:tc>
      </w:tr>
      <w:tr w:rsidR="00C17E74" w:rsidRPr="00C17E74" w:rsidTr="0053283A">
        <w:trPr>
          <w:trHeight w:val="338"/>
        </w:trPr>
        <w:tc>
          <w:tcPr>
            <w:tcW w:w="2410"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C17E74" w:rsidRPr="00C17E74" w:rsidRDefault="00C17E74" w:rsidP="00C17E74">
            <w:pPr>
              <w:ind w:right="-1"/>
              <w:rPr>
                <w:rFonts w:cstheme="minorHAnsi"/>
                <w:b/>
                <w:lang w:val="en-US"/>
              </w:rPr>
            </w:pPr>
            <w:r w:rsidRPr="00C17E74">
              <w:rPr>
                <w:rFonts w:ascii="Calibri" w:hAnsi="Calibri" w:cs="Calibri"/>
                <w:b/>
                <w:bCs/>
                <w:lang w:val="en-US"/>
              </w:rPr>
              <w:t>TOTAL</w:t>
            </w:r>
          </w:p>
        </w:tc>
        <w:tc>
          <w:tcPr>
            <w:tcW w:w="1276" w:type="dxa"/>
            <w:tcBorders>
              <w:top w:val="single" w:sz="12" w:space="0" w:color="auto"/>
              <w:left w:val="single" w:sz="12" w:space="0" w:color="auto"/>
              <w:bottom w:val="single" w:sz="12" w:space="0" w:color="auto"/>
            </w:tcBorders>
            <w:shd w:val="clear" w:color="auto" w:fill="DAEEF3" w:themeFill="accent5" w:themeFillTint="33"/>
            <w:vAlign w:val="center"/>
          </w:tcPr>
          <w:p w:rsidR="00C17E74" w:rsidRPr="00C17E74" w:rsidRDefault="00C17E74" w:rsidP="00C17E74">
            <w:pPr>
              <w:jc w:val="center"/>
              <w:rPr>
                <w:rFonts w:ascii="Calibri" w:hAnsi="Calibri" w:cs="Calibri"/>
                <w:b/>
                <w:bCs/>
              </w:rPr>
            </w:pPr>
            <w:r w:rsidRPr="00C17E74">
              <w:rPr>
                <w:rFonts w:ascii="Calibri" w:hAnsi="Calibri" w:cs="Calibri"/>
                <w:b/>
                <w:bCs/>
              </w:rPr>
              <w:t>100</w:t>
            </w:r>
          </w:p>
        </w:tc>
        <w:tc>
          <w:tcPr>
            <w:tcW w:w="1559" w:type="dxa"/>
            <w:tcBorders>
              <w:top w:val="single" w:sz="12" w:space="0" w:color="auto"/>
              <w:bottom w:val="single" w:sz="12" w:space="0" w:color="auto"/>
              <w:right w:val="single" w:sz="12" w:space="0" w:color="auto"/>
            </w:tcBorders>
            <w:shd w:val="clear" w:color="auto" w:fill="DAEEF3" w:themeFill="accent5" w:themeFillTint="33"/>
            <w:vAlign w:val="center"/>
          </w:tcPr>
          <w:p w:rsidR="00C17E74" w:rsidRPr="00C17E74" w:rsidRDefault="00C17E74" w:rsidP="00C17E74">
            <w:pPr>
              <w:jc w:val="center"/>
              <w:rPr>
                <w:rFonts w:ascii="Calibri" w:hAnsi="Calibri" w:cs="Calibri"/>
                <w:b/>
                <w:bCs/>
              </w:rPr>
            </w:pPr>
            <w:r w:rsidRPr="00C17E74">
              <w:rPr>
                <w:rFonts w:ascii="Calibri" w:hAnsi="Calibri" w:cs="Calibri"/>
                <w:b/>
                <w:bCs/>
              </w:rPr>
              <w:t>100%</w:t>
            </w:r>
          </w:p>
        </w:tc>
        <w:tc>
          <w:tcPr>
            <w:tcW w:w="1276" w:type="dxa"/>
            <w:tcBorders>
              <w:top w:val="single" w:sz="12" w:space="0" w:color="auto"/>
              <w:left w:val="single" w:sz="12" w:space="0" w:color="auto"/>
              <w:bottom w:val="single" w:sz="12" w:space="0" w:color="auto"/>
            </w:tcBorders>
            <w:shd w:val="clear" w:color="auto" w:fill="DAEEF3" w:themeFill="accent5" w:themeFillTint="33"/>
            <w:vAlign w:val="center"/>
          </w:tcPr>
          <w:p w:rsidR="00C17E74" w:rsidRPr="00C17E74" w:rsidRDefault="00C17E74" w:rsidP="00C17E74">
            <w:pPr>
              <w:jc w:val="center"/>
              <w:rPr>
                <w:rFonts w:ascii="Calibri" w:hAnsi="Calibri" w:cs="Calibri"/>
                <w:b/>
                <w:bCs/>
              </w:rPr>
            </w:pPr>
            <w:r w:rsidRPr="00C17E74">
              <w:rPr>
                <w:rFonts w:ascii="Calibri" w:hAnsi="Calibri" w:cs="Calibri"/>
                <w:b/>
                <w:bCs/>
              </w:rPr>
              <w:t>1098</w:t>
            </w:r>
          </w:p>
        </w:tc>
        <w:tc>
          <w:tcPr>
            <w:tcW w:w="1276" w:type="dxa"/>
            <w:tcBorders>
              <w:top w:val="single" w:sz="12" w:space="0" w:color="auto"/>
              <w:bottom w:val="single" w:sz="12" w:space="0" w:color="auto"/>
              <w:right w:val="single" w:sz="12" w:space="0" w:color="auto"/>
            </w:tcBorders>
            <w:shd w:val="clear" w:color="auto" w:fill="DAEEF3" w:themeFill="accent5" w:themeFillTint="33"/>
            <w:vAlign w:val="center"/>
          </w:tcPr>
          <w:p w:rsidR="00C17E74" w:rsidRPr="00C17E74" w:rsidRDefault="00C17E74" w:rsidP="00C17E74">
            <w:pPr>
              <w:jc w:val="center"/>
              <w:rPr>
                <w:rFonts w:ascii="Calibri" w:hAnsi="Calibri" w:cs="Calibri"/>
                <w:b/>
                <w:bCs/>
              </w:rPr>
            </w:pPr>
            <w:r w:rsidRPr="00C17E74">
              <w:rPr>
                <w:rFonts w:ascii="Calibri" w:hAnsi="Calibri" w:cs="Calibri"/>
                <w:b/>
                <w:bCs/>
              </w:rPr>
              <w:t>100%</w:t>
            </w:r>
          </w:p>
        </w:tc>
        <w:tc>
          <w:tcPr>
            <w:tcW w:w="2092" w:type="dxa"/>
            <w:tcBorders>
              <w:top w:val="single" w:sz="12" w:space="0" w:color="auto"/>
              <w:bottom w:val="single" w:sz="12" w:space="0" w:color="auto"/>
              <w:right w:val="single" w:sz="12" w:space="0" w:color="auto"/>
            </w:tcBorders>
            <w:shd w:val="clear" w:color="auto" w:fill="DAEEF3" w:themeFill="accent5" w:themeFillTint="33"/>
            <w:vAlign w:val="center"/>
          </w:tcPr>
          <w:p w:rsidR="00C17E74" w:rsidRPr="00C17E74" w:rsidRDefault="00C17E74" w:rsidP="00C17E74">
            <w:pPr>
              <w:jc w:val="center"/>
              <w:rPr>
                <w:rFonts w:ascii="Calibri" w:hAnsi="Calibri" w:cs="Calibri"/>
                <w:b/>
                <w:bCs/>
              </w:rPr>
            </w:pPr>
            <w:r w:rsidRPr="00C17E74">
              <w:rPr>
                <w:rFonts w:ascii="Calibri" w:hAnsi="Calibri" w:cs="Calibri"/>
                <w:b/>
                <w:bCs/>
              </w:rPr>
              <w:t>100%</w:t>
            </w:r>
          </w:p>
        </w:tc>
      </w:tr>
    </w:tbl>
    <w:p w:rsidR="00C17E74" w:rsidRPr="00C17E74" w:rsidRDefault="00C17E74" w:rsidP="00C17E74">
      <w:pPr>
        <w:spacing w:before="120" w:after="120" w:line="240" w:lineRule="auto"/>
        <w:ind w:right="34"/>
        <w:rPr>
          <w:rFonts w:eastAsia="Times New Roman" w:cstheme="minorHAnsi"/>
          <w:lang w:val="en-US"/>
        </w:rPr>
      </w:pPr>
    </w:p>
    <w:p w:rsidR="00C17E74" w:rsidRPr="00C17E74" w:rsidRDefault="00C17E74" w:rsidP="00C17E74">
      <w:pPr>
        <w:spacing w:before="120" w:after="120" w:line="240" w:lineRule="auto"/>
        <w:ind w:right="34"/>
        <w:rPr>
          <w:rFonts w:eastAsia="Times New Roman" w:cstheme="minorHAnsi"/>
          <w:lang w:val="en-US" w:eastAsia="en-AU"/>
        </w:rPr>
        <w:sectPr w:rsidR="00C17E74" w:rsidRPr="00C17E74" w:rsidSect="0053283A">
          <w:pgSz w:w="11906" w:h="16838"/>
          <w:pgMar w:top="820" w:right="1133" w:bottom="709" w:left="993" w:header="708" w:footer="0" w:gutter="0"/>
          <w:cols w:space="708"/>
          <w:docGrid w:linePitch="360"/>
        </w:sectPr>
      </w:pPr>
    </w:p>
    <w:p w:rsidR="00C17E74" w:rsidRPr="00C17E74" w:rsidRDefault="00C17E74" w:rsidP="00CE0332">
      <w:pPr>
        <w:pStyle w:val="Heading2"/>
        <w:rPr>
          <w:lang w:eastAsia="en-AU"/>
        </w:rPr>
      </w:pPr>
      <w:bookmarkStart w:id="102" w:name="_Toc292696793"/>
      <w:bookmarkStart w:id="103" w:name="_Toc323901035"/>
      <w:bookmarkStart w:id="104" w:name="_Toc355862709"/>
      <w:bookmarkStart w:id="105" w:name="_Toc384038255"/>
      <w:r w:rsidRPr="00C17E74">
        <w:rPr>
          <w:lang w:eastAsia="en-AU"/>
        </w:rPr>
        <w:lastRenderedPageBreak/>
        <w:t>P</w:t>
      </w:r>
      <w:bookmarkEnd w:id="102"/>
      <w:bookmarkEnd w:id="103"/>
      <w:bookmarkEnd w:id="104"/>
      <w:r w:rsidR="009C205D">
        <w:rPr>
          <w:lang w:eastAsia="en-AU"/>
        </w:rPr>
        <w:t>artnerships</w:t>
      </w:r>
      <w:bookmarkEnd w:id="105"/>
    </w:p>
    <w:p w:rsidR="00C17E74" w:rsidRPr="00C17E74" w:rsidRDefault="00C17E74" w:rsidP="00CE0332">
      <w:pPr>
        <w:pStyle w:val="Heading3"/>
        <w:rPr>
          <w:rFonts w:eastAsia="Times New Roman"/>
        </w:rPr>
      </w:pPr>
      <w:bookmarkStart w:id="106" w:name="_Toc323901036"/>
      <w:bookmarkStart w:id="107" w:name="_Toc355862710"/>
      <w:r w:rsidRPr="00C17E74">
        <w:rPr>
          <w:rFonts w:eastAsia="Times New Roman"/>
        </w:rPr>
        <w:t xml:space="preserve">Table </w:t>
      </w:r>
      <w:proofErr w:type="spellStart"/>
      <w:r w:rsidRPr="00C17E74">
        <w:rPr>
          <w:rFonts w:eastAsia="Times New Roman"/>
        </w:rPr>
        <w:t>F1</w:t>
      </w:r>
      <w:proofErr w:type="spellEnd"/>
      <w:r w:rsidRPr="00C17E74">
        <w:rPr>
          <w:rFonts w:eastAsia="Times New Roman"/>
        </w:rPr>
        <w:t xml:space="preserve"> and </w:t>
      </w:r>
      <w:proofErr w:type="spellStart"/>
      <w:r w:rsidRPr="00C17E74">
        <w:rPr>
          <w:rFonts w:eastAsia="Times New Roman"/>
        </w:rPr>
        <w:t>F2</w:t>
      </w:r>
      <w:proofErr w:type="spellEnd"/>
      <w:r w:rsidRPr="00C17E74">
        <w:rPr>
          <w:rFonts w:eastAsia="Times New Roman"/>
        </w:rPr>
        <w:t xml:space="preserve"> – Number of Partnerships Created by Status</w:t>
      </w:r>
      <w:bookmarkEnd w:id="106"/>
      <w:bookmarkEnd w:id="107"/>
    </w:p>
    <w:p w:rsidR="00C17E74" w:rsidRPr="00C17E74" w:rsidRDefault="00C17E74" w:rsidP="00C17E74">
      <w:pPr>
        <w:spacing w:before="120" w:after="120" w:line="240" w:lineRule="auto"/>
        <w:ind w:right="34"/>
        <w:rPr>
          <w:rFonts w:eastAsia="Times New Roman" w:cstheme="minorHAnsi"/>
          <w:lang w:val="en-US" w:eastAsia="en-AU"/>
        </w:rPr>
      </w:pPr>
      <w:r w:rsidRPr="00C17E74">
        <w:rPr>
          <w:rFonts w:eastAsia="Times New Roman" w:cstheme="minorHAnsi"/>
          <w:lang w:val="en-US" w:eastAsia="en-AU"/>
        </w:rPr>
        <w:t xml:space="preserve">These tables show the status of partnerships including the number of partnerships with an Indigenous focus. </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Please see below for descriptions of the different partnership status options:</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b/>
          <w:lang w:val="en-US"/>
        </w:rPr>
        <w:t xml:space="preserve">Active: </w:t>
      </w:r>
      <w:r w:rsidRPr="00C17E74">
        <w:rPr>
          <w:rFonts w:eastAsia="Times New Roman" w:cstheme="minorHAnsi"/>
          <w:lang w:val="en-US"/>
        </w:rPr>
        <w:t xml:space="preserve">The partnership consists of two or more members (Organisations) and the Partnership Broker is playing an active role in assisting partners to achieve improved education and transition outcomes for young people. This includes building strong partnership foundations based on key partnering principles, such as transparency, equity and mutual benefit. </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b/>
          <w:lang w:val="en-US"/>
        </w:rPr>
        <w:t xml:space="preserve">Self-sustaining: </w:t>
      </w:r>
      <w:r w:rsidRPr="00C17E74">
        <w:rPr>
          <w:rFonts w:eastAsia="Times New Roman" w:cstheme="minorHAnsi"/>
          <w:lang w:val="en-US"/>
        </w:rPr>
        <w:t>The partnership has reached a point in its development where it no longer requires direct support from the Partnership Broker.</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b/>
          <w:lang w:val="en-US"/>
        </w:rPr>
        <w:t>Draft:</w:t>
      </w:r>
      <w:r w:rsidRPr="00C17E74">
        <w:rPr>
          <w:rFonts w:eastAsia="Times New Roman" w:cstheme="minorHAnsi"/>
          <w:lang w:val="en-US"/>
        </w:rPr>
        <w:t xml:space="preserve"> </w:t>
      </w:r>
      <w:r w:rsidRPr="00C17E74">
        <w:rPr>
          <w:rFonts w:eastAsia="Times New Roman" w:cstheme="minorHAnsi"/>
          <w:lang w:val="en-US" w:eastAsia="en-AU"/>
        </w:rPr>
        <w:t>The Partnership has been entered in the system (YATMIS) but further information or progress is required before it can be activated.</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b/>
          <w:lang w:val="en-US"/>
        </w:rPr>
        <w:t xml:space="preserve">Inactive: </w:t>
      </w:r>
      <w:r w:rsidRPr="00C17E74">
        <w:rPr>
          <w:rFonts w:eastAsia="Times New Roman" w:cstheme="minorHAnsi"/>
          <w:lang w:val="en-US"/>
        </w:rPr>
        <w:t xml:space="preserve">These are partnerships that may be periodic or seasonal in nature. For example, the status of a particular partnership can be turned to ‘inactive’ when the partnership has achieved its purpose for the year and is likely to become active again in the following year. </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b/>
          <w:lang w:val="en-US"/>
        </w:rPr>
        <w:t xml:space="preserve">Terminated: </w:t>
      </w:r>
      <w:r w:rsidRPr="00C17E74">
        <w:rPr>
          <w:rFonts w:eastAsia="Times New Roman" w:cstheme="minorHAnsi"/>
          <w:lang w:val="en-US"/>
        </w:rPr>
        <w:t>The partnership has achieved its purpose and been discontinued, or become unviable.</w:t>
      </w:r>
    </w:p>
    <w:p w:rsidR="00C17E74" w:rsidRPr="00C17E74" w:rsidRDefault="00C17E74" w:rsidP="00CE0332">
      <w:pPr>
        <w:pStyle w:val="Heading3"/>
        <w:rPr>
          <w:lang w:eastAsia="en-AU"/>
        </w:rPr>
      </w:pPr>
      <w:r w:rsidRPr="00C17E74">
        <w:rPr>
          <w:lang w:eastAsia="en-AU"/>
        </w:rPr>
        <w:t xml:space="preserve">Table </w:t>
      </w:r>
      <w:proofErr w:type="spellStart"/>
      <w:r w:rsidRPr="00C17E74">
        <w:rPr>
          <w:lang w:eastAsia="en-AU"/>
        </w:rPr>
        <w:t>F1</w:t>
      </w:r>
      <w:proofErr w:type="spellEnd"/>
      <w:r w:rsidRPr="00C17E74">
        <w:rPr>
          <w:lang w:eastAsia="en-AU"/>
        </w:rPr>
        <w:t xml:space="preserve"> – Number of State Partnerships Created by Status for SA</w:t>
      </w:r>
    </w:p>
    <w:tbl>
      <w:tblPr>
        <w:tblW w:w="9926" w:type="dxa"/>
        <w:tblLayout w:type="fixed"/>
        <w:tblCellMar>
          <w:left w:w="113" w:type="dxa"/>
          <w:right w:w="57" w:type="dxa"/>
        </w:tblCellMar>
        <w:tblLook w:val="0000" w:firstRow="0" w:lastRow="0" w:firstColumn="0" w:lastColumn="0" w:noHBand="0" w:noVBand="0"/>
      </w:tblPr>
      <w:tblGrid>
        <w:gridCol w:w="1696"/>
        <w:gridCol w:w="1842"/>
        <w:gridCol w:w="1994"/>
        <w:gridCol w:w="2268"/>
        <w:gridCol w:w="2126"/>
      </w:tblGrid>
      <w:tr w:rsidR="00C17E74" w:rsidRPr="00C17E74" w:rsidTr="0053283A">
        <w:trPr>
          <w:trHeight w:val="460"/>
        </w:trPr>
        <w:tc>
          <w:tcPr>
            <w:tcW w:w="1696" w:type="dxa"/>
            <w:tcBorders>
              <w:top w:val="single" w:sz="12" w:space="0" w:color="auto"/>
              <w:left w:val="single" w:sz="12" w:space="0" w:color="auto"/>
              <w:bottom w:val="single" w:sz="4" w:space="0" w:color="auto"/>
              <w:right w:val="single" w:sz="4"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Active partnerships (%)</w:t>
            </w:r>
          </w:p>
        </w:tc>
        <w:tc>
          <w:tcPr>
            <w:tcW w:w="1842" w:type="dxa"/>
            <w:tcBorders>
              <w:top w:val="single" w:sz="12" w:space="0" w:color="auto"/>
              <w:left w:val="nil"/>
              <w:bottom w:val="single" w:sz="4" w:space="0" w:color="auto"/>
              <w:right w:val="single" w:sz="4"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Self Sustaining partnerships (%)</w:t>
            </w:r>
          </w:p>
        </w:tc>
        <w:tc>
          <w:tcPr>
            <w:tcW w:w="1994" w:type="dxa"/>
            <w:tcBorders>
              <w:top w:val="single" w:sz="12" w:space="0" w:color="auto"/>
              <w:left w:val="nil"/>
              <w:bottom w:val="single" w:sz="4" w:space="0" w:color="auto"/>
              <w:right w:val="single" w:sz="4"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Active/Self-Sustaining partnerships (%)</w:t>
            </w:r>
          </w:p>
        </w:tc>
        <w:tc>
          <w:tcPr>
            <w:tcW w:w="2268" w:type="dxa"/>
            <w:tcBorders>
              <w:top w:val="single" w:sz="12" w:space="0" w:color="auto"/>
              <w:left w:val="single" w:sz="4" w:space="0" w:color="auto"/>
              <w:bottom w:val="single" w:sz="4" w:space="0" w:color="auto"/>
              <w:right w:val="single" w:sz="12"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Draft/Inactive/ Terminated partnerships (%)</w:t>
            </w:r>
          </w:p>
        </w:tc>
        <w:tc>
          <w:tcPr>
            <w:tcW w:w="2126" w:type="dxa"/>
            <w:tcBorders>
              <w:top w:val="single" w:sz="12" w:space="0" w:color="auto"/>
              <w:left w:val="single" w:sz="12" w:space="0" w:color="auto"/>
              <w:bottom w:val="single" w:sz="4" w:space="0" w:color="auto"/>
              <w:right w:val="single" w:sz="12"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State partnerships (%)</w:t>
            </w:r>
          </w:p>
        </w:tc>
      </w:tr>
      <w:tr w:rsidR="00C17E74" w:rsidRPr="00C17E74" w:rsidTr="0053283A">
        <w:trPr>
          <w:trHeight w:val="340"/>
        </w:trPr>
        <w:tc>
          <w:tcPr>
            <w:tcW w:w="1696" w:type="dxa"/>
            <w:tcBorders>
              <w:top w:val="nil"/>
              <w:left w:val="single" w:sz="12" w:space="0" w:color="auto"/>
              <w:bottom w:val="single" w:sz="12"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sz w:val="20"/>
                <w:szCs w:val="20"/>
              </w:rPr>
            </w:pPr>
            <w:r w:rsidRPr="00C17E74">
              <w:rPr>
                <w:rFonts w:ascii="Calibri" w:eastAsia="Times New Roman" w:hAnsi="Calibri" w:cs="Calibri"/>
                <w:sz w:val="20"/>
                <w:szCs w:val="20"/>
              </w:rPr>
              <w:t>98 (35%)</w:t>
            </w:r>
          </w:p>
        </w:tc>
        <w:tc>
          <w:tcPr>
            <w:tcW w:w="1842" w:type="dxa"/>
            <w:tcBorders>
              <w:top w:val="single" w:sz="4" w:space="0" w:color="auto"/>
              <w:left w:val="nil"/>
              <w:bottom w:val="single" w:sz="12"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sz w:val="20"/>
                <w:szCs w:val="20"/>
              </w:rPr>
            </w:pPr>
            <w:r w:rsidRPr="00C17E74">
              <w:rPr>
                <w:rFonts w:ascii="Calibri" w:eastAsia="Times New Roman" w:hAnsi="Calibri" w:cs="Calibri"/>
                <w:sz w:val="20"/>
                <w:szCs w:val="20"/>
              </w:rPr>
              <w:t>24 (9%)</w:t>
            </w:r>
          </w:p>
        </w:tc>
        <w:tc>
          <w:tcPr>
            <w:tcW w:w="1994" w:type="dxa"/>
            <w:tcBorders>
              <w:top w:val="single" w:sz="4" w:space="0" w:color="auto"/>
              <w:left w:val="nil"/>
              <w:bottom w:val="single" w:sz="12"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sz w:val="20"/>
                <w:szCs w:val="20"/>
              </w:rPr>
            </w:pPr>
            <w:r w:rsidRPr="00C17E74">
              <w:rPr>
                <w:rFonts w:ascii="Calibri" w:eastAsia="Times New Roman" w:hAnsi="Calibri" w:cs="Calibri"/>
                <w:sz w:val="20"/>
                <w:szCs w:val="20"/>
              </w:rPr>
              <w:t>122 (43%)</w:t>
            </w:r>
          </w:p>
        </w:tc>
        <w:tc>
          <w:tcPr>
            <w:tcW w:w="2268" w:type="dxa"/>
            <w:tcBorders>
              <w:top w:val="single" w:sz="4" w:space="0" w:color="auto"/>
              <w:left w:val="single" w:sz="4" w:space="0" w:color="auto"/>
              <w:bottom w:val="single" w:sz="12"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sz w:val="20"/>
                <w:szCs w:val="20"/>
              </w:rPr>
            </w:pPr>
            <w:r w:rsidRPr="00C17E74">
              <w:rPr>
                <w:rFonts w:ascii="Calibri" w:eastAsia="Times New Roman" w:hAnsi="Calibri" w:cs="Calibri"/>
                <w:sz w:val="20"/>
                <w:szCs w:val="20"/>
              </w:rPr>
              <w:t>159 (57%)</w:t>
            </w:r>
          </w:p>
        </w:tc>
        <w:tc>
          <w:tcPr>
            <w:tcW w:w="2126" w:type="dxa"/>
            <w:tcBorders>
              <w:top w:val="single" w:sz="4" w:space="0" w:color="auto"/>
              <w:left w:val="single" w:sz="12" w:space="0" w:color="auto"/>
              <w:bottom w:val="single" w:sz="12"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sz w:val="20"/>
                <w:szCs w:val="20"/>
              </w:rPr>
            </w:pPr>
            <w:r w:rsidRPr="00C17E74">
              <w:rPr>
                <w:rFonts w:ascii="Calibri" w:eastAsia="Times New Roman" w:hAnsi="Calibri" w:cs="Calibri"/>
                <w:sz w:val="20"/>
                <w:szCs w:val="20"/>
              </w:rPr>
              <w:t>281 (100%)</w:t>
            </w:r>
          </w:p>
        </w:tc>
      </w:tr>
    </w:tbl>
    <w:p w:rsidR="00C17E74" w:rsidRPr="00C17E74" w:rsidRDefault="00C17E74" w:rsidP="00C17E74">
      <w:pPr>
        <w:spacing w:line="240" w:lineRule="auto"/>
        <w:rPr>
          <w:rFonts w:ascii="Times New Roman" w:eastAsia="Times New Roman" w:hAnsi="Times New Roman" w:cs="Times New Roman"/>
          <w:sz w:val="24"/>
          <w:szCs w:val="20"/>
        </w:rPr>
      </w:pPr>
    </w:p>
    <w:p w:rsidR="00C17E74" w:rsidRPr="00C17E74" w:rsidRDefault="00C17E74" w:rsidP="00CE0332">
      <w:pPr>
        <w:pStyle w:val="Heading3"/>
        <w:rPr>
          <w:lang w:eastAsia="en-AU"/>
        </w:rPr>
      </w:pPr>
      <w:r w:rsidRPr="00C17E74">
        <w:rPr>
          <w:lang w:eastAsia="en-AU"/>
        </w:rPr>
        <w:t xml:space="preserve">Table </w:t>
      </w:r>
      <w:proofErr w:type="spellStart"/>
      <w:r w:rsidRPr="00C17E74">
        <w:rPr>
          <w:lang w:eastAsia="en-AU"/>
        </w:rPr>
        <w:t>F1</w:t>
      </w:r>
      <w:proofErr w:type="spellEnd"/>
      <w:r w:rsidRPr="00C17E74">
        <w:rPr>
          <w:lang w:eastAsia="en-AU"/>
        </w:rPr>
        <w:t xml:space="preserve"> – Number of State Partne</w:t>
      </w:r>
      <w:r w:rsidRPr="00CE0332">
        <w:rPr>
          <w:rStyle w:val="Heading3Char"/>
        </w:rPr>
        <w:t>r</w:t>
      </w:r>
      <w:r w:rsidRPr="00C17E74">
        <w:rPr>
          <w:lang w:eastAsia="en-AU"/>
        </w:rPr>
        <w:t>ships Created by Status with an Indigenous focus for SA</w:t>
      </w:r>
    </w:p>
    <w:tbl>
      <w:tblPr>
        <w:tblW w:w="14985" w:type="dxa"/>
        <w:tblLayout w:type="fixed"/>
        <w:tblCellMar>
          <w:left w:w="113" w:type="dxa"/>
          <w:right w:w="57" w:type="dxa"/>
        </w:tblCellMar>
        <w:tblLook w:val="0000" w:firstRow="0" w:lastRow="0" w:firstColumn="0" w:lastColumn="0" w:noHBand="0" w:noVBand="0"/>
      </w:tblPr>
      <w:tblGrid>
        <w:gridCol w:w="1696"/>
        <w:gridCol w:w="1842"/>
        <w:gridCol w:w="1994"/>
        <w:gridCol w:w="2268"/>
        <w:gridCol w:w="2126"/>
        <w:gridCol w:w="236"/>
        <w:gridCol w:w="4586"/>
        <w:gridCol w:w="237"/>
      </w:tblGrid>
      <w:tr w:rsidR="00C17E74" w:rsidRPr="00C17E74" w:rsidTr="0053283A">
        <w:trPr>
          <w:trHeight w:val="400"/>
        </w:trPr>
        <w:tc>
          <w:tcPr>
            <w:tcW w:w="1696" w:type="dxa"/>
            <w:tcBorders>
              <w:top w:val="single" w:sz="12" w:space="0" w:color="auto"/>
              <w:left w:val="single" w:sz="12" w:space="0" w:color="auto"/>
              <w:bottom w:val="single" w:sz="4" w:space="0" w:color="auto"/>
              <w:right w:val="single" w:sz="4" w:space="0" w:color="auto"/>
            </w:tcBorders>
            <w:shd w:val="clear" w:color="auto" w:fill="92CDDC" w:themeFill="accent5" w:themeFillTint="99"/>
            <w:noWrap/>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Active partnerships (%)</w:t>
            </w:r>
          </w:p>
        </w:tc>
        <w:tc>
          <w:tcPr>
            <w:tcW w:w="1842" w:type="dxa"/>
            <w:tcBorders>
              <w:top w:val="single" w:sz="12" w:space="0" w:color="auto"/>
              <w:left w:val="single" w:sz="4" w:space="0" w:color="auto"/>
              <w:bottom w:val="single" w:sz="4" w:space="0" w:color="auto"/>
              <w:right w:val="nil"/>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Self Sustaining partnerships (%)</w:t>
            </w:r>
          </w:p>
        </w:tc>
        <w:tc>
          <w:tcPr>
            <w:tcW w:w="1994" w:type="dxa"/>
            <w:tcBorders>
              <w:top w:val="single" w:sz="12" w:space="0" w:color="auto"/>
              <w:left w:val="single" w:sz="4" w:space="0" w:color="auto"/>
              <w:bottom w:val="single" w:sz="4" w:space="0" w:color="auto"/>
              <w:right w:val="single" w:sz="4"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Active/Self-Sustaining partnerships (%)</w:t>
            </w:r>
          </w:p>
        </w:tc>
        <w:tc>
          <w:tcPr>
            <w:tcW w:w="2268" w:type="dxa"/>
            <w:tcBorders>
              <w:top w:val="single" w:sz="12" w:space="0" w:color="auto"/>
              <w:left w:val="single" w:sz="4" w:space="0" w:color="auto"/>
              <w:bottom w:val="single" w:sz="4" w:space="0" w:color="auto"/>
              <w:right w:val="single" w:sz="12"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Draft/Inactive/ Terminated partnerships (%)</w:t>
            </w:r>
          </w:p>
        </w:tc>
        <w:tc>
          <w:tcPr>
            <w:tcW w:w="2126" w:type="dxa"/>
            <w:tcBorders>
              <w:top w:val="single" w:sz="12" w:space="0" w:color="auto"/>
              <w:left w:val="single" w:sz="12" w:space="0" w:color="auto"/>
              <w:bottom w:val="single" w:sz="4" w:space="0" w:color="auto"/>
              <w:right w:val="single" w:sz="12"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State partnerships (%)</w:t>
            </w:r>
          </w:p>
        </w:tc>
        <w:tc>
          <w:tcPr>
            <w:tcW w:w="236" w:type="dxa"/>
            <w:vMerge w:val="restart"/>
            <w:tcBorders>
              <w:left w:val="single" w:sz="12" w:space="0" w:color="auto"/>
              <w:right w:val="nil"/>
            </w:tcBorders>
          </w:tcPr>
          <w:p w:rsidR="00C17E74" w:rsidRPr="00C17E74" w:rsidRDefault="00C17E74" w:rsidP="00C17E74">
            <w:pPr>
              <w:spacing w:line="240" w:lineRule="auto"/>
              <w:rPr>
                <w:rFonts w:ascii="Arial" w:eastAsia="Times New Roman" w:hAnsi="Arial" w:cs="Arial"/>
                <w:sz w:val="20"/>
                <w:szCs w:val="20"/>
                <w:lang w:eastAsia="en-AU"/>
              </w:rPr>
            </w:pPr>
          </w:p>
        </w:tc>
        <w:tc>
          <w:tcPr>
            <w:tcW w:w="4586" w:type="dxa"/>
            <w:vMerge w:val="restart"/>
            <w:tcBorders>
              <w:left w:val="nil"/>
              <w:right w:val="nil"/>
            </w:tcBorders>
            <w:shd w:val="clear" w:color="auto" w:fill="auto"/>
            <w:noWrap/>
            <w:vAlign w:val="bottom"/>
          </w:tcPr>
          <w:p w:rsidR="00C17E74" w:rsidRPr="00C17E74" w:rsidRDefault="00C17E74" w:rsidP="00C17E74">
            <w:pPr>
              <w:spacing w:line="240" w:lineRule="auto"/>
              <w:rPr>
                <w:rFonts w:ascii="Arial" w:eastAsia="Times New Roman" w:hAnsi="Arial" w:cs="Arial"/>
                <w:sz w:val="20"/>
                <w:szCs w:val="20"/>
                <w:lang w:eastAsia="en-AU"/>
              </w:rPr>
            </w:pPr>
          </w:p>
        </w:tc>
        <w:tc>
          <w:tcPr>
            <w:tcW w:w="237" w:type="dxa"/>
            <w:vMerge w:val="restart"/>
            <w:tcBorders>
              <w:left w:val="nil"/>
              <w:right w:val="nil"/>
            </w:tcBorders>
            <w:shd w:val="clear" w:color="auto" w:fill="auto"/>
            <w:noWrap/>
            <w:vAlign w:val="bottom"/>
          </w:tcPr>
          <w:p w:rsidR="00C17E74" w:rsidRPr="00C17E74" w:rsidRDefault="00C17E74" w:rsidP="00C17E74">
            <w:pPr>
              <w:spacing w:line="240" w:lineRule="auto"/>
              <w:rPr>
                <w:rFonts w:ascii="Arial" w:eastAsia="Times New Roman" w:hAnsi="Arial" w:cs="Arial"/>
                <w:sz w:val="20"/>
                <w:szCs w:val="20"/>
                <w:lang w:eastAsia="en-AU"/>
              </w:rPr>
            </w:pPr>
          </w:p>
        </w:tc>
      </w:tr>
      <w:tr w:rsidR="00C17E74" w:rsidRPr="00C17E74" w:rsidTr="0053283A">
        <w:trPr>
          <w:trHeight w:val="342"/>
        </w:trPr>
        <w:tc>
          <w:tcPr>
            <w:tcW w:w="1696"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sz w:val="20"/>
                <w:szCs w:val="20"/>
              </w:rPr>
            </w:pPr>
            <w:r w:rsidRPr="00C17E74">
              <w:rPr>
                <w:rFonts w:ascii="Calibri" w:eastAsia="Times New Roman" w:hAnsi="Calibri" w:cs="Calibri"/>
                <w:sz w:val="20"/>
                <w:szCs w:val="20"/>
              </w:rPr>
              <w:t>20 (20%)</w:t>
            </w:r>
          </w:p>
        </w:tc>
        <w:tc>
          <w:tcPr>
            <w:tcW w:w="1842" w:type="dxa"/>
            <w:tcBorders>
              <w:top w:val="single" w:sz="4" w:space="0" w:color="auto"/>
              <w:left w:val="single" w:sz="4" w:space="0" w:color="auto"/>
              <w:bottom w:val="single" w:sz="12" w:space="0" w:color="auto"/>
              <w:right w:val="nil"/>
            </w:tcBorders>
            <w:shd w:val="clear" w:color="auto" w:fill="auto"/>
            <w:vAlign w:val="center"/>
          </w:tcPr>
          <w:p w:rsidR="00C17E74" w:rsidRPr="00C17E74" w:rsidRDefault="00C17E74" w:rsidP="00C17E74">
            <w:pPr>
              <w:spacing w:line="240" w:lineRule="auto"/>
              <w:jc w:val="center"/>
              <w:rPr>
                <w:rFonts w:ascii="Calibri" w:eastAsia="Times New Roman" w:hAnsi="Calibri" w:cs="Calibri"/>
                <w:sz w:val="20"/>
                <w:szCs w:val="20"/>
              </w:rPr>
            </w:pPr>
            <w:r w:rsidRPr="00C17E74">
              <w:rPr>
                <w:rFonts w:ascii="Calibri" w:eastAsia="Times New Roman" w:hAnsi="Calibri" w:cs="Calibri"/>
                <w:sz w:val="20"/>
                <w:szCs w:val="20"/>
              </w:rPr>
              <w:t>4 (17%)</w:t>
            </w:r>
          </w:p>
        </w:tc>
        <w:tc>
          <w:tcPr>
            <w:tcW w:w="1994" w:type="dxa"/>
            <w:tcBorders>
              <w:top w:val="single" w:sz="4" w:space="0" w:color="auto"/>
              <w:left w:val="single" w:sz="4" w:space="0" w:color="auto"/>
              <w:bottom w:val="single" w:sz="12"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sz w:val="20"/>
                <w:szCs w:val="20"/>
              </w:rPr>
            </w:pPr>
            <w:r w:rsidRPr="00C17E74">
              <w:rPr>
                <w:rFonts w:ascii="Calibri" w:eastAsia="Times New Roman" w:hAnsi="Calibri" w:cs="Calibri"/>
                <w:sz w:val="20"/>
                <w:szCs w:val="20"/>
              </w:rPr>
              <w:t>24 (20%)</w:t>
            </w:r>
          </w:p>
        </w:tc>
        <w:tc>
          <w:tcPr>
            <w:tcW w:w="2268" w:type="dxa"/>
            <w:tcBorders>
              <w:top w:val="single" w:sz="4" w:space="0" w:color="auto"/>
              <w:left w:val="single" w:sz="4" w:space="0" w:color="auto"/>
              <w:bottom w:val="single" w:sz="12"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sz w:val="20"/>
                <w:szCs w:val="20"/>
              </w:rPr>
            </w:pPr>
            <w:r w:rsidRPr="00C17E74">
              <w:rPr>
                <w:rFonts w:ascii="Calibri" w:eastAsia="Times New Roman" w:hAnsi="Calibri" w:cs="Calibri"/>
                <w:sz w:val="20"/>
                <w:szCs w:val="20"/>
              </w:rPr>
              <w:t>24 (15%)</w:t>
            </w:r>
          </w:p>
        </w:tc>
        <w:tc>
          <w:tcPr>
            <w:tcW w:w="2126" w:type="dxa"/>
            <w:tcBorders>
              <w:top w:val="single" w:sz="4" w:space="0" w:color="auto"/>
              <w:left w:val="single" w:sz="12" w:space="0" w:color="auto"/>
              <w:bottom w:val="single" w:sz="12"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sz w:val="20"/>
                <w:szCs w:val="20"/>
              </w:rPr>
            </w:pPr>
            <w:r w:rsidRPr="00C17E74">
              <w:rPr>
                <w:rFonts w:ascii="Calibri" w:eastAsia="Times New Roman" w:hAnsi="Calibri" w:cs="Calibri"/>
                <w:sz w:val="20"/>
                <w:szCs w:val="20"/>
              </w:rPr>
              <w:t>48 (17%)</w:t>
            </w:r>
          </w:p>
        </w:tc>
        <w:tc>
          <w:tcPr>
            <w:tcW w:w="236" w:type="dxa"/>
            <w:vMerge/>
            <w:tcBorders>
              <w:left w:val="single" w:sz="12" w:space="0" w:color="auto"/>
              <w:right w:val="nil"/>
            </w:tcBorders>
          </w:tcPr>
          <w:p w:rsidR="00C17E74" w:rsidRPr="00C17E74" w:rsidRDefault="00C17E74" w:rsidP="00C17E74">
            <w:pPr>
              <w:spacing w:line="240" w:lineRule="auto"/>
              <w:rPr>
                <w:rFonts w:ascii="Arial" w:eastAsia="Times New Roman" w:hAnsi="Arial" w:cs="Arial"/>
                <w:sz w:val="20"/>
                <w:szCs w:val="20"/>
                <w:lang w:eastAsia="en-AU"/>
              </w:rPr>
            </w:pPr>
          </w:p>
        </w:tc>
        <w:tc>
          <w:tcPr>
            <w:tcW w:w="4586" w:type="dxa"/>
            <w:vMerge/>
            <w:tcBorders>
              <w:left w:val="nil"/>
              <w:right w:val="nil"/>
            </w:tcBorders>
            <w:shd w:val="clear" w:color="auto" w:fill="auto"/>
            <w:noWrap/>
            <w:vAlign w:val="bottom"/>
          </w:tcPr>
          <w:p w:rsidR="00C17E74" w:rsidRPr="00C17E74" w:rsidRDefault="00C17E74" w:rsidP="00C17E74">
            <w:pPr>
              <w:spacing w:line="240" w:lineRule="auto"/>
              <w:rPr>
                <w:rFonts w:ascii="Arial" w:eastAsia="Times New Roman" w:hAnsi="Arial" w:cs="Arial"/>
                <w:sz w:val="20"/>
                <w:szCs w:val="20"/>
                <w:lang w:eastAsia="en-AU"/>
              </w:rPr>
            </w:pPr>
          </w:p>
        </w:tc>
        <w:tc>
          <w:tcPr>
            <w:tcW w:w="237" w:type="dxa"/>
            <w:vMerge/>
            <w:tcBorders>
              <w:left w:val="nil"/>
              <w:right w:val="nil"/>
            </w:tcBorders>
            <w:shd w:val="clear" w:color="auto" w:fill="auto"/>
            <w:noWrap/>
            <w:vAlign w:val="bottom"/>
          </w:tcPr>
          <w:p w:rsidR="00C17E74" w:rsidRPr="00C17E74" w:rsidRDefault="00C17E74" w:rsidP="00C17E74">
            <w:pPr>
              <w:spacing w:line="240" w:lineRule="auto"/>
              <w:rPr>
                <w:rFonts w:ascii="Arial" w:eastAsia="Times New Roman" w:hAnsi="Arial" w:cs="Arial"/>
                <w:sz w:val="20"/>
                <w:szCs w:val="20"/>
                <w:lang w:eastAsia="en-AU"/>
              </w:rPr>
            </w:pPr>
          </w:p>
        </w:tc>
      </w:tr>
    </w:tbl>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Indigenous partnership percentages in the bottom row were calculated using the total partnerships by status in the row directly above. For example, 20% of the total active partnerships in SA are Indigenous.</w:t>
      </w:r>
    </w:p>
    <w:p w:rsidR="00C17E74" w:rsidRPr="00C17E74" w:rsidRDefault="00C17E74" w:rsidP="00C17E74">
      <w:pPr>
        <w:spacing w:before="120" w:after="120" w:line="240" w:lineRule="auto"/>
        <w:ind w:right="34"/>
        <w:rPr>
          <w:rFonts w:eastAsia="Times New Roman" w:cstheme="minorHAnsi"/>
          <w:lang w:val="en-US"/>
        </w:rPr>
      </w:pPr>
    </w:p>
    <w:p w:rsidR="00C17E74" w:rsidRPr="00C17E74" w:rsidRDefault="00C17E74" w:rsidP="00CE0332">
      <w:pPr>
        <w:pStyle w:val="Heading3"/>
        <w:rPr>
          <w:lang w:eastAsia="en-AU"/>
        </w:rPr>
      </w:pPr>
      <w:r w:rsidRPr="00C17E74">
        <w:rPr>
          <w:lang w:eastAsia="en-AU"/>
        </w:rPr>
        <w:t xml:space="preserve">Table </w:t>
      </w:r>
      <w:proofErr w:type="spellStart"/>
      <w:r w:rsidRPr="00C17E74">
        <w:rPr>
          <w:lang w:eastAsia="en-AU"/>
        </w:rPr>
        <w:t>F2</w:t>
      </w:r>
      <w:proofErr w:type="spellEnd"/>
      <w:r w:rsidRPr="00C17E74">
        <w:rPr>
          <w:lang w:eastAsia="en-AU"/>
        </w:rPr>
        <w:t xml:space="preserve"> - Number of National Partnerships Created by Status</w:t>
      </w:r>
    </w:p>
    <w:p w:rsidR="00C17E74" w:rsidRPr="00C17E74" w:rsidRDefault="00C17E74" w:rsidP="00C17E74">
      <w:pPr>
        <w:spacing w:before="120" w:after="120" w:line="240" w:lineRule="auto"/>
        <w:ind w:right="34"/>
        <w:rPr>
          <w:rFonts w:ascii="Calibri" w:eastAsia="Times New Roman" w:hAnsi="Calibri" w:cs="Calibri"/>
          <w:lang w:val="en-US" w:eastAsia="en-AU"/>
        </w:rPr>
      </w:pPr>
      <w:r w:rsidRPr="00C17E74">
        <w:rPr>
          <w:rFonts w:eastAsia="Times New Roman" w:cstheme="minorHAnsi"/>
          <w:b/>
          <w:lang w:val="en-US"/>
        </w:rPr>
        <w:t>Note:</w:t>
      </w:r>
      <w:r w:rsidRPr="00C17E74">
        <w:rPr>
          <w:rFonts w:eastAsia="Times New Roman" w:cstheme="minorHAnsi"/>
          <w:lang w:val="en-US"/>
        </w:rPr>
        <w:t xml:space="preserve"> National figures do not include Victoria.</w:t>
      </w:r>
    </w:p>
    <w:tbl>
      <w:tblPr>
        <w:tblW w:w="9998" w:type="dxa"/>
        <w:tblInd w:w="-34" w:type="dxa"/>
        <w:tblLayout w:type="fixed"/>
        <w:tblCellMar>
          <w:left w:w="57" w:type="dxa"/>
          <w:right w:w="57" w:type="dxa"/>
        </w:tblCellMar>
        <w:tblLook w:val="0000" w:firstRow="0" w:lastRow="0" w:firstColumn="0" w:lastColumn="0" w:noHBand="0" w:noVBand="0"/>
      </w:tblPr>
      <w:tblGrid>
        <w:gridCol w:w="1715"/>
        <w:gridCol w:w="1856"/>
        <w:gridCol w:w="2000"/>
        <w:gridCol w:w="2285"/>
        <w:gridCol w:w="2142"/>
      </w:tblGrid>
      <w:tr w:rsidR="00C17E74" w:rsidRPr="00C17E74" w:rsidTr="0053283A">
        <w:trPr>
          <w:trHeight w:val="363"/>
        </w:trPr>
        <w:tc>
          <w:tcPr>
            <w:tcW w:w="1715" w:type="dxa"/>
            <w:tcBorders>
              <w:top w:val="single" w:sz="12" w:space="0" w:color="auto"/>
              <w:left w:val="single" w:sz="12" w:space="0" w:color="auto"/>
              <w:bottom w:val="single" w:sz="4" w:space="0" w:color="auto"/>
              <w:right w:val="single" w:sz="4"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Active partnerships (%)</w:t>
            </w:r>
          </w:p>
        </w:tc>
        <w:tc>
          <w:tcPr>
            <w:tcW w:w="1856" w:type="dxa"/>
            <w:tcBorders>
              <w:top w:val="single" w:sz="12" w:space="0" w:color="auto"/>
              <w:left w:val="nil"/>
              <w:bottom w:val="single" w:sz="4" w:space="0" w:color="auto"/>
              <w:right w:val="single" w:sz="4"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Self Sustaining partnerships (%)</w:t>
            </w:r>
          </w:p>
        </w:tc>
        <w:tc>
          <w:tcPr>
            <w:tcW w:w="2000" w:type="dxa"/>
            <w:tcBorders>
              <w:top w:val="single" w:sz="12" w:space="0" w:color="auto"/>
              <w:left w:val="nil"/>
              <w:bottom w:val="single" w:sz="4" w:space="0" w:color="auto"/>
              <w:right w:val="single" w:sz="4"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Active/Self-Sustaining partnerships (%)</w:t>
            </w:r>
          </w:p>
        </w:tc>
        <w:tc>
          <w:tcPr>
            <w:tcW w:w="2285" w:type="dxa"/>
            <w:tcBorders>
              <w:top w:val="single" w:sz="12" w:space="0" w:color="auto"/>
              <w:left w:val="single" w:sz="4" w:space="0" w:color="auto"/>
              <w:bottom w:val="single" w:sz="4" w:space="0" w:color="auto"/>
              <w:right w:val="single" w:sz="12"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Draft/Inactive/ Terminated partnerships (%)</w:t>
            </w:r>
          </w:p>
        </w:tc>
        <w:tc>
          <w:tcPr>
            <w:tcW w:w="2142" w:type="dxa"/>
            <w:tcBorders>
              <w:top w:val="single" w:sz="12" w:space="0" w:color="auto"/>
              <w:left w:val="single" w:sz="12" w:space="0" w:color="auto"/>
              <w:bottom w:val="single" w:sz="4" w:space="0" w:color="auto"/>
              <w:right w:val="single" w:sz="12"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State partnerships (%)</w:t>
            </w:r>
          </w:p>
        </w:tc>
      </w:tr>
      <w:tr w:rsidR="00C17E74" w:rsidRPr="00C17E74" w:rsidTr="0053283A">
        <w:trPr>
          <w:trHeight w:val="363"/>
        </w:trPr>
        <w:tc>
          <w:tcPr>
            <w:tcW w:w="1715" w:type="dxa"/>
            <w:tcBorders>
              <w:top w:val="nil"/>
              <w:left w:val="single" w:sz="12" w:space="0" w:color="auto"/>
              <w:bottom w:val="single" w:sz="12"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1052 (32%)</w:t>
            </w:r>
          </w:p>
        </w:tc>
        <w:tc>
          <w:tcPr>
            <w:tcW w:w="1856" w:type="dxa"/>
            <w:tcBorders>
              <w:top w:val="single" w:sz="4" w:space="0" w:color="auto"/>
              <w:left w:val="nil"/>
              <w:bottom w:val="single" w:sz="12"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549 (17%)</w:t>
            </w:r>
          </w:p>
        </w:tc>
        <w:tc>
          <w:tcPr>
            <w:tcW w:w="2000" w:type="dxa"/>
            <w:tcBorders>
              <w:top w:val="single" w:sz="4" w:space="0" w:color="auto"/>
              <w:left w:val="nil"/>
              <w:bottom w:val="single" w:sz="12"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1601 (49%)</w:t>
            </w:r>
          </w:p>
        </w:tc>
        <w:tc>
          <w:tcPr>
            <w:tcW w:w="2285" w:type="dxa"/>
            <w:tcBorders>
              <w:top w:val="single" w:sz="4" w:space="0" w:color="auto"/>
              <w:left w:val="single" w:sz="4" w:space="0" w:color="auto"/>
              <w:bottom w:val="single" w:sz="12"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1666 (51%)</w:t>
            </w:r>
          </w:p>
        </w:tc>
        <w:tc>
          <w:tcPr>
            <w:tcW w:w="2142" w:type="dxa"/>
            <w:tcBorders>
              <w:top w:val="single" w:sz="4" w:space="0" w:color="auto"/>
              <w:left w:val="single" w:sz="12" w:space="0" w:color="auto"/>
              <w:bottom w:val="single" w:sz="12"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3267 (100%)</w:t>
            </w:r>
          </w:p>
        </w:tc>
      </w:tr>
    </w:tbl>
    <w:p w:rsidR="00C17E74" w:rsidRPr="00C17E74" w:rsidRDefault="00C17E74" w:rsidP="00C17E74">
      <w:pPr>
        <w:spacing w:line="240" w:lineRule="auto"/>
        <w:rPr>
          <w:rFonts w:ascii="Times New Roman" w:eastAsia="Times New Roman" w:hAnsi="Times New Roman" w:cs="Times New Roman"/>
          <w:sz w:val="24"/>
          <w:szCs w:val="20"/>
        </w:rPr>
      </w:pPr>
    </w:p>
    <w:p w:rsidR="00C17E74" w:rsidRPr="00C17E74" w:rsidRDefault="00C17E74" w:rsidP="00C17E74">
      <w:pPr>
        <w:spacing w:line="240" w:lineRule="auto"/>
        <w:rPr>
          <w:rFonts w:ascii="Times New Roman" w:eastAsia="Times New Roman" w:hAnsi="Times New Roman" w:cs="Times New Roman"/>
          <w:sz w:val="24"/>
          <w:szCs w:val="20"/>
        </w:rPr>
      </w:pPr>
      <w:r w:rsidRPr="00C17E74">
        <w:rPr>
          <w:rFonts w:ascii="Times New Roman" w:eastAsia="Times New Roman" w:hAnsi="Times New Roman" w:cs="Times New Roman"/>
          <w:sz w:val="24"/>
          <w:szCs w:val="20"/>
        </w:rPr>
        <w:br w:type="page"/>
      </w:r>
    </w:p>
    <w:p w:rsidR="00C17E74" w:rsidRPr="00C17E74" w:rsidRDefault="00C17E74" w:rsidP="00CE0332">
      <w:pPr>
        <w:pStyle w:val="Heading3"/>
        <w:rPr>
          <w:lang w:eastAsia="en-AU"/>
        </w:rPr>
      </w:pPr>
      <w:r w:rsidRPr="00C17E74">
        <w:rPr>
          <w:lang w:eastAsia="en-AU"/>
        </w:rPr>
        <w:lastRenderedPageBreak/>
        <w:t xml:space="preserve">Table </w:t>
      </w:r>
      <w:proofErr w:type="spellStart"/>
      <w:r w:rsidRPr="00C17E74">
        <w:rPr>
          <w:lang w:eastAsia="en-AU"/>
        </w:rPr>
        <w:t>F2</w:t>
      </w:r>
      <w:proofErr w:type="spellEnd"/>
      <w:r w:rsidRPr="00C17E74">
        <w:rPr>
          <w:lang w:eastAsia="en-AU"/>
        </w:rPr>
        <w:t xml:space="preserve"> - Number of National Partnerships Created by Status with an Indigenous focus</w:t>
      </w:r>
    </w:p>
    <w:tbl>
      <w:tblPr>
        <w:tblW w:w="9998" w:type="dxa"/>
        <w:tblInd w:w="-34" w:type="dxa"/>
        <w:tblLayout w:type="fixed"/>
        <w:tblCellMar>
          <w:left w:w="57" w:type="dxa"/>
          <w:right w:w="57" w:type="dxa"/>
        </w:tblCellMar>
        <w:tblLook w:val="0000" w:firstRow="0" w:lastRow="0" w:firstColumn="0" w:lastColumn="0" w:noHBand="0" w:noVBand="0"/>
      </w:tblPr>
      <w:tblGrid>
        <w:gridCol w:w="1715"/>
        <w:gridCol w:w="1856"/>
        <w:gridCol w:w="2000"/>
        <w:gridCol w:w="2285"/>
        <w:gridCol w:w="2142"/>
      </w:tblGrid>
      <w:tr w:rsidR="00C17E74" w:rsidRPr="00C17E74" w:rsidTr="0053283A">
        <w:trPr>
          <w:trHeight w:val="426"/>
        </w:trPr>
        <w:tc>
          <w:tcPr>
            <w:tcW w:w="1715" w:type="dxa"/>
            <w:tcBorders>
              <w:top w:val="single" w:sz="12" w:space="0" w:color="auto"/>
              <w:left w:val="single" w:sz="12" w:space="0" w:color="auto"/>
              <w:bottom w:val="single" w:sz="4" w:space="0" w:color="auto"/>
              <w:right w:val="single" w:sz="4" w:space="0" w:color="auto"/>
            </w:tcBorders>
            <w:shd w:val="clear" w:color="auto" w:fill="92CDDC" w:themeFill="accent5" w:themeFillTint="99"/>
            <w:noWrap/>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Active partnerships (%)</w:t>
            </w:r>
          </w:p>
        </w:tc>
        <w:tc>
          <w:tcPr>
            <w:tcW w:w="1856" w:type="dxa"/>
            <w:tcBorders>
              <w:top w:val="single" w:sz="12" w:space="0" w:color="auto"/>
              <w:left w:val="single" w:sz="4" w:space="0" w:color="auto"/>
              <w:bottom w:val="single" w:sz="4" w:space="0" w:color="auto"/>
              <w:right w:val="nil"/>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Self Sustaining partnerships (%)</w:t>
            </w:r>
          </w:p>
        </w:tc>
        <w:tc>
          <w:tcPr>
            <w:tcW w:w="2000" w:type="dxa"/>
            <w:tcBorders>
              <w:top w:val="single" w:sz="12" w:space="0" w:color="auto"/>
              <w:left w:val="single" w:sz="4" w:space="0" w:color="auto"/>
              <w:bottom w:val="single" w:sz="4" w:space="0" w:color="auto"/>
              <w:right w:val="single" w:sz="4"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Active/Self-Sustaining partnerships (%)</w:t>
            </w:r>
          </w:p>
        </w:tc>
        <w:tc>
          <w:tcPr>
            <w:tcW w:w="2285" w:type="dxa"/>
            <w:tcBorders>
              <w:top w:val="single" w:sz="12" w:space="0" w:color="auto"/>
              <w:left w:val="single" w:sz="4" w:space="0" w:color="auto"/>
              <w:bottom w:val="single" w:sz="4" w:space="0" w:color="auto"/>
              <w:right w:val="single" w:sz="12"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Draft/Inactive/ Terminated partnerships (%)</w:t>
            </w:r>
          </w:p>
        </w:tc>
        <w:tc>
          <w:tcPr>
            <w:tcW w:w="2142" w:type="dxa"/>
            <w:tcBorders>
              <w:top w:val="single" w:sz="12" w:space="0" w:color="auto"/>
              <w:left w:val="single" w:sz="12" w:space="0" w:color="auto"/>
              <w:bottom w:val="single" w:sz="4" w:space="0" w:color="auto"/>
              <w:right w:val="single" w:sz="12"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State partnerships (%)</w:t>
            </w:r>
          </w:p>
        </w:tc>
      </w:tr>
      <w:tr w:rsidR="00C17E74" w:rsidRPr="00C17E74" w:rsidTr="0053283A">
        <w:trPr>
          <w:trHeight w:val="368"/>
        </w:trPr>
        <w:tc>
          <w:tcPr>
            <w:tcW w:w="171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sz w:val="20"/>
                <w:szCs w:val="20"/>
              </w:rPr>
            </w:pPr>
            <w:r w:rsidRPr="00C17E74">
              <w:rPr>
                <w:rFonts w:ascii="Calibri" w:eastAsia="Times New Roman" w:hAnsi="Calibri" w:cs="Calibri"/>
                <w:sz w:val="20"/>
                <w:szCs w:val="20"/>
              </w:rPr>
              <w:t>229 (22%)</w:t>
            </w:r>
          </w:p>
        </w:tc>
        <w:tc>
          <w:tcPr>
            <w:tcW w:w="1856" w:type="dxa"/>
            <w:tcBorders>
              <w:top w:val="single" w:sz="4" w:space="0" w:color="auto"/>
              <w:left w:val="single" w:sz="4" w:space="0" w:color="auto"/>
              <w:bottom w:val="single" w:sz="12" w:space="0" w:color="auto"/>
              <w:right w:val="nil"/>
            </w:tcBorders>
            <w:shd w:val="clear" w:color="auto" w:fill="auto"/>
            <w:vAlign w:val="center"/>
          </w:tcPr>
          <w:p w:rsidR="00C17E74" w:rsidRPr="00C17E74" w:rsidRDefault="00C17E74" w:rsidP="00C17E74">
            <w:pPr>
              <w:spacing w:line="240" w:lineRule="auto"/>
              <w:jc w:val="center"/>
              <w:rPr>
                <w:rFonts w:ascii="Calibri" w:eastAsia="Times New Roman" w:hAnsi="Calibri" w:cs="Calibri"/>
                <w:sz w:val="20"/>
                <w:szCs w:val="20"/>
              </w:rPr>
            </w:pPr>
            <w:r w:rsidRPr="00C17E74">
              <w:rPr>
                <w:rFonts w:ascii="Calibri" w:eastAsia="Times New Roman" w:hAnsi="Calibri" w:cs="Calibri"/>
                <w:sz w:val="20"/>
                <w:szCs w:val="20"/>
              </w:rPr>
              <w:t>94 (17%)</w:t>
            </w:r>
          </w:p>
        </w:tc>
        <w:tc>
          <w:tcPr>
            <w:tcW w:w="2000" w:type="dxa"/>
            <w:tcBorders>
              <w:top w:val="single" w:sz="4" w:space="0" w:color="auto"/>
              <w:left w:val="single" w:sz="4" w:space="0" w:color="auto"/>
              <w:bottom w:val="single" w:sz="12"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sz w:val="20"/>
                <w:szCs w:val="20"/>
              </w:rPr>
            </w:pPr>
            <w:r w:rsidRPr="00C17E74">
              <w:rPr>
                <w:rFonts w:ascii="Calibri" w:eastAsia="Times New Roman" w:hAnsi="Calibri" w:cs="Calibri"/>
                <w:sz w:val="20"/>
                <w:szCs w:val="20"/>
              </w:rPr>
              <w:t>323 (20%)</w:t>
            </w:r>
          </w:p>
        </w:tc>
        <w:tc>
          <w:tcPr>
            <w:tcW w:w="2285" w:type="dxa"/>
            <w:tcBorders>
              <w:top w:val="single" w:sz="4" w:space="0" w:color="auto"/>
              <w:left w:val="single" w:sz="4" w:space="0" w:color="auto"/>
              <w:bottom w:val="single" w:sz="12"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sz w:val="20"/>
                <w:szCs w:val="20"/>
              </w:rPr>
            </w:pPr>
            <w:r w:rsidRPr="00C17E74">
              <w:rPr>
                <w:rFonts w:ascii="Calibri" w:eastAsia="Times New Roman" w:hAnsi="Calibri" w:cs="Calibri"/>
                <w:sz w:val="20"/>
                <w:szCs w:val="20"/>
              </w:rPr>
              <w:t>332 (20%)</w:t>
            </w:r>
          </w:p>
        </w:tc>
        <w:tc>
          <w:tcPr>
            <w:tcW w:w="2142" w:type="dxa"/>
            <w:tcBorders>
              <w:top w:val="single" w:sz="4" w:space="0" w:color="auto"/>
              <w:left w:val="single" w:sz="12" w:space="0" w:color="auto"/>
              <w:bottom w:val="single" w:sz="12"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sz w:val="20"/>
                <w:szCs w:val="20"/>
              </w:rPr>
            </w:pPr>
            <w:r w:rsidRPr="00C17E74">
              <w:rPr>
                <w:rFonts w:ascii="Calibri" w:eastAsia="Times New Roman" w:hAnsi="Calibri" w:cs="Calibri"/>
                <w:sz w:val="20"/>
                <w:szCs w:val="20"/>
              </w:rPr>
              <w:t>655 (20%)</w:t>
            </w:r>
          </w:p>
        </w:tc>
      </w:tr>
    </w:tbl>
    <w:p w:rsidR="00C17E74" w:rsidRDefault="00C17E74" w:rsidP="00C17E74">
      <w:pPr>
        <w:spacing w:before="120" w:after="120" w:line="240" w:lineRule="auto"/>
        <w:ind w:right="34"/>
        <w:rPr>
          <w:rFonts w:eastAsia="Times New Roman" w:cstheme="minorHAnsi"/>
          <w:lang w:val="en-US" w:eastAsia="en-AU"/>
        </w:rPr>
      </w:pPr>
      <w:r w:rsidRPr="00C17E74">
        <w:rPr>
          <w:rFonts w:eastAsia="Times New Roman" w:cstheme="minorHAnsi"/>
          <w:lang w:val="en-US" w:eastAsia="en-AU"/>
        </w:rPr>
        <w:t>Indigenous partnership percentages in the bottom row were calculated using the total partnerships by status in the row directly above. For example, 22% of the total active partnerships are Indigenous.</w:t>
      </w:r>
      <w:bookmarkStart w:id="108" w:name="_Toc323901037"/>
    </w:p>
    <w:p w:rsidR="00C17E74" w:rsidRPr="00C17E74" w:rsidRDefault="00C17E74" w:rsidP="00CE0332">
      <w:pPr>
        <w:pStyle w:val="Heading3"/>
        <w:rPr>
          <w:rFonts w:eastAsia="Times New Roman"/>
        </w:rPr>
      </w:pPr>
      <w:bookmarkStart w:id="109" w:name="_Toc355862711"/>
      <w:r w:rsidRPr="00C17E74">
        <w:rPr>
          <w:rFonts w:eastAsia="Times New Roman"/>
        </w:rPr>
        <w:t xml:space="preserve">Table G – Active vs. Self-Sustaining </w:t>
      </w:r>
      <w:r w:rsidRPr="00CE0332">
        <w:t>Partnerships</w:t>
      </w:r>
      <w:r w:rsidRPr="00C17E74">
        <w:rPr>
          <w:rFonts w:eastAsia="Times New Roman"/>
        </w:rPr>
        <w:t xml:space="preserve"> (SA)</w:t>
      </w:r>
      <w:bookmarkEnd w:id="108"/>
      <w:bookmarkEnd w:id="109"/>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This table shows change in the proportion of partnerships with status active and self-sustaining.</w:t>
      </w:r>
    </w:p>
    <w:p w:rsidR="00C17E74" w:rsidRPr="00C17E74" w:rsidRDefault="00C17E74" w:rsidP="00C17E74">
      <w:pPr>
        <w:spacing w:before="120" w:after="120" w:line="240" w:lineRule="auto"/>
        <w:ind w:right="34"/>
        <w:rPr>
          <w:rFonts w:eastAsia="Times New Roman" w:cstheme="minorHAnsi"/>
          <w:lang w:val="en-US"/>
        </w:rPr>
        <w:sectPr w:rsidR="00C17E74" w:rsidRPr="00C17E74" w:rsidSect="0053283A">
          <w:pgSz w:w="11907" w:h="16839" w:code="9"/>
          <w:pgMar w:top="851" w:right="426" w:bottom="567" w:left="709" w:header="1" w:footer="0" w:gutter="0"/>
          <w:cols w:space="708"/>
          <w:docGrid w:linePitch="360"/>
        </w:sectPr>
      </w:pPr>
    </w:p>
    <w:tbl>
      <w:tblPr>
        <w:tblStyle w:val="TableGrid4"/>
        <w:tblW w:w="4878" w:type="dxa"/>
        <w:tblLook w:val="04A0" w:firstRow="1" w:lastRow="0" w:firstColumn="1" w:lastColumn="0" w:noHBand="0" w:noVBand="1"/>
        <w:tblDescription w:val="Table G - Active vs self-sustaining partnerships (SA)"/>
      </w:tblPr>
      <w:tblGrid>
        <w:gridCol w:w="1951"/>
        <w:gridCol w:w="1328"/>
        <w:gridCol w:w="1599"/>
      </w:tblGrid>
      <w:tr w:rsidR="00C17E74" w:rsidRPr="00C17E74" w:rsidTr="0058742A">
        <w:trPr>
          <w:trHeight w:val="744"/>
          <w:tblHeader/>
        </w:trPr>
        <w:tc>
          <w:tcPr>
            <w:tcW w:w="1951" w:type="dxa"/>
            <w:tcBorders>
              <w:top w:val="single" w:sz="12" w:space="0" w:color="auto"/>
              <w:left w:val="single" w:sz="12" w:space="0" w:color="auto"/>
              <w:right w:val="single" w:sz="12" w:space="0" w:color="auto"/>
            </w:tcBorders>
            <w:shd w:val="clear" w:color="auto" w:fill="92CDDC" w:themeFill="accent5" w:themeFillTint="99"/>
            <w:vAlign w:val="center"/>
          </w:tcPr>
          <w:p w:rsidR="00C17E74" w:rsidRPr="00C17E74" w:rsidRDefault="00C17E74" w:rsidP="00C17E74">
            <w:pPr>
              <w:rPr>
                <w:rFonts w:ascii="Calibri" w:hAnsi="Calibri" w:cs="Calibri"/>
                <w:b/>
              </w:rPr>
            </w:pPr>
            <w:r w:rsidRPr="00C17E74">
              <w:rPr>
                <w:rFonts w:ascii="Calibri" w:hAnsi="Calibri" w:cs="Calibri"/>
                <w:b/>
              </w:rPr>
              <w:lastRenderedPageBreak/>
              <w:t>Year (month)</w:t>
            </w:r>
          </w:p>
        </w:tc>
        <w:tc>
          <w:tcPr>
            <w:tcW w:w="1328" w:type="dxa"/>
            <w:tcBorders>
              <w:top w:val="single" w:sz="12" w:space="0" w:color="auto"/>
              <w:left w:val="single" w:sz="12" w:space="0" w:color="auto"/>
              <w:right w:val="single" w:sz="6" w:space="0" w:color="auto"/>
            </w:tcBorders>
            <w:shd w:val="clear" w:color="auto" w:fill="92CDDC" w:themeFill="accent5" w:themeFillTint="99"/>
            <w:vAlign w:val="center"/>
          </w:tcPr>
          <w:p w:rsidR="00C17E74" w:rsidRPr="00C17E74" w:rsidRDefault="00C17E74" w:rsidP="00C17E74">
            <w:pPr>
              <w:spacing w:before="120" w:after="120"/>
              <w:ind w:right="-1"/>
              <w:jc w:val="center"/>
              <w:rPr>
                <w:rFonts w:cstheme="minorHAnsi"/>
                <w:b/>
                <w:bCs/>
                <w:lang w:val="en-US"/>
              </w:rPr>
            </w:pPr>
            <w:r w:rsidRPr="00C17E74">
              <w:rPr>
                <w:rFonts w:cstheme="minorHAnsi"/>
                <w:b/>
                <w:bCs/>
                <w:lang w:val="en-US"/>
              </w:rPr>
              <w:t>Active</w:t>
            </w:r>
          </w:p>
        </w:tc>
        <w:tc>
          <w:tcPr>
            <w:tcW w:w="1599" w:type="dxa"/>
            <w:tcBorders>
              <w:top w:val="single" w:sz="12" w:space="0" w:color="auto"/>
              <w:left w:val="single" w:sz="6" w:space="0" w:color="auto"/>
              <w:right w:val="single" w:sz="12" w:space="0" w:color="auto"/>
            </w:tcBorders>
            <w:shd w:val="clear" w:color="auto" w:fill="92CDDC" w:themeFill="accent5" w:themeFillTint="99"/>
            <w:vAlign w:val="center"/>
          </w:tcPr>
          <w:p w:rsidR="00C17E74" w:rsidRPr="00C17E74" w:rsidRDefault="00C17E74" w:rsidP="00C17E74">
            <w:pPr>
              <w:spacing w:before="120" w:after="120"/>
              <w:ind w:right="-1"/>
              <w:jc w:val="center"/>
              <w:rPr>
                <w:rFonts w:cstheme="minorHAnsi"/>
                <w:b/>
                <w:bCs/>
                <w:lang w:val="en-US"/>
              </w:rPr>
            </w:pPr>
            <w:r w:rsidRPr="00C17E74">
              <w:rPr>
                <w:rFonts w:cstheme="minorHAnsi"/>
                <w:b/>
                <w:bCs/>
                <w:lang w:val="en-US"/>
              </w:rPr>
              <w:t>Self-sustaining</w:t>
            </w:r>
          </w:p>
        </w:tc>
      </w:tr>
      <w:tr w:rsidR="00C17E74" w:rsidRPr="00C17E74" w:rsidTr="0053283A">
        <w:trPr>
          <w:trHeight w:val="510"/>
        </w:trPr>
        <w:tc>
          <w:tcPr>
            <w:tcW w:w="1951" w:type="dxa"/>
            <w:tcBorders>
              <w:top w:val="single" w:sz="12" w:space="0" w:color="auto"/>
              <w:left w:val="single" w:sz="12" w:space="0" w:color="auto"/>
              <w:right w:val="single" w:sz="12" w:space="0" w:color="auto"/>
            </w:tcBorders>
            <w:shd w:val="clear" w:color="auto" w:fill="DAEEF3" w:themeFill="accent5" w:themeFillTint="33"/>
            <w:vAlign w:val="center"/>
          </w:tcPr>
          <w:p w:rsidR="00C17E74" w:rsidRPr="00C17E74" w:rsidRDefault="00C17E74" w:rsidP="00C17E74">
            <w:pPr>
              <w:rPr>
                <w:rFonts w:cstheme="minorHAnsi"/>
              </w:rPr>
            </w:pPr>
            <w:r w:rsidRPr="00C17E74">
              <w:rPr>
                <w:rFonts w:cstheme="minorHAnsi"/>
              </w:rPr>
              <w:t>2011 (April)</w:t>
            </w:r>
          </w:p>
        </w:tc>
        <w:tc>
          <w:tcPr>
            <w:tcW w:w="1328" w:type="dxa"/>
            <w:tcBorders>
              <w:top w:val="single" w:sz="12" w:space="0" w:color="auto"/>
              <w:left w:val="single" w:sz="12" w:space="0" w:color="auto"/>
              <w:right w:val="single" w:sz="6" w:space="0" w:color="auto"/>
            </w:tcBorders>
            <w:vAlign w:val="center"/>
          </w:tcPr>
          <w:p w:rsidR="00C17E74" w:rsidRPr="00C17E74" w:rsidRDefault="00C17E74" w:rsidP="00C17E74">
            <w:pPr>
              <w:jc w:val="center"/>
              <w:rPr>
                <w:rFonts w:ascii="Calibri" w:hAnsi="Calibri" w:cs="Calibri"/>
                <w:color w:val="000000"/>
              </w:rPr>
            </w:pPr>
            <w:r w:rsidRPr="00C17E74">
              <w:rPr>
                <w:rFonts w:ascii="Calibri" w:hAnsi="Calibri" w:cs="Calibri"/>
                <w:color w:val="000000"/>
              </w:rPr>
              <w:t>100%</w:t>
            </w:r>
          </w:p>
        </w:tc>
        <w:tc>
          <w:tcPr>
            <w:tcW w:w="1599" w:type="dxa"/>
            <w:tcBorders>
              <w:top w:val="single" w:sz="12" w:space="0" w:color="auto"/>
              <w:left w:val="single" w:sz="6" w:space="0" w:color="auto"/>
              <w:right w:val="single" w:sz="12" w:space="0" w:color="auto"/>
            </w:tcBorders>
            <w:shd w:val="clear" w:color="auto" w:fill="FFFFFF" w:themeFill="background1"/>
            <w:vAlign w:val="center"/>
          </w:tcPr>
          <w:p w:rsidR="00C17E74" w:rsidRPr="00C17E74" w:rsidRDefault="00C17E74" w:rsidP="00C17E74">
            <w:pPr>
              <w:jc w:val="center"/>
              <w:rPr>
                <w:rFonts w:ascii="Calibri" w:hAnsi="Calibri" w:cs="Calibri"/>
                <w:color w:val="000000"/>
              </w:rPr>
            </w:pPr>
            <w:r w:rsidRPr="00C17E74">
              <w:rPr>
                <w:rFonts w:ascii="Calibri" w:hAnsi="Calibri" w:cs="Calibri"/>
                <w:color w:val="000000"/>
              </w:rPr>
              <w:t>0%</w:t>
            </w:r>
          </w:p>
        </w:tc>
      </w:tr>
      <w:tr w:rsidR="00C17E74" w:rsidRPr="00C17E74" w:rsidTr="0053283A">
        <w:trPr>
          <w:trHeight w:val="540"/>
        </w:trPr>
        <w:tc>
          <w:tcPr>
            <w:tcW w:w="1951" w:type="dxa"/>
            <w:tcBorders>
              <w:left w:val="single" w:sz="12" w:space="0" w:color="auto"/>
              <w:right w:val="single" w:sz="12" w:space="0" w:color="auto"/>
            </w:tcBorders>
            <w:shd w:val="clear" w:color="auto" w:fill="DAEEF3" w:themeFill="accent5" w:themeFillTint="33"/>
            <w:vAlign w:val="center"/>
          </w:tcPr>
          <w:p w:rsidR="00C17E74" w:rsidRPr="00C17E74" w:rsidRDefault="00C17E74" w:rsidP="00C17E74">
            <w:pPr>
              <w:rPr>
                <w:rFonts w:cstheme="minorHAnsi"/>
              </w:rPr>
            </w:pPr>
            <w:r w:rsidRPr="00C17E74">
              <w:rPr>
                <w:rFonts w:cstheme="minorHAnsi"/>
              </w:rPr>
              <w:t>2011 (September)</w:t>
            </w:r>
          </w:p>
        </w:tc>
        <w:tc>
          <w:tcPr>
            <w:tcW w:w="1328" w:type="dxa"/>
            <w:tcBorders>
              <w:left w:val="single" w:sz="12" w:space="0" w:color="auto"/>
            </w:tcBorders>
            <w:vAlign w:val="center"/>
          </w:tcPr>
          <w:p w:rsidR="00C17E74" w:rsidRPr="00C17E74" w:rsidRDefault="00C17E74" w:rsidP="00C17E74">
            <w:pPr>
              <w:jc w:val="center"/>
              <w:rPr>
                <w:rFonts w:ascii="Calibri" w:hAnsi="Calibri" w:cs="Calibri"/>
                <w:color w:val="000000"/>
              </w:rPr>
            </w:pPr>
            <w:r w:rsidRPr="00C17E74">
              <w:rPr>
                <w:rFonts w:ascii="Calibri" w:hAnsi="Calibri" w:cs="Calibri"/>
                <w:color w:val="000000"/>
              </w:rPr>
              <w:t>99%</w:t>
            </w:r>
          </w:p>
        </w:tc>
        <w:tc>
          <w:tcPr>
            <w:tcW w:w="1599" w:type="dxa"/>
            <w:tcBorders>
              <w:right w:val="single" w:sz="12" w:space="0" w:color="auto"/>
            </w:tcBorders>
            <w:shd w:val="clear" w:color="auto" w:fill="FFFFFF" w:themeFill="background1"/>
            <w:vAlign w:val="center"/>
          </w:tcPr>
          <w:p w:rsidR="00C17E74" w:rsidRPr="00C17E74" w:rsidRDefault="00C17E74" w:rsidP="00C17E74">
            <w:pPr>
              <w:jc w:val="center"/>
              <w:rPr>
                <w:rFonts w:ascii="Calibri" w:hAnsi="Calibri" w:cs="Calibri"/>
                <w:color w:val="000000"/>
              </w:rPr>
            </w:pPr>
            <w:r w:rsidRPr="00C17E74">
              <w:rPr>
                <w:rFonts w:ascii="Calibri" w:hAnsi="Calibri" w:cs="Calibri"/>
                <w:color w:val="000000"/>
              </w:rPr>
              <w:t>1%</w:t>
            </w:r>
          </w:p>
        </w:tc>
      </w:tr>
      <w:tr w:rsidR="00C17E74" w:rsidRPr="00C17E74" w:rsidTr="0053283A">
        <w:trPr>
          <w:trHeight w:val="540"/>
        </w:trPr>
        <w:tc>
          <w:tcPr>
            <w:tcW w:w="1951" w:type="dxa"/>
            <w:tcBorders>
              <w:left w:val="single" w:sz="12" w:space="0" w:color="auto"/>
              <w:right w:val="single" w:sz="12" w:space="0" w:color="auto"/>
            </w:tcBorders>
            <w:shd w:val="clear" w:color="auto" w:fill="DAEEF3" w:themeFill="accent5" w:themeFillTint="33"/>
            <w:vAlign w:val="center"/>
          </w:tcPr>
          <w:p w:rsidR="00C17E74" w:rsidRPr="00C17E74" w:rsidRDefault="00C17E74" w:rsidP="00C17E74">
            <w:pPr>
              <w:rPr>
                <w:rFonts w:cstheme="minorHAnsi"/>
              </w:rPr>
            </w:pPr>
            <w:r w:rsidRPr="00C17E74">
              <w:rPr>
                <w:rFonts w:cstheme="minorHAnsi"/>
              </w:rPr>
              <w:t>2012 (April)</w:t>
            </w:r>
          </w:p>
        </w:tc>
        <w:tc>
          <w:tcPr>
            <w:tcW w:w="1328" w:type="dxa"/>
            <w:tcBorders>
              <w:left w:val="single" w:sz="12" w:space="0" w:color="auto"/>
            </w:tcBorders>
            <w:vAlign w:val="center"/>
          </w:tcPr>
          <w:p w:rsidR="00C17E74" w:rsidRPr="00C17E74" w:rsidRDefault="00C17E74" w:rsidP="00C17E74">
            <w:pPr>
              <w:jc w:val="center"/>
              <w:rPr>
                <w:rFonts w:ascii="Calibri" w:hAnsi="Calibri" w:cs="Calibri"/>
                <w:color w:val="000000"/>
              </w:rPr>
            </w:pPr>
            <w:r w:rsidRPr="00C17E74">
              <w:rPr>
                <w:rFonts w:ascii="Calibri" w:hAnsi="Calibri" w:cs="Calibri"/>
                <w:color w:val="000000"/>
              </w:rPr>
              <w:t>95%</w:t>
            </w:r>
          </w:p>
        </w:tc>
        <w:tc>
          <w:tcPr>
            <w:tcW w:w="1599" w:type="dxa"/>
            <w:tcBorders>
              <w:right w:val="single" w:sz="12" w:space="0" w:color="auto"/>
            </w:tcBorders>
            <w:shd w:val="clear" w:color="auto" w:fill="FFFFFF" w:themeFill="background1"/>
            <w:vAlign w:val="center"/>
          </w:tcPr>
          <w:p w:rsidR="00C17E74" w:rsidRPr="00C17E74" w:rsidRDefault="00C17E74" w:rsidP="00C17E74">
            <w:pPr>
              <w:jc w:val="center"/>
              <w:rPr>
                <w:rFonts w:ascii="Calibri" w:hAnsi="Calibri" w:cs="Calibri"/>
                <w:color w:val="000000"/>
              </w:rPr>
            </w:pPr>
            <w:r w:rsidRPr="00C17E74">
              <w:rPr>
                <w:rFonts w:ascii="Calibri" w:hAnsi="Calibri" w:cs="Calibri"/>
                <w:color w:val="000000"/>
              </w:rPr>
              <w:t>5%</w:t>
            </w:r>
          </w:p>
        </w:tc>
      </w:tr>
      <w:tr w:rsidR="00C17E74" w:rsidRPr="00C17E74" w:rsidTr="0053283A">
        <w:trPr>
          <w:trHeight w:val="540"/>
        </w:trPr>
        <w:tc>
          <w:tcPr>
            <w:tcW w:w="1951" w:type="dxa"/>
            <w:tcBorders>
              <w:left w:val="single" w:sz="12" w:space="0" w:color="auto"/>
              <w:right w:val="single" w:sz="12" w:space="0" w:color="auto"/>
            </w:tcBorders>
            <w:shd w:val="clear" w:color="auto" w:fill="DAEEF3" w:themeFill="accent5" w:themeFillTint="33"/>
            <w:vAlign w:val="center"/>
          </w:tcPr>
          <w:p w:rsidR="00C17E74" w:rsidRPr="00C17E74" w:rsidRDefault="00C17E74" w:rsidP="00C17E74">
            <w:pPr>
              <w:rPr>
                <w:rFonts w:cstheme="minorHAnsi"/>
              </w:rPr>
            </w:pPr>
            <w:r w:rsidRPr="00C17E74">
              <w:rPr>
                <w:rFonts w:cstheme="minorHAnsi"/>
              </w:rPr>
              <w:t>2012 (September)</w:t>
            </w:r>
          </w:p>
        </w:tc>
        <w:tc>
          <w:tcPr>
            <w:tcW w:w="1328" w:type="dxa"/>
            <w:tcBorders>
              <w:left w:val="single" w:sz="12" w:space="0" w:color="auto"/>
            </w:tcBorders>
            <w:vAlign w:val="center"/>
          </w:tcPr>
          <w:p w:rsidR="00C17E74" w:rsidRPr="00C17E74" w:rsidRDefault="00C17E74" w:rsidP="00C17E74">
            <w:pPr>
              <w:jc w:val="center"/>
              <w:rPr>
                <w:rFonts w:ascii="Calibri" w:hAnsi="Calibri" w:cs="Calibri"/>
                <w:color w:val="000000"/>
              </w:rPr>
            </w:pPr>
            <w:r w:rsidRPr="00C17E74">
              <w:rPr>
                <w:rFonts w:ascii="Calibri" w:hAnsi="Calibri" w:cs="Calibri"/>
                <w:color w:val="000000"/>
              </w:rPr>
              <w:t>88%</w:t>
            </w:r>
          </w:p>
        </w:tc>
        <w:tc>
          <w:tcPr>
            <w:tcW w:w="1599" w:type="dxa"/>
            <w:tcBorders>
              <w:right w:val="single" w:sz="12" w:space="0" w:color="auto"/>
            </w:tcBorders>
            <w:shd w:val="clear" w:color="auto" w:fill="FFFFFF" w:themeFill="background1"/>
            <w:vAlign w:val="center"/>
          </w:tcPr>
          <w:p w:rsidR="00C17E74" w:rsidRPr="00C17E74" w:rsidRDefault="00C17E74" w:rsidP="00C17E74">
            <w:pPr>
              <w:jc w:val="center"/>
              <w:rPr>
                <w:rFonts w:ascii="Calibri" w:hAnsi="Calibri" w:cs="Calibri"/>
                <w:color w:val="000000"/>
              </w:rPr>
            </w:pPr>
            <w:r w:rsidRPr="00C17E74">
              <w:rPr>
                <w:rFonts w:ascii="Calibri" w:hAnsi="Calibri" w:cs="Calibri"/>
                <w:color w:val="000000"/>
              </w:rPr>
              <w:t>12%</w:t>
            </w:r>
          </w:p>
        </w:tc>
      </w:tr>
      <w:tr w:rsidR="00C17E74" w:rsidRPr="00C17E74" w:rsidTr="0053283A">
        <w:trPr>
          <w:trHeight w:val="540"/>
        </w:trPr>
        <w:tc>
          <w:tcPr>
            <w:tcW w:w="1951" w:type="dxa"/>
            <w:tcBorders>
              <w:left w:val="single" w:sz="12" w:space="0" w:color="auto"/>
              <w:bottom w:val="single" w:sz="12" w:space="0" w:color="auto"/>
              <w:right w:val="single" w:sz="12" w:space="0" w:color="auto"/>
            </w:tcBorders>
            <w:shd w:val="clear" w:color="auto" w:fill="DAEEF3" w:themeFill="accent5" w:themeFillTint="33"/>
            <w:vAlign w:val="center"/>
          </w:tcPr>
          <w:p w:rsidR="00C17E74" w:rsidRPr="00C17E74" w:rsidRDefault="00C17E74" w:rsidP="00C17E74">
            <w:pPr>
              <w:rPr>
                <w:rFonts w:cstheme="minorHAnsi"/>
              </w:rPr>
            </w:pPr>
            <w:r w:rsidRPr="00C17E74">
              <w:rPr>
                <w:rFonts w:cstheme="minorHAnsi"/>
              </w:rPr>
              <w:t>2013 (April)</w:t>
            </w:r>
          </w:p>
        </w:tc>
        <w:tc>
          <w:tcPr>
            <w:tcW w:w="1328" w:type="dxa"/>
            <w:tcBorders>
              <w:left w:val="single" w:sz="12" w:space="0" w:color="auto"/>
              <w:bottom w:val="single" w:sz="12" w:space="0" w:color="auto"/>
            </w:tcBorders>
            <w:vAlign w:val="center"/>
          </w:tcPr>
          <w:p w:rsidR="00C17E74" w:rsidRPr="00C17E74" w:rsidRDefault="00C17E74" w:rsidP="00C17E74">
            <w:pPr>
              <w:jc w:val="center"/>
              <w:rPr>
                <w:rFonts w:ascii="Calibri" w:hAnsi="Calibri" w:cs="Calibri"/>
                <w:color w:val="000000"/>
              </w:rPr>
            </w:pPr>
            <w:r w:rsidRPr="00C17E74">
              <w:rPr>
                <w:rFonts w:ascii="Calibri" w:hAnsi="Calibri" w:cs="Calibri"/>
                <w:color w:val="000000"/>
              </w:rPr>
              <w:t>80%</w:t>
            </w:r>
          </w:p>
        </w:tc>
        <w:tc>
          <w:tcPr>
            <w:tcW w:w="1599" w:type="dxa"/>
            <w:tcBorders>
              <w:bottom w:val="single" w:sz="12" w:space="0" w:color="auto"/>
              <w:right w:val="single" w:sz="12" w:space="0" w:color="auto"/>
            </w:tcBorders>
            <w:shd w:val="clear" w:color="auto" w:fill="FFFFFF" w:themeFill="background1"/>
            <w:vAlign w:val="center"/>
          </w:tcPr>
          <w:p w:rsidR="00C17E74" w:rsidRPr="00C17E74" w:rsidRDefault="00C17E74" w:rsidP="00C17E74">
            <w:pPr>
              <w:jc w:val="center"/>
              <w:rPr>
                <w:rFonts w:ascii="Calibri" w:hAnsi="Calibri" w:cs="Calibri"/>
                <w:color w:val="000000"/>
              </w:rPr>
            </w:pPr>
            <w:r w:rsidRPr="00C17E74">
              <w:rPr>
                <w:rFonts w:ascii="Calibri" w:hAnsi="Calibri" w:cs="Calibri"/>
                <w:color w:val="000000"/>
              </w:rPr>
              <w:t>20%</w:t>
            </w:r>
          </w:p>
        </w:tc>
      </w:tr>
    </w:tbl>
    <w:p w:rsidR="00C17E74" w:rsidRPr="00C17E74" w:rsidRDefault="00C17E74" w:rsidP="00C17E74">
      <w:pPr>
        <w:spacing w:before="120" w:after="120" w:line="240" w:lineRule="auto"/>
        <w:ind w:right="34"/>
        <w:rPr>
          <w:rFonts w:eastAsia="Times New Roman" w:cstheme="minorHAnsi"/>
          <w:lang w:val="en-US"/>
        </w:rPr>
        <w:sectPr w:rsidR="00C17E74" w:rsidRPr="00C17E74" w:rsidSect="0053283A">
          <w:type w:val="continuous"/>
          <w:pgSz w:w="11907" w:h="16839" w:code="9"/>
          <w:pgMar w:top="851" w:right="1275" w:bottom="567" w:left="709" w:header="1" w:footer="0" w:gutter="0"/>
          <w:cols w:num="2" w:space="708"/>
          <w:docGrid w:linePitch="360"/>
        </w:sectPr>
      </w:pPr>
      <w:r w:rsidRPr="00C17E74">
        <w:rPr>
          <w:rFonts w:eastAsia="Times New Roman" w:cstheme="minorHAnsi"/>
          <w:noProof/>
          <w:lang w:eastAsia="en-AU"/>
        </w:rPr>
        <w:drawing>
          <wp:anchor distT="0" distB="0" distL="114300" distR="114300" simplePos="0" relativeHeight="251659264" behindDoc="0" locked="0" layoutInCell="1" allowOverlap="1" wp14:anchorId="1202A6DD" wp14:editId="0AC81666">
            <wp:simplePos x="0" y="0"/>
            <wp:positionH relativeFrom="column">
              <wp:posOffset>3378835</wp:posOffset>
            </wp:positionH>
            <wp:positionV relativeFrom="paragraph">
              <wp:posOffset>-2169795</wp:posOffset>
            </wp:positionV>
            <wp:extent cx="3333750" cy="2162175"/>
            <wp:effectExtent l="0" t="0" r="19050" b="9525"/>
            <wp:wrapNone/>
            <wp:docPr id="31" name="Chart 31" descr="This Chart provides a graphical representation of the data which appears in the Table G - Active Vs Self Sustaining Partnerships (SA)."/>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page">
              <wp14:pctWidth>0</wp14:pctWidth>
            </wp14:sizeRelH>
            <wp14:sizeRelV relativeFrom="page">
              <wp14:pctHeight>0</wp14:pctHeight>
            </wp14:sizeRelV>
          </wp:anchor>
        </w:drawing>
      </w:r>
    </w:p>
    <w:p w:rsidR="00C17E74" w:rsidRPr="00C17E74" w:rsidRDefault="00C17E74" w:rsidP="00CE0332">
      <w:pPr>
        <w:pStyle w:val="Heading3"/>
        <w:rPr>
          <w:rFonts w:eastAsia="Times New Roman"/>
        </w:rPr>
      </w:pPr>
      <w:bookmarkStart w:id="110" w:name="_Toc323901038"/>
      <w:bookmarkStart w:id="111" w:name="_Toc355862712"/>
      <w:r w:rsidRPr="00C17E74">
        <w:rPr>
          <w:rFonts w:eastAsia="Times New Roman"/>
        </w:rPr>
        <w:lastRenderedPageBreak/>
        <w:t>Table H – Number of Partnerships by Partnership Category</w:t>
      </w:r>
      <w:bookmarkEnd w:id="110"/>
      <w:bookmarkEnd w:id="111"/>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 xml:space="preserve">This table shows the category of partnerships. </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Please see below for descriptions of the different partnership category options:</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b/>
          <w:lang w:val="en-US"/>
        </w:rPr>
        <w:t>Brokered Partnership:</w:t>
      </w:r>
      <w:r w:rsidRPr="00C17E74">
        <w:rPr>
          <w:rFonts w:eastAsia="Times New Roman" w:cstheme="minorHAnsi"/>
          <w:lang w:val="en-US"/>
        </w:rPr>
        <w:t xml:space="preserve"> A brokered partnership is any ‘new’ partnership that is established or created with support from the Partnership Broker.</w:t>
      </w: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b/>
          <w:lang w:val="en-US"/>
        </w:rPr>
        <w:t>Pre-existing Partnership:</w:t>
      </w:r>
      <w:r w:rsidRPr="00C17E74">
        <w:rPr>
          <w:rFonts w:eastAsia="Times New Roman" w:cstheme="minorHAnsi"/>
          <w:lang w:val="en-US"/>
        </w:rPr>
        <w:t xml:space="preserve"> A pre-existing partnership is a previously established partnership that is being enhanced with the support of the Partnership Broker. </w:t>
      </w:r>
    </w:p>
    <w:p w:rsidR="00C17E74" w:rsidRPr="00C17E74" w:rsidRDefault="00C17E74" w:rsidP="00C17E74">
      <w:pPr>
        <w:spacing w:before="120" w:after="120" w:line="240" w:lineRule="auto"/>
        <w:ind w:right="34"/>
        <w:rPr>
          <w:rFonts w:eastAsia="Times New Roman" w:cstheme="minorHAnsi"/>
          <w:lang w:val="en-US"/>
        </w:rPr>
      </w:pPr>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b/>
          <w:lang w:val="en-US"/>
        </w:rPr>
        <w:t>Note:</w:t>
      </w:r>
      <w:r w:rsidRPr="00C17E74">
        <w:rPr>
          <w:rFonts w:eastAsia="Times New Roman" w:cstheme="minorHAnsi"/>
          <w:lang w:val="en-US"/>
        </w:rPr>
        <w:t xml:space="preserve"> this data includes partnerships with status active, self-sustaining, draft, inactive and terminated. National figures do not include Victoria.</w:t>
      </w:r>
    </w:p>
    <w:p w:rsidR="00C17E74" w:rsidRPr="00C17E74" w:rsidRDefault="00C17E74" w:rsidP="00C17E74">
      <w:pPr>
        <w:spacing w:before="120" w:after="120" w:line="240" w:lineRule="auto"/>
        <w:ind w:right="34"/>
        <w:rPr>
          <w:rFonts w:eastAsia="Times New Roman" w:cstheme="minorHAnsi"/>
          <w:lang w:val="en-US"/>
        </w:rPr>
      </w:pPr>
    </w:p>
    <w:p w:rsidR="00C17E74" w:rsidRPr="00C17E74" w:rsidRDefault="00C17E74" w:rsidP="00CE0332">
      <w:pPr>
        <w:pStyle w:val="Heading3"/>
        <w:rPr>
          <w:lang w:eastAsia="en-AU"/>
        </w:rPr>
      </w:pPr>
      <w:r w:rsidRPr="00C17E74">
        <w:rPr>
          <w:lang w:eastAsia="en-AU"/>
        </w:rPr>
        <w:t>Table H – Number of Partnerships by Partnership Category (SA)</w:t>
      </w:r>
    </w:p>
    <w:tbl>
      <w:tblPr>
        <w:tblW w:w="10403" w:type="dxa"/>
        <w:jc w:val="center"/>
        <w:tblInd w:w="-1146" w:type="dxa"/>
        <w:tblLayout w:type="fixed"/>
        <w:tblCellMar>
          <w:left w:w="57" w:type="dxa"/>
          <w:right w:w="57" w:type="dxa"/>
        </w:tblCellMar>
        <w:tblLook w:val="0000" w:firstRow="0" w:lastRow="0" w:firstColumn="0" w:lastColumn="0" w:noHBand="0" w:noVBand="0"/>
      </w:tblPr>
      <w:tblGrid>
        <w:gridCol w:w="2076"/>
        <w:gridCol w:w="1774"/>
        <w:gridCol w:w="1831"/>
        <w:gridCol w:w="1640"/>
        <w:gridCol w:w="1559"/>
        <w:gridCol w:w="1523"/>
      </w:tblGrid>
      <w:tr w:rsidR="00C17E74" w:rsidRPr="00C17E74" w:rsidTr="0053283A">
        <w:trPr>
          <w:trHeight w:val="460"/>
          <w:jc w:val="center"/>
        </w:trPr>
        <w:tc>
          <w:tcPr>
            <w:tcW w:w="2076" w:type="dxa"/>
            <w:tcBorders>
              <w:top w:val="single" w:sz="12" w:space="0" w:color="auto"/>
              <w:left w:val="single" w:sz="12" w:space="0" w:color="auto"/>
              <w:bottom w:val="single" w:sz="2" w:space="0" w:color="auto"/>
              <w:right w:val="single" w:sz="2"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Number of Pre-Existing Partnerships (SA)</w:t>
            </w:r>
          </w:p>
        </w:tc>
        <w:tc>
          <w:tcPr>
            <w:tcW w:w="1774" w:type="dxa"/>
            <w:tcBorders>
              <w:top w:val="single" w:sz="12" w:space="0" w:color="auto"/>
              <w:left w:val="single" w:sz="2" w:space="0" w:color="auto"/>
              <w:bottom w:val="single" w:sz="2" w:space="0" w:color="auto"/>
              <w:right w:val="single" w:sz="2"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Percentage of Pre-Existing Partnerships (SA)</w:t>
            </w:r>
          </w:p>
        </w:tc>
        <w:tc>
          <w:tcPr>
            <w:tcW w:w="1831" w:type="dxa"/>
            <w:tcBorders>
              <w:top w:val="single" w:sz="12" w:space="0" w:color="auto"/>
              <w:left w:val="single" w:sz="2" w:space="0" w:color="auto"/>
              <w:bottom w:val="single" w:sz="2" w:space="0" w:color="auto"/>
              <w:right w:val="single" w:sz="12"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Number of Brokered Partnerships (SA)</w:t>
            </w:r>
          </w:p>
        </w:tc>
        <w:tc>
          <w:tcPr>
            <w:tcW w:w="1640" w:type="dxa"/>
            <w:tcBorders>
              <w:top w:val="single" w:sz="12" w:space="0" w:color="auto"/>
              <w:left w:val="single" w:sz="12" w:space="0" w:color="auto"/>
              <w:bottom w:val="single" w:sz="2" w:space="0" w:color="auto"/>
              <w:right w:val="single" w:sz="2"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Percentage of Brokered Partnerships (SA)</w:t>
            </w:r>
          </w:p>
        </w:tc>
        <w:tc>
          <w:tcPr>
            <w:tcW w:w="1559" w:type="dxa"/>
            <w:tcBorders>
              <w:top w:val="single" w:sz="12" w:space="0" w:color="auto"/>
              <w:left w:val="single" w:sz="2" w:space="0" w:color="auto"/>
              <w:bottom w:val="single" w:sz="2" w:space="0" w:color="auto"/>
              <w:right w:val="single" w:sz="2"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Partnerships (SA)</w:t>
            </w:r>
          </w:p>
        </w:tc>
        <w:tc>
          <w:tcPr>
            <w:tcW w:w="1523" w:type="dxa"/>
            <w:tcBorders>
              <w:top w:val="single" w:sz="12" w:space="0" w:color="auto"/>
              <w:left w:val="single" w:sz="2" w:space="0" w:color="auto"/>
              <w:bottom w:val="single" w:sz="2" w:space="0" w:color="auto"/>
              <w:right w:val="single" w:sz="12"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Percentage of Partnerships (SA)</w:t>
            </w:r>
          </w:p>
        </w:tc>
      </w:tr>
      <w:tr w:rsidR="00C17E74" w:rsidRPr="00C17E74" w:rsidTr="0053283A">
        <w:trPr>
          <w:trHeight w:val="460"/>
          <w:jc w:val="center"/>
        </w:trPr>
        <w:tc>
          <w:tcPr>
            <w:tcW w:w="2076" w:type="dxa"/>
            <w:tcBorders>
              <w:top w:val="single" w:sz="2" w:space="0" w:color="auto"/>
              <w:left w:val="single" w:sz="12" w:space="0" w:color="auto"/>
              <w:bottom w:val="single" w:sz="12" w:space="0" w:color="auto"/>
              <w:right w:val="single" w:sz="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sz w:val="20"/>
                <w:szCs w:val="20"/>
              </w:rPr>
            </w:pPr>
            <w:r w:rsidRPr="00C17E74">
              <w:rPr>
                <w:rFonts w:ascii="Calibri" w:eastAsia="Times New Roman" w:hAnsi="Calibri" w:cs="Calibri"/>
                <w:sz w:val="20"/>
                <w:szCs w:val="20"/>
              </w:rPr>
              <w:t>45</w:t>
            </w:r>
          </w:p>
        </w:tc>
        <w:tc>
          <w:tcPr>
            <w:tcW w:w="1774" w:type="dxa"/>
            <w:tcBorders>
              <w:top w:val="single" w:sz="2" w:space="0" w:color="auto"/>
              <w:left w:val="single" w:sz="2" w:space="0" w:color="auto"/>
              <w:bottom w:val="single" w:sz="12" w:space="0" w:color="auto"/>
              <w:right w:val="single" w:sz="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sz w:val="20"/>
                <w:szCs w:val="20"/>
              </w:rPr>
            </w:pPr>
            <w:r w:rsidRPr="00C17E74">
              <w:rPr>
                <w:rFonts w:ascii="Calibri" w:eastAsia="Times New Roman" w:hAnsi="Calibri" w:cs="Calibri"/>
                <w:sz w:val="20"/>
                <w:szCs w:val="20"/>
              </w:rPr>
              <w:t>(16%)</w:t>
            </w:r>
          </w:p>
        </w:tc>
        <w:tc>
          <w:tcPr>
            <w:tcW w:w="1831" w:type="dxa"/>
            <w:tcBorders>
              <w:top w:val="single" w:sz="2" w:space="0" w:color="auto"/>
              <w:left w:val="single" w:sz="2" w:space="0" w:color="auto"/>
              <w:bottom w:val="single" w:sz="12" w:space="0" w:color="auto"/>
              <w:right w:val="single" w:sz="12" w:space="0" w:color="auto"/>
            </w:tcBorders>
            <w:shd w:val="clear" w:color="auto" w:fill="auto"/>
            <w:noWrap/>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236</w:t>
            </w:r>
          </w:p>
        </w:tc>
        <w:tc>
          <w:tcPr>
            <w:tcW w:w="1640" w:type="dxa"/>
            <w:tcBorders>
              <w:top w:val="single" w:sz="2" w:space="0" w:color="auto"/>
              <w:left w:val="single" w:sz="12" w:space="0" w:color="auto"/>
              <w:bottom w:val="single" w:sz="12" w:space="0" w:color="auto"/>
              <w:right w:val="single" w:sz="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(84%)</w:t>
            </w:r>
          </w:p>
        </w:tc>
        <w:tc>
          <w:tcPr>
            <w:tcW w:w="1559" w:type="dxa"/>
            <w:tcBorders>
              <w:top w:val="single" w:sz="2" w:space="0" w:color="auto"/>
              <w:left w:val="single" w:sz="2" w:space="0" w:color="auto"/>
              <w:bottom w:val="single" w:sz="12" w:space="0" w:color="auto"/>
              <w:right w:val="single" w:sz="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281</w:t>
            </w:r>
          </w:p>
        </w:tc>
        <w:tc>
          <w:tcPr>
            <w:tcW w:w="1523" w:type="dxa"/>
            <w:tcBorders>
              <w:top w:val="single" w:sz="2" w:space="0" w:color="auto"/>
              <w:left w:val="single" w:sz="2" w:space="0" w:color="auto"/>
              <w:bottom w:val="single" w:sz="12"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b/>
                <w:color w:val="000000"/>
                <w:sz w:val="20"/>
                <w:szCs w:val="20"/>
              </w:rPr>
            </w:pPr>
            <w:r w:rsidRPr="00C17E74">
              <w:rPr>
                <w:rFonts w:ascii="Calibri" w:eastAsia="Times New Roman" w:hAnsi="Calibri" w:cs="Calibri"/>
                <w:b/>
                <w:color w:val="000000"/>
                <w:sz w:val="20"/>
                <w:szCs w:val="20"/>
              </w:rPr>
              <w:t>(100%)</w:t>
            </w:r>
          </w:p>
        </w:tc>
      </w:tr>
    </w:tbl>
    <w:p w:rsidR="00C17E74" w:rsidRPr="00C17E74" w:rsidRDefault="00C17E74" w:rsidP="00C17E74">
      <w:pPr>
        <w:spacing w:before="120" w:after="120" w:line="240" w:lineRule="auto"/>
        <w:ind w:right="34"/>
        <w:rPr>
          <w:rFonts w:eastAsia="Times New Roman" w:cstheme="minorHAnsi"/>
          <w:lang w:val="en-US"/>
        </w:rPr>
      </w:pPr>
    </w:p>
    <w:p w:rsidR="00C17E74" w:rsidRPr="00C17E74" w:rsidRDefault="00C17E74" w:rsidP="00CE0332">
      <w:pPr>
        <w:pStyle w:val="Heading3"/>
        <w:rPr>
          <w:lang w:eastAsia="en-AU"/>
        </w:rPr>
      </w:pPr>
      <w:r w:rsidRPr="00C17E74">
        <w:rPr>
          <w:lang w:eastAsia="en-AU"/>
        </w:rPr>
        <w:t>Table H – Number of Partnerships by Partnership Category Nationally</w:t>
      </w:r>
    </w:p>
    <w:tbl>
      <w:tblPr>
        <w:tblW w:w="10300" w:type="dxa"/>
        <w:tblInd w:w="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020" w:firstRow="1" w:lastRow="0" w:firstColumn="0" w:lastColumn="0" w:noHBand="0" w:noVBand="0"/>
      </w:tblPr>
      <w:tblGrid>
        <w:gridCol w:w="2079"/>
        <w:gridCol w:w="1559"/>
        <w:gridCol w:w="1701"/>
        <w:gridCol w:w="1654"/>
        <w:gridCol w:w="1701"/>
        <w:gridCol w:w="1606"/>
      </w:tblGrid>
      <w:tr w:rsidR="00C17E74" w:rsidRPr="00C17E74" w:rsidTr="0053283A">
        <w:trPr>
          <w:trHeight w:val="390"/>
          <w:tblHeader/>
        </w:trPr>
        <w:tc>
          <w:tcPr>
            <w:tcW w:w="2079" w:type="dxa"/>
            <w:shd w:val="clear" w:color="auto" w:fill="B6DDE8" w:themeFill="accent5" w:themeFillTint="66"/>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Number of Pre-Existing Partnerships Nationally</w:t>
            </w:r>
          </w:p>
        </w:tc>
        <w:tc>
          <w:tcPr>
            <w:tcW w:w="1559" w:type="dxa"/>
            <w:shd w:val="clear" w:color="auto" w:fill="B6DDE8" w:themeFill="accent5" w:themeFillTint="66"/>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Percentage of Pre-Existing Partnerships Nationally</w:t>
            </w:r>
          </w:p>
        </w:tc>
        <w:tc>
          <w:tcPr>
            <w:tcW w:w="1701" w:type="dxa"/>
            <w:shd w:val="clear" w:color="auto" w:fill="B6DDE8" w:themeFill="accent5" w:themeFillTint="66"/>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Number of Brokered Partnerships Nationally</w:t>
            </w:r>
          </w:p>
        </w:tc>
        <w:tc>
          <w:tcPr>
            <w:tcW w:w="1654" w:type="dxa"/>
            <w:shd w:val="clear" w:color="auto" w:fill="B6DDE8" w:themeFill="accent5" w:themeFillTint="66"/>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Percentage of Brokered Partnerships Nationally</w:t>
            </w:r>
          </w:p>
        </w:tc>
        <w:tc>
          <w:tcPr>
            <w:tcW w:w="1701" w:type="dxa"/>
            <w:tcBorders>
              <w:bottom w:val="single" w:sz="12" w:space="0" w:color="auto"/>
            </w:tcBorders>
            <w:shd w:val="clear" w:color="auto" w:fill="B6DDE8" w:themeFill="accent5" w:themeFillTint="66"/>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Number of Partnerships Nationally</w:t>
            </w:r>
          </w:p>
        </w:tc>
        <w:tc>
          <w:tcPr>
            <w:tcW w:w="1606" w:type="dxa"/>
            <w:tcBorders>
              <w:bottom w:val="single" w:sz="12" w:space="0" w:color="auto"/>
            </w:tcBorders>
            <w:shd w:val="clear" w:color="auto" w:fill="B6DDE8" w:themeFill="accent5" w:themeFillTint="66"/>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Total Percentage of Partnerships Nationally</w:t>
            </w:r>
          </w:p>
        </w:tc>
      </w:tr>
      <w:tr w:rsidR="00C17E74" w:rsidRPr="00C17E74" w:rsidTr="0053283A">
        <w:trPr>
          <w:trHeight w:val="460"/>
          <w:tblHeader/>
        </w:trPr>
        <w:tc>
          <w:tcPr>
            <w:tcW w:w="2079" w:type="dxa"/>
            <w:shd w:val="clear" w:color="auto" w:fill="auto"/>
            <w:vAlign w:val="center"/>
          </w:tcPr>
          <w:p w:rsidR="00C17E74" w:rsidRPr="00C17E74" w:rsidRDefault="00C17E74" w:rsidP="00C17E74">
            <w:pPr>
              <w:spacing w:line="240" w:lineRule="auto"/>
              <w:jc w:val="center"/>
              <w:rPr>
                <w:rFonts w:eastAsia="Times New Roman" w:cstheme="minorHAnsi"/>
                <w:color w:val="000000"/>
                <w:sz w:val="20"/>
                <w:szCs w:val="20"/>
                <w:lang w:eastAsia="en-AU"/>
              </w:rPr>
            </w:pPr>
            <w:r w:rsidRPr="00C17E74">
              <w:rPr>
                <w:rFonts w:ascii="Calibri" w:eastAsia="Times New Roman" w:hAnsi="Calibri" w:cs="Calibri"/>
                <w:color w:val="000000"/>
                <w:sz w:val="20"/>
                <w:szCs w:val="20"/>
              </w:rPr>
              <w:t>465</w:t>
            </w:r>
          </w:p>
        </w:tc>
        <w:tc>
          <w:tcPr>
            <w:tcW w:w="1559" w:type="dxa"/>
            <w:shd w:val="clear" w:color="auto" w:fill="auto"/>
            <w:vAlign w:val="center"/>
          </w:tcPr>
          <w:p w:rsidR="00C17E74" w:rsidRPr="00C17E74" w:rsidRDefault="00C17E74" w:rsidP="00C17E74">
            <w:pPr>
              <w:spacing w:line="240" w:lineRule="auto"/>
              <w:jc w:val="center"/>
              <w:rPr>
                <w:rFonts w:eastAsia="Times New Roman" w:cstheme="minorHAnsi"/>
                <w:color w:val="000000"/>
                <w:sz w:val="20"/>
                <w:szCs w:val="20"/>
                <w:lang w:eastAsia="en-AU"/>
              </w:rPr>
            </w:pPr>
            <w:r w:rsidRPr="00C17E74">
              <w:rPr>
                <w:rFonts w:ascii="Calibri" w:eastAsia="Times New Roman" w:hAnsi="Calibri" w:cs="Calibri"/>
                <w:color w:val="000000"/>
                <w:sz w:val="20"/>
                <w:szCs w:val="20"/>
              </w:rPr>
              <w:t>(14%)</w:t>
            </w:r>
          </w:p>
        </w:tc>
        <w:tc>
          <w:tcPr>
            <w:tcW w:w="1701" w:type="dxa"/>
            <w:vAlign w:val="center"/>
          </w:tcPr>
          <w:p w:rsidR="00C17E74" w:rsidRPr="00C17E74" w:rsidRDefault="00C17E74" w:rsidP="00C17E74">
            <w:pPr>
              <w:spacing w:line="240" w:lineRule="auto"/>
              <w:jc w:val="center"/>
              <w:rPr>
                <w:rFonts w:eastAsia="Times New Roman" w:cstheme="minorHAnsi"/>
                <w:color w:val="000000"/>
                <w:sz w:val="20"/>
                <w:szCs w:val="20"/>
                <w:lang w:eastAsia="en-AU"/>
              </w:rPr>
            </w:pPr>
            <w:r w:rsidRPr="00C17E74">
              <w:rPr>
                <w:rFonts w:ascii="Calibri" w:eastAsia="Times New Roman" w:hAnsi="Calibri" w:cs="Calibri"/>
                <w:color w:val="000000"/>
                <w:sz w:val="20"/>
                <w:szCs w:val="20"/>
              </w:rPr>
              <w:t>2802</w:t>
            </w:r>
          </w:p>
        </w:tc>
        <w:tc>
          <w:tcPr>
            <w:tcW w:w="1654" w:type="dxa"/>
            <w:vAlign w:val="center"/>
          </w:tcPr>
          <w:p w:rsidR="00C17E74" w:rsidRPr="00C17E74" w:rsidRDefault="00C17E74" w:rsidP="00C17E74">
            <w:pPr>
              <w:spacing w:line="240" w:lineRule="auto"/>
              <w:jc w:val="center"/>
              <w:rPr>
                <w:rFonts w:eastAsia="Times New Roman" w:cstheme="minorHAnsi"/>
                <w:color w:val="000000"/>
                <w:sz w:val="20"/>
                <w:szCs w:val="20"/>
                <w:lang w:eastAsia="en-AU"/>
              </w:rPr>
            </w:pPr>
            <w:r w:rsidRPr="00C17E74">
              <w:rPr>
                <w:rFonts w:ascii="Calibri" w:eastAsia="Times New Roman" w:hAnsi="Calibri" w:cs="Calibri"/>
                <w:color w:val="000000"/>
                <w:sz w:val="20"/>
                <w:szCs w:val="20"/>
              </w:rPr>
              <w:t>(86%)</w:t>
            </w:r>
          </w:p>
        </w:tc>
        <w:tc>
          <w:tcPr>
            <w:tcW w:w="1701" w:type="dxa"/>
            <w:shd w:val="clear" w:color="auto" w:fill="FFFFFF" w:themeFill="background1"/>
            <w:vAlign w:val="center"/>
          </w:tcPr>
          <w:p w:rsidR="00C17E74" w:rsidRPr="00C17E74" w:rsidRDefault="00C17E74" w:rsidP="00C17E74">
            <w:pPr>
              <w:spacing w:line="240" w:lineRule="auto"/>
              <w:jc w:val="center"/>
              <w:rPr>
                <w:rFonts w:eastAsia="Times New Roman" w:cstheme="minorHAnsi"/>
                <w:color w:val="000000"/>
                <w:sz w:val="20"/>
                <w:szCs w:val="20"/>
                <w:lang w:eastAsia="en-AU"/>
              </w:rPr>
            </w:pPr>
            <w:r w:rsidRPr="00C17E74">
              <w:rPr>
                <w:rFonts w:ascii="Calibri" w:eastAsia="Times New Roman" w:hAnsi="Calibri" w:cs="Calibri"/>
                <w:color w:val="000000"/>
                <w:sz w:val="20"/>
                <w:szCs w:val="20"/>
              </w:rPr>
              <w:t>3267</w:t>
            </w:r>
          </w:p>
        </w:tc>
        <w:tc>
          <w:tcPr>
            <w:tcW w:w="1606" w:type="dxa"/>
            <w:shd w:val="clear" w:color="auto" w:fill="FFFFFF" w:themeFill="background1"/>
            <w:vAlign w:val="center"/>
          </w:tcPr>
          <w:p w:rsidR="00C17E74" w:rsidRPr="00C17E74" w:rsidRDefault="00C17E74" w:rsidP="00C17E74">
            <w:pPr>
              <w:spacing w:line="240" w:lineRule="auto"/>
              <w:jc w:val="center"/>
              <w:rPr>
                <w:rFonts w:eastAsia="Times New Roman" w:cstheme="minorHAnsi"/>
                <w:color w:val="000000"/>
                <w:sz w:val="20"/>
                <w:szCs w:val="20"/>
                <w:lang w:eastAsia="en-AU"/>
              </w:rPr>
            </w:pPr>
            <w:r w:rsidRPr="00C17E74">
              <w:rPr>
                <w:rFonts w:ascii="Calibri" w:eastAsia="Times New Roman" w:hAnsi="Calibri" w:cs="Calibri"/>
                <w:color w:val="000000"/>
                <w:sz w:val="20"/>
                <w:szCs w:val="20"/>
              </w:rPr>
              <w:t>(100%)</w:t>
            </w:r>
          </w:p>
        </w:tc>
      </w:tr>
    </w:tbl>
    <w:p w:rsidR="00C17E74" w:rsidRPr="00C17E74" w:rsidRDefault="00C17E74" w:rsidP="00C17E74">
      <w:pPr>
        <w:spacing w:before="120" w:after="120" w:line="240" w:lineRule="auto"/>
        <w:ind w:right="34"/>
        <w:rPr>
          <w:rFonts w:eastAsia="Times New Roman" w:cstheme="minorHAnsi"/>
          <w:lang w:val="en-US"/>
        </w:rPr>
      </w:pPr>
    </w:p>
    <w:p w:rsidR="00C17E74" w:rsidRPr="00C17E74" w:rsidRDefault="00C17E74" w:rsidP="00DC0E7D">
      <w:pPr>
        <w:pStyle w:val="Heading3"/>
        <w:rPr>
          <w:rFonts w:eastAsia="Times New Roman"/>
          <w:lang w:eastAsia="en-AU"/>
        </w:rPr>
      </w:pPr>
      <w:bookmarkStart w:id="112" w:name="_Toc292696796"/>
      <w:bookmarkStart w:id="113" w:name="_Toc323901039"/>
      <w:bookmarkStart w:id="114" w:name="_Toc355862713"/>
      <w:r w:rsidRPr="00C17E74">
        <w:rPr>
          <w:rFonts w:eastAsia="Times New Roman"/>
        </w:rPr>
        <w:t>Table I – Key Performance Measure (</w:t>
      </w:r>
      <w:proofErr w:type="spellStart"/>
      <w:r w:rsidRPr="00C17E74">
        <w:rPr>
          <w:rFonts w:eastAsia="Times New Roman"/>
        </w:rPr>
        <w:t>KPM</w:t>
      </w:r>
      <w:proofErr w:type="spellEnd"/>
      <w:r w:rsidRPr="00C17E74">
        <w:rPr>
          <w:rFonts w:eastAsia="Times New Roman"/>
        </w:rPr>
        <w:t xml:space="preserve">) Evaluation Ratings </w:t>
      </w:r>
      <w:r w:rsidRPr="00C17E74">
        <w:rPr>
          <w:rFonts w:eastAsia="Times New Roman"/>
          <w:szCs w:val="24"/>
          <w:lang w:eastAsia="en-AU"/>
        </w:rPr>
        <w:t>(data as at 2 April)</w:t>
      </w:r>
      <w:bookmarkEnd w:id="112"/>
      <w:bookmarkEnd w:id="113"/>
      <w:bookmarkEnd w:id="114"/>
    </w:p>
    <w:p w:rsidR="00C17E74" w:rsidRPr="00C17E74" w:rsidRDefault="00C17E74" w:rsidP="00C17E74">
      <w:pPr>
        <w:spacing w:before="120" w:after="120" w:line="240" w:lineRule="auto"/>
        <w:ind w:right="34"/>
        <w:rPr>
          <w:rFonts w:eastAsia="Times New Roman" w:cstheme="minorHAnsi"/>
          <w:lang w:val="en-US"/>
        </w:rPr>
      </w:pPr>
      <w:r w:rsidRPr="00C17E74">
        <w:rPr>
          <w:rFonts w:eastAsia="Times New Roman" w:cstheme="minorHAnsi"/>
          <w:lang w:val="en-US"/>
        </w:rPr>
        <w:t xml:space="preserve">These tables show the number of times each </w:t>
      </w:r>
      <w:proofErr w:type="spellStart"/>
      <w:r w:rsidRPr="00C17E74">
        <w:rPr>
          <w:rFonts w:eastAsia="Times New Roman" w:cstheme="minorHAnsi"/>
          <w:lang w:val="en-US"/>
        </w:rPr>
        <w:t>KPM</w:t>
      </w:r>
      <w:proofErr w:type="spellEnd"/>
      <w:r w:rsidRPr="00C17E74">
        <w:rPr>
          <w:rFonts w:eastAsia="Times New Roman" w:cstheme="minorHAnsi"/>
          <w:lang w:val="en-US"/>
        </w:rPr>
        <w:t xml:space="preserve"> evaluation value (e.g. 1, 2, 3, 4, 5) have been selected, based on the latest evaluation rating recorded in the system (YATMIS). Each evaluation value maps to a descriptor of the progress a partnership has made against a particular </w:t>
      </w:r>
      <w:proofErr w:type="spellStart"/>
      <w:r w:rsidRPr="00C17E74">
        <w:rPr>
          <w:rFonts w:eastAsia="Times New Roman" w:cstheme="minorHAnsi"/>
          <w:lang w:val="en-US"/>
        </w:rPr>
        <w:t>KPM</w:t>
      </w:r>
      <w:proofErr w:type="spellEnd"/>
      <w:r w:rsidRPr="00C17E74">
        <w:rPr>
          <w:rFonts w:eastAsia="Times New Roman" w:cstheme="minorHAnsi"/>
          <w:lang w:val="en-US"/>
        </w:rPr>
        <w:t xml:space="preserve">. The values and their corresponding descriptors are outlined below: </w:t>
      </w:r>
    </w:p>
    <w:p w:rsidR="00C17E74" w:rsidRPr="00C17E74" w:rsidRDefault="00C17E74" w:rsidP="00C17E74">
      <w:pPr>
        <w:spacing w:before="120" w:after="120" w:line="240" w:lineRule="auto"/>
        <w:ind w:right="34"/>
        <w:rPr>
          <w:rFonts w:eastAsia="Times New Roman" w:cstheme="minorHAnsi"/>
          <w:b/>
          <w:lang w:val="en-US"/>
        </w:rPr>
      </w:pPr>
      <w:r w:rsidRPr="00C17E74">
        <w:rPr>
          <w:rFonts w:eastAsia="Times New Roman" w:cstheme="minorHAnsi"/>
          <w:b/>
          <w:lang w:val="en-US"/>
        </w:rPr>
        <w:t xml:space="preserve">1 = </w:t>
      </w:r>
      <w:r w:rsidRPr="00C17E74">
        <w:rPr>
          <w:rFonts w:eastAsia="Times New Roman" w:cstheme="minorHAnsi"/>
          <w:lang w:val="en-US"/>
        </w:rPr>
        <w:t>Limited</w:t>
      </w:r>
      <w:r w:rsidRPr="00C17E74">
        <w:rPr>
          <w:rFonts w:eastAsia="Times New Roman" w:cstheme="minorHAnsi"/>
          <w:b/>
          <w:lang w:val="en-US"/>
        </w:rPr>
        <w:tab/>
        <w:t xml:space="preserve">2 = </w:t>
      </w:r>
      <w:r w:rsidRPr="00C17E74">
        <w:rPr>
          <w:rFonts w:eastAsia="Times New Roman" w:cstheme="minorHAnsi"/>
          <w:lang w:val="en-US"/>
        </w:rPr>
        <w:t>Some Progress</w:t>
      </w:r>
      <w:r w:rsidRPr="00C17E74">
        <w:rPr>
          <w:rFonts w:eastAsia="Times New Roman" w:cstheme="minorHAnsi"/>
          <w:b/>
          <w:lang w:val="en-US"/>
        </w:rPr>
        <w:t xml:space="preserve"> </w:t>
      </w:r>
      <w:r w:rsidRPr="00C17E74">
        <w:rPr>
          <w:rFonts w:eastAsia="Times New Roman" w:cstheme="minorHAnsi"/>
          <w:b/>
          <w:lang w:val="en-US"/>
        </w:rPr>
        <w:tab/>
        <w:t xml:space="preserve">3 = </w:t>
      </w:r>
      <w:r w:rsidRPr="00C17E74">
        <w:rPr>
          <w:rFonts w:eastAsia="Times New Roman" w:cstheme="minorHAnsi"/>
          <w:lang w:val="en-US"/>
        </w:rPr>
        <w:t>Satisfactory</w:t>
      </w:r>
      <w:r w:rsidRPr="00C17E74">
        <w:rPr>
          <w:rFonts w:eastAsia="Times New Roman" w:cstheme="minorHAnsi"/>
          <w:lang w:val="en-US"/>
        </w:rPr>
        <w:tab/>
      </w:r>
      <w:r w:rsidRPr="00C17E74">
        <w:rPr>
          <w:rFonts w:eastAsia="Times New Roman" w:cstheme="minorHAnsi"/>
          <w:b/>
          <w:lang w:val="en-US"/>
        </w:rPr>
        <w:tab/>
        <w:t xml:space="preserve">4 = </w:t>
      </w:r>
      <w:r w:rsidRPr="00C17E74">
        <w:rPr>
          <w:rFonts w:eastAsia="Times New Roman" w:cstheme="minorHAnsi"/>
          <w:lang w:val="en-US"/>
        </w:rPr>
        <w:t>Considerable Progress</w:t>
      </w:r>
      <w:r w:rsidRPr="00C17E74">
        <w:rPr>
          <w:rFonts w:eastAsia="Times New Roman" w:cstheme="minorHAnsi"/>
          <w:lang w:val="en-US"/>
        </w:rPr>
        <w:tab/>
      </w:r>
      <w:r w:rsidRPr="00C17E74">
        <w:rPr>
          <w:rFonts w:eastAsia="Times New Roman" w:cstheme="minorHAnsi"/>
          <w:b/>
          <w:lang w:val="en-US"/>
        </w:rPr>
        <w:t xml:space="preserve">5 = </w:t>
      </w:r>
      <w:r w:rsidRPr="00C17E74">
        <w:rPr>
          <w:rFonts w:eastAsia="Times New Roman" w:cstheme="minorHAnsi"/>
          <w:lang w:val="en-US"/>
        </w:rPr>
        <w:t>Achieved</w:t>
      </w:r>
    </w:p>
    <w:p w:rsidR="00C17E74" w:rsidRPr="00C17E74" w:rsidRDefault="00C17E74" w:rsidP="00C17E74">
      <w:pPr>
        <w:spacing w:before="120" w:after="120" w:line="240" w:lineRule="auto"/>
        <w:ind w:right="34"/>
        <w:rPr>
          <w:rFonts w:eastAsia="Times New Roman" w:cstheme="minorHAnsi"/>
          <w:lang w:val="en-US"/>
        </w:rPr>
        <w:sectPr w:rsidR="00C17E74" w:rsidRPr="00C17E74" w:rsidSect="0053283A">
          <w:pgSz w:w="11907" w:h="16839" w:code="9"/>
          <w:pgMar w:top="393" w:right="426" w:bottom="567" w:left="709" w:header="1" w:footer="0" w:gutter="0"/>
          <w:cols w:space="708"/>
          <w:docGrid w:linePitch="360"/>
        </w:sectPr>
      </w:pPr>
      <w:r w:rsidRPr="00C17E74">
        <w:rPr>
          <w:rFonts w:eastAsia="Times New Roman" w:cstheme="minorHAnsi"/>
          <w:lang w:val="en-US"/>
        </w:rPr>
        <w:t xml:space="preserve">*Note: Regional Solution </w:t>
      </w:r>
      <w:proofErr w:type="spellStart"/>
      <w:r w:rsidRPr="00C17E74">
        <w:rPr>
          <w:rFonts w:eastAsia="Times New Roman" w:cstheme="minorHAnsi"/>
          <w:lang w:val="en-US"/>
        </w:rPr>
        <w:t>KPMs</w:t>
      </w:r>
      <w:proofErr w:type="spellEnd"/>
      <w:r w:rsidRPr="00C17E74">
        <w:rPr>
          <w:rFonts w:eastAsia="Times New Roman" w:cstheme="minorHAnsi"/>
          <w:lang w:val="en-US"/>
        </w:rPr>
        <w:t xml:space="preserve"> and </w:t>
      </w:r>
      <w:proofErr w:type="spellStart"/>
      <w:r w:rsidRPr="00C17E74">
        <w:rPr>
          <w:rFonts w:eastAsia="Times New Roman" w:cstheme="minorHAnsi"/>
          <w:lang w:val="en-US"/>
        </w:rPr>
        <w:t>KPM</w:t>
      </w:r>
      <w:proofErr w:type="spellEnd"/>
      <w:r w:rsidRPr="00C17E74">
        <w:rPr>
          <w:rFonts w:eastAsia="Times New Roman" w:cstheme="minorHAnsi"/>
          <w:lang w:val="en-US"/>
        </w:rPr>
        <w:t xml:space="preserve"> category ‘Other’ are not reflected. In many cases, progress against Parent and Family </w:t>
      </w:r>
      <w:proofErr w:type="spellStart"/>
      <w:r w:rsidRPr="00C17E74">
        <w:rPr>
          <w:rFonts w:eastAsia="Times New Roman" w:cstheme="minorHAnsi"/>
          <w:lang w:val="en-US"/>
        </w:rPr>
        <w:t>KPMs</w:t>
      </w:r>
      <w:proofErr w:type="spellEnd"/>
      <w:r w:rsidRPr="00C17E74">
        <w:rPr>
          <w:rFonts w:eastAsia="Times New Roman" w:cstheme="minorHAnsi"/>
          <w:lang w:val="en-US"/>
        </w:rPr>
        <w:t xml:space="preserve"> has been achieved through partnerships that do not include parent or family groups as members. While there are some partnerships that do involve parent and family groups, these groups represent only three per cent of the total number of organisations in partnerships.</w:t>
      </w:r>
    </w:p>
    <w:p w:rsidR="00C17E74" w:rsidRPr="00C17E74" w:rsidRDefault="00C17E74" w:rsidP="00C17E74">
      <w:pPr>
        <w:spacing w:line="240" w:lineRule="auto"/>
        <w:ind w:right="34"/>
        <w:rPr>
          <w:rFonts w:eastAsia="Times New Roman" w:cstheme="minorHAnsi"/>
          <w:sz w:val="2"/>
          <w:szCs w:val="2"/>
          <w:lang w:val="en-US"/>
        </w:rPr>
      </w:pPr>
    </w:p>
    <w:tbl>
      <w:tblPr>
        <w:tblpPr w:leftFromText="180" w:rightFromText="180" w:vertAnchor="text" w:horzAnchor="margin" w:tblpXSpec="center" w:tblpY="14"/>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64"/>
        <w:gridCol w:w="1187"/>
        <w:gridCol w:w="737"/>
        <w:gridCol w:w="826"/>
        <w:gridCol w:w="1094"/>
        <w:gridCol w:w="1199"/>
        <w:gridCol w:w="879"/>
      </w:tblGrid>
      <w:tr w:rsidR="00C17E74" w:rsidRPr="00C17E74" w:rsidTr="0053283A">
        <w:trPr>
          <w:trHeight w:val="419"/>
        </w:trPr>
        <w:tc>
          <w:tcPr>
            <w:tcW w:w="4864" w:type="dxa"/>
            <w:tcBorders>
              <w:top w:val="single" w:sz="12" w:space="0" w:color="auto"/>
              <w:left w:val="single" w:sz="12" w:space="0" w:color="auto"/>
              <w:right w:val="single" w:sz="12" w:space="0" w:color="auto"/>
            </w:tcBorders>
            <w:shd w:val="clear" w:color="auto" w:fill="92CDDC" w:themeFill="accent5" w:themeFillTint="99"/>
            <w:vAlign w:val="center"/>
            <w:hideMark/>
          </w:tcPr>
          <w:p w:rsidR="00C17E74" w:rsidRPr="00C17E74" w:rsidRDefault="00C17E74" w:rsidP="00C17E74">
            <w:pPr>
              <w:spacing w:line="240" w:lineRule="auto"/>
              <w:jc w:val="center"/>
              <w:rPr>
                <w:rFonts w:ascii="Calibri" w:eastAsia="Times New Roman" w:hAnsi="Calibri" w:cs="Calibri"/>
                <w:b/>
                <w:bCs/>
                <w:sz w:val="20"/>
                <w:lang w:eastAsia="en-AU"/>
              </w:rPr>
            </w:pPr>
            <w:bookmarkStart w:id="115" w:name="_Toc355363243"/>
            <w:r w:rsidRPr="00C17E74">
              <w:rPr>
                <w:rFonts w:ascii="Calibri" w:eastAsia="Times New Roman" w:hAnsi="Calibri" w:cs="Calibri"/>
                <w:b/>
                <w:bCs/>
                <w:sz w:val="20"/>
                <w:lang w:eastAsia="en-AU"/>
              </w:rPr>
              <w:lastRenderedPageBreak/>
              <w:t xml:space="preserve">Table </w:t>
            </w:r>
            <w:proofErr w:type="spellStart"/>
            <w:r w:rsidRPr="00C17E74">
              <w:rPr>
                <w:rFonts w:ascii="Calibri" w:eastAsia="Times New Roman" w:hAnsi="Calibri" w:cs="Calibri"/>
                <w:b/>
                <w:bCs/>
                <w:sz w:val="20"/>
                <w:lang w:eastAsia="en-AU"/>
              </w:rPr>
              <w:t>I1</w:t>
            </w:r>
            <w:proofErr w:type="spellEnd"/>
            <w:r w:rsidRPr="00C17E74">
              <w:rPr>
                <w:rFonts w:ascii="Calibri" w:eastAsia="Times New Roman" w:hAnsi="Calibri" w:cs="Calibri"/>
                <w:b/>
                <w:bCs/>
                <w:sz w:val="20"/>
                <w:lang w:eastAsia="en-AU"/>
              </w:rPr>
              <w:t xml:space="preserve"> – Outcome – Partnership Characteristics</w:t>
            </w:r>
            <w:bookmarkEnd w:id="115"/>
          </w:p>
        </w:tc>
        <w:tc>
          <w:tcPr>
            <w:tcW w:w="1187" w:type="dxa"/>
            <w:tcBorders>
              <w:top w:val="single" w:sz="12" w:space="0" w:color="auto"/>
              <w:left w:val="single" w:sz="12" w:space="0" w:color="auto"/>
              <w:right w:val="single" w:sz="12" w:space="0" w:color="auto"/>
            </w:tcBorders>
            <w:shd w:val="clear" w:color="auto" w:fill="92CDDC" w:themeFill="accent5" w:themeFillTint="99"/>
            <w:vAlign w:val="center"/>
            <w:hideMark/>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lang w:eastAsia="en-AU"/>
              </w:rPr>
              <w:t xml:space="preserve">Total </w:t>
            </w:r>
            <w:proofErr w:type="spellStart"/>
            <w:r w:rsidRPr="00C17E74">
              <w:rPr>
                <w:rFonts w:ascii="Calibri" w:eastAsia="Times New Roman" w:hAnsi="Calibri" w:cs="Calibri"/>
                <w:b/>
                <w:bCs/>
                <w:sz w:val="20"/>
                <w:lang w:eastAsia="en-AU"/>
              </w:rPr>
              <w:t>KPM</w:t>
            </w:r>
            <w:proofErr w:type="spellEnd"/>
            <w:r w:rsidRPr="00C17E74">
              <w:rPr>
                <w:rFonts w:ascii="Calibri" w:eastAsia="Times New Roman" w:hAnsi="Calibri" w:cs="Calibri"/>
                <w:b/>
                <w:bCs/>
                <w:sz w:val="20"/>
                <w:lang w:eastAsia="en-AU"/>
              </w:rPr>
              <w:t xml:space="preserve"> Evaluations</w:t>
            </w:r>
          </w:p>
        </w:tc>
        <w:tc>
          <w:tcPr>
            <w:tcW w:w="737" w:type="dxa"/>
            <w:tcBorders>
              <w:top w:val="single" w:sz="12" w:space="0" w:color="auto"/>
              <w:left w:val="single" w:sz="12" w:space="0" w:color="auto"/>
              <w:right w:val="single" w:sz="4" w:space="0" w:color="auto"/>
            </w:tcBorders>
            <w:shd w:val="clear" w:color="auto" w:fill="92CDDC" w:themeFill="accent5" w:themeFillTint="99"/>
            <w:vAlign w:val="center"/>
            <w:hideMark/>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lang w:eastAsia="en-AU"/>
              </w:rPr>
              <w:t>1 – Limited</w:t>
            </w:r>
          </w:p>
        </w:tc>
        <w:tc>
          <w:tcPr>
            <w:tcW w:w="826" w:type="dxa"/>
            <w:tcBorders>
              <w:top w:val="single" w:sz="12" w:space="0" w:color="auto"/>
              <w:left w:val="single" w:sz="4" w:space="0" w:color="auto"/>
              <w:right w:val="single" w:sz="4"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lang w:eastAsia="en-AU"/>
              </w:rPr>
              <w:t>2 – Some Progress</w:t>
            </w:r>
          </w:p>
        </w:tc>
        <w:tc>
          <w:tcPr>
            <w:tcW w:w="1094" w:type="dxa"/>
            <w:tcBorders>
              <w:top w:val="single" w:sz="12" w:space="0" w:color="auto"/>
              <w:left w:val="single" w:sz="4" w:space="0" w:color="auto"/>
              <w:right w:val="single" w:sz="4"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lang w:eastAsia="en-AU"/>
              </w:rPr>
              <w:t xml:space="preserve">3 – Satisfactory </w:t>
            </w:r>
          </w:p>
        </w:tc>
        <w:tc>
          <w:tcPr>
            <w:tcW w:w="1199" w:type="dxa"/>
            <w:tcBorders>
              <w:top w:val="single" w:sz="12" w:space="0" w:color="auto"/>
              <w:left w:val="single" w:sz="4" w:space="0" w:color="auto"/>
              <w:right w:val="single" w:sz="4"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lang w:eastAsia="en-AU"/>
              </w:rPr>
              <w:t>4 – Considerable Progress</w:t>
            </w:r>
          </w:p>
        </w:tc>
        <w:tc>
          <w:tcPr>
            <w:tcW w:w="879" w:type="dxa"/>
            <w:tcBorders>
              <w:top w:val="single" w:sz="12" w:space="0" w:color="auto"/>
              <w:left w:val="single" w:sz="4" w:space="0" w:color="auto"/>
              <w:right w:val="single" w:sz="12"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lang w:eastAsia="en-AU"/>
              </w:rPr>
              <w:t>5 – Achieved</w:t>
            </w:r>
          </w:p>
        </w:tc>
      </w:tr>
      <w:tr w:rsidR="00C17E74" w:rsidRPr="00C17E74" w:rsidTr="0053283A">
        <w:trPr>
          <w:trHeight w:val="868"/>
        </w:trPr>
        <w:tc>
          <w:tcPr>
            <w:tcW w:w="4864" w:type="dxa"/>
            <w:tcBorders>
              <w:top w:val="single" w:sz="12" w:space="0" w:color="auto"/>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rPr>
                <w:rFonts w:ascii="Calibri" w:eastAsia="Times New Roman" w:hAnsi="Calibri" w:cs="Calibri"/>
                <w:sz w:val="20"/>
                <w:szCs w:val="20"/>
                <w:lang w:eastAsia="en-AU"/>
              </w:rPr>
            </w:pPr>
            <w:r w:rsidRPr="00C17E74">
              <w:rPr>
                <w:rFonts w:ascii="Calibri" w:eastAsia="Times New Roman" w:hAnsi="Calibri" w:cs="Calibri"/>
                <w:sz w:val="20"/>
                <w:szCs w:val="20"/>
                <w:lang w:eastAsia="en-AU"/>
              </w:rPr>
              <w:t>High quality partnerships are established that link key stakeholders together with shared commitment, goals and outcomes to improve young people’s education and transition outcomes.</w:t>
            </w:r>
          </w:p>
        </w:tc>
        <w:tc>
          <w:tcPr>
            <w:tcW w:w="1187" w:type="dxa"/>
            <w:tcBorders>
              <w:top w:val="single" w:sz="12" w:space="0" w:color="auto"/>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778</w:t>
            </w:r>
          </w:p>
        </w:tc>
        <w:tc>
          <w:tcPr>
            <w:tcW w:w="737" w:type="dxa"/>
            <w:tcBorders>
              <w:top w:val="single" w:sz="12" w:space="0" w:color="auto"/>
              <w:left w:val="single" w:sz="12" w:space="0" w:color="auto"/>
              <w:right w:val="single" w:sz="4"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87 (11%)</w:t>
            </w:r>
          </w:p>
        </w:tc>
        <w:tc>
          <w:tcPr>
            <w:tcW w:w="826" w:type="dxa"/>
            <w:tcBorders>
              <w:top w:val="single" w:sz="12" w:space="0" w:color="auto"/>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119 (15%)</w:t>
            </w:r>
          </w:p>
        </w:tc>
        <w:tc>
          <w:tcPr>
            <w:tcW w:w="1094" w:type="dxa"/>
            <w:tcBorders>
              <w:top w:val="single" w:sz="12" w:space="0" w:color="auto"/>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178 (23%)</w:t>
            </w:r>
          </w:p>
        </w:tc>
        <w:tc>
          <w:tcPr>
            <w:tcW w:w="1199" w:type="dxa"/>
            <w:tcBorders>
              <w:top w:val="single" w:sz="12" w:space="0" w:color="auto"/>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174 (22%)</w:t>
            </w:r>
          </w:p>
        </w:tc>
        <w:tc>
          <w:tcPr>
            <w:tcW w:w="879" w:type="dxa"/>
            <w:tcBorders>
              <w:top w:val="single" w:sz="12" w:space="0" w:color="auto"/>
              <w:left w:val="single" w:sz="4" w:space="0" w:color="auto"/>
              <w:right w:val="single" w:sz="12"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220 (28%)</w:t>
            </w:r>
          </w:p>
        </w:tc>
      </w:tr>
      <w:tr w:rsidR="00C17E74" w:rsidRPr="00C17E74" w:rsidTr="0053283A">
        <w:trPr>
          <w:trHeight w:val="315"/>
        </w:trPr>
        <w:tc>
          <w:tcPr>
            <w:tcW w:w="10786" w:type="dxa"/>
            <w:gridSpan w:val="7"/>
            <w:tcBorders>
              <w:top w:val="single" w:sz="12" w:space="0" w:color="auto"/>
              <w:left w:val="nil"/>
              <w:right w:val="nil"/>
            </w:tcBorders>
            <w:shd w:val="clear" w:color="000000" w:fill="FFFFFF"/>
            <w:vAlign w:val="center"/>
            <w:hideMark/>
          </w:tcPr>
          <w:p w:rsidR="00C17E74" w:rsidRPr="00C17E74" w:rsidRDefault="00C17E74" w:rsidP="00C17E74">
            <w:pPr>
              <w:spacing w:line="240" w:lineRule="auto"/>
              <w:rPr>
                <w:rFonts w:ascii="Calibri" w:eastAsia="Times New Roman" w:hAnsi="Calibri" w:cs="Calibri"/>
                <w:color w:val="000000"/>
                <w:lang w:eastAsia="en-AU"/>
              </w:rPr>
            </w:pPr>
          </w:p>
        </w:tc>
      </w:tr>
      <w:tr w:rsidR="00C17E74" w:rsidRPr="00C17E74" w:rsidTr="0053283A">
        <w:trPr>
          <w:trHeight w:val="439"/>
        </w:trPr>
        <w:tc>
          <w:tcPr>
            <w:tcW w:w="4864" w:type="dxa"/>
            <w:tcBorders>
              <w:left w:val="single" w:sz="12" w:space="0" w:color="auto"/>
              <w:right w:val="single" w:sz="12"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lang w:eastAsia="en-AU"/>
              </w:rPr>
              <w:t xml:space="preserve">Table </w:t>
            </w:r>
            <w:proofErr w:type="spellStart"/>
            <w:r w:rsidRPr="00C17E74">
              <w:rPr>
                <w:rFonts w:ascii="Calibri" w:eastAsia="Times New Roman" w:hAnsi="Calibri" w:cs="Calibri"/>
                <w:b/>
                <w:bCs/>
                <w:sz w:val="20"/>
                <w:lang w:eastAsia="en-AU"/>
              </w:rPr>
              <w:t>I1</w:t>
            </w:r>
            <w:proofErr w:type="spellEnd"/>
            <w:r w:rsidRPr="00C17E74">
              <w:rPr>
                <w:rFonts w:ascii="Calibri" w:eastAsia="Times New Roman" w:hAnsi="Calibri" w:cs="Calibri"/>
                <w:b/>
                <w:bCs/>
                <w:sz w:val="20"/>
                <w:lang w:eastAsia="en-AU"/>
              </w:rPr>
              <w:t xml:space="preserve"> continued –  Outcome  –  Partnership Characteristics (Breakdown of the  </w:t>
            </w:r>
            <w:proofErr w:type="spellStart"/>
            <w:r w:rsidRPr="00C17E74">
              <w:rPr>
                <w:rFonts w:ascii="Calibri" w:eastAsia="Times New Roman" w:hAnsi="Calibri" w:cs="Calibri"/>
                <w:b/>
                <w:bCs/>
                <w:sz w:val="20"/>
                <w:lang w:eastAsia="en-AU"/>
              </w:rPr>
              <w:t>KPMs</w:t>
            </w:r>
            <w:proofErr w:type="spellEnd"/>
            <w:r w:rsidRPr="00C17E74">
              <w:rPr>
                <w:rFonts w:ascii="Calibri" w:eastAsia="Times New Roman" w:hAnsi="Calibri" w:cs="Calibri"/>
                <w:b/>
                <w:bCs/>
                <w:sz w:val="20"/>
                <w:lang w:eastAsia="en-AU"/>
              </w:rPr>
              <w:t xml:space="preserve"> which contribute to the outcome above)</w:t>
            </w:r>
          </w:p>
        </w:tc>
        <w:tc>
          <w:tcPr>
            <w:tcW w:w="1187" w:type="dxa"/>
            <w:tcBorders>
              <w:left w:val="single" w:sz="12" w:space="0" w:color="auto"/>
              <w:right w:val="single" w:sz="12" w:space="0" w:color="auto"/>
            </w:tcBorders>
            <w:shd w:val="clear" w:color="auto" w:fill="B6DDE8" w:themeFill="accent5" w:themeFillTint="66"/>
            <w:vAlign w:val="center"/>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lang w:eastAsia="en-AU"/>
              </w:rPr>
              <w:t xml:space="preserve">Total </w:t>
            </w:r>
            <w:proofErr w:type="spellStart"/>
            <w:r w:rsidRPr="00C17E74">
              <w:rPr>
                <w:rFonts w:ascii="Calibri" w:eastAsia="Times New Roman" w:hAnsi="Calibri" w:cs="Calibri"/>
                <w:b/>
                <w:bCs/>
                <w:sz w:val="20"/>
                <w:lang w:eastAsia="en-AU"/>
              </w:rPr>
              <w:t>KPM</w:t>
            </w:r>
            <w:proofErr w:type="spellEnd"/>
            <w:r w:rsidRPr="00C17E74">
              <w:rPr>
                <w:rFonts w:ascii="Calibri" w:eastAsia="Times New Roman" w:hAnsi="Calibri" w:cs="Calibri"/>
                <w:b/>
                <w:bCs/>
                <w:sz w:val="20"/>
                <w:lang w:eastAsia="en-AU"/>
              </w:rPr>
              <w:t xml:space="preserve"> Evaluations</w:t>
            </w:r>
          </w:p>
        </w:tc>
        <w:tc>
          <w:tcPr>
            <w:tcW w:w="737" w:type="dxa"/>
            <w:tcBorders>
              <w:left w:val="single" w:sz="12"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lang w:eastAsia="en-AU"/>
              </w:rPr>
              <w:t>1 – Limited</w:t>
            </w:r>
          </w:p>
        </w:tc>
        <w:tc>
          <w:tcPr>
            <w:tcW w:w="826" w:type="dxa"/>
            <w:tcBorders>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lang w:eastAsia="en-AU"/>
              </w:rPr>
              <w:t>2 – Some Progress</w:t>
            </w:r>
          </w:p>
        </w:tc>
        <w:tc>
          <w:tcPr>
            <w:tcW w:w="1094" w:type="dxa"/>
            <w:tcBorders>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lang w:eastAsia="en-AU"/>
              </w:rPr>
              <w:t xml:space="preserve">3 – Satisfactory </w:t>
            </w:r>
          </w:p>
        </w:tc>
        <w:tc>
          <w:tcPr>
            <w:tcW w:w="1199" w:type="dxa"/>
            <w:tcBorders>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lang w:eastAsia="en-AU"/>
              </w:rPr>
              <w:t>4 – Considerable Progress</w:t>
            </w:r>
          </w:p>
        </w:tc>
        <w:tc>
          <w:tcPr>
            <w:tcW w:w="879" w:type="dxa"/>
            <w:tcBorders>
              <w:left w:val="single" w:sz="4" w:space="0" w:color="auto"/>
              <w:right w:val="single" w:sz="12"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lang w:eastAsia="en-AU"/>
              </w:rPr>
              <w:t>5 – Achieved</w:t>
            </w:r>
          </w:p>
        </w:tc>
      </w:tr>
      <w:tr w:rsidR="00C17E74" w:rsidRPr="00C17E74" w:rsidTr="0053283A">
        <w:trPr>
          <w:trHeight w:val="439"/>
        </w:trPr>
        <w:tc>
          <w:tcPr>
            <w:tcW w:w="4864" w:type="dxa"/>
            <w:tcBorders>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rPr>
                <w:rFonts w:ascii="Calibri" w:eastAsia="Times New Roman" w:hAnsi="Calibri" w:cs="Calibri"/>
                <w:b/>
                <w:bCs/>
                <w:sz w:val="18"/>
                <w:szCs w:val="18"/>
                <w:lang w:eastAsia="en-AU"/>
              </w:rPr>
            </w:pPr>
            <w:r w:rsidRPr="00C17E74">
              <w:rPr>
                <w:rFonts w:ascii="Calibri" w:eastAsia="Times New Roman" w:hAnsi="Calibri" w:cs="Calibri"/>
                <w:b/>
                <w:bCs/>
                <w:sz w:val="18"/>
                <w:szCs w:val="18"/>
                <w:lang w:eastAsia="en-AU"/>
              </w:rPr>
              <w:t xml:space="preserve">Shared Goal </w:t>
            </w:r>
            <w:r w:rsidRPr="00C17E74">
              <w:rPr>
                <w:rFonts w:ascii="Calibri" w:eastAsia="Times New Roman" w:hAnsi="Calibri" w:cs="Calibri"/>
                <w:bCs/>
                <w:sz w:val="18"/>
                <w:szCs w:val="18"/>
                <w:lang w:eastAsia="en-AU"/>
              </w:rPr>
              <w:t>‐ Partners have a clear, shared, realistic goal.</w:t>
            </w:r>
          </w:p>
        </w:tc>
        <w:tc>
          <w:tcPr>
            <w:tcW w:w="1187" w:type="dxa"/>
            <w:tcBorders>
              <w:left w:val="single" w:sz="12" w:space="0" w:color="auto"/>
              <w:right w:val="single" w:sz="12" w:space="0" w:color="auto"/>
            </w:tcBorders>
            <w:shd w:val="clear" w:color="auto" w:fill="B6DDE8" w:themeFill="accent5" w:themeFillTint="66"/>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170</w:t>
            </w:r>
          </w:p>
        </w:tc>
        <w:tc>
          <w:tcPr>
            <w:tcW w:w="737" w:type="dxa"/>
            <w:tcBorders>
              <w:left w:val="single" w:sz="12" w:space="0" w:color="auto"/>
              <w:right w:val="single" w:sz="4"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8%</w:t>
            </w:r>
          </w:p>
        </w:tc>
        <w:tc>
          <w:tcPr>
            <w:tcW w:w="826" w:type="dxa"/>
            <w:tcBorders>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13%</w:t>
            </w:r>
          </w:p>
        </w:tc>
        <w:tc>
          <w:tcPr>
            <w:tcW w:w="1094" w:type="dxa"/>
            <w:tcBorders>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25%</w:t>
            </w:r>
          </w:p>
        </w:tc>
        <w:tc>
          <w:tcPr>
            <w:tcW w:w="1199" w:type="dxa"/>
            <w:tcBorders>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23%</w:t>
            </w:r>
          </w:p>
        </w:tc>
        <w:tc>
          <w:tcPr>
            <w:tcW w:w="879" w:type="dxa"/>
            <w:tcBorders>
              <w:left w:val="single" w:sz="4" w:space="0" w:color="auto"/>
              <w:right w:val="single" w:sz="12"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32%</w:t>
            </w:r>
          </w:p>
        </w:tc>
      </w:tr>
      <w:tr w:rsidR="00C17E74" w:rsidRPr="00C17E74" w:rsidTr="0053283A">
        <w:trPr>
          <w:trHeight w:val="439"/>
        </w:trPr>
        <w:tc>
          <w:tcPr>
            <w:tcW w:w="4864" w:type="dxa"/>
            <w:tcBorders>
              <w:left w:val="single" w:sz="12" w:space="0" w:color="auto"/>
              <w:right w:val="single" w:sz="12" w:space="0" w:color="auto"/>
            </w:tcBorders>
            <w:shd w:val="clear" w:color="000000" w:fill="FFFFFF"/>
            <w:vAlign w:val="center"/>
            <w:hideMark/>
          </w:tcPr>
          <w:p w:rsidR="00C17E74" w:rsidRPr="00C17E74" w:rsidRDefault="00C17E74" w:rsidP="00C17E74">
            <w:pPr>
              <w:spacing w:line="240" w:lineRule="auto"/>
              <w:rPr>
                <w:rFonts w:ascii="Calibri" w:eastAsia="Times New Roman" w:hAnsi="Calibri" w:cs="Calibri"/>
                <w:b/>
                <w:bCs/>
                <w:sz w:val="18"/>
                <w:szCs w:val="18"/>
                <w:lang w:eastAsia="en-AU"/>
              </w:rPr>
            </w:pPr>
            <w:r w:rsidRPr="00C17E74">
              <w:rPr>
                <w:rFonts w:ascii="Calibri" w:eastAsia="Times New Roman" w:hAnsi="Calibri" w:cs="Calibri"/>
                <w:b/>
                <w:bCs/>
                <w:sz w:val="18"/>
                <w:szCs w:val="18"/>
                <w:lang w:eastAsia="en-AU"/>
              </w:rPr>
              <w:t xml:space="preserve">Shared Decision Making </w:t>
            </w:r>
            <w:r w:rsidRPr="00C17E74">
              <w:rPr>
                <w:rFonts w:ascii="Calibri" w:eastAsia="Times New Roman" w:hAnsi="Calibri" w:cs="Calibri"/>
                <w:bCs/>
                <w:sz w:val="18"/>
                <w:szCs w:val="18"/>
                <w:lang w:eastAsia="en-AU"/>
              </w:rPr>
              <w:t>‐Each partner contributes meaningfully to the planning and implementation of the program, and is involved in the decisions that are made.</w:t>
            </w:r>
          </w:p>
        </w:tc>
        <w:tc>
          <w:tcPr>
            <w:tcW w:w="1187" w:type="dxa"/>
            <w:tcBorders>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156</w:t>
            </w:r>
          </w:p>
        </w:tc>
        <w:tc>
          <w:tcPr>
            <w:tcW w:w="737" w:type="dxa"/>
            <w:tcBorders>
              <w:left w:val="single" w:sz="12" w:space="0" w:color="auto"/>
              <w:right w:val="single" w:sz="4" w:space="0" w:color="auto"/>
            </w:tcBorders>
            <w:shd w:val="clear" w:color="auto" w:fill="auto"/>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10%</w:t>
            </w:r>
          </w:p>
        </w:tc>
        <w:tc>
          <w:tcPr>
            <w:tcW w:w="826" w:type="dxa"/>
            <w:tcBorders>
              <w:left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13%</w:t>
            </w:r>
          </w:p>
        </w:tc>
        <w:tc>
          <w:tcPr>
            <w:tcW w:w="1094" w:type="dxa"/>
            <w:tcBorders>
              <w:left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26%</w:t>
            </w:r>
          </w:p>
        </w:tc>
        <w:tc>
          <w:tcPr>
            <w:tcW w:w="1199" w:type="dxa"/>
            <w:tcBorders>
              <w:left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24%</w:t>
            </w:r>
          </w:p>
        </w:tc>
        <w:tc>
          <w:tcPr>
            <w:tcW w:w="879" w:type="dxa"/>
            <w:tcBorders>
              <w:left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27%</w:t>
            </w:r>
          </w:p>
        </w:tc>
      </w:tr>
      <w:tr w:rsidR="00C17E74" w:rsidRPr="00C17E74" w:rsidTr="0053283A">
        <w:trPr>
          <w:trHeight w:val="439"/>
        </w:trPr>
        <w:tc>
          <w:tcPr>
            <w:tcW w:w="4864" w:type="dxa"/>
            <w:tcBorders>
              <w:left w:val="single" w:sz="12" w:space="0" w:color="auto"/>
              <w:right w:val="single" w:sz="12" w:space="0" w:color="auto"/>
            </w:tcBorders>
            <w:shd w:val="clear" w:color="auto" w:fill="auto"/>
            <w:vAlign w:val="center"/>
            <w:hideMark/>
          </w:tcPr>
          <w:p w:rsidR="00C17E74" w:rsidRPr="00C17E74" w:rsidRDefault="00C17E74" w:rsidP="00C17E74">
            <w:pPr>
              <w:spacing w:line="240" w:lineRule="auto"/>
              <w:rPr>
                <w:rFonts w:ascii="Calibri" w:eastAsia="Times New Roman" w:hAnsi="Calibri" w:cs="Calibri"/>
                <w:b/>
                <w:bCs/>
                <w:sz w:val="18"/>
                <w:szCs w:val="18"/>
                <w:lang w:eastAsia="en-AU"/>
              </w:rPr>
            </w:pPr>
            <w:r w:rsidRPr="00C17E74">
              <w:rPr>
                <w:rFonts w:ascii="Calibri" w:eastAsia="Times New Roman" w:hAnsi="Calibri" w:cs="Calibri"/>
                <w:b/>
                <w:bCs/>
                <w:sz w:val="18"/>
                <w:szCs w:val="18"/>
                <w:lang w:eastAsia="en-AU"/>
              </w:rPr>
              <w:t xml:space="preserve">Communication </w:t>
            </w:r>
            <w:r w:rsidRPr="00C17E74">
              <w:rPr>
                <w:rFonts w:ascii="Calibri" w:eastAsia="Times New Roman" w:hAnsi="Calibri" w:cs="Calibri"/>
                <w:bCs/>
                <w:sz w:val="18"/>
                <w:szCs w:val="18"/>
                <w:lang w:eastAsia="en-AU"/>
              </w:rPr>
              <w:t>‐ There is effective communication between partners.</w:t>
            </w:r>
          </w:p>
        </w:tc>
        <w:tc>
          <w:tcPr>
            <w:tcW w:w="1187" w:type="dxa"/>
            <w:tcBorders>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163</w:t>
            </w:r>
          </w:p>
        </w:tc>
        <w:tc>
          <w:tcPr>
            <w:tcW w:w="737" w:type="dxa"/>
            <w:tcBorders>
              <w:left w:val="single" w:sz="12" w:space="0" w:color="auto"/>
              <w:right w:val="single" w:sz="4" w:space="0" w:color="auto"/>
            </w:tcBorders>
            <w:shd w:val="clear" w:color="auto" w:fill="auto"/>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7%</w:t>
            </w:r>
          </w:p>
        </w:tc>
        <w:tc>
          <w:tcPr>
            <w:tcW w:w="826" w:type="dxa"/>
            <w:tcBorders>
              <w:left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18%</w:t>
            </w:r>
          </w:p>
        </w:tc>
        <w:tc>
          <w:tcPr>
            <w:tcW w:w="1094" w:type="dxa"/>
            <w:tcBorders>
              <w:left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23%</w:t>
            </w:r>
          </w:p>
        </w:tc>
        <w:tc>
          <w:tcPr>
            <w:tcW w:w="1199" w:type="dxa"/>
            <w:tcBorders>
              <w:left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21%</w:t>
            </w:r>
          </w:p>
        </w:tc>
        <w:tc>
          <w:tcPr>
            <w:tcW w:w="879" w:type="dxa"/>
            <w:tcBorders>
              <w:left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30%</w:t>
            </w:r>
          </w:p>
        </w:tc>
      </w:tr>
      <w:tr w:rsidR="00C17E74" w:rsidRPr="00C17E74" w:rsidTr="0053283A">
        <w:trPr>
          <w:trHeight w:val="439"/>
        </w:trPr>
        <w:tc>
          <w:tcPr>
            <w:tcW w:w="4864" w:type="dxa"/>
            <w:tcBorders>
              <w:left w:val="single" w:sz="12" w:space="0" w:color="auto"/>
              <w:bottom w:val="single" w:sz="4" w:space="0" w:color="auto"/>
              <w:right w:val="single" w:sz="12" w:space="0" w:color="auto"/>
            </w:tcBorders>
            <w:shd w:val="clear" w:color="000000" w:fill="FFFFFF"/>
            <w:vAlign w:val="center"/>
            <w:hideMark/>
          </w:tcPr>
          <w:p w:rsidR="00C17E74" w:rsidRPr="00C17E74" w:rsidRDefault="00C17E74" w:rsidP="00C17E74">
            <w:pPr>
              <w:spacing w:line="240" w:lineRule="auto"/>
              <w:rPr>
                <w:rFonts w:ascii="Calibri" w:eastAsia="Times New Roman" w:hAnsi="Calibri" w:cs="Calibri"/>
                <w:b/>
                <w:bCs/>
                <w:sz w:val="18"/>
                <w:szCs w:val="18"/>
                <w:lang w:eastAsia="en-AU"/>
              </w:rPr>
            </w:pPr>
            <w:r w:rsidRPr="00C17E74">
              <w:rPr>
                <w:rFonts w:ascii="Calibri" w:eastAsia="Times New Roman" w:hAnsi="Calibri" w:cs="Calibri"/>
                <w:b/>
                <w:bCs/>
                <w:sz w:val="18"/>
                <w:szCs w:val="18"/>
                <w:lang w:eastAsia="en-AU"/>
              </w:rPr>
              <w:t xml:space="preserve">Commitment and Investment </w:t>
            </w:r>
            <w:r w:rsidRPr="00C17E74">
              <w:rPr>
                <w:rFonts w:ascii="Calibri" w:eastAsia="Times New Roman" w:hAnsi="Calibri" w:cs="Calibri"/>
                <w:bCs/>
                <w:sz w:val="18"/>
                <w:szCs w:val="18"/>
                <w:lang w:eastAsia="en-AU"/>
              </w:rPr>
              <w:t>‐ All organisations are committed to the partnership and make a considerable investment to it.</w:t>
            </w:r>
          </w:p>
        </w:tc>
        <w:tc>
          <w:tcPr>
            <w:tcW w:w="1187" w:type="dxa"/>
            <w:tcBorders>
              <w:left w:val="single" w:sz="12" w:space="0" w:color="auto"/>
              <w:bottom w:val="single" w:sz="4"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160</w:t>
            </w:r>
          </w:p>
        </w:tc>
        <w:tc>
          <w:tcPr>
            <w:tcW w:w="737" w:type="dxa"/>
            <w:tcBorders>
              <w:left w:val="single" w:sz="12" w:space="0" w:color="auto"/>
              <w:bottom w:val="single" w:sz="4" w:space="0" w:color="auto"/>
              <w:right w:val="single" w:sz="4" w:space="0" w:color="auto"/>
            </w:tcBorders>
            <w:shd w:val="clear" w:color="auto" w:fill="auto"/>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11%</w:t>
            </w:r>
          </w:p>
        </w:tc>
        <w:tc>
          <w:tcPr>
            <w:tcW w:w="826" w:type="dxa"/>
            <w:tcBorders>
              <w:left w:val="single" w:sz="4"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14%</w:t>
            </w:r>
          </w:p>
        </w:tc>
        <w:tc>
          <w:tcPr>
            <w:tcW w:w="1094" w:type="dxa"/>
            <w:tcBorders>
              <w:left w:val="single" w:sz="4"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21%</w:t>
            </w:r>
          </w:p>
        </w:tc>
        <w:tc>
          <w:tcPr>
            <w:tcW w:w="1199" w:type="dxa"/>
            <w:tcBorders>
              <w:left w:val="single" w:sz="4"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25%</w:t>
            </w:r>
          </w:p>
        </w:tc>
        <w:tc>
          <w:tcPr>
            <w:tcW w:w="879" w:type="dxa"/>
            <w:tcBorders>
              <w:left w:val="single" w:sz="4" w:space="0" w:color="auto"/>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28%</w:t>
            </w:r>
          </w:p>
        </w:tc>
      </w:tr>
      <w:tr w:rsidR="00C17E74" w:rsidRPr="00C17E74" w:rsidTr="0053283A">
        <w:trPr>
          <w:trHeight w:val="440"/>
        </w:trPr>
        <w:tc>
          <w:tcPr>
            <w:tcW w:w="4864" w:type="dxa"/>
            <w:tcBorders>
              <w:left w:val="single" w:sz="12" w:space="0" w:color="auto"/>
              <w:bottom w:val="single" w:sz="4" w:space="0" w:color="auto"/>
              <w:right w:val="single" w:sz="12" w:space="0" w:color="auto"/>
            </w:tcBorders>
            <w:shd w:val="clear" w:color="000000" w:fill="FFFFFF"/>
            <w:vAlign w:val="center"/>
            <w:hideMark/>
          </w:tcPr>
          <w:p w:rsidR="00C17E74" w:rsidRPr="00C17E74" w:rsidRDefault="00C17E74" w:rsidP="00C17E74">
            <w:pPr>
              <w:spacing w:line="240" w:lineRule="auto"/>
              <w:rPr>
                <w:rFonts w:ascii="Calibri" w:eastAsia="Times New Roman" w:hAnsi="Calibri" w:cs="Calibri"/>
                <w:b/>
                <w:bCs/>
                <w:sz w:val="18"/>
                <w:szCs w:val="18"/>
                <w:lang w:eastAsia="en-AU"/>
              </w:rPr>
            </w:pPr>
            <w:r w:rsidRPr="00C17E74">
              <w:rPr>
                <w:rFonts w:ascii="Calibri" w:eastAsia="Times New Roman" w:hAnsi="Calibri" w:cs="Calibri"/>
                <w:b/>
                <w:bCs/>
                <w:sz w:val="18"/>
                <w:szCs w:val="18"/>
                <w:lang w:eastAsia="en-AU"/>
              </w:rPr>
              <w:t xml:space="preserve">Review </w:t>
            </w:r>
            <w:r w:rsidRPr="00C17E74">
              <w:rPr>
                <w:rFonts w:ascii="Calibri" w:eastAsia="Times New Roman" w:hAnsi="Calibri" w:cs="Calibri"/>
                <w:bCs/>
                <w:sz w:val="18"/>
                <w:szCs w:val="18"/>
                <w:lang w:eastAsia="en-AU"/>
              </w:rPr>
              <w:t>‐ Partners monitor and review their partnership and progress towards goals.</w:t>
            </w:r>
          </w:p>
        </w:tc>
        <w:tc>
          <w:tcPr>
            <w:tcW w:w="1187" w:type="dxa"/>
            <w:tcBorders>
              <w:left w:val="single" w:sz="12" w:space="0" w:color="auto"/>
              <w:bottom w:val="single" w:sz="4"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129</w:t>
            </w:r>
          </w:p>
        </w:tc>
        <w:tc>
          <w:tcPr>
            <w:tcW w:w="737" w:type="dxa"/>
            <w:tcBorders>
              <w:left w:val="single" w:sz="12" w:space="0" w:color="auto"/>
              <w:bottom w:val="single" w:sz="4" w:space="0" w:color="auto"/>
              <w:right w:val="single" w:sz="4" w:space="0" w:color="auto"/>
            </w:tcBorders>
            <w:shd w:val="clear" w:color="auto" w:fill="auto"/>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22%</w:t>
            </w:r>
          </w:p>
        </w:tc>
        <w:tc>
          <w:tcPr>
            <w:tcW w:w="826" w:type="dxa"/>
            <w:tcBorders>
              <w:left w:val="single" w:sz="4"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18%</w:t>
            </w:r>
          </w:p>
        </w:tc>
        <w:tc>
          <w:tcPr>
            <w:tcW w:w="1094" w:type="dxa"/>
            <w:tcBorders>
              <w:left w:val="single" w:sz="4"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19%</w:t>
            </w:r>
          </w:p>
        </w:tc>
        <w:tc>
          <w:tcPr>
            <w:tcW w:w="1199" w:type="dxa"/>
            <w:tcBorders>
              <w:left w:val="single" w:sz="4"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18%</w:t>
            </w:r>
          </w:p>
        </w:tc>
        <w:tc>
          <w:tcPr>
            <w:tcW w:w="879" w:type="dxa"/>
            <w:tcBorders>
              <w:left w:val="single" w:sz="4" w:space="0" w:color="auto"/>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23%</w:t>
            </w:r>
          </w:p>
        </w:tc>
      </w:tr>
    </w:tbl>
    <w:p w:rsidR="00C17E74" w:rsidRPr="00C17E74" w:rsidRDefault="00C17E74" w:rsidP="00C17E74">
      <w:pPr>
        <w:spacing w:line="240" w:lineRule="auto"/>
        <w:ind w:right="34"/>
        <w:rPr>
          <w:rFonts w:ascii="Calibri" w:eastAsia="Times New Roman" w:hAnsi="Calibri" w:cs="Calibri"/>
          <w:sz w:val="2"/>
          <w:lang w:val="en-US"/>
        </w:rPr>
      </w:pPr>
    </w:p>
    <w:p w:rsidR="00C17E74" w:rsidRPr="00C17E74" w:rsidRDefault="00C17E74" w:rsidP="00C17E74">
      <w:pPr>
        <w:spacing w:before="240" w:after="120" w:line="240" w:lineRule="auto"/>
        <w:ind w:left="-284" w:right="-568"/>
        <w:rPr>
          <w:rFonts w:ascii="Calibri" w:eastAsia="Times New Roman" w:hAnsi="Calibri" w:cstheme="minorHAnsi"/>
          <w:sz w:val="20"/>
        </w:rPr>
        <w:sectPr w:rsidR="00C17E74" w:rsidRPr="00C17E74" w:rsidSect="0053283A">
          <w:type w:val="continuous"/>
          <w:pgSz w:w="11907" w:h="16839" w:code="9"/>
          <w:pgMar w:top="393" w:right="426" w:bottom="567" w:left="709" w:header="1" w:footer="0" w:gutter="0"/>
          <w:cols w:num="2" w:space="708"/>
          <w:docGrid w:linePitch="360"/>
        </w:sectPr>
      </w:pPr>
    </w:p>
    <w:p w:rsidR="00DC0E7D" w:rsidRDefault="00DC0E7D" w:rsidP="00C17E74">
      <w:pPr>
        <w:spacing w:before="240" w:after="120" w:line="240" w:lineRule="auto"/>
        <w:ind w:right="-568"/>
        <w:rPr>
          <w:rFonts w:ascii="Calibri" w:eastAsia="Times New Roman" w:hAnsi="Calibri" w:cstheme="minorHAnsi"/>
        </w:rPr>
      </w:pPr>
    </w:p>
    <w:p w:rsidR="00C17E74" w:rsidRPr="00C17E74" w:rsidRDefault="00C17E74" w:rsidP="00C17E74">
      <w:pPr>
        <w:spacing w:before="240" w:after="120" w:line="240" w:lineRule="auto"/>
        <w:ind w:right="-568"/>
        <w:rPr>
          <w:rFonts w:ascii="Calibri" w:eastAsia="Times New Roman" w:hAnsi="Calibri" w:cstheme="minorHAnsi"/>
        </w:rPr>
      </w:pPr>
      <w:r w:rsidRPr="00C17E74">
        <w:rPr>
          <w:rFonts w:ascii="Calibri" w:eastAsia="Times New Roman" w:hAnsi="Calibri" w:cstheme="minorHAnsi"/>
        </w:rPr>
        <w:t>The data above shows that:</w:t>
      </w:r>
    </w:p>
    <w:p w:rsidR="00C17E74" w:rsidRPr="00C17E74" w:rsidRDefault="00C17E74" w:rsidP="00C17E74">
      <w:pPr>
        <w:numPr>
          <w:ilvl w:val="0"/>
          <w:numId w:val="43"/>
        </w:numPr>
        <w:spacing w:line="240" w:lineRule="auto"/>
        <w:ind w:left="426" w:hanging="284"/>
        <w:rPr>
          <w:rFonts w:ascii="Calibri" w:eastAsia="Times New Roman" w:hAnsi="Calibri" w:cs="Calibri"/>
        </w:rPr>
      </w:pPr>
      <w:r w:rsidRPr="00C17E74">
        <w:rPr>
          <w:rFonts w:ascii="Calibri" w:eastAsia="Times New Roman" w:hAnsi="Calibri" w:cs="Calibri"/>
        </w:rPr>
        <w:t>Providers reported 50% of partnerships that have been evaluated have achieved or made considerable progress against this outcome.</w:t>
      </w:r>
    </w:p>
    <w:p w:rsidR="00C17E74" w:rsidRPr="00C17E74" w:rsidRDefault="00C17E74" w:rsidP="00C17E74">
      <w:pPr>
        <w:numPr>
          <w:ilvl w:val="0"/>
          <w:numId w:val="43"/>
        </w:numPr>
        <w:spacing w:line="240" w:lineRule="auto"/>
        <w:ind w:left="426" w:hanging="284"/>
        <w:rPr>
          <w:rFonts w:ascii="Calibri" w:eastAsia="Times New Roman" w:hAnsi="Calibri" w:cs="Calibri"/>
        </w:rPr>
      </w:pPr>
      <w:r w:rsidRPr="00C17E74">
        <w:rPr>
          <w:rFonts w:ascii="Calibri" w:eastAsia="Times New Roman" w:hAnsi="Calibri" w:cs="Calibri"/>
        </w:rPr>
        <w:t>Providers reported 26% of partnerships that have been evaluated have made limited or some progress against this outcome.</w:t>
      </w:r>
    </w:p>
    <w:p w:rsidR="00C17E74" w:rsidRPr="00C17E74" w:rsidRDefault="00C17E74" w:rsidP="00C17E74">
      <w:pPr>
        <w:numPr>
          <w:ilvl w:val="0"/>
          <w:numId w:val="43"/>
        </w:numPr>
        <w:spacing w:line="240" w:lineRule="auto"/>
        <w:ind w:left="426" w:hanging="284"/>
        <w:rPr>
          <w:rFonts w:ascii="Calibri" w:eastAsia="Times New Roman" w:hAnsi="Calibri" w:cs="Calibri"/>
        </w:rPr>
      </w:pPr>
      <w:r w:rsidRPr="00C17E74">
        <w:rPr>
          <w:rFonts w:ascii="Calibri" w:eastAsia="Times New Roman" w:hAnsi="Calibri" w:cs="Calibri"/>
        </w:rPr>
        <w:t>There are 170 partnerships (60% of the total number of partnerships in SA) that have demonstrated to some extent that ‘</w:t>
      </w:r>
      <w:r w:rsidRPr="00C17E74">
        <w:rPr>
          <w:rFonts w:ascii="Calibri" w:eastAsia="Times New Roman" w:hAnsi="Calibri" w:cs="Calibri"/>
          <w:i/>
        </w:rPr>
        <w:t>partners have a clear, shared, realistic goal</w:t>
      </w:r>
      <w:r w:rsidRPr="00C17E74">
        <w:rPr>
          <w:rFonts w:ascii="Calibri" w:eastAsia="Times New Roman" w:hAnsi="Calibri" w:cs="Calibri"/>
        </w:rPr>
        <w:t>’. Providers reported that 55% of these partnerships have achieved or made considerable progress against this partnership characteristic.</w:t>
      </w:r>
    </w:p>
    <w:p w:rsidR="00C17E74" w:rsidRPr="00C17E74" w:rsidRDefault="00C17E74" w:rsidP="00C17E74">
      <w:pPr>
        <w:spacing w:line="360" w:lineRule="auto"/>
        <w:ind w:left="-142"/>
        <w:rPr>
          <w:rFonts w:ascii="Times New Roman" w:eastAsia="Times New Roman" w:hAnsi="Times New Roman" w:cs="Times New Roman"/>
          <w:noProof/>
          <w:sz w:val="24"/>
          <w:szCs w:val="20"/>
          <w:lang w:eastAsia="en-AU"/>
        </w:rPr>
        <w:sectPr w:rsidR="00C17E74" w:rsidRPr="00C17E74" w:rsidSect="0053283A">
          <w:type w:val="continuous"/>
          <w:pgSz w:w="11907" w:h="16839" w:code="9"/>
          <w:pgMar w:top="393" w:right="426" w:bottom="567" w:left="709" w:header="1" w:footer="0" w:gutter="0"/>
          <w:cols w:space="708"/>
          <w:docGrid w:linePitch="360"/>
        </w:sectPr>
      </w:pPr>
    </w:p>
    <w:p w:rsidR="00C17E74" w:rsidRPr="00C17E74" w:rsidRDefault="00C17E74" w:rsidP="00C17E74">
      <w:pPr>
        <w:spacing w:line="360" w:lineRule="auto"/>
        <w:ind w:left="-142"/>
        <w:rPr>
          <w:rFonts w:ascii="Times New Roman" w:eastAsia="Times New Roman" w:hAnsi="Times New Roman" w:cs="Times New Roman"/>
          <w:noProof/>
          <w:sz w:val="24"/>
          <w:szCs w:val="20"/>
          <w:lang w:eastAsia="en-AU"/>
        </w:rPr>
      </w:pPr>
    </w:p>
    <w:p w:rsidR="00C17E74" w:rsidRPr="00C17E74" w:rsidRDefault="00C17E74" w:rsidP="00C17E74">
      <w:pPr>
        <w:spacing w:line="360" w:lineRule="auto"/>
        <w:ind w:left="426"/>
        <w:rPr>
          <w:rFonts w:ascii="Times New Roman" w:eastAsia="Times New Roman" w:hAnsi="Times New Roman" w:cs="Times New Roman"/>
          <w:noProof/>
          <w:sz w:val="24"/>
          <w:szCs w:val="20"/>
          <w:lang w:eastAsia="en-AU"/>
        </w:rPr>
        <w:sectPr w:rsidR="00C17E74" w:rsidRPr="00C17E74" w:rsidSect="0053283A">
          <w:type w:val="continuous"/>
          <w:pgSz w:w="11907" w:h="16839" w:code="9"/>
          <w:pgMar w:top="393" w:right="426" w:bottom="567" w:left="709" w:header="1" w:footer="0" w:gutter="0"/>
          <w:cols w:num="2" w:space="708"/>
          <w:docGrid w:linePitch="360"/>
        </w:sectPr>
      </w:pPr>
    </w:p>
    <w:tbl>
      <w:tblPr>
        <w:tblpPr w:leftFromText="180" w:rightFromText="180" w:vertAnchor="text" w:horzAnchor="margin" w:tblpXSpec="center" w:tblpYSpec="inside"/>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86"/>
        <w:gridCol w:w="1191"/>
        <w:gridCol w:w="737"/>
        <w:gridCol w:w="826"/>
        <w:gridCol w:w="1094"/>
        <w:gridCol w:w="1199"/>
        <w:gridCol w:w="879"/>
      </w:tblGrid>
      <w:tr w:rsidR="00C17E74" w:rsidRPr="00C17E74" w:rsidTr="0053283A">
        <w:trPr>
          <w:trHeight w:val="426"/>
        </w:trPr>
        <w:tc>
          <w:tcPr>
            <w:tcW w:w="4886" w:type="dxa"/>
            <w:tcBorders>
              <w:top w:val="single" w:sz="12" w:space="0" w:color="auto"/>
              <w:left w:val="single" w:sz="12" w:space="0" w:color="auto"/>
              <w:bottom w:val="single" w:sz="12" w:space="0" w:color="auto"/>
              <w:right w:val="single" w:sz="12" w:space="0" w:color="auto"/>
            </w:tcBorders>
            <w:shd w:val="clear" w:color="auto" w:fill="92CDDC" w:themeFill="accent5" w:themeFillTint="99"/>
            <w:vAlign w:val="center"/>
            <w:hideMark/>
          </w:tcPr>
          <w:p w:rsidR="00C17E74" w:rsidRPr="00C17E74" w:rsidRDefault="00C17E74" w:rsidP="00C17E74">
            <w:pPr>
              <w:spacing w:line="240" w:lineRule="auto"/>
              <w:jc w:val="center"/>
              <w:rPr>
                <w:rFonts w:ascii="Calibri" w:eastAsia="Times New Roman" w:hAnsi="Calibri" w:cs="Calibri"/>
                <w:b/>
                <w:sz w:val="20"/>
                <w:lang w:eastAsia="en-AU"/>
              </w:rPr>
            </w:pPr>
            <w:bookmarkStart w:id="116" w:name="_Toc355363244"/>
            <w:r w:rsidRPr="00C17E74">
              <w:rPr>
                <w:rFonts w:ascii="Calibri" w:eastAsia="Times New Roman" w:hAnsi="Calibri" w:cs="Calibri"/>
                <w:b/>
                <w:bCs/>
                <w:sz w:val="20"/>
                <w:lang w:eastAsia="en-AU"/>
              </w:rPr>
              <w:lastRenderedPageBreak/>
              <w:t xml:space="preserve">Table </w:t>
            </w:r>
            <w:proofErr w:type="spellStart"/>
            <w:r w:rsidRPr="00C17E74">
              <w:rPr>
                <w:rFonts w:ascii="Calibri" w:eastAsia="Times New Roman" w:hAnsi="Calibri" w:cs="Calibri"/>
                <w:b/>
                <w:bCs/>
                <w:sz w:val="20"/>
                <w:lang w:eastAsia="en-AU"/>
              </w:rPr>
              <w:t>I2</w:t>
            </w:r>
            <w:proofErr w:type="spellEnd"/>
            <w:r w:rsidRPr="00C17E74">
              <w:rPr>
                <w:rFonts w:ascii="Calibri" w:eastAsia="Times New Roman" w:hAnsi="Calibri" w:cs="Calibri"/>
                <w:b/>
                <w:bCs/>
                <w:sz w:val="20"/>
                <w:lang w:eastAsia="en-AU"/>
              </w:rPr>
              <w:t xml:space="preserve"> – Outcome – Education &amp; Training</w:t>
            </w:r>
            <w:bookmarkEnd w:id="116"/>
          </w:p>
        </w:tc>
        <w:tc>
          <w:tcPr>
            <w:tcW w:w="1191" w:type="dxa"/>
            <w:tcBorders>
              <w:top w:val="single" w:sz="12" w:space="0" w:color="auto"/>
              <w:left w:val="single" w:sz="12" w:space="0" w:color="auto"/>
              <w:bottom w:val="single" w:sz="12" w:space="0" w:color="auto"/>
              <w:right w:val="single" w:sz="12" w:space="0" w:color="auto"/>
            </w:tcBorders>
            <w:shd w:val="clear" w:color="auto" w:fill="92CDDC" w:themeFill="accent5" w:themeFillTint="99"/>
            <w:vAlign w:val="center"/>
            <w:hideMark/>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lang w:eastAsia="en-AU"/>
              </w:rPr>
              <w:t xml:space="preserve">Total </w:t>
            </w:r>
            <w:proofErr w:type="spellStart"/>
            <w:r w:rsidRPr="00C17E74">
              <w:rPr>
                <w:rFonts w:ascii="Calibri" w:eastAsia="Times New Roman" w:hAnsi="Calibri" w:cs="Calibri"/>
                <w:b/>
                <w:bCs/>
                <w:sz w:val="20"/>
                <w:lang w:eastAsia="en-AU"/>
              </w:rPr>
              <w:t>KPM</w:t>
            </w:r>
            <w:proofErr w:type="spellEnd"/>
            <w:r w:rsidRPr="00C17E74">
              <w:rPr>
                <w:rFonts w:ascii="Calibri" w:eastAsia="Times New Roman" w:hAnsi="Calibri" w:cs="Calibri"/>
                <w:b/>
                <w:bCs/>
                <w:sz w:val="20"/>
                <w:lang w:eastAsia="en-AU"/>
              </w:rPr>
              <w:t xml:space="preserve"> Evaluations</w:t>
            </w:r>
          </w:p>
        </w:tc>
        <w:tc>
          <w:tcPr>
            <w:tcW w:w="737" w:type="dxa"/>
            <w:tcBorders>
              <w:top w:val="single" w:sz="12" w:space="0" w:color="auto"/>
              <w:left w:val="single" w:sz="12" w:space="0" w:color="auto"/>
              <w:bottom w:val="single" w:sz="12" w:space="0" w:color="auto"/>
              <w:right w:val="single" w:sz="4" w:space="0" w:color="auto"/>
            </w:tcBorders>
            <w:shd w:val="clear" w:color="auto" w:fill="92CDDC" w:themeFill="accent5" w:themeFillTint="99"/>
            <w:vAlign w:val="center"/>
            <w:hideMark/>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lang w:eastAsia="en-AU"/>
              </w:rPr>
              <w:t>1 – Limited</w:t>
            </w:r>
          </w:p>
        </w:tc>
        <w:tc>
          <w:tcPr>
            <w:tcW w:w="826" w:type="dxa"/>
            <w:tcBorders>
              <w:top w:val="single" w:sz="12" w:space="0" w:color="auto"/>
              <w:left w:val="single" w:sz="4" w:space="0" w:color="auto"/>
              <w:bottom w:val="single" w:sz="12" w:space="0" w:color="auto"/>
              <w:right w:val="single" w:sz="4"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lang w:eastAsia="en-AU"/>
              </w:rPr>
              <w:t>2 – Some Progress</w:t>
            </w:r>
          </w:p>
        </w:tc>
        <w:tc>
          <w:tcPr>
            <w:tcW w:w="1094" w:type="dxa"/>
            <w:tcBorders>
              <w:top w:val="single" w:sz="12" w:space="0" w:color="auto"/>
              <w:left w:val="single" w:sz="4" w:space="0" w:color="auto"/>
              <w:bottom w:val="single" w:sz="12" w:space="0" w:color="auto"/>
              <w:right w:val="single" w:sz="4"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lang w:eastAsia="en-AU"/>
              </w:rPr>
              <w:t xml:space="preserve">3 – Satisfactory </w:t>
            </w:r>
          </w:p>
        </w:tc>
        <w:tc>
          <w:tcPr>
            <w:tcW w:w="1199" w:type="dxa"/>
            <w:tcBorders>
              <w:top w:val="single" w:sz="12" w:space="0" w:color="auto"/>
              <w:left w:val="single" w:sz="4" w:space="0" w:color="auto"/>
              <w:bottom w:val="single" w:sz="12" w:space="0" w:color="auto"/>
              <w:right w:val="single" w:sz="4"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lang w:eastAsia="en-AU"/>
              </w:rPr>
              <w:t>4 – Considerable Progress</w:t>
            </w:r>
          </w:p>
        </w:tc>
        <w:tc>
          <w:tcPr>
            <w:tcW w:w="879" w:type="dxa"/>
            <w:tcBorders>
              <w:top w:val="single" w:sz="12" w:space="0" w:color="auto"/>
              <w:left w:val="single" w:sz="4" w:space="0" w:color="auto"/>
              <w:bottom w:val="single" w:sz="12" w:space="0" w:color="auto"/>
              <w:right w:val="single" w:sz="12"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lang w:eastAsia="en-AU"/>
              </w:rPr>
              <w:t>5 – Achieved</w:t>
            </w:r>
          </w:p>
        </w:tc>
      </w:tr>
      <w:tr w:rsidR="00C17E74" w:rsidRPr="00C17E74" w:rsidTr="0053283A">
        <w:trPr>
          <w:trHeight w:val="899"/>
        </w:trPr>
        <w:tc>
          <w:tcPr>
            <w:tcW w:w="4886" w:type="dxa"/>
            <w:tcBorders>
              <w:top w:val="single" w:sz="12" w:space="0" w:color="auto"/>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rPr>
                <w:rFonts w:ascii="Calibri" w:eastAsia="Times New Roman" w:hAnsi="Calibri" w:cs="Calibri"/>
                <w:color w:val="333333"/>
                <w:sz w:val="20"/>
                <w:szCs w:val="20"/>
                <w:lang w:eastAsia="en-AU"/>
              </w:rPr>
            </w:pPr>
            <w:r w:rsidRPr="00C17E74">
              <w:rPr>
                <w:rFonts w:ascii="Calibri" w:eastAsia="Times New Roman" w:hAnsi="Calibri" w:cs="Calibri"/>
                <w:sz w:val="20"/>
                <w:szCs w:val="20"/>
                <w:lang w:eastAsia="en-AU"/>
              </w:rPr>
              <w:t>Education and training providers partnering with stakeholders in their community to ensure all young people participate in challenging, relevant and engaging learning that broadens personal aspirations and improves education and transition outcomes.</w:t>
            </w:r>
          </w:p>
        </w:tc>
        <w:tc>
          <w:tcPr>
            <w:tcW w:w="1191" w:type="dxa"/>
            <w:tcBorders>
              <w:top w:val="single" w:sz="12" w:space="0" w:color="auto"/>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197</w:t>
            </w:r>
          </w:p>
        </w:tc>
        <w:tc>
          <w:tcPr>
            <w:tcW w:w="737" w:type="dxa"/>
            <w:tcBorders>
              <w:top w:val="single" w:sz="12" w:space="0" w:color="auto"/>
              <w:left w:val="single" w:sz="12" w:space="0" w:color="auto"/>
              <w:right w:val="single" w:sz="4"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28</w:t>
            </w:r>
          </w:p>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(14%)</w:t>
            </w:r>
          </w:p>
        </w:tc>
        <w:tc>
          <w:tcPr>
            <w:tcW w:w="826" w:type="dxa"/>
            <w:tcBorders>
              <w:top w:val="single" w:sz="12" w:space="0" w:color="auto"/>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33</w:t>
            </w:r>
          </w:p>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(17%)</w:t>
            </w:r>
          </w:p>
        </w:tc>
        <w:tc>
          <w:tcPr>
            <w:tcW w:w="1094" w:type="dxa"/>
            <w:tcBorders>
              <w:top w:val="single" w:sz="12" w:space="0" w:color="auto"/>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41</w:t>
            </w:r>
          </w:p>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(21%)</w:t>
            </w:r>
          </w:p>
        </w:tc>
        <w:tc>
          <w:tcPr>
            <w:tcW w:w="1199" w:type="dxa"/>
            <w:tcBorders>
              <w:top w:val="single" w:sz="12" w:space="0" w:color="auto"/>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43</w:t>
            </w:r>
          </w:p>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(22%)</w:t>
            </w:r>
          </w:p>
        </w:tc>
        <w:tc>
          <w:tcPr>
            <w:tcW w:w="879" w:type="dxa"/>
            <w:tcBorders>
              <w:top w:val="single" w:sz="12" w:space="0" w:color="auto"/>
              <w:left w:val="single" w:sz="4" w:space="0" w:color="auto"/>
              <w:right w:val="single" w:sz="12"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52</w:t>
            </w:r>
          </w:p>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(26%)</w:t>
            </w:r>
          </w:p>
        </w:tc>
      </w:tr>
      <w:tr w:rsidR="00C17E74" w:rsidRPr="00C17E74" w:rsidTr="0053283A">
        <w:trPr>
          <w:trHeight w:val="345"/>
        </w:trPr>
        <w:tc>
          <w:tcPr>
            <w:tcW w:w="10812" w:type="dxa"/>
            <w:gridSpan w:val="7"/>
            <w:tcBorders>
              <w:top w:val="single" w:sz="12" w:space="0" w:color="auto"/>
              <w:left w:val="nil"/>
              <w:right w:val="nil"/>
            </w:tcBorders>
            <w:shd w:val="clear" w:color="000000" w:fill="FFFFFF"/>
            <w:vAlign w:val="center"/>
            <w:hideMark/>
          </w:tcPr>
          <w:p w:rsidR="00C17E74" w:rsidRPr="00C17E74" w:rsidRDefault="00C17E74" w:rsidP="00C17E74">
            <w:pPr>
              <w:spacing w:line="240" w:lineRule="auto"/>
              <w:rPr>
                <w:rFonts w:eastAsia="Times New Roman" w:cstheme="minorHAnsi"/>
                <w:color w:val="000000"/>
                <w:sz w:val="20"/>
                <w:szCs w:val="20"/>
                <w:lang w:eastAsia="en-AU"/>
              </w:rPr>
            </w:pPr>
          </w:p>
        </w:tc>
      </w:tr>
      <w:tr w:rsidR="00C17E74" w:rsidRPr="00C17E74" w:rsidTr="0053283A">
        <w:trPr>
          <w:trHeight w:val="460"/>
        </w:trPr>
        <w:tc>
          <w:tcPr>
            <w:tcW w:w="4886" w:type="dxa"/>
            <w:tcBorders>
              <w:left w:val="single" w:sz="12" w:space="0" w:color="auto"/>
              <w:right w:val="single" w:sz="12"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 xml:space="preserve">Table </w:t>
            </w:r>
            <w:proofErr w:type="spellStart"/>
            <w:r w:rsidRPr="00C17E74">
              <w:rPr>
                <w:rFonts w:ascii="Calibri" w:eastAsia="Times New Roman" w:hAnsi="Calibri" w:cs="Calibri"/>
                <w:b/>
                <w:bCs/>
                <w:sz w:val="20"/>
                <w:lang w:eastAsia="en-AU"/>
              </w:rPr>
              <w:t>I2</w:t>
            </w:r>
            <w:proofErr w:type="spellEnd"/>
            <w:r w:rsidRPr="00C17E74">
              <w:rPr>
                <w:rFonts w:ascii="Calibri" w:eastAsia="Times New Roman" w:hAnsi="Calibri" w:cs="Calibri"/>
                <w:b/>
                <w:bCs/>
                <w:sz w:val="20"/>
                <w:lang w:eastAsia="en-AU"/>
              </w:rPr>
              <w:t xml:space="preserve">  continued – Outcome – Education &amp; Training  (Breakdown of the  </w:t>
            </w:r>
            <w:proofErr w:type="spellStart"/>
            <w:r w:rsidRPr="00C17E74">
              <w:rPr>
                <w:rFonts w:ascii="Calibri" w:eastAsia="Times New Roman" w:hAnsi="Calibri" w:cs="Calibri"/>
                <w:b/>
                <w:bCs/>
                <w:sz w:val="20"/>
                <w:lang w:eastAsia="en-AU"/>
              </w:rPr>
              <w:t>KPMs</w:t>
            </w:r>
            <w:proofErr w:type="spellEnd"/>
            <w:r w:rsidRPr="00C17E74">
              <w:rPr>
                <w:rFonts w:ascii="Calibri" w:eastAsia="Times New Roman" w:hAnsi="Calibri" w:cs="Calibri"/>
                <w:b/>
                <w:bCs/>
                <w:sz w:val="20"/>
                <w:lang w:eastAsia="en-AU"/>
              </w:rPr>
              <w:t xml:space="preserve"> which contribute to the outcome above)</w:t>
            </w:r>
          </w:p>
        </w:tc>
        <w:tc>
          <w:tcPr>
            <w:tcW w:w="1191" w:type="dxa"/>
            <w:tcBorders>
              <w:left w:val="single" w:sz="12" w:space="0" w:color="auto"/>
              <w:right w:val="single" w:sz="12"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 xml:space="preserve">Total </w:t>
            </w:r>
            <w:proofErr w:type="spellStart"/>
            <w:r w:rsidRPr="00C17E74">
              <w:rPr>
                <w:rFonts w:ascii="Calibri" w:eastAsia="Times New Roman" w:hAnsi="Calibri" w:cs="Calibri"/>
                <w:b/>
                <w:bCs/>
                <w:sz w:val="20"/>
                <w:lang w:eastAsia="en-AU"/>
              </w:rPr>
              <w:t>KPM</w:t>
            </w:r>
            <w:proofErr w:type="spellEnd"/>
            <w:r w:rsidRPr="00C17E74">
              <w:rPr>
                <w:rFonts w:ascii="Calibri" w:eastAsia="Times New Roman" w:hAnsi="Calibri" w:cs="Calibri"/>
                <w:b/>
                <w:bCs/>
                <w:sz w:val="20"/>
                <w:lang w:eastAsia="en-AU"/>
              </w:rPr>
              <w:t xml:space="preserve"> Evaluations</w:t>
            </w:r>
          </w:p>
        </w:tc>
        <w:tc>
          <w:tcPr>
            <w:tcW w:w="737" w:type="dxa"/>
            <w:tcBorders>
              <w:left w:val="single" w:sz="12"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1 – Limited</w:t>
            </w:r>
          </w:p>
        </w:tc>
        <w:tc>
          <w:tcPr>
            <w:tcW w:w="826" w:type="dxa"/>
            <w:tcBorders>
              <w:left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2 – Some Progress</w:t>
            </w:r>
          </w:p>
        </w:tc>
        <w:tc>
          <w:tcPr>
            <w:tcW w:w="1094" w:type="dxa"/>
            <w:tcBorders>
              <w:left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 xml:space="preserve">3 – Satisfactory </w:t>
            </w:r>
          </w:p>
        </w:tc>
        <w:tc>
          <w:tcPr>
            <w:tcW w:w="1199" w:type="dxa"/>
            <w:tcBorders>
              <w:left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4 – Considerable Progress</w:t>
            </w:r>
          </w:p>
        </w:tc>
        <w:tc>
          <w:tcPr>
            <w:tcW w:w="879" w:type="dxa"/>
            <w:tcBorders>
              <w:left w:val="single" w:sz="4" w:space="0" w:color="auto"/>
              <w:right w:val="single" w:sz="12"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lang w:eastAsia="en-AU"/>
              </w:rPr>
              <w:t>5 – Achieved</w:t>
            </w:r>
          </w:p>
        </w:tc>
      </w:tr>
      <w:tr w:rsidR="00C17E74" w:rsidRPr="00C17E74" w:rsidTr="0053283A">
        <w:trPr>
          <w:trHeight w:val="460"/>
        </w:trPr>
        <w:tc>
          <w:tcPr>
            <w:tcW w:w="4886" w:type="dxa"/>
            <w:tcBorders>
              <w:left w:val="single" w:sz="12" w:space="0" w:color="auto"/>
              <w:right w:val="single" w:sz="12" w:space="0" w:color="auto"/>
            </w:tcBorders>
            <w:shd w:val="clear" w:color="000000" w:fill="FFFFFF"/>
            <w:vAlign w:val="center"/>
            <w:hideMark/>
          </w:tcPr>
          <w:p w:rsidR="00C17E74" w:rsidRPr="00C17E74" w:rsidRDefault="00C17E74" w:rsidP="00C17E74">
            <w:pPr>
              <w:spacing w:line="240" w:lineRule="auto"/>
              <w:rPr>
                <w:rFonts w:ascii="Calibri" w:eastAsia="Times New Roman" w:hAnsi="Calibri" w:cs="Calibri"/>
                <w:sz w:val="18"/>
                <w:szCs w:val="20"/>
                <w:lang w:eastAsia="en-AU"/>
              </w:rPr>
            </w:pPr>
            <w:r w:rsidRPr="00C17E74">
              <w:rPr>
                <w:rFonts w:ascii="Calibri" w:eastAsia="Times New Roman" w:hAnsi="Calibri" w:cs="Calibri"/>
                <w:sz w:val="18"/>
                <w:szCs w:val="20"/>
                <w:lang w:eastAsia="en-AU"/>
              </w:rPr>
              <w:t>An increase in the number of education and training providers who accredit community-based learning</w:t>
            </w:r>
          </w:p>
        </w:tc>
        <w:tc>
          <w:tcPr>
            <w:tcW w:w="1191" w:type="dxa"/>
            <w:tcBorders>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20</w:t>
            </w:r>
          </w:p>
        </w:tc>
        <w:tc>
          <w:tcPr>
            <w:tcW w:w="737" w:type="dxa"/>
            <w:tcBorders>
              <w:left w:val="single" w:sz="12" w:space="0" w:color="auto"/>
              <w:right w:val="single" w:sz="4" w:space="0" w:color="auto"/>
            </w:tcBorders>
            <w:shd w:val="clear" w:color="000000" w:fill="FFFFFF"/>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15%</w:t>
            </w:r>
          </w:p>
        </w:tc>
        <w:tc>
          <w:tcPr>
            <w:tcW w:w="826" w:type="dxa"/>
            <w:tcBorders>
              <w:left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30%</w:t>
            </w:r>
          </w:p>
        </w:tc>
        <w:tc>
          <w:tcPr>
            <w:tcW w:w="1094" w:type="dxa"/>
            <w:tcBorders>
              <w:left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25%</w:t>
            </w:r>
          </w:p>
        </w:tc>
        <w:tc>
          <w:tcPr>
            <w:tcW w:w="1199" w:type="dxa"/>
            <w:tcBorders>
              <w:left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15%</w:t>
            </w:r>
          </w:p>
        </w:tc>
        <w:tc>
          <w:tcPr>
            <w:tcW w:w="879" w:type="dxa"/>
            <w:tcBorders>
              <w:left w:val="single" w:sz="4" w:space="0" w:color="auto"/>
              <w:right w:val="single" w:sz="12"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15%</w:t>
            </w:r>
          </w:p>
        </w:tc>
      </w:tr>
      <w:tr w:rsidR="00C17E74" w:rsidRPr="00C17E74" w:rsidTr="0053283A">
        <w:trPr>
          <w:trHeight w:val="460"/>
        </w:trPr>
        <w:tc>
          <w:tcPr>
            <w:tcW w:w="4886" w:type="dxa"/>
            <w:tcBorders>
              <w:left w:val="single" w:sz="12" w:space="0" w:color="auto"/>
              <w:right w:val="single" w:sz="12" w:space="0" w:color="auto"/>
            </w:tcBorders>
            <w:shd w:val="clear" w:color="000000" w:fill="FFFFFF"/>
            <w:vAlign w:val="center"/>
            <w:hideMark/>
          </w:tcPr>
          <w:p w:rsidR="00C17E74" w:rsidRPr="00C17E74" w:rsidRDefault="00C17E74" w:rsidP="00C17E74">
            <w:pPr>
              <w:spacing w:line="240" w:lineRule="auto"/>
              <w:rPr>
                <w:rFonts w:ascii="Calibri" w:eastAsia="Times New Roman" w:hAnsi="Calibri" w:cs="Calibri"/>
                <w:sz w:val="18"/>
                <w:szCs w:val="20"/>
                <w:lang w:eastAsia="en-AU"/>
              </w:rPr>
            </w:pPr>
            <w:r w:rsidRPr="00C17E74">
              <w:rPr>
                <w:rFonts w:ascii="Calibri" w:eastAsia="Times New Roman" w:hAnsi="Calibri" w:cs="Calibri"/>
                <w:sz w:val="18"/>
                <w:szCs w:val="20"/>
                <w:lang w:eastAsia="en-AU"/>
              </w:rPr>
              <w:t>An increase in the number of education and training providers who have increased opportunities for young people to access trained mentors</w:t>
            </w:r>
          </w:p>
        </w:tc>
        <w:tc>
          <w:tcPr>
            <w:tcW w:w="1191" w:type="dxa"/>
            <w:tcBorders>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21</w:t>
            </w:r>
          </w:p>
        </w:tc>
        <w:tc>
          <w:tcPr>
            <w:tcW w:w="737" w:type="dxa"/>
            <w:tcBorders>
              <w:left w:val="single" w:sz="12" w:space="0" w:color="auto"/>
              <w:right w:val="single" w:sz="4" w:space="0" w:color="auto"/>
            </w:tcBorders>
            <w:shd w:val="clear" w:color="000000" w:fill="FFFFFF"/>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19%</w:t>
            </w:r>
          </w:p>
        </w:tc>
        <w:tc>
          <w:tcPr>
            <w:tcW w:w="826" w:type="dxa"/>
            <w:tcBorders>
              <w:left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14%</w:t>
            </w:r>
          </w:p>
        </w:tc>
        <w:tc>
          <w:tcPr>
            <w:tcW w:w="1094" w:type="dxa"/>
            <w:tcBorders>
              <w:left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38%</w:t>
            </w:r>
          </w:p>
        </w:tc>
        <w:tc>
          <w:tcPr>
            <w:tcW w:w="1199" w:type="dxa"/>
            <w:tcBorders>
              <w:left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24%</w:t>
            </w:r>
          </w:p>
        </w:tc>
        <w:tc>
          <w:tcPr>
            <w:tcW w:w="879" w:type="dxa"/>
            <w:tcBorders>
              <w:left w:val="single" w:sz="4" w:space="0" w:color="auto"/>
              <w:right w:val="single" w:sz="12"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5%</w:t>
            </w:r>
          </w:p>
        </w:tc>
      </w:tr>
      <w:tr w:rsidR="00C17E74" w:rsidRPr="00C17E74" w:rsidTr="0053283A">
        <w:trPr>
          <w:trHeight w:val="460"/>
        </w:trPr>
        <w:tc>
          <w:tcPr>
            <w:tcW w:w="4886" w:type="dxa"/>
            <w:tcBorders>
              <w:left w:val="single" w:sz="12" w:space="0" w:color="auto"/>
              <w:bottom w:val="single" w:sz="4" w:space="0" w:color="auto"/>
              <w:right w:val="single" w:sz="12" w:space="0" w:color="auto"/>
            </w:tcBorders>
            <w:shd w:val="clear" w:color="000000" w:fill="FFFFFF"/>
            <w:vAlign w:val="center"/>
            <w:hideMark/>
          </w:tcPr>
          <w:p w:rsidR="00C17E74" w:rsidRPr="00C17E74" w:rsidRDefault="00C17E74" w:rsidP="00C17E74">
            <w:pPr>
              <w:spacing w:line="240" w:lineRule="auto"/>
              <w:rPr>
                <w:rFonts w:ascii="Calibri" w:eastAsia="Times New Roman" w:hAnsi="Calibri" w:cs="Calibri"/>
                <w:sz w:val="18"/>
                <w:szCs w:val="20"/>
                <w:lang w:eastAsia="en-AU"/>
              </w:rPr>
            </w:pPr>
            <w:r w:rsidRPr="00C17E74">
              <w:rPr>
                <w:rFonts w:ascii="Calibri" w:eastAsia="Times New Roman" w:hAnsi="Calibri" w:cs="Calibri"/>
                <w:sz w:val="18"/>
                <w:szCs w:val="20"/>
                <w:lang w:eastAsia="en-AU"/>
              </w:rPr>
              <w:t>An increase in the number of education and training providers who have increased their career practitioner capacity</w:t>
            </w:r>
          </w:p>
        </w:tc>
        <w:tc>
          <w:tcPr>
            <w:tcW w:w="1191" w:type="dxa"/>
            <w:tcBorders>
              <w:left w:val="single" w:sz="12" w:space="0" w:color="auto"/>
              <w:bottom w:val="single" w:sz="4"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24</w:t>
            </w:r>
          </w:p>
        </w:tc>
        <w:tc>
          <w:tcPr>
            <w:tcW w:w="737" w:type="dxa"/>
            <w:tcBorders>
              <w:left w:val="single" w:sz="12" w:space="0" w:color="auto"/>
              <w:bottom w:val="single" w:sz="4" w:space="0" w:color="auto"/>
              <w:right w:val="single" w:sz="4" w:space="0" w:color="auto"/>
            </w:tcBorders>
            <w:shd w:val="clear" w:color="000000" w:fill="FFFFFF"/>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13%</w:t>
            </w:r>
          </w:p>
        </w:tc>
        <w:tc>
          <w:tcPr>
            <w:tcW w:w="826" w:type="dxa"/>
            <w:tcBorders>
              <w:left w:val="single" w:sz="4" w:space="0" w:color="auto"/>
              <w:bottom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25%</w:t>
            </w:r>
          </w:p>
        </w:tc>
        <w:tc>
          <w:tcPr>
            <w:tcW w:w="1094" w:type="dxa"/>
            <w:tcBorders>
              <w:left w:val="single" w:sz="4" w:space="0" w:color="auto"/>
              <w:bottom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25%</w:t>
            </w:r>
          </w:p>
        </w:tc>
        <w:tc>
          <w:tcPr>
            <w:tcW w:w="1199" w:type="dxa"/>
            <w:tcBorders>
              <w:left w:val="single" w:sz="4" w:space="0" w:color="auto"/>
              <w:bottom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0%</w:t>
            </w:r>
          </w:p>
        </w:tc>
        <w:tc>
          <w:tcPr>
            <w:tcW w:w="879" w:type="dxa"/>
            <w:tcBorders>
              <w:left w:val="single" w:sz="4" w:space="0" w:color="auto"/>
              <w:bottom w:val="single" w:sz="4" w:space="0" w:color="auto"/>
              <w:right w:val="single" w:sz="12"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38%</w:t>
            </w:r>
          </w:p>
        </w:tc>
      </w:tr>
      <w:tr w:rsidR="00C17E74" w:rsidRPr="00C17E74" w:rsidTr="0053283A">
        <w:trPr>
          <w:trHeight w:val="460"/>
        </w:trPr>
        <w:tc>
          <w:tcPr>
            <w:tcW w:w="4886" w:type="dxa"/>
            <w:tcBorders>
              <w:left w:val="single" w:sz="12" w:space="0" w:color="auto"/>
              <w:bottom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rPr>
                <w:rFonts w:ascii="Calibri" w:eastAsia="Times New Roman" w:hAnsi="Calibri" w:cs="Calibri"/>
                <w:sz w:val="18"/>
                <w:szCs w:val="20"/>
                <w:lang w:eastAsia="en-AU"/>
              </w:rPr>
            </w:pPr>
            <w:r w:rsidRPr="00C17E74">
              <w:rPr>
                <w:rFonts w:ascii="Calibri" w:eastAsia="Times New Roman" w:hAnsi="Calibri" w:cs="Calibri"/>
                <w:sz w:val="18"/>
                <w:szCs w:val="20"/>
                <w:lang w:eastAsia="en-AU"/>
              </w:rPr>
              <w:t>Opportunities for meaningful learning as a result of education and training providers partnering with other stakeholders</w:t>
            </w:r>
          </w:p>
        </w:tc>
        <w:tc>
          <w:tcPr>
            <w:tcW w:w="1191" w:type="dxa"/>
            <w:tcBorders>
              <w:left w:val="single" w:sz="12" w:space="0" w:color="auto"/>
              <w:bottom w:val="single" w:sz="12" w:space="0" w:color="auto"/>
              <w:right w:val="single" w:sz="12" w:space="0" w:color="auto"/>
            </w:tcBorders>
            <w:shd w:val="clear" w:color="auto" w:fill="B6DDE8" w:themeFill="accent5" w:themeFillTint="66"/>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132</w:t>
            </w:r>
          </w:p>
        </w:tc>
        <w:tc>
          <w:tcPr>
            <w:tcW w:w="737" w:type="dxa"/>
            <w:tcBorders>
              <w:left w:val="single" w:sz="12" w:space="0" w:color="auto"/>
              <w:bottom w:val="single" w:sz="12" w:space="0" w:color="auto"/>
              <w:right w:val="single" w:sz="4" w:space="0" w:color="auto"/>
            </w:tcBorders>
            <w:shd w:val="clear" w:color="000000"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14%</w:t>
            </w:r>
          </w:p>
        </w:tc>
        <w:tc>
          <w:tcPr>
            <w:tcW w:w="826" w:type="dxa"/>
            <w:tcBorders>
              <w:left w:val="single" w:sz="4" w:space="0" w:color="auto"/>
              <w:bottom w:val="single" w:sz="12" w:space="0" w:color="auto"/>
              <w:right w:val="single" w:sz="4" w:space="0" w:color="auto"/>
            </w:tcBorders>
            <w:shd w:val="clear" w:color="000000" w:fill="DAEEF3" w:themeFill="accent5" w:themeFillTint="33"/>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14%</w:t>
            </w:r>
          </w:p>
        </w:tc>
        <w:tc>
          <w:tcPr>
            <w:tcW w:w="1094" w:type="dxa"/>
            <w:tcBorders>
              <w:left w:val="single" w:sz="4" w:space="0" w:color="auto"/>
              <w:bottom w:val="single" w:sz="12" w:space="0" w:color="auto"/>
              <w:right w:val="single" w:sz="4" w:space="0" w:color="auto"/>
            </w:tcBorders>
            <w:shd w:val="clear" w:color="000000" w:fill="DAEEF3" w:themeFill="accent5" w:themeFillTint="33"/>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17%</w:t>
            </w:r>
          </w:p>
        </w:tc>
        <w:tc>
          <w:tcPr>
            <w:tcW w:w="1199" w:type="dxa"/>
            <w:tcBorders>
              <w:left w:val="single" w:sz="4" w:space="0" w:color="auto"/>
              <w:bottom w:val="single" w:sz="12" w:space="0" w:color="auto"/>
              <w:right w:val="single" w:sz="4" w:space="0" w:color="auto"/>
            </w:tcBorders>
            <w:shd w:val="clear" w:color="000000" w:fill="DAEEF3" w:themeFill="accent5" w:themeFillTint="33"/>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27%</w:t>
            </w:r>
          </w:p>
        </w:tc>
        <w:tc>
          <w:tcPr>
            <w:tcW w:w="879" w:type="dxa"/>
            <w:tcBorders>
              <w:left w:val="single" w:sz="4" w:space="0" w:color="auto"/>
              <w:bottom w:val="single" w:sz="12" w:space="0" w:color="auto"/>
              <w:right w:val="single" w:sz="12" w:space="0" w:color="auto"/>
            </w:tcBorders>
            <w:shd w:val="clear" w:color="000000" w:fill="DAEEF3" w:themeFill="accent5" w:themeFillTint="33"/>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30%</w:t>
            </w:r>
          </w:p>
        </w:tc>
      </w:tr>
    </w:tbl>
    <w:p w:rsidR="00C17E74" w:rsidRPr="00C17E74" w:rsidRDefault="00C17E74" w:rsidP="00C17E74">
      <w:pPr>
        <w:spacing w:before="120" w:after="120" w:line="240" w:lineRule="auto"/>
        <w:ind w:left="-284" w:right="34"/>
        <w:rPr>
          <w:rFonts w:ascii="Calibri" w:eastAsia="Times New Roman" w:hAnsi="Calibri" w:cstheme="minorHAnsi"/>
          <w:sz w:val="20"/>
          <w:lang w:val="en-US"/>
        </w:rPr>
        <w:sectPr w:rsidR="00C17E74" w:rsidRPr="00C17E74" w:rsidSect="0053283A">
          <w:pgSz w:w="11907" w:h="16839" w:code="9"/>
          <w:pgMar w:top="680" w:right="1134" w:bottom="680" w:left="1134" w:header="709" w:footer="0" w:gutter="0"/>
          <w:cols w:num="2" w:space="708"/>
          <w:docGrid w:linePitch="360"/>
        </w:sectPr>
      </w:pPr>
    </w:p>
    <w:p w:rsidR="00C17E74" w:rsidRPr="00C17E74" w:rsidRDefault="00C17E74" w:rsidP="00C17E74">
      <w:pPr>
        <w:spacing w:before="120" w:after="120" w:line="240" w:lineRule="auto"/>
        <w:ind w:left="-284" w:right="34"/>
        <w:rPr>
          <w:rFonts w:ascii="Calibri" w:eastAsia="Times New Roman" w:hAnsi="Calibri" w:cstheme="minorHAnsi"/>
          <w:lang w:val="en-US"/>
        </w:rPr>
      </w:pPr>
    </w:p>
    <w:p w:rsidR="00C17E74" w:rsidRPr="00C17E74" w:rsidRDefault="00C17E74" w:rsidP="00C17E74">
      <w:pPr>
        <w:spacing w:before="120" w:after="120" w:line="240" w:lineRule="auto"/>
        <w:ind w:left="-284" w:right="34"/>
        <w:rPr>
          <w:rFonts w:ascii="Calibri" w:eastAsia="Times New Roman" w:hAnsi="Calibri" w:cstheme="minorHAnsi"/>
          <w:lang w:val="en-US"/>
        </w:rPr>
      </w:pPr>
      <w:r w:rsidRPr="00C17E74">
        <w:rPr>
          <w:rFonts w:ascii="Calibri" w:eastAsia="Times New Roman" w:hAnsi="Calibri" w:cstheme="minorHAnsi"/>
          <w:lang w:val="en-US"/>
        </w:rPr>
        <w:t>The data above shows that</w:t>
      </w:r>
    </w:p>
    <w:p w:rsidR="00C17E74" w:rsidRPr="00C17E74" w:rsidRDefault="00C17E74" w:rsidP="00C17E74">
      <w:pPr>
        <w:numPr>
          <w:ilvl w:val="0"/>
          <w:numId w:val="43"/>
        </w:numPr>
        <w:spacing w:line="240" w:lineRule="auto"/>
        <w:ind w:left="284" w:hanging="426"/>
        <w:rPr>
          <w:rFonts w:ascii="Calibri" w:eastAsia="Times New Roman" w:hAnsi="Calibri" w:cs="Calibri"/>
        </w:rPr>
      </w:pPr>
      <w:r w:rsidRPr="00C17E74">
        <w:rPr>
          <w:rFonts w:ascii="Calibri" w:eastAsia="Times New Roman" w:hAnsi="Calibri" w:cs="Calibri"/>
        </w:rPr>
        <w:t>Providers reported 48% of partnerships that have been evaluated have achieved or made considerable progress against this outcome</w:t>
      </w:r>
    </w:p>
    <w:p w:rsidR="00C17E74" w:rsidRPr="00C17E74" w:rsidRDefault="00C17E74" w:rsidP="00C17E74">
      <w:pPr>
        <w:numPr>
          <w:ilvl w:val="0"/>
          <w:numId w:val="43"/>
        </w:numPr>
        <w:spacing w:line="240" w:lineRule="auto"/>
        <w:ind w:left="284" w:hanging="426"/>
        <w:rPr>
          <w:rFonts w:ascii="Calibri" w:eastAsia="Times New Roman" w:hAnsi="Calibri" w:cs="Calibri"/>
        </w:rPr>
      </w:pPr>
      <w:r w:rsidRPr="00C17E74">
        <w:rPr>
          <w:rFonts w:ascii="Calibri" w:eastAsia="Times New Roman" w:hAnsi="Calibri" w:cs="Calibri"/>
        </w:rPr>
        <w:t>Providers reported 31% of partnerships that have been evaluated have made limited or some progress against this outcome</w:t>
      </w:r>
    </w:p>
    <w:p w:rsidR="00C17E74" w:rsidRPr="00C17E74" w:rsidRDefault="00C17E74" w:rsidP="00C17E74">
      <w:pPr>
        <w:numPr>
          <w:ilvl w:val="0"/>
          <w:numId w:val="43"/>
        </w:numPr>
        <w:spacing w:line="240" w:lineRule="auto"/>
        <w:ind w:left="284" w:hanging="426"/>
        <w:rPr>
          <w:rFonts w:ascii="Calibri" w:eastAsia="Times New Roman" w:hAnsi="Calibri" w:cs="Calibri"/>
        </w:rPr>
        <w:sectPr w:rsidR="00C17E74" w:rsidRPr="00C17E74" w:rsidSect="0053283A">
          <w:type w:val="continuous"/>
          <w:pgSz w:w="11907" w:h="16839" w:code="9"/>
          <w:pgMar w:top="680" w:right="1134" w:bottom="680" w:left="1134" w:header="709" w:footer="0" w:gutter="0"/>
          <w:cols w:space="708"/>
          <w:docGrid w:linePitch="360"/>
        </w:sectPr>
      </w:pPr>
      <w:r w:rsidRPr="00C17E74">
        <w:rPr>
          <w:rFonts w:ascii="Calibri" w:eastAsia="Times New Roman" w:hAnsi="Calibri" w:cs="Calibri"/>
        </w:rPr>
        <w:t>There are 132 partnerships (47% of the total number of partnerships in SA) that have made progress towards providing ‘</w:t>
      </w:r>
      <w:r w:rsidRPr="00C17E74">
        <w:rPr>
          <w:rFonts w:ascii="Calibri" w:eastAsia="Times New Roman" w:hAnsi="Calibri" w:cs="Calibri"/>
          <w:i/>
        </w:rPr>
        <w:t>opportunities for meaningful learning as a result of education and training providers partnering with other stakeholders</w:t>
      </w:r>
      <w:r w:rsidRPr="00C17E74">
        <w:rPr>
          <w:rFonts w:ascii="Calibri" w:eastAsia="Times New Roman" w:hAnsi="Calibri" w:cs="Calibri"/>
        </w:rPr>
        <w:t xml:space="preserve">’. Providers reported that 57% of these partnerships have achieved or made considerable progress against this </w:t>
      </w:r>
      <w:proofErr w:type="spellStart"/>
      <w:r w:rsidRPr="00C17E74">
        <w:rPr>
          <w:rFonts w:ascii="Calibri" w:eastAsia="Times New Roman" w:hAnsi="Calibri" w:cs="Calibri"/>
        </w:rPr>
        <w:t>KPM</w:t>
      </w:r>
      <w:proofErr w:type="spellEnd"/>
      <w:r w:rsidRPr="00C17E74">
        <w:rPr>
          <w:rFonts w:ascii="Calibri" w:eastAsia="Times New Roman" w:hAnsi="Calibri" w:cs="Calibri"/>
        </w:rPr>
        <w:t>.</w:t>
      </w:r>
    </w:p>
    <w:p w:rsidR="00DC0E7D" w:rsidRDefault="00DC0E7D">
      <w:pPr>
        <w:spacing w:after="200"/>
        <w:rPr>
          <w:rFonts w:ascii="Calibri" w:eastAsia="Times New Roman" w:hAnsi="Calibri" w:cs="Calibri"/>
          <w:sz w:val="20"/>
          <w:szCs w:val="20"/>
        </w:rPr>
      </w:pPr>
      <w:bookmarkStart w:id="117" w:name="_Toc355862716"/>
      <w:r>
        <w:rPr>
          <w:rFonts w:ascii="Calibri" w:eastAsia="Times New Roman" w:hAnsi="Calibri" w:cs="Calibri"/>
          <w:sz w:val="20"/>
          <w:szCs w:val="20"/>
        </w:rPr>
        <w:lastRenderedPageBreak/>
        <w:br w:type="page"/>
      </w:r>
    </w:p>
    <w:p w:rsidR="00C17E74" w:rsidRPr="00C17E74" w:rsidRDefault="00C17E74" w:rsidP="00C17E74">
      <w:pPr>
        <w:numPr>
          <w:ilvl w:val="0"/>
          <w:numId w:val="43"/>
        </w:numPr>
        <w:spacing w:line="240" w:lineRule="auto"/>
        <w:ind w:left="-142" w:hanging="215"/>
        <w:rPr>
          <w:rFonts w:ascii="Calibri" w:eastAsia="Times New Roman" w:hAnsi="Calibri" w:cs="Calibri"/>
          <w:sz w:val="20"/>
          <w:szCs w:val="20"/>
        </w:rPr>
        <w:sectPr w:rsidR="00C17E74" w:rsidRPr="00C17E74" w:rsidSect="0053283A">
          <w:type w:val="continuous"/>
          <w:pgSz w:w="11907" w:h="16839" w:code="9"/>
          <w:pgMar w:top="680" w:right="1134" w:bottom="680" w:left="1134" w:header="709" w:footer="0" w:gutter="0"/>
          <w:cols w:num="2" w:space="708"/>
          <w:docGrid w:linePitch="360"/>
        </w:sectPr>
      </w:pPr>
    </w:p>
    <w:tbl>
      <w:tblPr>
        <w:tblpPr w:leftFromText="180" w:rightFromText="180" w:vertAnchor="text" w:horzAnchor="margin" w:tblpXSpec="center" w:tblpY="89"/>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67"/>
        <w:gridCol w:w="1184"/>
        <w:gridCol w:w="737"/>
        <w:gridCol w:w="826"/>
        <w:gridCol w:w="1094"/>
        <w:gridCol w:w="1199"/>
        <w:gridCol w:w="879"/>
      </w:tblGrid>
      <w:tr w:rsidR="00C17E74" w:rsidRPr="00C17E74" w:rsidTr="0053283A">
        <w:trPr>
          <w:trHeight w:val="419"/>
        </w:trPr>
        <w:tc>
          <w:tcPr>
            <w:tcW w:w="4867" w:type="dxa"/>
            <w:tcBorders>
              <w:top w:val="single" w:sz="12" w:space="0" w:color="auto"/>
              <w:left w:val="single" w:sz="12" w:space="0" w:color="auto"/>
              <w:right w:val="single" w:sz="12" w:space="0" w:color="auto"/>
            </w:tcBorders>
            <w:shd w:val="clear" w:color="auto" w:fill="92CDDC" w:themeFill="accent5" w:themeFillTint="99"/>
            <w:vAlign w:val="center"/>
            <w:hideMark/>
          </w:tcPr>
          <w:p w:rsidR="00C17E74" w:rsidRPr="00C17E74" w:rsidRDefault="00C17E74" w:rsidP="00C17E74">
            <w:pPr>
              <w:spacing w:line="240" w:lineRule="auto"/>
              <w:jc w:val="center"/>
              <w:rPr>
                <w:rFonts w:ascii="Arial" w:eastAsia="Times New Roman" w:hAnsi="Arial" w:cs="Arial"/>
                <w:b/>
                <w:bCs/>
                <w:sz w:val="20"/>
                <w:lang w:eastAsia="en-AU"/>
              </w:rPr>
            </w:pPr>
            <w:bookmarkStart w:id="118" w:name="_Toc355363245"/>
            <w:bookmarkEnd w:id="117"/>
            <w:r w:rsidRPr="00C17E74">
              <w:rPr>
                <w:rFonts w:ascii="Calibri" w:eastAsia="Times New Roman" w:hAnsi="Calibri" w:cs="Calibri"/>
                <w:b/>
                <w:bCs/>
                <w:sz w:val="20"/>
                <w:lang w:eastAsia="en-AU"/>
              </w:rPr>
              <w:lastRenderedPageBreak/>
              <w:t xml:space="preserve">Table </w:t>
            </w:r>
            <w:proofErr w:type="spellStart"/>
            <w:r w:rsidRPr="00C17E74">
              <w:rPr>
                <w:rFonts w:ascii="Calibri" w:eastAsia="Times New Roman" w:hAnsi="Calibri" w:cs="Calibri"/>
                <w:b/>
                <w:bCs/>
                <w:sz w:val="20"/>
                <w:lang w:eastAsia="en-AU"/>
              </w:rPr>
              <w:t>I3</w:t>
            </w:r>
            <w:proofErr w:type="spellEnd"/>
            <w:r w:rsidRPr="00C17E74">
              <w:rPr>
                <w:rFonts w:ascii="Calibri" w:eastAsia="Times New Roman" w:hAnsi="Calibri" w:cs="Calibri"/>
                <w:b/>
                <w:bCs/>
                <w:sz w:val="20"/>
                <w:lang w:eastAsia="en-AU"/>
              </w:rPr>
              <w:t xml:space="preserve"> – Outcome – Business &amp; Industry</w:t>
            </w:r>
            <w:bookmarkEnd w:id="118"/>
          </w:p>
        </w:tc>
        <w:tc>
          <w:tcPr>
            <w:tcW w:w="1184" w:type="dxa"/>
            <w:tcBorders>
              <w:top w:val="single" w:sz="12" w:space="0" w:color="auto"/>
              <w:left w:val="single" w:sz="12" w:space="0" w:color="auto"/>
              <w:right w:val="single" w:sz="12" w:space="0" w:color="auto"/>
            </w:tcBorders>
            <w:shd w:val="clear" w:color="auto" w:fill="92CDDC" w:themeFill="accent5" w:themeFillTint="99"/>
            <w:vAlign w:val="center"/>
            <w:hideMark/>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szCs w:val="20"/>
                <w:lang w:eastAsia="en-AU"/>
              </w:rPr>
              <w:t xml:space="preserve">Total </w:t>
            </w:r>
            <w:proofErr w:type="spellStart"/>
            <w:r w:rsidRPr="00C17E74">
              <w:rPr>
                <w:rFonts w:ascii="Calibri" w:eastAsia="Times New Roman" w:hAnsi="Calibri" w:cs="Calibri"/>
                <w:b/>
                <w:bCs/>
                <w:sz w:val="20"/>
                <w:szCs w:val="20"/>
                <w:lang w:eastAsia="en-AU"/>
              </w:rPr>
              <w:t>KPM</w:t>
            </w:r>
            <w:proofErr w:type="spellEnd"/>
            <w:r w:rsidRPr="00C17E74">
              <w:rPr>
                <w:rFonts w:ascii="Calibri" w:eastAsia="Times New Roman" w:hAnsi="Calibri" w:cs="Calibri"/>
                <w:b/>
                <w:bCs/>
                <w:sz w:val="20"/>
                <w:szCs w:val="20"/>
                <w:lang w:eastAsia="en-AU"/>
              </w:rPr>
              <w:t xml:space="preserve"> Evaluations</w:t>
            </w:r>
          </w:p>
        </w:tc>
        <w:tc>
          <w:tcPr>
            <w:tcW w:w="737" w:type="dxa"/>
            <w:tcBorders>
              <w:top w:val="single" w:sz="12" w:space="0" w:color="auto"/>
              <w:left w:val="single" w:sz="12" w:space="0" w:color="auto"/>
              <w:right w:val="single" w:sz="4" w:space="0" w:color="auto"/>
            </w:tcBorders>
            <w:shd w:val="clear" w:color="auto" w:fill="92CDDC" w:themeFill="accent5" w:themeFillTint="99"/>
            <w:vAlign w:val="center"/>
            <w:hideMark/>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szCs w:val="20"/>
                <w:lang w:eastAsia="en-AU"/>
              </w:rPr>
              <w:t>1 – Limited</w:t>
            </w:r>
          </w:p>
        </w:tc>
        <w:tc>
          <w:tcPr>
            <w:tcW w:w="826" w:type="dxa"/>
            <w:tcBorders>
              <w:top w:val="single" w:sz="12" w:space="0" w:color="auto"/>
              <w:left w:val="single" w:sz="4" w:space="0" w:color="auto"/>
              <w:right w:val="single" w:sz="4"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szCs w:val="20"/>
                <w:lang w:eastAsia="en-AU"/>
              </w:rPr>
              <w:t>2 – Some Progress</w:t>
            </w:r>
          </w:p>
        </w:tc>
        <w:tc>
          <w:tcPr>
            <w:tcW w:w="1094" w:type="dxa"/>
            <w:tcBorders>
              <w:top w:val="single" w:sz="12" w:space="0" w:color="auto"/>
              <w:left w:val="single" w:sz="4" w:space="0" w:color="auto"/>
              <w:right w:val="single" w:sz="4"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szCs w:val="20"/>
                <w:lang w:eastAsia="en-AU"/>
              </w:rPr>
              <w:t xml:space="preserve">3 – Satisfactory </w:t>
            </w:r>
          </w:p>
        </w:tc>
        <w:tc>
          <w:tcPr>
            <w:tcW w:w="1199" w:type="dxa"/>
            <w:tcBorders>
              <w:top w:val="single" w:sz="12" w:space="0" w:color="auto"/>
              <w:left w:val="single" w:sz="4" w:space="0" w:color="auto"/>
              <w:right w:val="single" w:sz="4"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szCs w:val="20"/>
                <w:lang w:eastAsia="en-AU"/>
              </w:rPr>
              <w:t>4 – Considerable Progress</w:t>
            </w:r>
          </w:p>
        </w:tc>
        <w:tc>
          <w:tcPr>
            <w:tcW w:w="879" w:type="dxa"/>
            <w:tcBorders>
              <w:top w:val="single" w:sz="12" w:space="0" w:color="auto"/>
              <w:left w:val="single" w:sz="4" w:space="0" w:color="auto"/>
              <w:right w:val="single" w:sz="12"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szCs w:val="20"/>
                <w:lang w:eastAsia="en-AU"/>
              </w:rPr>
              <w:t>5 – Achieved</w:t>
            </w:r>
          </w:p>
        </w:tc>
      </w:tr>
      <w:tr w:rsidR="00C17E74" w:rsidRPr="00C17E74" w:rsidTr="0053283A">
        <w:trPr>
          <w:trHeight w:val="868"/>
        </w:trPr>
        <w:tc>
          <w:tcPr>
            <w:tcW w:w="4867" w:type="dxa"/>
            <w:tcBorders>
              <w:top w:val="single" w:sz="12" w:space="0" w:color="auto"/>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rPr>
                <w:rFonts w:ascii="Calibri" w:eastAsia="Times New Roman" w:hAnsi="Calibri" w:cs="Calibri"/>
                <w:sz w:val="20"/>
                <w:szCs w:val="20"/>
                <w:lang w:eastAsia="en-AU"/>
              </w:rPr>
            </w:pPr>
            <w:r w:rsidRPr="00C17E74">
              <w:rPr>
                <w:rFonts w:ascii="Calibri" w:eastAsia="Times New Roman" w:hAnsi="Calibri" w:cs="Calibri"/>
                <w:bCs/>
                <w:sz w:val="20"/>
                <w:szCs w:val="20"/>
                <w:lang w:eastAsia="en-AU"/>
              </w:rPr>
              <w:t>Business and industry</w:t>
            </w:r>
            <w:r w:rsidRPr="00C17E74">
              <w:rPr>
                <w:rFonts w:ascii="Calibri" w:eastAsia="Times New Roman" w:hAnsi="Calibri" w:cs="Calibri"/>
                <w:sz w:val="20"/>
                <w:szCs w:val="20"/>
                <w:lang w:eastAsia="en-AU"/>
              </w:rPr>
              <w:t xml:space="preserve"> actively engaged in sustainable partnerships that support the development of young people, contribute to the skills and knowledge of the future workforce and improve young people’s education and transition outcomes</w:t>
            </w:r>
            <w:r w:rsidRPr="00C17E74">
              <w:rPr>
                <w:rFonts w:ascii="Calibri" w:eastAsia="Times New Roman" w:hAnsi="Calibri" w:cs="Calibri"/>
                <w:iCs/>
                <w:sz w:val="20"/>
                <w:szCs w:val="20"/>
                <w:lang w:eastAsia="en-AU"/>
              </w:rPr>
              <w:t>.</w:t>
            </w:r>
          </w:p>
        </w:tc>
        <w:tc>
          <w:tcPr>
            <w:tcW w:w="1184" w:type="dxa"/>
            <w:tcBorders>
              <w:top w:val="single" w:sz="12" w:space="0" w:color="auto"/>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137</w:t>
            </w:r>
          </w:p>
        </w:tc>
        <w:tc>
          <w:tcPr>
            <w:tcW w:w="737" w:type="dxa"/>
            <w:tcBorders>
              <w:top w:val="single" w:sz="12" w:space="0" w:color="auto"/>
              <w:left w:val="single" w:sz="12" w:space="0" w:color="auto"/>
              <w:right w:val="single" w:sz="4"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33</w:t>
            </w:r>
          </w:p>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(24%)</w:t>
            </w:r>
          </w:p>
        </w:tc>
        <w:tc>
          <w:tcPr>
            <w:tcW w:w="826" w:type="dxa"/>
            <w:tcBorders>
              <w:top w:val="single" w:sz="12" w:space="0" w:color="auto"/>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25</w:t>
            </w:r>
          </w:p>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(18%)</w:t>
            </w:r>
          </w:p>
        </w:tc>
        <w:tc>
          <w:tcPr>
            <w:tcW w:w="1094" w:type="dxa"/>
            <w:tcBorders>
              <w:top w:val="single" w:sz="12" w:space="0" w:color="auto"/>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33</w:t>
            </w:r>
          </w:p>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(24%)</w:t>
            </w:r>
          </w:p>
        </w:tc>
        <w:tc>
          <w:tcPr>
            <w:tcW w:w="1199" w:type="dxa"/>
            <w:tcBorders>
              <w:top w:val="single" w:sz="12" w:space="0" w:color="auto"/>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28</w:t>
            </w:r>
          </w:p>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(20%)</w:t>
            </w:r>
          </w:p>
        </w:tc>
        <w:tc>
          <w:tcPr>
            <w:tcW w:w="879" w:type="dxa"/>
            <w:tcBorders>
              <w:top w:val="single" w:sz="12" w:space="0" w:color="auto"/>
              <w:left w:val="single" w:sz="4" w:space="0" w:color="auto"/>
              <w:right w:val="single" w:sz="12"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18</w:t>
            </w:r>
          </w:p>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(13%)</w:t>
            </w:r>
          </w:p>
        </w:tc>
      </w:tr>
      <w:tr w:rsidR="00C17E74" w:rsidRPr="00C17E74" w:rsidTr="0053283A">
        <w:trPr>
          <w:trHeight w:val="315"/>
        </w:trPr>
        <w:tc>
          <w:tcPr>
            <w:tcW w:w="10786" w:type="dxa"/>
            <w:gridSpan w:val="7"/>
            <w:tcBorders>
              <w:top w:val="single" w:sz="12" w:space="0" w:color="auto"/>
              <w:left w:val="nil"/>
              <w:right w:val="nil"/>
            </w:tcBorders>
            <w:shd w:val="clear" w:color="000000" w:fill="FFFFFF"/>
            <w:vAlign w:val="center"/>
            <w:hideMark/>
          </w:tcPr>
          <w:p w:rsidR="00C17E74" w:rsidRPr="00C17E74" w:rsidRDefault="00C17E74" w:rsidP="00C17E74">
            <w:pPr>
              <w:spacing w:line="240" w:lineRule="auto"/>
              <w:rPr>
                <w:rFonts w:ascii="Calibri" w:eastAsia="Times New Roman" w:hAnsi="Calibri" w:cs="Calibri"/>
                <w:color w:val="000000"/>
                <w:lang w:eastAsia="en-AU"/>
              </w:rPr>
            </w:pPr>
          </w:p>
        </w:tc>
      </w:tr>
      <w:tr w:rsidR="00C17E74" w:rsidRPr="00C17E74" w:rsidTr="0053283A">
        <w:trPr>
          <w:trHeight w:val="439"/>
        </w:trPr>
        <w:tc>
          <w:tcPr>
            <w:tcW w:w="4867" w:type="dxa"/>
            <w:tcBorders>
              <w:left w:val="single" w:sz="12"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b/>
                <w:bCs/>
                <w:sz w:val="18"/>
                <w:lang w:eastAsia="en-AU"/>
              </w:rPr>
            </w:pPr>
            <w:r w:rsidRPr="00C17E74">
              <w:rPr>
                <w:rFonts w:ascii="Calibri" w:eastAsia="Times New Roman" w:hAnsi="Calibri" w:cs="Calibri"/>
                <w:b/>
                <w:bCs/>
                <w:sz w:val="20"/>
                <w:lang w:eastAsia="en-AU"/>
              </w:rPr>
              <w:t xml:space="preserve">Table </w:t>
            </w:r>
            <w:proofErr w:type="spellStart"/>
            <w:r w:rsidRPr="00C17E74">
              <w:rPr>
                <w:rFonts w:ascii="Calibri" w:eastAsia="Times New Roman" w:hAnsi="Calibri" w:cs="Calibri"/>
                <w:b/>
                <w:bCs/>
                <w:sz w:val="20"/>
                <w:lang w:eastAsia="en-AU"/>
              </w:rPr>
              <w:t>I3</w:t>
            </w:r>
            <w:proofErr w:type="spellEnd"/>
            <w:r w:rsidRPr="00C17E74">
              <w:rPr>
                <w:rFonts w:ascii="Calibri" w:eastAsia="Times New Roman" w:hAnsi="Calibri" w:cs="Calibri"/>
                <w:b/>
                <w:bCs/>
                <w:sz w:val="20"/>
                <w:lang w:eastAsia="en-AU"/>
              </w:rPr>
              <w:t xml:space="preserve">  continued – Outcome – Business &amp; Industry (Breakdown of the  </w:t>
            </w:r>
            <w:proofErr w:type="spellStart"/>
            <w:r w:rsidRPr="00C17E74">
              <w:rPr>
                <w:rFonts w:ascii="Calibri" w:eastAsia="Times New Roman" w:hAnsi="Calibri" w:cs="Calibri"/>
                <w:b/>
                <w:bCs/>
                <w:sz w:val="20"/>
                <w:lang w:eastAsia="en-AU"/>
              </w:rPr>
              <w:t>KPMs</w:t>
            </w:r>
            <w:proofErr w:type="spellEnd"/>
            <w:r w:rsidRPr="00C17E74">
              <w:rPr>
                <w:rFonts w:ascii="Calibri" w:eastAsia="Times New Roman" w:hAnsi="Calibri" w:cs="Calibri"/>
                <w:b/>
                <w:bCs/>
                <w:sz w:val="20"/>
                <w:lang w:eastAsia="en-AU"/>
              </w:rPr>
              <w:t xml:space="preserve"> which contribute to the outcome above)</w:t>
            </w:r>
          </w:p>
        </w:tc>
        <w:tc>
          <w:tcPr>
            <w:tcW w:w="1184" w:type="dxa"/>
            <w:tcBorders>
              <w:left w:val="single" w:sz="12" w:space="0" w:color="auto"/>
              <w:right w:val="single" w:sz="12"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szCs w:val="20"/>
                <w:lang w:eastAsia="en-AU"/>
              </w:rPr>
              <w:t xml:space="preserve">Total </w:t>
            </w:r>
            <w:proofErr w:type="spellStart"/>
            <w:r w:rsidRPr="00C17E74">
              <w:rPr>
                <w:rFonts w:ascii="Calibri" w:eastAsia="Times New Roman" w:hAnsi="Calibri" w:cs="Calibri"/>
                <w:b/>
                <w:bCs/>
                <w:sz w:val="20"/>
                <w:szCs w:val="20"/>
                <w:lang w:eastAsia="en-AU"/>
              </w:rPr>
              <w:t>KPM</w:t>
            </w:r>
            <w:proofErr w:type="spellEnd"/>
            <w:r w:rsidRPr="00C17E74">
              <w:rPr>
                <w:rFonts w:ascii="Calibri" w:eastAsia="Times New Roman" w:hAnsi="Calibri" w:cs="Calibri"/>
                <w:b/>
                <w:bCs/>
                <w:sz w:val="20"/>
                <w:szCs w:val="20"/>
                <w:lang w:eastAsia="en-AU"/>
              </w:rPr>
              <w:t xml:space="preserve"> Evaluations</w:t>
            </w:r>
          </w:p>
        </w:tc>
        <w:tc>
          <w:tcPr>
            <w:tcW w:w="737" w:type="dxa"/>
            <w:tcBorders>
              <w:left w:val="single" w:sz="12"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szCs w:val="20"/>
                <w:lang w:eastAsia="en-AU"/>
              </w:rPr>
              <w:t>1 – Limited</w:t>
            </w:r>
          </w:p>
        </w:tc>
        <w:tc>
          <w:tcPr>
            <w:tcW w:w="826" w:type="dxa"/>
            <w:tcBorders>
              <w:left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szCs w:val="20"/>
                <w:lang w:eastAsia="en-AU"/>
              </w:rPr>
              <w:t>2 – Some Progress</w:t>
            </w:r>
          </w:p>
        </w:tc>
        <w:tc>
          <w:tcPr>
            <w:tcW w:w="1094" w:type="dxa"/>
            <w:tcBorders>
              <w:left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szCs w:val="20"/>
                <w:lang w:eastAsia="en-AU"/>
              </w:rPr>
              <w:t xml:space="preserve">3 – Satisfactory </w:t>
            </w:r>
          </w:p>
        </w:tc>
        <w:tc>
          <w:tcPr>
            <w:tcW w:w="1199" w:type="dxa"/>
            <w:tcBorders>
              <w:left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szCs w:val="20"/>
                <w:lang w:eastAsia="en-AU"/>
              </w:rPr>
              <w:t>4 – Considerable Progress</w:t>
            </w:r>
          </w:p>
        </w:tc>
        <w:tc>
          <w:tcPr>
            <w:tcW w:w="879" w:type="dxa"/>
            <w:tcBorders>
              <w:left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szCs w:val="20"/>
                <w:lang w:eastAsia="en-AU"/>
              </w:rPr>
              <w:t>5 – Achieved</w:t>
            </w:r>
          </w:p>
        </w:tc>
      </w:tr>
      <w:tr w:rsidR="00C17E74" w:rsidRPr="00C17E74" w:rsidTr="0053283A">
        <w:trPr>
          <w:trHeight w:val="439"/>
        </w:trPr>
        <w:tc>
          <w:tcPr>
            <w:tcW w:w="4867" w:type="dxa"/>
            <w:tcBorders>
              <w:left w:val="single" w:sz="12" w:space="0" w:color="auto"/>
              <w:right w:val="single" w:sz="12" w:space="0" w:color="auto"/>
            </w:tcBorders>
            <w:shd w:val="clear" w:color="auto" w:fill="auto"/>
            <w:vAlign w:val="center"/>
            <w:hideMark/>
          </w:tcPr>
          <w:p w:rsidR="00C17E74" w:rsidRPr="00C17E74" w:rsidRDefault="00C17E74" w:rsidP="00C17E74">
            <w:pPr>
              <w:spacing w:line="240" w:lineRule="auto"/>
              <w:rPr>
                <w:rFonts w:ascii="Calibri" w:eastAsia="Times New Roman" w:hAnsi="Calibri" w:cs="Calibri"/>
                <w:sz w:val="18"/>
                <w:szCs w:val="20"/>
                <w:lang w:eastAsia="en-AU"/>
              </w:rPr>
            </w:pPr>
            <w:r w:rsidRPr="00C17E74">
              <w:rPr>
                <w:rFonts w:ascii="Calibri" w:eastAsia="Times New Roman" w:hAnsi="Calibri" w:cs="Calibri"/>
                <w:sz w:val="18"/>
                <w:szCs w:val="20"/>
                <w:lang w:eastAsia="en-AU"/>
              </w:rPr>
              <w:t>An increase in the number of businesses providing mentoring/coaching opportunities for young people</w:t>
            </w:r>
          </w:p>
        </w:tc>
        <w:tc>
          <w:tcPr>
            <w:tcW w:w="1184" w:type="dxa"/>
            <w:tcBorders>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37</w:t>
            </w:r>
          </w:p>
        </w:tc>
        <w:tc>
          <w:tcPr>
            <w:tcW w:w="737" w:type="dxa"/>
            <w:tcBorders>
              <w:left w:val="single" w:sz="12" w:space="0" w:color="auto"/>
              <w:right w:val="single" w:sz="4" w:space="0" w:color="auto"/>
            </w:tcBorders>
            <w:shd w:val="clear" w:color="auto" w:fill="auto"/>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24%</w:t>
            </w:r>
          </w:p>
        </w:tc>
        <w:tc>
          <w:tcPr>
            <w:tcW w:w="826" w:type="dxa"/>
            <w:tcBorders>
              <w:left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27%</w:t>
            </w:r>
          </w:p>
        </w:tc>
        <w:tc>
          <w:tcPr>
            <w:tcW w:w="1094" w:type="dxa"/>
            <w:tcBorders>
              <w:left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16%</w:t>
            </w:r>
          </w:p>
        </w:tc>
        <w:tc>
          <w:tcPr>
            <w:tcW w:w="1199" w:type="dxa"/>
            <w:tcBorders>
              <w:left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24%</w:t>
            </w:r>
          </w:p>
        </w:tc>
        <w:tc>
          <w:tcPr>
            <w:tcW w:w="879" w:type="dxa"/>
            <w:tcBorders>
              <w:left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8%</w:t>
            </w:r>
          </w:p>
        </w:tc>
      </w:tr>
      <w:tr w:rsidR="00C17E74" w:rsidRPr="00C17E74" w:rsidTr="0053283A">
        <w:trPr>
          <w:trHeight w:val="439"/>
        </w:trPr>
        <w:tc>
          <w:tcPr>
            <w:tcW w:w="4867" w:type="dxa"/>
            <w:tcBorders>
              <w:left w:val="single" w:sz="12" w:space="0" w:color="auto"/>
              <w:bottom w:val="single" w:sz="4" w:space="0" w:color="auto"/>
              <w:right w:val="single" w:sz="12" w:space="0" w:color="auto"/>
            </w:tcBorders>
            <w:shd w:val="clear" w:color="000000" w:fill="FFFFFF"/>
            <w:vAlign w:val="center"/>
            <w:hideMark/>
          </w:tcPr>
          <w:p w:rsidR="00C17E74" w:rsidRPr="00C17E74" w:rsidRDefault="00C17E74" w:rsidP="00C17E74">
            <w:pPr>
              <w:spacing w:line="240" w:lineRule="auto"/>
              <w:rPr>
                <w:rFonts w:ascii="Calibri" w:eastAsia="Times New Roman" w:hAnsi="Calibri" w:cs="Calibri"/>
                <w:sz w:val="18"/>
                <w:szCs w:val="20"/>
                <w:lang w:eastAsia="en-AU"/>
              </w:rPr>
            </w:pPr>
            <w:r w:rsidRPr="00C17E74">
              <w:rPr>
                <w:rFonts w:ascii="Calibri" w:eastAsia="Times New Roman" w:hAnsi="Calibri" w:cs="Calibri"/>
                <w:sz w:val="18"/>
                <w:szCs w:val="20"/>
                <w:lang w:eastAsia="en-AU"/>
              </w:rPr>
              <w:t>An increase in the number of businesses providing professional development opportunities for teachers and career practitioners</w:t>
            </w:r>
          </w:p>
        </w:tc>
        <w:tc>
          <w:tcPr>
            <w:tcW w:w="1184" w:type="dxa"/>
            <w:tcBorders>
              <w:left w:val="single" w:sz="12" w:space="0" w:color="auto"/>
              <w:bottom w:val="single" w:sz="4"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24</w:t>
            </w:r>
          </w:p>
        </w:tc>
        <w:tc>
          <w:tcPr>
            <w:tcW w:w="737" w:type="dxa"/>
            <w:tcBorders>
              <w:left w:val="single" w:sz="12" w:space="0" w:color="auto"/>
              <w:bottom w:val="single" w:sz="4" w:space="0" w:color="auto"/>
              <w:right w:val="single" w:sz="4" w:space="0" w:color="auto"/>
            </w:tcBorders>
            <w:shd w:val="clear" w:color="auto" w:fill="auto"/>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33%</w:t>
            </w:r>
          </w:p>
        </w:tc>
        <w:tc>
          <w:tcPr>
            <w:tcW w:w="826" w:type="dxa"/>
            <w:tcBorders>
              <w:left w:val="single" w:sz="4"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13%</w:t>
            </w:r>
          </w:p>
        </w:tc>
        <w:tc>
          <w:tcPr>
            <w:tcW w:w="1094" w:type="dxa"/>
            <w:tcBorders>
              <w:left w:val="single" w:sz="4"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13%</w:t>
            </w:r>
          </w:p>
        </w:tc>
        <w:tc>
          <w:tcPr>
            <w:tcW w:w="1199" w:type="dxa"/>
            <w:tcBorders>
              <w:left w:val="single" w:sz="4"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21%</w:t>
            </w:r>
          </w:p>
        </w:tc>
        <w:tc>
          <w:tcPr>
            <w:tcW w:w="879" w:type="dxa"/>
            <w:tcBorders>
              <w:left w:val="single" w:sz="4" w:space="0" w:color="auto"/>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21%</w:t>
            </w:r>
          </w:p>
        </w:tc>
      </w:tr>
      <w:tr w:rsidR="00C17E74" w:rsidRPr="00C17E74" w:rsidTr="0053283A">
        <w:trPr>
          <w:trHeight w:val="439"/>
        </w:trPr>
        <w:tc>
          <w:tcPr>
            <w:tcW w:w="4867" w:type="dxa"/>
            <w:tcBorders>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rPr>
                <w:rFonts w:ascii="Calibri" w:eastAsia="Times New Roman" w:hAnsi="Calibri" w:cs="Calibri"/>
                <w:sz w:val="18"/>
                <w:szCs w:val="20"/>
                <w:lang w:eastAsia="en-AU"/>
              </w:rPr>
            </w:pPr>
            <w:r w:rsidRPr="00C17E74">
              <w:rPr>
                <w:rFonts w:ascii="Calibri" w:eastAsia="Times New Roman" w:hAnsi="Calibri" w:cs="Calibri"/>
                <w:sz w:val="18"/>
                <w:szCs w:val="20"/>
                <w:lang w:eastAsia="en-AU"/>
              </w:rPr>
              <w:t>An increase in the number of businesses providing quality workplace and community learning opportunities for young people</w:t>
            </w:r>
          </w:p>
        </w:tc>
        <w:tc>
          <w:tcPr>
            <w:tcW w:w="1184" w:type="dxa"/>
            <w:tcBorders>
              <w:left w:val="single" w:sz="12" w:space="0" w:color="auto"/>
              <w:right w:val="single" w:sz="12" w:space="0" w:color="auto"/>
            </w:tcBorders>
            <w:shd w:val="clear" w:color="auto" w:fill="B6DDE8" w:themeFill="accent5" w:themeFillTint="66"/>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76</w:t>
            </w:r>
          </w:p>
        </w:tc>
        <w:tc>
          <w:tcPr>
            <w:tcW w:w="737" w:type="dxa"/>
            <w:tcBorders>
              <w:left w:val="single" w:sz="12" w:space="0" w:color="auto"/>
              <w:right w:val="single" w:sz="4"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21%</w:t>
            </w:r>
          </w:p>
        </w:tc>
        <w:tc>
          <w:tcPr>
            <w:tcW w:w="826" w:type="dxa"/>
            <w:tcBorders>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16%</w:t>
            </w:r>
          </w:p>
        </w:tc>
        <w:tc>
          <w:tcPr>
            <w:tcW w:w="1094" w:type="dxa"/>
            <w:tcBorders>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32%</w:t>
            </w:r>
          </w:p>
        </w:tc>
        <w:tc>
          <w:tcPr>
            <w:tcW w:w="1199" w:type="dxa"/>
            <w:tcBorders>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18%</w:t>
            </w:r>
          </w:p>
        </w:tc>
        <w:tc>
          <w:tcPr>
            <w:tcW w:w="879" w:type="dxa"/>
            <w:tcBorders>
              <w:left w:val="single" w:sz="4" w:space="0" w:color="auto"/>
              <w:right w:val="single" w:sz="12"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13%</w:t>
            </w:r>
          </w:p>
        </w:tc>
      </w:tr>
    </w:tbl>
    <w:p w:rsidR="00C17E74" w:rsidRPr="00C17E74" w:rsidRDefault="00C17E74" w:rsidP="00C17E74">
      <w:pPr>
        <w:tabs>
          <w:tab w:val="left" w:pos="426"/>
        </w:tabs>
        <w:spacing w:line="240" w:lineRule="auto"/>
        <w:rPr>
          <w:rFonts w:ascii="Calibri" w:eastAsia="Times New Roman" w:hAnsi="Calibri" w:cs="Calibri"/>
          <w:sz w:val="20"/>
          <w:szCs w:val="20"/>
        </w:rPr>
      </w:pPr>
    </w:p>
    <w:p w:rsidR="00C17E74" w:rsidRPr="00C17E74" w:rsidRDefault="00C17E74" w:rsidP="00C17E74">
      <w:pPr>
        <w:spacing w:before="120" w:after="120" w:line="240" w:lineRule="auto"/>
        <w:ind w:left="-284" w:right="34"/>
        <w:rPr>
          <w:rFonts w:ascii="Calibri" w:eastAsia="Times New Roman" w:hAnsi="Calibri" w:cstheme="minorHAnsi"/>
          <w:sz w:val="20"/>
          <w:lang w:val="en-US"/>
        </w:rPr>
        <w:sectPr w:rsidR="00C17E74" w:rsidRPr="00C17E74" w:rsidSect="0053283A">
          <w:type w:val="continuous"/>
          <w:pgSz w:w="11907" w:h="16839" w:code="9"/>
          <w:pgMar w:top="680" w:right="1134" w:bottom="680" w:left="1134" w:header="709" w:footer="0" w:gutter="0"/>
          <w:cols w:num="2" w:space="708"/>
          <w:docGrid w:linePitch="360"/>
        </w:sectPr>
      </w:pPr>
    </w:p>
    <w:p w:rsidR="00C17E74" w:rsidRPr="00C17E74" w:rsidRDefault="00C17E74" w:rsidP="00C17E74">
      <w:pPr>
        <w:spacing w:before="120" w:after="120" w:line="240" w:lineRule="auto"/>
        <w:ind w:left="-284" w:right="34"/>
        <w:rPr>
          <w:rFonts w:ascii="Calibri" w:eastAsia="Times New Roman" w:hAnsi="Calibri" w:cstheme="minorHAnsi"/>
          <w:lang w:val="en-US"/>
        </w:rPr>
      </w:pPr>
      <w:r w:rsidRPr="00C17E74">
        <w:rPr>
          <w:rFonts w:ascii="Calibri" w:eastAsia="Times New Roman" w:hAnsi="Calibri" w:cstheme="minorHAnsi"/>
          <w:lang w:val="en-US"/>
        </w:rPr>
        <w:lastRenderedPageBreak/>
        <w:t>The data above shows that:</w:t>
      </w:r>
    </w:p>
    <w:p w:rsidR="00C17E74" w:rsidRPr="00C17E74" w:rsidRDefault="00C17E74" w:rsidP="00C17E74">
      <w:pPr>
        <w:numPr>
          <w:ilvl w:val="0"/>
          <w:numId w:val="43"/>
        </w:numPr>
        <w:spacing w:line="240" w:lineRule="auto"/>
        <w:ind w:left="142" w:hanging="284"/>
        <w:rPr>
          <w:rFonts w:ascii="Calibri" w:eastAsia="Times New Roman" w:hAnsi="Calibri" w:cs="Calibri"/>
        </w:rPr>
      </w:pPr>
      <w:r w:rsidRPr="00C17E74">
        <w:rPr>
          <w:rFonts w:ascii="Calibri" w:eastAsia="Times New Roman" w:hAnsi="Calibri" w:cs="Calibri"/>
        </w:rPr>
        <w:t>Providers reported 33% of partnerships that have been evaluated have achieved or made considerable progress against this outcome.</w:t>
      </w:r>
    </w:p>
    <w:p w:rsidR="00C17E74" w:rsidRPr="00C17E74" w:rsidRDefault="00C17E74" w:rsidP="00C17E74">
      <w:pPr>
        <w:numPr>
          <w:ilvl w:val="0"/>
          <w:numId w:val="43"/>
        </w:numPr>
        <w:spacing w:line="240" w:lineRule="auto"/>
        <w:ind w:left="142" w:hanging="284"/>
        <w:rPr>
          <w:rFonts w:ascii="Calibri" w:eastAsia="Times New Roman" w:hAnsi="Calibri" w:cs="Calibri"/>
        </w:rPr>
      </w:pPr>
      <w:r w:rsidRPr="00C17E74">
        <w:rPr>
          <w:rFonts w:ascii="Calibri" w:eastAsia="Times New Roman" w:hAnsi="Calibri" w:cs="Calibri"/>
        </w:rPr>
        <w:t>Providers reported 42% of partnerships that have been evaluated have made limited or some progress against this outcome.</w:t>
      </w:r>
    </w:p>
    <w:p w:rsidR="00C17E74" w:rsidRPr="00C17E74" w:rsidRDefault="00C17E74" w:rsidP="00C17E74">
      <w:pPr>
        <w:numPr>
          <w:ilvl w:val="0"/>
          <w:numId w:val="43"/>
        </w:numPr>
        <w:spacing w:line="240" w:lineRule="auto"/>
        <w:ind w:left="142" w:hanging="284"/>
        <w:rPr>
          <w:rFonts w:ascii="Calibri" w:eastAsia="Times New Roman" w:hAnsi="Calibri" w:cs="Calibri"/>
        </w:rPr>
      </w:pPr>
      <w:r w:rsidRPr="00C17E74">
        <w:rPr>
          <w:rFonts w:ascii="Calibri" w:eastAsia="Times New Roman" w:hAnsi="Calibri" w:cs="Calibri"/>
        </w:rPr>
        <w:t>There are 76 partnerships (27% of the total number of partnerships in SA) that have made progress towards increasing ‘</w:t>
      </w:r>
      <w:r w:rsidRPr="00C17E74">
        <w:rPr>
          <w:rFonts w:ascii="Calibri" w:eastAsia="Times New Roman" w:hAnsi="Calibri" w:cs="Calibri"/>
          <w:i/>
        </w:rPr>
        <w:t>the number of businesses providing quality workplace and community learning opportunities for young people</w:t>
      </w:r>
      <w:r w:rsidRPr="00C17E74">
        <w:rPr>
          <w:rFonts w:ascii="Calibri" w:eastAsia="Times New Roman" w:hAnsi="Calibri" w:cs="Calibri"/>
        </w:rPr>
        <w:t xml:space="preserve">’. Providers reported that 31% of these partnerships have achieved or made considerable progress against this </w:t>
      </w:r>
      <w:proofErr w:type="spellStart"/>
      <w:r w:rsidRPr="00C17E74">
        <w:rPr>
          <w:rFonts w:ascii="Calibri" w:eastAsia="Times New Roman" w:hAnsi="Calibri" w:cs="Calibri"/>
        </w:rPr>
        <w:t>KPM</w:t>
      </w:r>
      <w:proofErr w:type="spellEnd"/>
      <w:r w:rsidRPr="00C17E74">
        <w:rPr>
          <w:rFonts w:ascii="Calibri" w:eastAsia="Times New Roman" w:hAnsi="Calibri" w:cs="Calibri"/>
        </w:rPr>
        <w:t>.</w:t>
      </w:r>
    </w:p>
    <w:p w:rsidR="00C17E74" w:rsidRPr="00C17E74" w:rsidRDefault="00C17E74" w:rsidP="00C17E74">
      <w:pPr>
        <w:spacing w:line="240" w:lineRule="auto"/>
        <w:ind w:left="720" w:hanging="360"/>
        <w:rPr>
          <w:rFonts w:ascii="Calibri" w:eastAsia="Times New Roman" w:hAnsi="Calibri" w:cs="Calibri"/>
        </w:rPr>
      </w:pPr>
    </w:p>
    <w:p w:rsidR="00C17E74" w:rsidRPr="00C17E74" w:rsidRDefault="00C17E74" w:rsidP="00C17E74">
      <w:pPr>
        <w:spacing w:line="240" w:lineRule="auto"/>
        <w:ind w:left="720" w:hanging="360"/>
        <w:rPr>
          <w:rFonts w:ascii="Calibri" w:eastAsia="Times New Roman" w:hAnsi="Calibri" w:cs="Calibri"/>
        </w:rPr>
      </w:pPr>
    </w:p>
    <w:p w:rsidR="00C17E74" w:rsidRPr="00C17E74" w:rsidRDefault="00C17E74" w:rsidP="00C17E74">
      <w:pPr>
        <w:spacing w:line="240" w:lineRule="auto"/>
        <w:rPr>
          <w:rFonts w:ascii="Calibri" w:eastAsia="Times New Roman" w:hAnsi="Calibri" w:cs="Calibri"/>
          <w:sz w:val="20"/>
          <w:szCs w:val="20"/>
          <w:lang w:eastAsia="en-AU"/>
        </w:rPr>
        <w:sectPr w:rsidR="00C17E74" w:rsidRPr="00C17E74" w:rsidSect="0053283A">
          <w:type w:val="continuous"/>
          <w:pgSz w:w="11907" w:h="16839" w:code="9"/>
          <w:pgMar w:top="680" w:right="1134" w:bottom="680" w:left="1134" w:header="709" w:footer="0" w:gutter="0"/>
          <w:cols w:space="708"/>
          <w:docGrid w:linePitch="360"/>
        </w:sectPr>
      </w:pPr>
    </w:p>
    <w:tbl>
      <w:tblPr>
        <w:tblpPr w:leftFromText="180" w:rightFromText="180" w:vertAnchor="text" w:horzAnchor="margin" w:tblpXSpec="center" w:tblpY="14"/>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57"/>
        <w:gridCol w:w="1198"/>
        <w:gridCol w:w="737"/>
        <w:gridCol w:w="826"/>
        <w:gridCol w:w="1094"/>
        <w:gridCol w:w="1199"/>
        <w:gridCol w:w="879"/>
      </w:tblGrid>
      <w:tr w:rsidR="00C17E74" w:rsidRPr="00C17E74" w:rsidTr="0053283A">
        <w:trPr>
          <w:trHeight w:val="257"/>
        </w:trPr>
        <w:tc>
          <w:tcPr>
            <w:tcW w:w="4957" w:type="dxa"/>
            <w:tcBorders>
              <w:top w:val="single" w:sz="12" w:space="0" w:color="auto"/>
              <w:left w:val="single" w:sz="12" w:space="0" w:color="auto"/>
              <w:right w:val="single" w:sz="12" w:space="0" w:color="auto"/>
            </w:tcBorders>
            <w:shd w:val="clear" w:color="auto" w:fill="92CDDC" w:themeFill="accent5" w:themeFillTint="99"/>
            <w:vAlign w:val="center"/>
            <w:hideMark/>
          </w:tcPr>
          <w:p w:rsidR="00C17E74" w:rsidRPr="00C17E74" w:rsidRDefault="00C17E74" w:rsidP="00C17E74">
            <w:pPr>
              <w:spacing w:line="240" w:lineRule="auto"/>
              <w:jc w:val="center"/>
              <w:rPr>
                <w:rFonts w:ascii="Arial" w:eastAsia="Times New Roman" w:hAnsi="Arial" w:cs="Arial"/>
                <w:b/>
                <w:bCs/>
                <w:sz w:val="20"/>
                <w:lang w:eastAsia="en-AU"/>
              </w:rPr>
            </w:pPr>
            <w:r w:rsidRPr="00C17E74">
              <w:rPr>
                <w:rFonts w:ascii="Calibri" w:eastAsia="Times New Roman" w:hAnsi="Calibri" w:cs="Calibri"/>
                <w:b/>
                <w:bCs/>
                <w:sz w:val="20"/>
                <w:lang w:eastAsia="en-AU"/>
              </w:rPr>
              <w:lastRenderedPageBreak/>
              <w:t xml:space="preserve">Table </w:t>
            </w:r>
            <w:proofErr w:type="spellStart"/>
            <w:r w:rsidRPr="00C17E74">
              <w:rPr>
                <w:rFonts w:ascii="Calibri" w:eastAsia="Times New Roman" w:hAnsi="Calibri" w:cs="Calibri"/>
                <w:b/>
                <w:bCs/>
                <w:sz w:val="20"/>
                <w:lang w:eastAsia="en-AU"/>
              </w:rPr>
              <w:t>I4</w:t>
            </w:r>
            <w:proofErr w:type="spellEnd"/>
            <w:r w:rsidRPr="00C17E74">
              <w:rPr>
                <w:rFonts w:ascii="Calibri" w:eastAsia="Times New Roman" w:hAnsi="Calibri" w:cs="Calibri"/>
                <w:b/>
                <w:bCs/>
                <w:sz w:val="20"/>
                <w:lang w:eastAsia="en-AU"/>
              </w:rPr>
              <w:t xml:space="preserve"> – Outcome – Parents &amp; Families</w:t>
            </w:r>
          </w:p>
        </w:tc>
        <w:tc>
          <w:tcPr>
            <w:tcW w:w="1198" w:type="dxa"/>
            <w:tcBorders>
              <w:top w:val="single" w:sz="12" w:space="0" w:color="auto"/>
              <w:left w:val="single" w:sz="12" w:space="0" w:color="auto"/>
              <w:right w:val="single" w:sz="12" w:space="0" w:color="auto"/>
            </w:tcBorders>
            <w:shd w:val="clear" w:color="auto" w:fill="92CDDC" w:themeFill="accent5" w:themeFillTint="99"/>
            <w:vAlign w:val="center"/>
            <w:hideMark/>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szCs w:val="20"/>
                <w:lang w:eastAsia="en-AU"/>
              </w:rPr>
              <w:t xml:space="preserve">Total </w:t>
            </w:r>
            <w:proofErr w:type="spellStart"/>
            <w:r w:rsidRPr="00C17E74">
              <w:rPr>
                <w:rFonts w:ascii="Calibri" w:eastAsia="Times New Roman" w:hAnsi="Calibri" w:cs="Calibri"/>
                <w:b/>
                <w:bCs/>
                <w:sz w:val="20"/>
                <w:szCs w:val="20"/>
                <w:lang w:eastAsia="en-AU"/>
              </w:rPr>
              <w:t>KPM</w:t>
            </w:r>
            <w:proofErr w:type="spellEnd"/>
            <w:r w:rsidRPr="00C17E74">
              <w:rPr>
                <w:rFonts w:ascii="Calibri" w:eastAsia="Times New Roman" w:hAnsi="Calibri" w:cs="Calibri"/>
                <w:b/>
                <w:bCs/>
                <w:sz w:val="20"/>
                <w:szCs w:val="20"/>
                <w:lang w:eastAsia="en-AU"/>
              </w:rPr>
              <w:t xml:space="preserve"> Evaluations</w:t>
            </w:r>
          </w:p>
        </w:tc>
        <w:tc>
          <w:tcPr>
            <w:tcW w:w="737" w:type="dxa"/>
            <w:tcBorders>
              <w:top w:val="single" w:sz="12" w:space="0" w:color="auto"/>
              <w:left w:val="single" w:sz="12" w:space="0" w:color="auto"/>
              <w:right w:val="single" w:sz="4" w:space="0" w:color="auto"/>
            </w:tcBorders>
            <w:shd w:val="clear" w:color="auto" w:fill="92CDDC" w:themeFill="accent5" w:themeFillTint="99"/>
            <w:vAlign w:val="center"/>
            <w:hideMark/>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szCs w:val="20"/>
                <w:lang w:eastAsia="en-AU"/>
              </w:rPr>
              <w:t>1 – Limited</w:t>
            </w:r>
          </w:p>
        </w:tc>
        <w:tc>
          <w:tcPr>
            <w:tcW w:w="826" w:type="dxa"/>
            <w:tcBorders>
              <w:top w:val="single" w:sz="12" w:space="0" w:color="auto"/>
              <w:left w:val="single" w:sz="4" w:space="0" w:color="auto"/>
              <w:right w:val="single" w:sz="4"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szCs w:val="20"/>
                <w:lang w:eastAsia="en-AU"/>
              </w:rPr>
              <w:t>2 – Some Progress</w:t>
            </w:r>
          </w:p>
        </w:tc>
        <w:tc>
          <w:tcPr>
            <w:tcW w:w="1094" w:type="dxa"/>
            <w:tcBorders>
              <w:top w:val="single" w:sz="12" w:space="0" w:color="auto"/>
              <w:left w:val="single" w:sz="4" w:space="0" w:color="auto"/>
              <w:right w:val="single" w:sz="4"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szCs w:val="20"/>
                <w:lang w:eastAsia="en-AU"/>
              </w:rPr>
              <w:t xml:space="preserve">3 – Satisfactory </w:t>
            </w:r>
          </w:p>
        </w:tc>
        <w:tc>
          <w:tcPr>
            <w:tcW w:w="1199" w:type="dxa"/>
            <w:tcBorders>
              <w:top w:val="single" w:sz="12" w:space="0" w:color="auto"/>
              <w:left w:val="single" w:sz="4" w:space="0" w:color="auto"/>
              <w:right w:val="single" w:sz="4"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szCs w:val="20"/>
                <w:lang w:eastAsia="en-AU"/>
              </w:rPr>
              <w:t>4 – Considerable Progress</w:t>
            </w:r>
          </w:p>
        </w:tc>
        <w:tc>
          <w:tcPr>
            <w:tcW w:w="879" w:type="dxa"/>
            <w:tcBorders>
              <w:top w:val="single" w:sz="12" w:space="0" w:color="auto"/>
              <w:left w:val="single" w:sz="4" w:space="0" w:color="auto"/>
              <w:right w:val="single" w:sz="12" w:space="0" w:color="auto"/>
            </w:tcBorders>
            <w:shd w:val="clear" w:color="auto" w:fill="92CDDC" w:themeFill="accent5" w:themeFillTint="99"/>
            <w:vAlign w:val="center"/>
          </w:tcPr>
          <w:p w:rsidR="00C17E74" w:rsidRPr="00C17E74" w:rsidRDefault="00C17E74" w:rsidP="00C17E74">
            <w:pPr>
              <w:spacing w:line="240" w:lineRule="auto"/>
              <w:jc w:val="center"/>
              <w:rPr>
                <w:rFonts w:ascii="Calibri" w:eastAsia="Times New Roman" w:hAnsi="Calibri" w:cs="Calibri"/>
                <w:sz w:val="20"/>
                <w:lang w:eastAsia="en-AU"/>
              </w:rPr>
            </w:pPr>
            <w:r w:rsidRPr="00C17E74">
              <w:rPr>
                <w:rFonts w:ascii="Calibri" w:eastAsia="Times New Roman" w:hAnsi="Calibri" w:cs="Calibri"/>
                <w:b/>
                <w:bCs/>
                <w:sz w:val="20"/>
                <w:szCs w:val="20"/>
                <w:lang w:eastAsia="en-AU"/>
              </w:rPr>
              <w:t>5 – Achieved</w:t>
            </w:r>
          </w:p>
        </w:tc>
      </w:tr>
      <w:tr w:rsidR="00C17E74" w:rsidRPr="00C17E74" w:rsidTr="0053283A">
        <w:trPr>
          <w:trHeight w:val="916"/>
        </w:trPr>
        <w:tc>
          <w:tcPr>
            <w:tcW w:w="4957" w:type="dxa"/>
            <w:tcBorders>
              <w:top w:val="single" w:sz="12" w:space="0" w:color="auto"/>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rPr>
                <w:rFonts w:eastAsia="Times New Roman" w:cstheme="minorHAnsi"/>
                <w:color w:val="333333"/>
                <w:sz w:val="20"/>
                <w:szCs w:val="20"/>
                <w:lang w:eastAsia="en-AU"/>
              </w:rPr>
            </w:pPr>
            <w:r w:rsidRPr="00C17E74">
              <w:rPr>
                <w:rFonts w:ascii="Calibri" w:eastAsia="Times New Roman" w:hAnsi="Calibri" w:cs="Calibri"/>
                <w:sz w:val="20"/>
                <w:szCs w:val="20"/>
                <w:lang w:eastAsia="en-AU"/>
              </w:rPr>
              <w:t>Partnerships that support parents and families to provide an informed and supportive environment for all young people to enable lifelong learning and career and pathway planning, and improve their education and transition outcomes.</w:t>
            </w:r>
            <w:r w:rsidRPr="00C17E74">
              <w:rPr>
                <w:rFonts w:eastAsia="Times New Roman" w:cstheme="minorHAnsi"/>
                <w:sz w:val="20"/>
                <w:szCs w:val="20"/>
                <w:vertAlign w:val="superscript"/>
                <w:lang w:eastAsia="en-AU"/>
              </w:rPr>
              <w:t>*</w:t>
            </w:r>
          </w:p>
        </w:tc>
        <w:tc>
          <w:tcPr>
            <w:tcW w:w="1198" w:type="dxa"/>
            <w:tcBorders>
              <w:top w:val="single" w:sz="12" w:space="0" w:color="auto"/>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165</w:t>
            </w:r>
          </w:p>
        </w:tc>
        <w:tc>
          <w:tcPr>
            <w:tcW w:w="737" w:type="dxa"/>
            <w:tcBorders>
              <w:top w:val="single" w:sz="12" w:space="0" w:color="auto"/>
              <w:left w:val="single" w:sz="12" w:space="0" w:color="auto"/>
              <w:right w:val="single" w:sz="4"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27</w:t>
            </w:r>
          </w:p>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(16%)</w:t>
            </w:r>
          </w:p>
        </w:tc>
        <w:tc>
          <w:tcPr>
            <w:tcW w:w="826" w:type="dxa"/>
            <w:tcBorders>
              <w:top w:val="single" w:sz="12" w:space="0" w:color="auto"/>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37</w:t>
            </w:r>
          </w:p>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(22%)</w:t>
            </w:r>
          </w:p>
        </w:tc>
        <w:tc>
          <w:tcPr>
            <w:tcW w:w="1094" w:type="dxa"/>
            <w:tcBorders>
              <w:top w:val="single" w:sz="12" w:space="0" w:color="auto"/>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36</w:t>
            </w:r>
          </w:p>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(22%)</w:t>
            </w:r>
          </w:p>
        </w:tc>
        <w:tc>
          <w:tcPr>
            <w:tcW w:w="1199" w:type="dxa"/>
            <w:tcBorders>
              <w:top w:val="single" w:sz="12" w:space="0" w:color="auto"/>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20</w:t>
            </w:r>
          </w:p>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(12%)</w:t>
            </w:r>
          </w:p>
        </w:tc>
        <w:tc>
          <w:tcPr>
            <w:tcW w:w="879" w:type="dxa"/>
            <w:tcBorders>
              <w:top w:val="single" w:sz="12" w:space="0" w:color="auto"/>
              <w:left w:val="single" w:sz="4" w:space="0" w:color="auto"/>
              <w:right w:val="single" w:sz="12"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45</w:t>
            </w:r>
          </w:p>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(27%)</w:t>
            </w:r>
          </w:p>
        </w:tc>
      </w:tr>
      <w:tr w:rsidR="00C17E74" w:rsidRPr="00C17E74" w:rsidTr="0053283A">
        <w:trPr>
          <w:trHeight w:val="320"/>
        </w:trPr>
        <w:tc>
          <w:tcPr>
            <w:tcW w:w="10890" w:type="dxa"/>
            <w:gridSpan w:val="7"/>
            <w:tcBorders>
              <w:top w:val="single" w:sz="12" w:space="0" w:color="auto"/>
              <w:left w:val="nil"/>
              <w:bottom w:val="single" w:sz="4" w:space="0" w:color="auto"/>
              <w:right w:val="nil"/>
            </w:tcBorders>
            <w:shd w:val="clear" w:color="000000" w:fill="FFFFFF"/>
            <w:vAlign w:val="center"/>
            <w:hideMark/>
          </w:tcPr>
          <w:p w:rsidR="00C17E74" w:rsidRPr="00C17E74" w:rsidRDefault="00C17E74" w:rsidP="00C17E74">
            <w:pPr>
              <w:spacing w:line="240" w:lineRule="auto"/>
              <w:rPr>
                <w:rFonts w:ascii="Calibri" w:eastAsia="Times New Roman" w:hAnsi="Calibri" w:cs="Calibri"/>
                <w:color w:val="000000"/>
              </w:rPr>
            </w:pPr>
          </w:p>
        </w:tc>
      </w:tr>
      <w:tr w:rsidR="00C17E74" w:rsidRPr="00C17E74" w:rsidTr="0053283A">
        <w:trPr>
          <w:trHeight w:val="427"/>
        </w:trPr>
        <w:tc>
          <w:tcPr>
            <w:tcW w:w="4957" w:type="dxa"/>
            <w:tcBorders>
              <w:left w:val="single" w:sz="12" w:space="0" w:color="auto"/>
              <w:right w:val="single" w:sz="12"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sz w:val="18"/>
                <w:lang w:eastAsia="en-AU"/>
              </w:rPr>
            </w:pPr>
            <w:r w:rsidRPr="00C17E74">
              <w:rPr>
                <w:rFonts w:ascii="Calibri" w:eastAsia="Times New Roman" w:hAnsi="Calibri" w:cs="Calibri"/>
                <w:b/>
                <w:bCs/>
                <w:sz w:val="20"/>
                <w:lang w:eastAsia="en-AU"/>
              </w:rPr>
              <w:t xml:space="preserve">Table </w:t>
            </w:r>
            <w:proofErr w:type="spellStart"/>
            <w:r w:rsidRPr="00C17E74">
              <w:rPr>
                <w:rFonts w:ascii="Calibri" w:eastAsia="Times New Roman" w:hAnsi="Calibri" w:cs="Calibri"/>
                <w:b/>
                <w:bCs/>
                <w:sz w:val="20"/>
                <w:lang w:eastAsia="en-AU"/>
              </w:rPr>
              <w:t>I4</w:t>
            </w:r>
            <w:proofErr w:type="spellEnd"/>
            <w:r w:rsidRPr="00C17E74">
              <w:rPr>
                <w:rFonts w:ascii="Calibri" w:eastAsia="Times New Roman" w:hAnsi="Calibri" w:cs="Calibri"/>
                <w:b/>
                <w:bCs/>
                <w:sz w:val="20"/>
                <w:lang w:eastAsia="en-AU"/>
              </w:rPr>
              <w:t xml:space="preserve">  continued – Outcome – Parents &amp; Families (Breakdown of the  </w:t>
            </w:r>
            <w:proofErr w:type="spellStart"/>
            <w:r w:rsidRPr="00C17E74">
              <w:rPr>
                <w:rFonts w:ascii="Calibri" w:eastAsia="Times New Roman" w:hAnsi="Calibri" w:cs="Calibri"/>
                <w:b/>
                <w:bCs/>
                <w:sz w:val="20"/>
                <w:lang w:eastAsia="en-AU"/>
              </w:rPr>
              <w:t>KPMs</w:t>
            </w:r>
            <w:proofErr w:type="spellEnd"/>
            <w:r w:rsidRPr="00C17E74">
              <w:rPr>
                <w:rFonts w:ascii="Calibri" w:eastAsia="Times New Roman" w:hAnsi="Calibri" w:cs="Calibri"/>
                <w:b/>
                <w:bCs/>
                <w:sz w:val="20"/>
                <w:lang w:eastAsia="en-AU"/>
              </w:rPr>
              <w:t xml:space="preserve"> which contribute to the outcome above)</w:t>
            </w:r>
          </w:p>
        </w:tc>
        <w:tc>
          <w:tcPr>
            <w:tcW w:w="1198" w:type="dxa"/>
            <w:tcBorders>
              <w:left w:val="single" w:sz="12" w:space="0" w:color="auto"/>
              <w:right w:val="single" w:sz="12" w:space="0" w:color="auto"/>
            </w:tcBorders>
            <w:shd w:val="clear" w:color="auto" w:fill="B6DDE8" w:themeFill="accent5" w:themeFillTint="66"/>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szCs w:val="20"/>
                <w:lang w:eastAsia="en-AU"/>
              </w:rPr>
              <w:t xml:space="preserve">Total </w:t>
            </w:r>
            <w:proofErr w:type="spellStart"/>
            <w:r w:rsidRPr="00C17E74">
              <w:rPr>
                <w:rFonts w:ascii="Calibri" w:eastAsia="Times New Roman" w:hAnsi="Calibri" w:cs="Calibri"/>
                <w:b/>
                <w:bCs/>
                <w:sz w:val="20"/>
                <w:szCs w:val="20"/>
                <w:lang w:eastAsia="en-AU"/>
              </w:rPr>
              <w:t>KPM</w:t>
            </w:r>
            <w:proofErr w:type="spellEnd"/>
            <w:r w:rsidRPr="00C17E74">
              <w:rPr>
                <w:rFonts w:ascii="Calibri" w:eastAsia="Times New Roman" w:hAnsi="Calibri" w:cs="Calibri"/>
                <w:b/>
                <w:bCs/>
                <w:sz w:val="20"/>
                <w:szCs w:val="20"/>
                <w:lang w:eastAsia="en-AU"/>
              </w:rPr>
              <w:t xml:space="preserve"> Evaluations</w:t>
            </w:r>
          </w:p>
        </w:tc>
        <w:tc>
          <w:tcPr>
            <w:tcW w:w="737" w:type="dxa"/>
            <w:tcBorders>
              <w:left w:val="single" w:sz="12"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szCs w:val="20"/>
                <w:lang w:eastAsia="en-AU"/>
              </w:rPr>
              <w:t>1 – Limited</w:t>
            </w:r>
          </w:p>
        </w:tc>
        <w:tc>
          <w:tcPr>
            <w:tcW w:w="826" w:type="dxa"/>
            <w:tcBorders>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szCs w:val="20"/>
                <w:lang w:eastAsia="en-AU"/>
              </w:rPr>
              <w:t>2 – Some Progress</w:t>
            </w:r>
          </w:p>
        </w:tc>
        <w:tc>
          <w:tcPr>
            <w:tcW w:w="1094" w:type="dxa"/>
            <w:tcBorders>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szCs w:val="20"/>
                <w:lang w:eastAsia="en-AU"/>
              </w:rPr>
              <w:t xml:space="preserve">3 – Satisfactory </w:t>
            </w:r>
          </w:p>
        </w:tc>
        <w:tc>
          <w:tcPr>
            <w:tcW w:w="1199" w:type="dxa"/>
            <w:tcBorders>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szCs w:val="20"/>
                <w:lang w:eastAsia="en-AU"/>
              </w:rPr>
              <w:t>4 – Considerable Progress</w:t>
            </w:r>
          </w:p>
        </w:tc>
        <w:tc>
          <w:tcPr>
            <w:tcW w:w="879" w:type="dxa"/>
            <w:tcBorders>
              <w:left w:val="single" w:sz="4" w:space="0" w:color="auto"/>
              <w:right w:val="single" w:sz="12"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sz w:val="20"/>
                <w:lang w:eastAsia="en-AU"/>
              </w:rPr>
            </w:pPr>
            <w:r w:rsidRPr="00C17E74">
              <w:rPr>
                <w:rFonts w:ascii="Calibri" w:eastAsia="Times New Roman" w:hAnsi="Calibri" w:cs="Calibri"/>
                <w:b/>
                <w:bCs/>
                <w:sz w:val="20"/>
                <w:szCs w:val="20"/>
                <w:lang w:eastAsia="en-AU"/>
              </w:rPr>
              <w:t>5 – Achieved</w:t>
            </w:r>
          </w:p>
        </w:tc>
      </w:tr>
      <w:tr w:rsidR="00C17E74" w:rsidRPr="00C17E74" w:rsidTr="0053283A">
        <w:trPr>
          <w:trHeight w:val="427"/>
        </w:trPr>
        <w:tc>
          <w:tcPr>
            <w:tcW w:w="4957" w:type="dxa"/>
            <w:tcBorders>
              <w:left w:val="single" w:sz="12" w:space="0" w:color="auto"/>
              <w:right w:val="single" w:sz="12" w:space="0" w:color="auto"/>
            </w:tcBorders>
            <w:shd w:val="clear" w:color="auto" w:fill="auto"/>
            <w:vAlign w:val="center"/>
            <w:hideMark/>
          </w:tcPr>
          <w:p w:rsidR="00C17E74" w:rsidRPr="00C17E74" w:rsidRDefault="00C17E74" w:rsidP="00C17E74">
            <w:pPr>
              <w:spacing w:line="240" w:lineRule="auto"/>
              <w:rPr>
                <w:rFonts w:ascii="Calibri" w:eastAsia="Times New Roman" w:hAnsi="Calibri" w:cs="Calibri"/>
                <w:sz w:val="18"/>
                <w:szCs w:val="20"/>
                <w:lang w:eastAsia="en-AU"/>
              </w:rPr>
            </w:pPr>
            <w:r w:rsidRPr="00C17E74">
              <w:rPr>
                <w:rFonts w:ascii="Calibri" w:eastAsia="Times New Roman" w:hAnsi="Calibri" w:cs="Calibri"/>
                <w:sz w:val="18"/>
                <w:szCs w:val="20"/>
                <w:lang w:eastAsia="en-AU"/>
              </w:rPr>
              <w:t>An increase in the number of parents and families that are actively engaged in supporting learning inside and outside the classroom</w:t>
            </w:r>
          </w:p>
        </w:tc>
        <w:tc>
          <w:tcPr>
            <w:tcW w:w="1198" w:type="dxa"/>
            <w:tcBorders>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25</w:t>
            </w:r>
          </w:p>
        </w:tc>
        <w:tc>
          <w:tcPr>
            <w:tcW w:w="737" w:type="dxa"/>
            <w:tcBorders>
              <w:left w:val="single" w:sz="12" w:space="0" w:color="auto"/>
              <w:right w:val="single" w:sz="4" w:space="0" w:color="auto"/>
            </w:tcBorders>
            <w:shd w:val="clear" w:color="auto" w:fill="auto"/>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36%</w:t>
            </w:r>
          </w:p>
        </w:tc>
        <w:tc>
          <w:tcPr>
            <w:tcW w:w="826" w:type="dxa"/>
            <w:tcBorders>
              <w:left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16%</w:t>
            </w:r>
          </w:p>
        </w:tc>
        <w:tc>
          <w:tcPr>
            <w:tcW w:w="1094" w:type="dxa"/>
            <w:tcBorders>
              <w:left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24%</w:t>
            </w:r>
          </w:p>
        </w:tc>
        <w:tc>
          <w:tcPr>
            <w:tcW w:w="1199" w:type="dxa"/>
            <w:tcBorders>
              <w:left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8%</w:t>
            </w:r>
          </w:p>
        </w:tc>
        <w:tc>
          <w:tcPr>
            <w:tcW w:w="879" w:type="dxa"/>
            <w:tcBorders>
              <w:left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16%</w:t>
            </w:r>
          </w:p>
        </w:tc>
      </w:tr>
      <w:tr w:rsidR="00C17E74" w:rsidRPr="00C17E74" w:rsidTr="0053283A">
        <w:trPr>
          <w:trHeight w:val="427"/>
        </w:trPr>
        <w:tc>
          <w:tcPr>
            <w:tcW w:w="4957" w:type="dxa"/>
            <w:tcBorders>
              <w:left w:val="single" w:sz="12" w:space="0" w:color="auto"/>
              <w:right w:val="single" w:sz="12" w:space="0" w:color="auto"/>
            </w:tcBorders>
            <w:shd w:val="clear" w:color="000000" w:fill="FFFFFF"/>
            <w:vAlign w:val="center"/>
            <w:hideMark/>
          </w:tcPr>
          <w:p w:rsidR="00C17E74" w:rsidRPr="00C17E74" w:rsidRDefault="00C17E74" w:rsidP="00C17E74">
            <w:pPr>
              <w:spacing w:line="240" w:lineRule="auto"/>
              <w:rPr>
                <w:rFonts w:ascii="Calibri" w:eastAsia="Times New Roman" w:hAnsi="Calibri" w:cs="Calibri"/>
                <w:sz w:val="18"/>
                <w:szCs w:val="20"/>
                <w:lang w:eastAsia="en-AU"/>
              </w:rPr>
            </w:pPr>
            <w:r w:rsidRPr="00C17E74">
              <w:rPr>
                <w:rFonts w:ascii="Calibri" w:eastAsia="Times New Roman" w:hAnsi="Calibri" w:cs="Calibri"/>
                <w:sz w:val="18"/>
                <w:szCs w:val="20"/>
                <w:lang w:eastAsia="en-AU"/>
              </w:rPr>
              <w:t>An increase in the number of parents and families that are actively involved in career transition planning for their children</w:t>
            </w:r>
          </w:p>
        </w:tc>
        <w:tc>
          <w:tcPr>
            <w:tcW w:w="1198" w:type="dxa"/>
            <w:tcBorders>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22</w:t>
            </w:r>
          </w:p>
        </w:tc>
        <w:tc>
          <w:tcPr>
            <w:tcW w:w="737" w:type="dxa"/>
            <w:tcBorders>
              <w:left w:val="single" w:sz="12" w:space="0" w:color="auto"/>
              <w:right w:val="single" w:sz="4" w:space="0" w:color="auto"/>
            </w:tcBorders>
            <w:shd w:val="clear" w:color="auto" w:fill="auto"/>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18%</w:t>
            </w:r>
          </w:p>
        </w:tc>
        <w:tc>
          <w:tcPr>
            <w:tcW w:w="826" w:type="dxa"/>
            <w:tcBorders>
              <w:left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14%</w:t>
            </w:r>
          </w:p>
        </w:tc>
        <w:tc>
          <w:tcPr>
            <w:tcW w:w="1094" w:type="dxa"/>
            <w:tcBorders>
              <w:left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23%</w:t>
            </w:r>
          </w:p>
        </w:tc>
        <w:tc>
          <w:tcPr>
            <w:tcW w:w="1199" w:type="dxa"/>
            <w:tcBorders>
              <w:left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14%</w:t>
            </w:r>
          </w:p>
        </w:tc>
        <w:tc>
          <w:tcPr>
            <w:tcW w:w="879" w:type="dxa"/>
            <w:tcBorders>
              <w:left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32%</w:t>
            </w:r>
          </w:p>
        </w:tc>
      </w:tr>
      <w:tr w:rsidR="00C17E74" w:rsidRPr="00C17E74" w:rsidTr="0053283A">
        <w:trPr>
          <w:trHeight w:val="427"/>
        </w:trPr>
        <w:tc>
          <w:tcPr>
            <w:tcW w:w="4957" w:type="dxa"/>
            <w:tcBorders>
              <w:left w:val="single" w:sz="12" w:space="0" w:color="auto"/>
              <w:right w:val="single" w:sz="12" w:space="0" w:color="auto"/>
            </w:tcBorders>
            <w:shd w:val="clear" w:color="auto" w:fill="FFFFFF" w:themeFill="background1"/>
            <w:vAlign w:val="center"/>
            <w:hideMark/>
          </w:tcPr>
          <w:p w:rsidR="00C17E74" w:rsidRPr="00C17E74" w:rsidRDefault="00C17E74" w:rsidP="00C17E74">
            <w:pPr>
              <w:spacing w:line="240" w:lineRule="auto"/>
              <w:rPr>
                <w:rFonts w:ascii="Calibri" w:eastAsia="Times New Roman" w:hAnsi="Calibri" w:cs="Calibri"/>
                <w:sz w:val="18"/>
                <w:szCs w:val="20"/>
                <w:lang w:eastAsia="en-AU"/>
              </w:rPr>
            </w:pPr>
            <w:r w:rsidRPr="00C17E74">
              <w:rPr>
                <w:rFonts w:ascii="Calibri" w:eastAsia="Times New Roman" w:hAnsi="Calibri" w:cs="Calibri"/>
                <w:sz w:val="18"/>
                <w:szCs w:val="20"/>
                <w:lang w:eastAsia="en-AU"/>
              </w:rPr>
              <w:t>An increase in the number of parents and families that are better informed about learning and career options</w:t>
            </w:r>
          </w:p>
        </w:tc>
        <w:tc>
          <w:tcPr>
            <w:tcW w:w="1198" w:type="dxa"/>
            <w:tcBorders>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40</w:t>
            </w:r>
          </w:p>
        </w:tc>
        <w:tc>
          <w:tcPr>
            <w:tcW w:w="737" w:type="dxa"/>
            <w:tcBorders>
              <w:left w:val="single" w:sz="12" w:space="0" w:color="auto"/>
              <w:bottom w:val="single" w:sz="4" w:space="0" w:color="auto"/>
              <w:right w:val="single" w:sz="4" w:space="0" w:color="auto"/>
            </w:tcBorders>
            <w:shd w:val="clear" w:color="auto" w:fill="auto"/>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8%</w:t>
            </w:r>
          </w:p>
        </w:tc>
        <w:tc>
          <w:tcPr>
            <w:tcW w:w="826" w:type="dxa"/>
            <w:tcBorders>
              <w:left w:val="single" w:sz="4"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23%</w:t>
            </w:r>
          </w:p>
        </w:tc>
        <w:tc>
          <w:tcPr>
            <w:tcW w:w="1094" w:type="dxa"/>
            <w:tcBorders>
              <w:left w:val="single" w:sz="4"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20%</w:t>
            </w:r>
          </w:p>
        </w:tc>
        <w:tc>
          <w:tcPr>
            <w:tcW w:w="1199" w:type="dxa"/>
            <w:tcBorders>
              <w:left w:val="single" w:sz="4"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18%</w:t>
            </w:r>
          </w:p>
        </w:tc>
        <w:tc>
          <w:tcPr>
            <w:tcW w:w="879" w:type="dxa"/>
            <w:tcBorders>
              <w:left w:val="single" w:sz="4" w:space="0" w:color="auto"/>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33%</w:t>
            </w:r>
          </w:p>
        </w:tc>
      </w:tr>
      <w:tr w:rsidR="00C17E74" w:rsidRPr="00C17E74" w:rsidTr="0053283A">
        <w:trPr>
          <w:trHeight w:val="427"/>
        </w:trPr>
        <w:tc>
          <w:tcPr>
            <w:tcW w:w="4957" w:type="dxa"/>
            <w:tcBorders>
              <w:left w:val="single" w:sz="12" w:space="0" w:color="auto"/>
              <w:bottom w:val="single" w:sz="4"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rPr>
                <w:rFonts w:ascii="Calibri" w:eastAsia="Times New Roman" w:hAnsi="Calibri" w:cs="Calibri"/>
                <w:sz w:val="18"/>
                <w:szCs w:val="20"/>
                <w:lang w:eastAsia="en-AU"/>
              </w:rPr>
            </w:pPr>
            <w:r w:rsidRPr="00C17E74">
              <w:rPr>
                <w:rFonts w:ascii="Calibri" w:eastAsia="Times New Roman" w:hAnsi="Calibri" w:cs="Calibri"/>
                <w:sz w:val="18"/>
                <w:szCs w:val="20"/>
                <w:lang w:eastAsia="en-AU"/>
              </w:rPr>
              <w:t>An increase in the number of parents and families that are confident to interact with education and training providers, employers and community groups to support participation and engagement of their children</w:t>
            </w:r>
          </w:p>
        </w:tc>
        <w:tc>
          <w:tcPr>
            <w:tcW w:w="1198" w:type="dxa"/>
            <w:tcBorders>
              <w:left w:val="single" w:sz="12" w:space="0" w:color="auto"/>
              <w:bottom w:val="single" w:sz="4" w:space="0" w:color="auto"/>
              <w:right w:val="single" w:sz="12" w:space="0" w:color="auto"/>
            </w:tcBorders>
            <w:shd w:val="clear" w:color="auto" w:fill="B6DDE8" w:themeFill="accent5" w:themeFillTint="66"/>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46</w:t>
            </w:r>
          </w:p>
        </w:tc>
        <w:tc>
          <w:tcPr>
            <w:tcW w:w="737" w:type="dxa"/>
            <w:tcBorders>
              <w:left w:val="single" w:sz="12" w:space="0" w:color="auto"/>
              <w:bottom w:val="single" w:sz="4" w:space="0" w:color="auto"/>
              <w:right w:val="single" w:sz="4"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13%</w:t>
            </w:r>
          </w:p>
        </w:tc>
        <w:tc>
          <w:tcPr>
            <w:tcW w:w="826" w:type="dxa"/>
            <w:tcBorders>
              <w:left w:val="single" w:sz="4" w:space="0" w:color="auto"/>
              <w:bottom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30%</w:t>
            </w:r>
          </w:p>
        </w:tc>
        <w:tc>
          <w:tcPr>
            <w:tcW w:w="1094" w:type="dxa"/>
            <w:tcBorders>
              <w:left w:val="single" w:sz="4" w:space="0" w:color="auto"/>
              <w:bottom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24%</w:t>
            </w:r>
          </w:p>
        </w:tc>
        <w:tc>
          <w:tcPr>
            <w:tcW w:w="1199" w:type="dxa"/>
            <w:tcBorders>
              <w:left w:val="single" w:sz="4" w:space="0" w:color="auto"/>
              <w:bottom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13%</w:t>
            </w:r>
          </w:p>
        </w:tc>
        <w:tc>
          <w:tcPr>
            <w:tcW w:w="879" w:type="dxa"/>
            <w:tcBorders>
              <w:left w:val="single" w:sz="4" w:space="0" w:color="auto"/>
              <w:bottom w:val="single" w:sz="4" w:space="0" w:color="auto"/>
              <w:right w:val="single" w:sz="12"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20%</w:t>
            </w:r>
          </w:p>
        </w:tc>
      </w:tr>
      <w:tr w:rsidR="00C17E74" w:rsidRPr="00C17E74" w:rsidTr="0053283A">
        <w:trPr>
          <w:trHeight w:val="427"/>
        </w:trPr>
        <w:tc>
          <w:tcPr>
            <w:tcW w:w="4957" w:type="dxa"/>
            <w:tcBorders>
              <w:left w:val="single" w:sz="12" w:space="0" w:color="auto"/>
              <w:bottom w:val="single" w:sz="4" w:space="0" w:color="auto"/>
              <w:right w:val="single" w:sz="12" w:space="0" w:color="auto"/>
            </w:tcBorders>
            <w:shd w:val="clear" w:color="auto" w:fill="auto"/>
            <w:vAlign w:val="center"/>
            <w:hideMark/>
          </w:tcPr>
          <w:p w:rsidR="00C17E74" w:rsidRPr="00C17E74" w:rsidRDefault="00C17E74" w:rsidP="00C17E74">
            <w:pPr>
              <w:spacing w:line="240" w:lineRule="auto"/>
              <w:rPr>
                <w:rFonts w:ascii="Calibri" w:eastAsia="Times New Roman" w:hAnsi="Calibri" w:cs="Calibri"/>
                <w:sz w:val="18"/>
                <w:szCs w:val="20"/>
                <w:lang w:eastAsia="en-AU"/>
              </w:rPr>
            </w:pPr>
            <w:r w:rsidRPr="00C17E74">
              <w:rPr>
                <w:rFonts w:ascii="Calibri" w:eastAsia="Times New Roman" w:hAnsi="Calibri" w:cs="Calibri"/>
                <w:sz w:val="18"/>
                <w:szCs w:val="20"/>
                <w:lang w:eastAsia="en-AU"/>
              </w:rPr>
              <w:t>An increase in the number of parents and families that have improved understanding of the link between learning and career aspirations</w:t>
            </w:r>
          </w:p>
        </w:tc>
        <w:tc>
          <w:tcPr>
            <w:tcW w:w="1198" w:type="dxa"/>
            <w:tcBorders>
              <w:left w:val="single" w:sz="12" w:space="0" w:color="auto"/>
              <w:bottom w:val="single" w:sz="4"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32</w:t>
            </w:r>
          </w:p>
        </w:tc>
        <w:tc>
          <w:tcPr>
            <w:tcW w:w="737" w:type="dxa"/>
            <w:tcBorders>
              <w:left w:val="single" w:sz="12" w:space="0" w:color="auto"/>
              <w:bottom w:val="single" w:sz="4" w:space="0" w:color="auto"/>
              <w:right w:val="single" w:sz="4" w:space="0" w:color="auto"/>
            </w:tcBorders>
            <w:shd w:val="clear" w:color="auto" w:fill="auto"/>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16%</w:t>
            </w:r>
          </w:p>
        </w:tc>
        <w:tc>
          <w:tcPr>
            <w:tcW w:w="826" w:type="dxa"/>
            <w:tcBorders>
              <w:left w:val="single" w:sz="4"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22%</w:t>
            </w:r>
          </w:p>
        </w:tc>
        <w:tc>
          <w:tcPr>
            <w:tcW w:w="1094" w:type="dxa"/>
            <w:tcBorders>
              <w:left w:val="single" w:sz="4"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19%</w:t>
            </w:r>
          </w:p>
        </w:tc>
        <w:tc>
          <w:tcPr>
            <w:tcW w:w="1199" w:type="dxa"/>
            <w:tcBorders>
              <w:left w:val="single" w:sz="4" w:space="0" w:color="auto"/>
              <w:bottom w:val="single" w:sz="4" w:space="0" w:color="auto"/>
              <w:right w:val="single" w:sz="4"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6%</w:t>
            </w:r>
          </w:p>
        </w:tc>
        <w:tc>
          <w:tcPr>
            <w:tcW w:w="879" w:type="dxa"/>
            <w:tcBorders>
              <w:left w:val="single" w:sz="4" w:space="0" w:color="auto"/>
              <w:bottom w:val="single" w:sz="4" w:space="0" w:color="auto"/>
              <w:right w:val="single" w:sz="12" w:space="0" w:color="auto"/>
            </w:tcBorders>
            <w:shd w:val="clear" w:color="auto" w:fill="auto"/>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38%</w:t>
            </w:r>
          </w:p>
        </w:tc>
      </w:tr>
    </w:tbl>
    <w:p w:rsidR="00C17E74" w:rsidRPr="00C17E74" w:rsidRDefault="00C17E74" w:rsidP="00C17E74">
      <w:pPr>
        <w:spacing w:before="120" w:line="240" w:lineRule="auto"/>
        <w:ind w:right="34"/>
        <w:rPr>
          <w:rFonts w:ascii="Calibri" w:eastAsia="Times New Roman" w:hAnsi="Calibri" w:cstheme="minorHAnsi"/>
          <w:sz w:val="20"/>
          <w:lang w:val="en-US"/>
        </w:rPr>
        <w:sectPr w:rsidR="00C17E74" w:rsidRPr="00C17E74" w:rsidSect="0053283A">
          <w:type w:val="continuous"/>
          <w:pgSz w:w="11906" w:h="16838"/>
          <w:pgMar w:top="426" w:right="991" w:bottom="567" w:left="1134" w:header="142" w:footer="0" w:gutter="0"/>
          <w:cols w:num="2" w:space="142" w:equalWidth="0">
            <w:col w:w="4253" w:space="119"/>
            <w:col w:w="5409"/>
          </w:cols>
          <w:docGrid w:linePitch="360"/>
        </w:sectPr>
      </w:pPr>
      <w:r w:rsidRPr="00C17E74">
        <w:rPr>
          <w:rFonts w:ascii="Calibri" w:eastAsia="Times New Roman" w:hAnsi="Calibri" w:cstheme="minorHAnsi"/>
          <w:sz w:val="20"/>
          <w:lang w:val="en-US"/>
        </w:rPr>
        <w:lastRenderedPageBreak/>
        <w:br w:type="column"/>
      </w:r>
    </w:p>
    <w:p w:rsidR="00C17E74" w:rsidRPr="00C17E74" w:rsidRDefault="00C17E74" w:rsidP="00C17E74">
      <w:pPr>
        <w:spacing w:before="120" w:line="240" w:lineRule="auto"/>
        <w:ind w:left="-284" w:right="34"/>
        <w:rPr>
          <w:rFonts w:ascii="Calibri" w:eastAsia="Times New Roman" w:hAnsi="Calibri" w:cstheme="minorHAnsi"/>
          <w:lang w:val="en-US"/>
        </w:rPr>
      </w:pPr>
      <w:r w:rsidRPr="00C17E74">
        <w:rPr>
          <w:rFonts w:ascii="Calibri" w:eastAsia="Times New Roman" w:hAnsi="Calibri" w:cstheme="minorHAnsi"/>
          <w:lang w:val="en-US"/>
        </w:rPr>
        <w:t>The data above shows that:</w:t>
      </w:r>
    </w:p>
    <w:p w:rsidR="00C17E74" w:rsidRPr="00C17E74" w:rsidRDefault="00C17E74" w:rsidP="00C17E74">
      <w:pPr>
        <w:numPr>
          <w:ilvl w:val="0"/>
          <w:numId w:val="43"/>
        </w:numPr>
        <w:spacing w:line="240" w:lineRule="auto"/>
        <w:ind w:left="284" w:right="-397" w:hanging="426"/>
        <w:rPr>
          <w:rFonts w:ascii="Calibri" w:eastAsia="Times New Roman" w:hAnsi="Calibri" w:cs="Calibri"/>
        </w:rPr>
      </w:pPr>
      <w:r w:rsidRPr="00C17E74">
        <w:rPr>
          <w:rFonts w:ascii="Calibri" w:eastAsia="Times New Roman" w:hAnsi="Calibri" w:cs="Calibri"/>
        </w:rPr>
        <w:t>Providers reported 39% of partnerships that have been evaluated have achieved or made considerable progress against this outcome</w:t>
      </w:r>
    </w:p>
    <w:p w:rsidR="00C17E74" w:rsidRPr="00C17E74" w:rsidRDefault="00C17E74" w:rsidP="00C17E74">
      <w:pPr>
        <w:numPr>
          <w:ilvl w:val="0"/>
          <w:numId w:val="43"/>
        </w:numPr>
        <w:spacing w:line="240" w:lineRule="auto"/>
        <w:ind w:left="284" w:right="-397" w:hanging="426"/>
        <w:rPr>
          <w:rFonts w:ascii="Calibri" w:eastAsia="Times New Roman" w:hAnsi="Calibri" w:cs="Calibri"/>
        </w:rPr>
      </w:pPr>
      <w:r w:rsidRPr="00C17E74">
        <w:rPr>
          <w:rFonts w:ascii="Calibri" w:eastAsia="Times New Roman" w:hAnsi="Calibri" w:cs="Calibri"/>
        </w:rPr>
        <w:t>Providers reported 38% of partnerships that have been evaluated have made limited or some progress against this outcome</w:t>
      </w:r>
    </w:p>
    <w:p w:rsidR="00C17E74" w:rsidRPr="00C17E74" w:rsidRDefault="00C17E74" w:rsidP="00C17E74">
      <w:pPr>
        <w:numPr>
          <w:ilvl w:val="0"/>
          <w:numId w:val="43"/>
        </w:numPr>
        <w:spacing w:line="240" w:lineRule="auto"/>
        <w:ind w:left="284" w:right="-397" w:hanging="426"/>
        <w:rPr>
          <w:rFonts w:ascii="Calibri" w:eastAsia="Times New Roman" w:hAnsi="Calibri" w:cs="Calibri"/>
          <w:sz w:val="20"/>
        </w:rPr>
      </w:pPr>
      <w:r w:rsidRPr="00C17E74">
        <w:rPr>
          <w:rFonts w:ascii="Calibri" w:eastAsia="Times New Roman" w:hAnsi="Calibri" w:cs="Calibri"/>
        </w:rPr>
        <w:t>There are 46 partnerships (16% of the total number of partnerships in SA) that have made progress towards providing ‘</w:t>
      </w:r>
      <w:r w:rsidRPr="00C17E74">
        <w:rPr>
          <w:rFonts w:ascii="Calibri" w:eastAsia="Times New Roman" w:hAnsi="Calibri" w:cs="Calibri"/>
          <w:i/>
        </w:rPr>
        <w:t>an increase in the number of parents and families confident to interact with education and training providers, employers and community groups to support participation and engagement of their children</w:t>
      </w:r>
      <w:r w:rsidRPr="00C17E74">
        <w:rPr>
          <w:rFonts w:ascii="Calibri" w:eastAsia="Times New Roman" w:hAnsi="Calibri" w:cs="Calibri"/>
        </w:rPr>
        <w:t>’. Providers reported that 33% of these partnerships have achieved or made considerable progress against</w:t>
      </w:r>
      <w:r w:rsidRPr="00C17E74">
        <w:rPr>
          <w:rFonts w:ascii="Calibri" w:eastAsia="Times New Roman" w:hAnsi="Calibri" w:cs="Calibri"/>
          <w:sz w:val="20"/>
        </w:rPr>
        <w:t xml:space="preserve"> this </w:t>
      </w:r>
      <w:proofErr w:type="spellStart"/>
      <w:r w:rsidRPr="00C17E74">
        <w:rPr>
          <w:rFonts w:ascii="Calibri" w:eastAsia="Times New Roman" w:hAnsi="Calibri" w:cs="Calibri"/>
          <w:sz w:val="20"/>
        </w:rPr>
        <w:t>KPM</w:t>
      </w:r>
      <w:proofErr w:type="spellEnd"/>
      <w:r w:rsidRPr="00C17E74">
        <w:rPr>
          <w:rFonts w:ascii="Calibri" w:eastAsia="Times New Roman" w:hAnsi="Calibri" w:cs="Calibri"/>
          <w:sz w:val="20"/>
        </w:rPr>
        <w:t>.</w:t>
      </w:r>
    </w:p>
    <w:p w:rsidR="00C17E74" w:rsidRPr="00C17E74" w:rsidRDefault="00C17E74" w:rsidP="00C17E74">
      <w:pPr>
        <w:numPr>
          <w:ilvl w:val="0"/>
          <w:numId w:val="43"/>
        </w:numPr>
        <w:spacing w:line="240" w:lineRule="auto"/>
        <w:ind w:left="284" w:right="-397" w:hanging="426"/>
        <w:rPr>
          <w:rFonts w:ascii="Calibri" w:eastAsia="Times New Roman" w:hAnsi="Calibri" w:cs="Calibri"/>
          <w:sz w:val="20"/>
        </w:rPr>
        <w:sectPr w:rsidR="00C17E74" w:rsidRPr="00C17E74" w:rsidSect="0053283A">
          <w:type w:val="continuous"/>
          <w:pgSz w:w="11906" w:h="16838"/>
          <w:pgMar w:top="426" w:right="991" w:bottom="567" w:left="1134" w:header="142" w:footer="0" w:gutter="0"/>
          <w:cols w:space="119"/>
          <w:docGrid w:linePitch="360"/>
        </w:sectPr>
      </w:pPr>
    </w:p>
    <w:p w:rsidR="00C17E74" w:rsidRPr="00C17E74" w:rsidRDefault="00C17E74" w:rsidP="00C17E74">
      <w:pPr>
        <w:spacing w:line="240" w:lineRule="auto"/>
        <w:ind w:left="720" w:right="-397" w:hanging="360"/>
        <w:rPr>
          <w:rFonts w:ascii="Calibri" w:eastAsia="Times New Roman" w:hAnsi="Calibri" w:cs="Calibri"/>
          <w:sz w:val="20"/>
        </w:rPr>
      </w:pPr>
    </w:p>
    <w:p w:rsidR="00C17E74" w:rsidRPr="00C17E74" w:rsidRDefault="00C17E74" w:rsidP="00C17E74">
      <w:pPr>
        <w:spacing w:line="240" w:lineRule="auto"/>
        <w:rPr>
          <w:rFonts w:ascii="Calibri" w:eastAsia="Times New Roman" w:hAnsi="Calibri" w:cs="Calibri"/>
          <w:sz w:val="20"/>
        </w:rPr>
      </w:pPr>
      <w:r w:rsidRPr="00C17E74">
        <w:rPr>
          <w:rFonts w:ascii="Times New Roman" w:eastAsia="Times New Roman" w:hAnsi="Times New Roman" w:cs="Times New Roman"/>
          <w:sz w:val="24"/>
        </w:rPr>
        <w:br w:type="page"/>
      </w:r>
    </w:p>
    <w:p w:rsidR="00C17E74" w:rsidRPr="00C17E74" w:rsidRDefault="00C17E74" w:rsidP="00C17E74">
      <w:pPr>
        <w:spacing w:line="240" w:lineRule="auto"/>
        <w:ind w:left="720" w:right="-397" w:hanging="360"/>
        <w:rPr>
          <w:rFonts w:ascii="Calibri" w:eastAsia="Times New Roman" w:hAnsi="Calibri" w:cs="Calibri"/>
          <w:sz w:val="20"/>
        </w:rPr>
      </w:pPr>
    </w:p>
    <w:p w:rsidR="00C17E74" w:rsidRPr="00C17E74" w:rsidRDefault="00C17E74" w:rsidP="00C17E74">
      <w:pPr>
        <w:spacing w:line="240" w:lineRule="auto"/>
        <w:ind w:left="720" w:right="-397" w:hanging="360"/>
        <w:rPr>
          <w:rFonts w:ascii="Calibri" w:eastAsia="Times New Roman" w:hAnsi="Calibri" w:cs="Calibri"/>
          <w:sz w:val="20"/>
        </w:rPr>
      </w:pPr>
    </w:p>
    <w:p w:rsidR="00C17E74" w:rsidRPr="00C17E74" w:rsidRDefault="00C17E74" w:rsidP="00C17E74">
      <w:pPr>
        <w:spacing w:line="240" w:lineRule="auto"/>
        <w:ind w:right="-397"/>
        <w:rPr>
          <w:rFonts w:ascii="Calibri" w:eastAsia="Times New Roman" w:hAnsi="Calibri" w:cs="Calibri"/>
          <w:sz w:val="20"/>
        </w:rPr>
        <w:sectPr w:rsidR="00C17E74" w:rsidRPr="00C17E74" w:rsidSect="0053283A">
          <w:type w:val="continuous"/>
          <w:pgSz w:w="11906" w:h="16838"/>
          <w:pgMar w:top="426" w:right="991" w:bottom="567" w:left="1134" w:header="142" w:footer="0" w:gutter="0"/>
          <w:cols w:space="119"/>
          <w:docGrid w:linePitch="360"/>
        </w:sectPr>
      </w:pPr>
    </w:p>
    <w:tbl>
      <w:tblPr>
        <w:tblpPr w:leftFromText="180" w:rightFromText="180" w:vertAnchor="text" w:horzAnchor="margin" w:tblpXSpec="center" w:tblpY="22"/>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47"/>
        <w:gridCol w:w="1200"/>
        <w:gridCol w:w="755"/>
        <w:gridCol w:w="895"/>
        <w:gridCol w:w="1145"/>
        <w:gridCol w:w="1255"/>
        <w:gridCol w:w="915"/>
      </w:tblGrid>
      <w:tr w:rsidR="00C17E74" w:rsidRPr="00C17E74" w:rsidTr="0053283A">
        <w:trPr>
          <w:trHeight w:val="426"/>
        </w:trPr>
        <w:tc>
          <w:tcPr>
            <w:tcW w:w="6398" w:type="dxa"/>
            <w:tcBorders>
              <w:top w:val="single" w:sz="12" w:space="0" w:color="auto"/>
              <w:left w:val="single" w:sz="12" w:space="0" w:color="auto"/>
              <w:bottom w:val="single" w:sz="12" w:space="0" w:color="auto"/>
              <w:right w:val="single" w:sz="12" w:space="0" w:color="auto"/>
            </w:tcBorders>
            <w:shd w:val="clear" w:color="auto" w:fill="92CDDC" w:themeFill="accent5" w:themeFillTint="99"/>
            <w:vAlign w:val="center"/>
            <w:hideMark/>
          </w:tcPr>
          <w:p w:rsidR="00C17E74" w:rsidRPr="00C17E74" w:rsidRDefault="00C17E74" w:rsidP="00C17E74">
            <w:pPr>
              <w:spacing w:line="240" w:lineRule="auto"/>
              <w:outlineLvl w:val="2"/>
              <w:rPr>
                <w:rFonts w:asciiTheme="majorHAnsi" w:eastAsia="Times New Roman" w:hAnsiTheme="majorHAnsi" w:cstheme="minorHAnsi"/>
                <w:bCs/>
                <w:sz w:val="24"/>
                <w:lang w:eastAsia="en-AU"/>
              </w:rPr>
            </w:pPr>
            <w:bookmarkStart w:id="119" w:name="_Toc355862718"/>
            <w:r w:rsidRPr="00C17E74">
              <w:rPr>
                <w:rFonts w:eastAsia="Times New Roman" w:cstheme="minorHAnsi"/>
                <w:b/>
                <w:bCs/>
                <w:sz w:val="24"/>
              </w:rPr>
              <w:t xml:space="preserve">Table </w:t>
            </w:r>
            <w:proofErr w:type="spellStart"/>
            <w:r w:rsidRPr="00C17E74">
              <w:rPr>
                <w:rFonts w:eastAsia="Times New Roman" w:cstheme="minorHAnsi"/>
                <w:b/>
                <w:bCs/>
                <w:sz w:val="24"/>
              </w:rPr>
              <w:t>I5</w:t>
            </w:r>
            <w:proofErr w:type="spellEnd"/>
            <w:r w:rsidRPr="00C17E74">
              <w:rPr>
                <w:rFonts w:eastAsia="Times New Roman" w:cstheme="minorHAnsi"/>
                <w:b/>
                <w:bCs/>
                <w:sz w:val="24"/>
              </w:rPr>
              <w:t xml:space="preserve"> – Outcome – Community Groups</w:t>
            </w:r>
            <w:bookmarkEnd w:id="119"/>
          </w:p>
        </w:tc>
        <w:tc>
          <w:tcPr>
            <w:tcW w:w="1239" w:type="dxa"/>
            <w:tcBorders>
              <w:top w:val="single" w:sz="12" w:space="0" w:color="auto"/>
              <w:left w:val="single" w:sz="12" w:space="0" w:color="auto"/>
              <w:bottom w:val="single" w:sz="12" w:space="0" w:color="auto"/>
              <w:right w:val="single" w:sz="12" w:space="0" w:color="auto"/>
            </w:tcBorders>
            <w:shd w:val="clear" w:color="auto" w:fill="92CDDC" w:themeFill="accent5" w:themeFillTint="99"/>
            <w:vAlign w:val="center"/>
            <w:hideMark/>
          </w:tcPr>
          <w:p w:rsidR="00C17E74" w:rsidRPr="00C17E74" w:rsidRDefault="00C17E74" w:rsidP="00C17E74">
            <w:pPr>
              <w:spacing w:line="240" w:lineRule="auto"/>
              <w:jc w:val="center"/>
              <w:rPr>
                <w:rFonts w:ascii="Arial" w:eastAsia="Times New Roman" w:hAnsi="Arial" w:cs="Times New Roman"/>
                <w:b/>
                <w:bCs/>
                <w:sz w:val="18"/>
                <w:szCs w:val="20"/>
                <w:lang w:eastAsia="en-AU"/>
              </w:rPr>
            </w:pPr>
            <w:r w:rsidRPr="00C17E74">
              <w:rPr>
                <w:rFonts w:ascii="Arial" w:eastAsia="Times New Roman" w:hAnsi="Arial" w:cs="Times New Roman"/>
                <w:b/>
                <w:bCs/>
                <w:sz w:val="18"/>
                <w:szCs w:val="20"/>
                <w:lang w:eastAsia="en-AU"/>
              </w:rPr>
              <w:t xml:space="preserve">Total </w:t>
            </w:r>
            <w:proofErr w:type="spellStart"/>
            <w:r w:rsidRPr="00C17E74">
              <w:rPr>
                <w:rFonts w:ascii="Arial" w:eastAsia="Times New Roman" w:hAnsi="Arial" w:cs="Times New Roman"/>
                <w:b/>
                <w:bCs/>
                <w:sz w:val="18"/>
                <w:szCs w:val="20"/>
                <w:lang w:eastAsia="en-AU"/>
              </w:rPr>
              <w:t>KPM</w:t>
            </w:r>
            <w:proofErr w:type="spellEnd"/>
            <w:r w:rsidRPr="00C17E74">
              <w:rPr>
                <w:rFonts w:ascii="Arial" w:eastAsia="Times New Roman" w:hAnsi="Arial" w:cs="Times New Roman"/>
                <w:b/>
                <w:bCs/>
                <w:sz w:val="18"/>
                <w:szCs w:val="20"/>
                <w:lang w:eastAsia="en-AU"/>
              </w:rPr>
              <w:t xml:space="preserve"> Evaluations</w:t>
            </w:r>
          </w:p>
        </w:tc>
        <w:tc>
          <w:tcPr>
            <w:tcW w:w="635" w:type="dxa"/>
            <w:tcBorders>
              <w:top w:val="single" w:sz="12" w:space="0" w:color="auto"/>
              <w:left w:val="single" w:sz="12" w:space="0" w:color="auto"/>
              <w:bottom w:val="single" w:sz="12" w:space="0" w:color="auto"/>
              <w:right w:val="single" w:sz="4" w:space="0" w:color="auto"/>
            </w:tcBorders>
            <w:shd w:val="clear" w:color="auto" w:fill="92CDDC" w:themeFill="accent5" w:themeFillTint="99"/>
            <w:vAlign w:val="center"/>
            <w:hideMark/>
          </w:tcPr>
          <w:p w:rsidR="00C17E74" w:rsidRPr="00C17E74" w:rsidRDefault="00C17E74" w:rsidP="00C17E74">
            <w:pPr>
              <w:spacing w:line="240" w:lineRule="auto"/>
              <w:jc w:val="center"/>
              <w:rPr>
                <w:rFonts w:ascii="Arial" w:eastAsia="Times New Roman" w:hAnsi="Arial" w:cs="Times New Roman"/>
                <w:b/>
                <w:bCs/>
                <w:sz w:val="18"/>
                <w:szCs w:val="20"/>
                <w:lang w:eastAsia="en-AU"/>
              </w:rPr>
            </w:pPr>
            <w:r w:rsidRPr="00C17E74">
              <w:rPr>
                <w:rFonts w:ascii="Arial" w:eastAsia="Times New Roman" w:hAnsi="Arial" w:cs="Times New Roman"/>
                <w:b/>
                <w:bCs/>
                <w:sz w:val="18"/>
                <w:szCs w:val="20"/>
                <w:lang w:eastAsia="en-AU"/>
              </w:rPr>
              <w:t>1</w:t>
            </w:r>
          </w:p>
        </w:tc>
        <w:tc>
          <w:tcPr>
            <w:tcW w:w="635" w:type="dxa"/>
            <w:tcBorders>
              <w:top w:val="single" w:sz="12" w:space="0" w:color="auto"/>
              <w:left w:val="single" w:sz="4" w:space="0" w:color="auto"/>
              <w:bottom w:val="single" w:sz="12" w:space="0" w:color="auto"/>
              <w:right w:val="single" w:sz="4" w:space="0" w:color="auto"/>
            </w:tcBorders>
            <w:shd w:val="clear" w:color="auto" w:fill="92CDDC" w:themeFill="accent5" w:themeFillTint="99"/>
            <w:vAlign w:val="center"/>
          </w:tcPr>
          <w:p w:rsidR="00C17E74" w:rsidRPr="00C17E74" w:rsidRDefault="00C17E74" w:rsidP="00C17E74">
            <w:pPr>
              <w:spacing w:line="240" w:lineRule="auto"/>
              <w:jc w:val="center"/>
              <w:rPr>
                <w:rFonts w:ascii="Arial" w:eastAsia="Times New Roman" w:hAnsi="Arial" w:cs="Times New Roman"/>
                <w:b/>
                <w:bCs/>
                <w:sz w:val="18"/>
                <w:szCs w:val="20"/>
                <w:lang w:eastAsia="en-AU"/>
              </w:rPr>
            </w:pPr>
            <w:r w:rsidRPr="00C17E74">
              <w:rPr>
                <w:rFonts w:ascii="Arial" w:eastAsia="Times New Roman" w:hAnsi="Arial" w:cs="Times New Roman"/>
                <w:b/>
                <w:bCs/>
                <w:sz w:val="18"/>
                <w:szCs w:val="20"/>
                <w:lang w:eastAsia="en-AU"/>
              </w:rPr>
              <w:t>2</w:t>
            </w:r>
          </w:p>
        </w:tc>
        <w:tc>
          <w:tcPr>
            <w:tcW w:w="635" w:type="dxa"/>
            <w:tcBorders>
              <w:top w:val="single" w:sz="12" w:space="0" w:color="auto"/>
              <w:left w:val="single" w:sz="4" w:space="0" w:color="auto"/>
              <w:bottom w:val="single" w:sz="12" w:space="0" w:color="auto"/>
              <w:right w:val="single" w:sz="4" w:space="0" w:color="auto"/>
            </w:tcBorders>
            <w:shd w:val="clear" w:color="auto" w:fill="92CDDC" w:themeFill="accent5" w:themeFillTint="99"/>
            <w:vAlign w:val="center"/>
          </w:tcPr>
          <w:p w:rsidR="00C17E74" w:rsidRPr="00C17E74" w:rsidRDefault="00C17E74" w:rsidP="00C17E74">
            <w:pPr>
              <w:spacing w:line="240" w:lineRule="auto"/>
              <w:jc w:val="center"/>
              <w:rPr>
                <w:rFonts w:ascii="Arial" w:eastAsia="Times New Roman" w:hAnsi="Arial" w:cs="Times New Roman"/>
                <w:b/>
                <w:bCs/>
                <w:sz w:val="18"/>
                <w:szCs w:val="20"/>
                <w:lang w:eastAsia="en-AU"/>
              </w:rPr>
            </w:pPr>
            <w:r w:rsidRPr="00C17E74">
              <w:rPr>
                <w:rFonts w:ascii="Arial" w:eastAsia="Times New Roman" w:hAnsi="Arial" w:cs="Times New Roman"/>
                <w:b/>
                <w:bCs/>
                <w:sz w:val="18"/>
                <w:szCs w:val="20"/>
                <w:lang w:eastAsia="en-AU"/>
              </w:rPr>
              <w:t>3</w:t>
            </w:r>
          </w:p>
        </w:tc>
        <w:tc>
          <w:tcPr>
            <w:tcW w:w="635" w:type="dxa"/>
            <w:tcBorders>
              <w:top w:val="single" w:sz="12" w:space="0" w:color="auto"/>
              <w:left w:val="single" w:sz="4" w:space="0" w:color="auto"/>
              <w:bottom w:val="single" w:sz="12" w:space="0" w:color="auto"/>
              <w:right w:val="single" w:sz="4" w:space="0" w:color="auto"/>
            </w:tcBorders>
            <w:shd w:val="clear" w:color="auto" w:fill="92CDDC" w:themeFill="accent5" w:themeFillTint="99"/>
            <w:vAlign w:val="center"/>
          </w:tcPr>
          <w:p w:rsidR="00C17E74" w:rsidRPr="00C17E74" w:rsidRDefault="00C17E74" w:rsidP="00C17E74">
            <w:pPr>
              <w:spacing w:line="240" w:lineRule="auto"/>
              <w:jc w:val="center"/>
              <w:rPr>
                <w:rFonts w:ascii="Arial" w:eastAsia="Times New Roman" w:hAnsi="Arial" w:cs="Times New Roman"/>
                <w:b/>
                <w:bCs/>
                <w:sz w:val="18"/>
                <w:szCs w:val="20"/>
                <w:lang w:eastAsia="en-AU"/>
              </w:rPr>
            </w:pPr>
            <w:r w:rsidRPr="00C17E74">
              <w:rPr>
                <w:rFonts w:ascii="Arial" w:eastAsia="Times New Roman" w:hAnsi="Arial" w:cs="Times New Roman"/>
                <w:b/>
                <w:bCs/>
                <w:sz w:val="18"/>
                <w:szCs w:val="20"/>
                <w:lang w:eastAsia="en-AU"/>
              </w:rPr>
              <w:t>4</w:t>
            </w:r>
          </w:p>
        </w:tc>
        <w:tc>
          <w:tcPr>
            <w:tcW w:w="635" w:type="dxa"/>
            <w:tcBorders>
              <w:top w:val="single" w:sz="12" w:space="0" w:color="auto"/>
              <w:left w:val="single" w:sz="4" w:space="0" w:color="auto"/>
              <w:bottom w:val="single" w:sz="12" w:space="0" w:color="auto"/>
              <w:right w:val="single" w:sz="12" w:space="0" w:color="auto"/>
            </w:tcBorders>
            <w:shd w:val="clear" w:color="auto" w:fill="92CDDC" w:themeFill="accent5" w:themeFillTint="99"/>
            <w:vAlign w:val="center"/>
          </w:tcPr>
          <w:p w:rsidR="00C17E74" w:rsidRPr="00C17E74" w:rsidRDefault="00C17E74" w:rsidP="00C17E74">
            <w:pPr>
              <w:spacing w:line="240" w:lineRule="auto"/>
              <w:jc w:val="center"/>
              <w:rPr>
                <w:rFonts w:ascii="Arial" w:eastAsia="Times New Roman" w:hAnsi="Arial" w:cs="Times New Roman"/>
                <w:b/>
                <w:bCs/>
                <w:sz w:val="18"/>
                <w:szCs w:val="20"/>
                <w:lang w:eastAsia="en-AU"/>
              </w:rPr>
            </w:pPr>
            <w:r w:rsidRPr="00C17E74">
              <w:rPr>
                <w:rFonts w:ascii="Arial" w:eastAsia="Times New Roman" w:hAnsi="Arial" w:cs="Times New Roman"/>
                <w:b/>
                <w:bCs/>
                <w:sz w:val="18"/>
                <w:szCs w:val="20"/>
                <w:lang w:eastAsia="en-AU"/>
              </w:rPr>
              <w:t>5</w:t>
            </w:r>
          </w:p>
        </w:tc>
      </w:tr>
      <w:tr w:rsidR="00C17E74" w:rsidRPr="00C17E74" w:rsidTr="0053283A">
        <w:trPr>
          <w:trHeight w:val="899"/>
        </w:trPr>
        <w:tc>
          <w:tcPr>
            <w:tcW w:w="6398" w:type="dxa"/>
            <w:tcBorders>
              <w:top w:val="single" w:sz="12" w:space="0" w:color="auto"/>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rPr>
                <w:rFonts w:ascii="Calibri" w:eastAsia="Times New Roman" w:hAnsi="Calibri" w:cs="Calibri"/>
                <w:color w:val="333333"/>
                <w:sz w:val="20"/>
                <w:szCs w:val="20"/>
                <w:lang w:eastAsia="en-AU"/>
              </w:rPr>
            </w:pPr>
            <w:r w:rsidRPr="00C17E74">
              <w:rPr>
                <w:rFonts w:ascii="Calibri" w:eastAsia="Times New Roman" w:hAnsi="Calibri" w:cs="Calibri"/>
                <w:sz w:val="20"/>
                <w:szCs w:val="20"/>
                <w:lang w:eastAsia="en-AU"/>
              </w:rPr>
              <w:t>Community groups participating in partnerships that harness resources and build social capital to support young people to identify and achieve their goals and improve their education and transition outcomes.</w:t>
            </w:r>
          </w:p>
        </w:tc>
        <w:tc>
          <w:tcPr>
            <w:tcW w:w="1239" w:type="dxa"/>
            <w:tcBorders>
              <w:top w:val="single" w:sz="12" w:space="0" w:color="auto"/>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269</w:t>
            </w:r>
          </w:p>
        </w:tc>
        <w:tc>
          <w:tcPr>
            <w:tcW w:w="635" w:type="dxa"/>
            <w:tcBorders>
              <w:top w:val="single" w:sz="12" w:space="0" w:color="auto"/>
              <w:left w:val="single" w:sz="12" w:space="0" w:color="auto"/>
              <w:right w:val="single" w:sz="4"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36</w:t>
            </w:r>
          </w:p>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(13%)</w:t>
            </w:r>
          </w:p>
        </w:tc>
        <w:tc>
          <w:tcPr>
            <w:tcW w:w="635" w:type="dxa"/>
            <w:tcBorders>
              <w:top w:val="single" w:sz="12" w:space="0" w:color="auto"/>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75</w:t>
            </w:r>
          </w:p>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(28%)</w:t>
            </w:r>
          </w:p>
        </w:tc>
        <w:tc>
          <w:tcPr>
            <w:tcW w:w="635" w:type="dxa"/>
            <w:tcBorders>
              <w:top w:val="single" w:sz="12" w:space="0" w:color="auto"/>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72</w:t>
            </w:r>
          </w:p>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(27%)</w:t>
            </w:r>
          </w:p>
        </w:tc>
        <w:tc>
          <w:tcPr>
            <w:tcW w:w="635" w:type="dxa"/>
            <w:tcBorders>
              <w:top w:val="single" w:sz="12" w:space="0" w:color="auto"/>
              <w:left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40</w:t>
            </w:r>
          </w:p>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(15%)</w:t>
            </w:r>
          </w:p>
        </w:tc>
        <w:tc>
          <w:tcPr>
            <w:tcW w:w="635" w:type="dxa"/>
            <w:tcBorders>
              <w:top w:val="single" w:sz="12" w:space="0" w:color="auto"/>
              <w:left w:val="single" w:sz="4" w:space="0" w:color="auto"/>
              <w:right w:val="single" w:sz="12"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46</w:t>
            </w:r>
          </w:p>
          <w:p w:rsidR="00C17E74" w:rsidRPr="00C17E74" w:rsidRDefault="00C17E74" w:rsidP="00C17E74">
            <w:pPr>
              <w:spacing w:line="240" w:lineRule="auto"/>
              <w:jc w:val="center"/>
              <w:rPr>
                <w:rFonts w:ascii="Calibri" w:eastAsia="Times New Roman" w:hAnsi="Calibri" w:cs="Calibri"/>
                <w:b/>
                <w:bCs/>
                <w:color w:val="000000"/>
                <w:sz w:val="20"/>
                <w:szCs w:val="20"/>
              </w:rPr>
            </w:pPr>
            <w:r w:rsidRPr="00C17E74">
              <w:rPr>
                <w:rFonts w:ascii="Calibri" w:eastAsia="Times New Roman" w:hAnsi="Calibri" w:cs="Calibri"/>
                <w:b/>
                <w:bCs/>
                <w:color w:val="000000"/>
                <w:sz w:val="20"/>
                <w:szCs w:val="20"/>
              </w:rPr>
              <w:t>(17%)</w:t>
            </w:r>
          </w:p>
        </w:tc>
      </w:tr>
      <w:tr w:rsidR="00C17E74" w:rsidRPr="00C17E74" w:rsidTr="0053283A">
        <w:trPr>
          <w:trHeight w:val="345"/>
        </w:trPr>
        <w:tc>
          <w:tcPr>
            <w:tcW w:w="10812" w:type="dxa"/>
            <w:gridSpan w:val="7"/>
            <w:tcBorders>
              <w:top w:val="single" w:sz="12" w:space="0" w:color="auto"/>
              <w:left w:val="nil"/>
              <w:bottom w:val="single" w:sz="4" w:space="0" w:color="auto"/>
              <w:right w:val="nil"/>
            </w:tcBorders>
            <w:shd w:val="clear" w:color="000000" w:fill="FFFFFF"/>
            <w:vAlign w:val="center"/>
            <w:hideMark/>
          </w:tcPr>
          <w:p w:rsidR="00C17E74" w:rsidRPr="00C17E74" w:rsidRDefault="00C17E74" w:rsidP="00C17E74">
            <w:pPr>
              <w:spacing w:line="240" w:lineRule="auto"/>
              <w:rPr>
                <w:rFonts w:eastAsia="Times New Roman" w:cstheme="minorHAnsi"/>
                <w:color w:val="000000"/>
                <w:sz w:val="20"/>
                <w:szCs w:val="20"/>
                <w:lang w:eastAsia="en-AU"/>
              </w:rPr>
            </w:pPr>
          </w:p>
        </w:tc>
      </w:tr>
      <w:tr w:rsidR="00C17E74" w:rsidRPr="00C17E74" w:rsidTr="0053283A">
        <w:trPr>
          <w:trHeight w:val="460"/>
        </w:trPr>
        <w:tc>
          <w:tcPr>
            <w:tcW w:w="6398" w:type="dxa"/>
            <w:tcBorders>
              <w:left w:val="single" w:sz="12" w:space="0" w:color="auto"/>
              <w:right w:val="single" w:sz="12" w:space="0" w:color="auto"/>
            </w:tcBorders>
            <w:shd w:val="clear" w:color="auto" w:fill="DAEEF3" w:themeFill="accent5" w:themeFillTint="33"/>
            <w:vAlign w:val="center"/>
          </w:tcPr>
          <w:p w:rsidR="00C17E74" w:rsidRPr="00C17E74" w:rsidRDefault="00C17E74" w:rsidP="00C17E74">
            <w:pPr>
              <w:spacing w:line="240" w:lineRule="auto"/>
              <w:jc w:val="center"/>
              <w:rPr>
                <w:rFonts w:ascii="Calibri" w:eastAsia="Times New Roman" w:hAnsi="Calibri" w:cs="Calibri"/>
                <w:b/>
                <w:bCs/>
                <w:sz w:val="18"/>
                <w:lang w:eastAsia="en-AU"/>
              </w:rPr>
            </w:pPr>
            <w:r w:rsidRPr="00C17E74">
              <w:rPr>
                <w:rFonts w:ascii="Calibri" w:eastAsia="Times New Roman" w:hAnsi="Calibri" w:cs="Calibri"/>
                <w:b/>
                <w:bCs/>
                <w:sz w:val="20"/>
                <w:lang w:eastAsia="en-AU"/>
              </w:rPr>
              <w:t xml:space="preserve">Table </w:t>
            </w:r>
            <w:proofErr w:type="spellStart"/>
            <w:r w:rsidRPr="00C17E74">
              <w:rPr>
                <w:rFonts w:ascii="Calibri" w:eastAsia="Times New Roman" w:hAnsi="Calibri" w:cs="Calibri"/>
                <w:b/>
                <w:bCs/>
                <w:sz w:val="20"/>
                <w:lang w:eastAsia="en-AU"/>
              </w:rPr>
              <w:t>I5</w:t>
            </w:r>
            <w:proofErr w:type="spellEnd"/>
            <w:r w:rsidRPr="00C17E74">
              <w:rPr>
                <w:rFonts w:ascii="Calibri" w:eastAsia="Times New Roman" w:hAnsi="Calibri" w:cs="Calibri"/>
                <w:b/>
                <w:bCs/>
                <w:sz w:val="20"/>
                <w:lang w:eastAsia="en-AU"/>
              </w:rPr>
              <w:t xml:space="preserve">  continued – Outcome – Community Groups (Breakdown of the  </w:t>
            </w:r>
            <w:proofErr w:type="spellStart"/>
            <w:r w:rsidRPr="00C17E74">
              <w:rPr>
                <w:rFonts w:ascii="Calibri" w:eastAsia="Times New Roman" w:hAnsi="Calibri" w:cs="Calibri"/>
                <w:b/>
                <w:bCs/>
                <w:sz w:val="20"/>
                <w:lang w:eastAsia="en-AU"/>
              </w:rPr>
              <w:t>KPMs</w:t>
            </w:r>
            <w:proofErr w:type="spellEnd"/>
            <w:r w:rsidRPr="00C17E74">
              <w:rPr>
                <w:rFonts w:ascii="Calibri" w:eastAsia="Times New Roman" w:hAnsi="Calibri" w:cs="Calibri"/>
                <w:b/>
                <w:bCs/>
                <w:sz w:val="20"/>
                <w:lang w:eastAsia="en-AU"/>
              </w:rPr>
              <w:t xml:space="preserve"> which contribute to the outcome above)</w:t>
            </w:r>
          </w:p>
        </w:tc>
        <w:tc>
          <w:tcPr>
            <w:tcW w:w="1239" w:type="dxa"/>
            <w:tcBorders>
              <w:left w:val="single" w:sz="12" w:space="0" w:color="auto"/>
              <w:right w:val="single" w:sz="12" w:space="0" w:color="auto"/>
            </w:tcBorders>
            <w:shd w:val="clear" w:color="auto" w:fill="DAEEF3" w:themeFill="accent5" w:themeFillTint="33"/>
            <w:vAlign w:val="center"/>
          </w:tcPr>
          <w:p w:rsidR="00C17E74" w:rsidRPr="00C17E74" w:rsidRDefault="00C17E74" w:rsidP="00C17E74">
            <w:pPr>
              <w:spacing w:line="240" w:lineRule="auto"/>
              <w:jc w:val="center"/>
              <w:rPr>
                <w:rFonts w:ascii="Arial" w:eastAsia="Times New Roman" w:hAnsi="Arial" w:cs="Times New Roman"/>
                <w:b/>
                <w:bCs/>
                <w:sz w:val="18"/>
                <w:lang w:eastAsia="en-AU"/>
              </w:rPr>
            </w:pPr>
            <w:r w:rsidRPr="00C17E74">
              <w:rPr>
                <w:rFonts w:ascii="Arial" w:eastAsia="Times New Roman" w:hAnsi="Arial" w:cs="Times New Roman"/>
                <w:b/>
                <w:bCs/>
                <w:sz w:val="18"/>
                <w:lang w:eastAsia="en-AU"/>
              </w:rPr>
              <w:t xml:space="preserve">Total </w:t>
            </w:r>
            <w:proofErr w:type="spellStart"/>
            <w:r w:rsidRPr="00C17E74">
              <w:rPr>
                <w:rFonts w:ascii="Arial" w:eastAsia="Times New Roman" w:hAnsi="Arial" w:cs="Times New Roman"/>
                <w:b/>
                <w:bCs/>
                <w:sz w:val="18"/>
                <w:lang w:eastAsia="en-AU"/>
              </w:rPr>
              <w:t>KPM</w:t>
            </w:r>
            <w:proofErr w:type="spellEnd"/>
            <w:r w:rsidRPr="00C17E74">
              <w:rPr>
                <w:rFonts w:ascii="Arial" w:eastAsia="Times New Roman" w:hAnsi="Arial" w:cs="Times New Roman"/>
                <w:b/>
                <w:bCs/>
                <w:sz w:val="18"/>
                <w:lang w:eastAsia="en-AU"/>
              </w:rPr>
              <w:t xml:space="preserve"> Evaluations</w:t>
            </w:r>
          </w:p>
        </w:tc>
        <w:tc>
          <w:tcPr>
            <w:tcW w:w="635" w:type="dxa"/>
            <w:tcBorders>
              <w:left w:val="single" w:sz="12" w:space="0" w:color="auto"/>
              <w:bottom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Arial" w:eastAsia="Times New Roman" w:hAnsi="Arial" w:cs="Times New Roman"/>
                <w:b/>
                <w:bCs/>
                <w:sz w:val="18"/>
                <w:lang w:eastAsia="en-AU"/>
              </w:rPr>
            </w:pPr>
            <w:r w:rsidRPr="00C17E74">
              <w:rPr>
                <w:rFonts w:ascii="Arial" w:eastAsia="Times New Roman" w:hAnsi="Arial" w:cs="Times New Roman"/>
                <w:b/>
                <w:bCs/>
                <w:sz w:val="18"/>
                <w:lang w:eastAsia="en-AU"/>
              </w:rPr>
              <w:t>1 – Limited</w:t>
            </w:r>
          </w:p>
        </w:tc>
        <w:tc>
          <w:tcPr>
            <w:tcW w:w="635" w:type="dxa"/>
            <w:tcBorders>
              <w:left w:val="single" w:sz="4" w:space="0" w:color="auto"/>
              <w:bottom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Arial" w:eastAsia="Times New Roman" w:hAnsi="Arial" w:cs="Times New Roman"/>
                <w:b/>
                <w:bCs/>
                <w:sz w:val="18"/>
                <w:lang w:eastAsia="en-AU"/>
              </w:rPr>
            </w:pPr>
            <w:r w:rsidRPr="00C17E74">
              <w:rPr>
                <w:rFonts w:ascii="Arial" w:eastAsia="Times New Roman" w:hAnsi="Arial" w:cs="Times New Roman"/>
                <w:b/>
                <w:bCs/>
                <w:sz w:val="18"/>
                <w:lang w:eastAsia="en-AU"/>
              </w:rPr>
              <w:t>2 – Some Progress</w:t>
            </w:r>
          </w:p>
        </w:tc>
        <w:tc>
          <w:tcPr>
            <w:tcW w:w="635" w:type="dxa"/>
            <w:tcBorders>
              <w:left w:val="single" w:sz="4" w:space="0" w:color="auto"/>
              <w:bottom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Arial" w:eastAsia="Times New Roman" w:hAnsi="Arial" w:cs="Times New Roman"/>
                <w:b/>
                <w:bCs/>
                <w:sz w:val="18"/>
                <w:lang w:eastAsia="en-AU"/>
              </w:rPr>
            </w:pPr>
            <w:r w:rsidRPr="00C17E74">
              <w:rPr>
                <w:rFonts w:ascii="Arial" w:eastAsia="Times New Roman" w:hAnsi="Arial" w:cs="Times New Roman"/>
                <w:b/>
                <w:bCs/>
                <w:sz w:val="18"/>
                <w:lang w:eastAsia="en-AU"/>
              </w:rPr>
              <w:t xml:space="preserve">3 – Satisfactory </w:t>
            </w:r>
          </w:p>
        </w:tc>
        <w:tc>
          <w:tcPr>
            <w:tcW w:w="635" w:type="dxa"/>
            <w:tcBorders>
              <w:left w:val="single" w:sz="4" w:space="0" w:color="auto"/>
              <w:bottom w:val="single" w:sz="4" w:space="0" w:color="auto"/>
              <w:right w:val="single" w:sz="4" w:space="0" w:color="auto"/>
            </w:tcBorders>
            <w:shd w:val="clear" w:color="auto" w:fill="DAEEF3" w:themeFill="accent5" w:themeFillTint="33"/>
            <w:vAlign w:val="center"/>
          </w:tcPr>
          <w:p w:rsidR="00C17E74" w:rsidRPr="00C17E74" w:rsidRDefault="00C17E74" w:rsidP="00C17E74">
            <w:pPr>
              <w:spacing w:line="240" w:lineRule="auto"/>
              <w:jc w:val="center"/>
              <w:rPr>
                <w:rFonts w:ascii="Arial" w:eastAsia="Times New Roman" w:hAnsi="Arial" w:cs="Times New Roman"/>
                <w:b/>
                <w:bCs/>
                <w:sz w:val="18"/>
                <w:lang w:eastAsia="en-AU"/>
              </w:rPr>
            </w:pPr>
            <w:r w:rsidRPr="00C17E74">
              <w:rPr>
                <w:rFonts w:ascii="Arial" w:eastAsia="Times New Roman" w:hAnsi="Arial" w:cs="Times New Roman"/>
                <w:b/>
                <w:bCs/>
                <w:sz w:val="18"/>
                <w:lang w:eastAsia="en-AU"/>
              </w:rPr>
              <w:t>4 – Considerable Progress</w:t>
            </w:r>
          </w:p>
        </w:tc>
        <w:tc>
          <w:tcPr>
            <w:tcW w:w="635" w:type="dxa"/>
            <w:tcBorders>
              <w:left w:val="single" w:sz="4" w:space="0" w:color="auto"/>
              <w:bottom w:val="single" w:sz="4" w:space="0" w:color="auto"/>
              <w:right w:val="single" w:sz="12" w:space="0" w:color="auto"/>
            </w:tcBorders>
            <w:shd w:val="clear" w:color="auto" w:fill="DAEEF3" w:themeFill="accent5" w:themeFillTint="33"/>
            <w:vAlign w:val="center"/>
          </w:tcPr>
          <w:p w:rsidR="00C17E74" w:rsidRPr="00C17E74" w:rsidRDefault="00C17E74" w:rsidP="00C17E74">
            <w:pPr>
              <w:spacing w:line="240" w:lineRule="auto"/>
              <w:jc w:val="center"/>
              <w:rPr>
                <w:rFonts w:ascii="Arial" w:eastAsia="Times New Roman" w:hAnsi="Arial" w:cs="Times New Roman"/>
                <w:b/>
                <w:bCs/>
                <w:sz w:val="18"/>
                <w:lang w:eastAsia="en-AU"/>
              </w:rPr>
            </w:pPr>
            <w:r w:rsidRPr="00C17E74">
              <w:rPr>
                <w:rFonts w:ascii="Arial" w:eastAsia="Times New Roman" w:hAnsi="Arial" w:cs="Times New Roman"/>
                <w:b/>
                <w:bCs/>
                <w:sz w:val="18"/>
                <w:lang w:eastAsia="en-AU"/>
              </w:rPr>
              <w:t>5 – Achieved</w:t>
            </w:r>
          </w:p>
        </w:tc>
      </w:tr>
      <w:tr w:rsidR="00C17E74" w:rsidRPr="00C17E74" w:rsidTr="0053283A">
        <w:trPr>
          <w:trHeight w:val="460"/>
        </w:trPr>
        <w:tc>
          <w:tcPr>
            <w:tcW w:w="6398" w:type="dxa"/>
            <w:tcBorders>
              <w:left w:val="single" w:sz="12" w:space="0" w:color="auto"/>
              <w:right w:val="single" w:sz="12" w:space="0" w:color="auto"/>
            </w:tcBorders>
            <w:shd w:val="clear" w:color="000000" w:fill="FFFFFF"/>
            <w:vAlign w:val="center"/>
            <w:hideMark/>
          </w:tcPr>
          <w:p w:rsidR="00C17E74" w:rsidRPr="00C17E74" w:rsidRDefault="00C17E74" w:rsidP="00C17E74">
            <w:pPr>
              <w:spacing w:line="240" w:lineRule="auto"/>
              <w:rPr>
                <w:rFonts w:ascii="Calibri" w:eastAsia="Times New Roman" w:hAnsi="Calibri" w:cs="Calibri"/>
                <w:sz w:val="18"/>
                <w:szCs w:val="20"/>
                <w:lang w:eastAsia="en-AU"/>
              </w:rPr>
            </w:pPr>
            <w:r w:rsidRPr="00C17E74">
              <w:rPr>
                <w:rFonts w:ascii="Calibri" w:eastAsia="Times New Roman" w:hAnsi="Calibri" w:cs="Calibri"/>
                <w:sz w:val="18"/>
                <w:szCs w:val="20"/>
                <w:lang w:eastAsia="en-AU"/>
              </w:rPr>
              <w:t>An increase in the number of community groups that partner with stakeholders to align services for young people and reduce service duplication and resource wastage</w:t>
            </w:r>
          </w:p>
        </w:tc>
        <w:tc>
          <w:tcPr>
            <w:tcW w:w="1239" w:type="dxa"/>
            <w:tcBorders>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29</w:t>
            </w:r>
          </w:p>
        </w:tc>
        <w:tc>
          <w:tcPr>
            <w:tcW w:w="635" w:type="dxa"/>
            <w:tcBorders>
              <w:left w:val="single" w:sz="12" w:space="0" w:color="auto"/>
              <w:bottom w:val="single" w:sz="4" w:space="0" w:color="auto"/>
              <w:right w:val="single" w:sz="4" w:space="0" w:color="auto"/>
            </w:tcBorders>
            <w:shd w:val="clear" w:color="000000" w:fill="FFFFFF"/>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14%</w:t>
            </w:r>
          </w:p>
        </w:tc>
        <w:tc>
          <w:tcPr>
            <w:tcW w:w="635" w:type="dxa"/>
            <w:tcBorders>
              <w:left w:val="single" w:sz="4" w:space="0" w:color="auto"/>
              <w:bottom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34%</w:t>
            </w:r>
          </w:p>
        </w:tc>
        <w:tc>
          <w:tcPr>
            <w:tcW w:w="635" w:type="dxa"/>
            <w:tcBorders>
              <w:left w:val="single" w:sz="4" w:space="0" w:color="auto"/>
              <w:bottom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14%</w:t>
            </w:r>
          </w:p>
        </w:tc>
        <w:tc>
          <w:tcPr>
            <w:tcW w:w="635" w:type="dxa"/>
            <w:tcBorders>
              <w:left w:val="single" w:sz="4" w:space="0" w:color="auto"/>
              <w:bottom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24%</w:t>
            </w:r>
          </w:p>
        </w:tc>
        <w:tc>
          <w:tcPr>
            <w:tcW w:w="635" w:type="dxa"/>
            <w:tcBorders>
              <w:left w:val="single" w:sz="4" w:space="0" w:color="auto"/>
              <w:bottom w:val="single" w:sz="4" w:space="0" w:color="auto"/>
              <w:right w:val="single" w:sz="12"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14%</w:t>
            </w:r>
          </w:p>
        </w:tc>
      </w:tr>
      <w:tr w:rsidR="00C17E74" w:rsidRPr="00C17E74" w:rsidTr="0053283A">
        <w:trPr>
          <w:trHeight w:val="460"/>
        </w:trPr>
        <w:tc>
          <w:tcPr>
            <w:tcW w:w="6398" w:type="dxa"/>
            <w:tcBorders>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rPr>
                <w:rFonts w:ascii="Calibri" w:eastAsia="Times New Roman" w:hAnsi="Calibri" w:cs="Calibri"/>
                <w:sz w:val="18"/>
                <w:szCs w:val="20"/>
                <w:lang w:eastAsia="en-AU"/>
              </w:rPr>
            </w:pPr>
            <w:r w:rsidRPr="00C17E74">
              <w:rPr>
                <w:rFonts w:ascii="Calibri" w:eastAsia="Times New Roman" w:hAnsi="Calibri" w:cs="Calibri"/>
                <w:sz w:val="18"/>
                <w:szCs w:val="20"/>
                <w:lang w:eastAsia="en-AU"/>
              </w:rPr>
              <w:t>An increase in the number of community groups that partner with stakeholders to build networks and linkages among agencies to support young people</w:t>
            </w:r>
          </w:p>
        </w:tc>
        <w:tc>
          <w:tcPr>
            <w:tcW w:w="1239" w:type="dxa"/>
            <w:tcBorders>
              <w:left w:val="single" w:sz="12" w:space="0" w:color="auto"/>
              <w:right w:val="single" w:sz="12" w:space="0" w:color="auto"/>
            </w:tcBorders>
            <w:shd w:val="clear" w:color="auto" w:fill="B6DDE8" w:themeFill="accent5" w:themeFillTint="66"/>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59</w:t>
            </w:r>
          </w:p>
        </w:tc>
        <w:tc>
          <w:tcPr>
            <w:tcW w:w="635" w:type="dxa"/>
            <w:tcBorders>
              <w:left w:val="single" w:sz="12" w:space="0" w:color="auto"/>
              <w:right w:val="single" w:sz="4" w:space="0" w:color="auto"/>
            </w:tcBorders>
            <w:shd w:val="clear" w:color="000000"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10%</w:t>
            </w:r>
          </w:p>
        </w:tc>
        <w:tc>
          <w:tcPr>
            <w:tcW w:w="635" w:type="dxa"/>
            <w:tcBorders>
              <w:left w:val="single" w:sz="4" w:space="0" w:color="auto"/>
              <w:right w:val="single" w:sz="4" w:space="0" w:color="auto"/>
            </w:tcBorders>
            <w:shd w:val="clear" w:color="000000" w:fill="DAEEF3" w:themeFill="accent5" w:themeFillTint="33"/>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19%</w:t>
            </w:r>
          </w:p>
        </w:tc>
        <w:tc>
          <w:tcPr>
            <w:tcW w:w="635" w:type="dxa"/>
            <w:tcBorders>
              <w:left w:val="single" w:sz="4" w:space="0" w:color="auto"/>
              <w:right w:val="single" w:sz="4" w:space="0" w:color="auto"/>
            </w:tcBorders>
            <w:shd w:val="clear" w:color="000000" w:fill="DAEEF3" w:themeFill="accent5" w:themeFillTint="33"/>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36%</w:t>
            </w:r>
          </w:p>
        </w:tc>
        <w:tc>
          <w:tcPr>
            <w:tcW w:w="635" w:type="dxa"/>
            <w:tcBorders>
              <w:left w:val="single" w:sz="4" w:space="0" w:color="auto"/>
              <w:right w:val="single" w:sz="4" w:space="0" w:color="auto"/>
            </w:tcBorders>
            <w:shd w:val="clear" w:color="000000" w:fill="DAEEF3" w:themeFill="accent5" w:themeFillTint="33"/>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12%</w:t>
            </w:r>
          </w:p>
        </w:tc>
        <w:tc>
          <w:tcPr>
            <w:tcW w:w="635" w:type="dxa"/>
            <w:tcBorders>
              <w:left w:val="single" w:sz="4" w:space="0" w:color="auto"/>
              <w:right w:val="single" w:sz="12" w:space="0" w:color="auto"/>
            </w:tcBorders>
            <w:shd w:val="clear" w:color="000000" w:fill="DAEEF3" w:themeFill="accent5" w:themeFillTint="33"/>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24%</w:t>
            </w:r>
          </w:p>
        </w:tc>
      </w:tr>
      <w:tr w:rsidR="00C17E74" w:rsidRPr="00C17E74" w:rsidTr="0053283A">
        <w:trPr>
          <w:trHeight w:val="460"/>
        </w:trPr>
        <w:tc>
          <w:tcPr>
            <w:tcW w:w="6398" w:type="dxa"/>
            <w:tcBorders>
              <w:left w:val="single" w:sz="12" w:space="0" w:color="auto"/>
              <w:bottom w:val="single" w:sz="4" w:space="0" w:color="auto"/>
              <w:right w:val="single" w:sz="12" w:space="0" w:color="auto"/>
            </w:tcBorders>
            <w:shd w:val="clear" w:color="000000" w:fill="FFFFFF"/>
            <w:vAlign w:val="center"/>
            <w:hideMark/>
          </w:tcPr>
          <w:p w:rsidR="00C17E74" w:rsidRPr="00C17E74" w:rsidRDefault="00C17E74" w:rsidP="00C17E74">
            <w:pPr>
              <w:spacing w:line="240" w:lineRule="auto"/>
              <w:rPr>
                <w:rFonts w:ascii="Calibri" w:eastAsia="Times New Roman" w:hAnsi="Calibri" w:cs="Calibri"/>
                <w:sz w:val="18"/>
                <w:szCs w:val="20"/>
                <w:lang w:eastAsia="en-AU"/>
              </w:rPr>
            </w:pPr>
            <w:r w:rsidRPr="00C17E74">
              <w:rPr>
                <w:rFonts w:ascii="Calibri" w:eastAsia="Times New Roman" w:hAnsi="Calibri" w:cs="Calibri"/>
                <w:sz w:val="18"/>
                <w:szCs w:val="20"/>
                <w:lang w:eastAsia="en-AU"/>
              </w:rPr>
              <w:t>An increase in the number of community groups that partner with stakeholders to harness and grow community resources for young people</w:t>
            </w:r>
          </w:p>
        </w:tc>
        <w:tc>
          <w:tcPr>
            <w:tcW w:w="1239" w:type="dxa"/>
            <w:tcBorders>
              <w:left w:val="single" w:sz="12" w:space="0" w:color="auto"/>
              <w:bottom w:val="single" w:sz="4"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38</w:t>
            </w:r>
          </w:p>
        </w:tc>
        <w:tc>
          <w:tcPr>
            <w:tcW w:w="635" w:type="dxa"/>
            <w:tcBorders>
              <w:left w:val="single" w:sz="12" w:space="0" w:color="auto"/>
              <w:bottom w:val="single" w:sz="4" w:space="0" w:color="auto"/>
              <w:right w:val="single" w:sz="4" w:space="0" w:color="auto"/>
            </w:tcBorders>
            <w:shd w:val="clear" w:color="000000" w:fill="FFFFFF"/>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8%</w:t>
            </w:r>
          </w:p>
        </w:tc>
        <w:tc>
          <w:tcPr>
            <w:tcW w:w="635" w:type="dxa"/>
            <w:tcBorders>
              <w:left w:val="single" w:sz="4" w:space="0" w:color="auto"/>
              <w:bottom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24%</w:t>
            </w:r>
          </w:p>
        </w:tc>
        <w:tc>
          <w:tcPr>
            <w:tcW w:w="635" w:type="dxa"/>
            <w:tcBorders>
              <w:left w:val="single" w:sz="4" w:space="0" w:color="auto"/>
              <w:bottom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37%</w:t>
            </w:r>
          </w:p>
        </w:tc>
        <w:tc>
          <w:tcPr>
            <w:tcW w:w="635" w:type="dxa"/>
            <w:tcBorders>
              <w:left w:val="single" w:sz="4" w:space="0" w:color="auto"/>
              <w:bottom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16%</w:t>
            </w:r>
          </w:p>
        </w:tc>
        <w:tc>
          <w:tcPr>
            <w:tcW w:w="635" w:type="dxa"/>
            <w:tcBorders>
              <w:left w:val="single" w:sz="4" w:space="0" w:color="auto"/>
              <w:bottom w:val="single" w:sz="4" w:space="0" w:color="auto"/>
              <w:right w:val="single" w:sz="12"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16%</w:t>
            </w:r>
          </w:p>
        </w:tc>
      </w:tr>
      <w:tr w:rsidR="00C17E74" w:rsidRPr="00C17E74" w:rsidTr="0053283A">
        <w:trPr>
          <w:trHeight w:val="460"/>
        </w:trPr>
        <w:tc>
          <w:tcPr>
            <w:tcW w:w="6398" w:type="dxa"/>
            <w:tcBorders>
              <w:left w:val="single" w:sz="12" w:space="0" w:color="auto"/>
              <w:right w:val="single" w:sz="12" w:space="0" w:color="auto"/>
            </w:tcBorders>
            <w:shd w:val="clear" w:color="auto" w:fill="auto"/>
            <w:vAlign w:val="center"/>
            <w:hideMark/>
          </w:tcPr>
          <w:p w:rsidR="00C17E74" w:rsidRPr="00C17E74" w:rsidRDefault="00C17E74" w:rsidP="00C17E74">
            <w:pPr>
              <w:spacing w:line="240" w:lineRule="auto"/>
              <w:rPr>
                <w:rFonts w:ascii="Calibri" w:eastAsia="Times New Roman" w:hAnsi="Calibri" w:cs="Calibri"/>
                <w:sz w:val="18"/>
                <w:szCs w:val="20"/>
                <w:lang w:eastAsia="en-AU"/>
              </w:rPr>
            </w:pPr>
            <w:r w:rsidRPr="00C17E74">
              <w:rPr>
                <w:rFonts w:ascii="Calibri" w:eastAsia="Times New Roman" w:hAnsi="Calibri" w:cs="Calibri"/>
                <w:sz w:val="18"/>
                <w:szCs w:val="20"/>
                <w:lang w:eastAsia="en-AU"/>
              </w:rPr>
              <w:t>An increase in the number of community groups that partner with stakeholders to identify and respond to emerging trends and skill needs with reference to young people</w:t>
            </w:r>
          </w:p>
        </w:tc>
        <w:tc>
          <w:tcPr>
            <w:tcW w:w="1239" w:type="dxa"/>
            <w:tcBorders>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23</w:t>
            </w:r>
          </w:p>
        </w:tc>
        <w:tc>
          <w:tcPr>
            <w:tcW w:w="635" w:type="dxa"/>
            <w:tcBorders>
              <w:left w:val="single" w:sz="12" w:space="0" w:color="auto"/>
              <w:right w:val="single" w:sz="4" w:space="0" w:color="auto"/>
            </w:tcBorders>
            <w:shd w:val="clear" w:color="000000" w:fill="FFFFFF"/>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13%</w:t>
            </w:r>
          </w:p>
        </w:tc>
        <w:tc>
          <w:tcPr>
            <w:tcW w:w="635" w:type="dxa"/>
            <w:tcBorders>
              <w:left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30%</w:t>
            </w:r>
          </w:p>
        </w:tc>
        <w:tc>
          <w:tcPr>
            <w:tcW w:w="635" w:type="dxa"/>
            <w:tcBorders>
              <w:left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30%</w:t>
            </w:r>
          </w:p>
        </w:tc>
        <w:tc>
          <w:tcPr>
            <w:tcW w:w="635" w:type="dxa"/>
            <w:tcBorders>
              <w:left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9%</w:t>
            </w:r>
          </w:p>
        </w:tc>
        <w:tc>
          <w:tcPr>
            <w:tcW w:w="635" w:type="dxa"/>
            <w:tcBorders>
              <w:left w:val="single" w:sz="4" w:space="0" w:color="auto"/>
              <w:right w:val="single" w:sz="12"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17%</w:t>
            </w:r>
          </w:p>
        </w:tc>
      </w:tr>
      <w:tr w:rsidR="00C17E74" w:rsidRPr="00C17E74" w:rsidTr="0053283A">
        <w:trPr>
          <w:trHeight w:val="460"/>
        </w:trPr>
        <w:tc>
          <w:tcPr>
            <w:tcW w:w="6398" w:type="dxa"/>
            <w:tcBorders>
              <w:left w:val="single" w:sz="12" w:space="0" w:color="auto"/>
              <w:right w:val="single" w:sz="12" w:space="0" w:color="auto"/>
            </w:tcBorders>
            <w:shd w:val="clear" w:color="auto" w:fill="auto"/>
            <w:vAlign w:val="center"/>
            <w:hideMark/>
          </w:tcPr>
          <w:p w:rsidR="00C17E74" w:rsidRPr="00C17E74" w:rsidRDefault="00C17E74" w:rsidP="00C17E74">
            <w:pPr>
              <w:spacing w:line="240" w:lineRule="auto"/>
              <w:rPr>
                <w:rFonts w:ascii="Calibri" w:eastAsia="Times New Roman" w:hAnsi="Calibri" w:cs="Calibri"/>
                <w:sz w:val="18"/>
                <w:szCs w:val="20"/>
                <w:lang w:eastAsia="en-AU"/>
              </w:rPr>
            </w:pPr>
            <w:r w:rsidRPr="00C17E74">
              <w:rPr>
                <w:rFonts w:ascii="Calibri" w:eastAsia="Times New Roman" w:hAnsi="Calibri" w:cs="Calibri"/>
                <w:sz w:val="18"/>
                <w:szCs w:val="20"/>
                <w:lang w:eastAsia="en-AU"/>
              </w:rPr>
              <w:t>An increase in the number of community groups that partner with stakeholders to improve young people's employability and life skills</w:t>
            </w:r>
          </w:p>
        </w:tc>
        <w:tc>
          <w:tcPr>
            <w:tcW w:w="1239" w:type="dxa"/>
            <w:tcBorders>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45</w:t>
            </w:r>
          </w:p>
        </w:tc>
        <w:tc>
          <w:tcPr>
            <w:tcW w:w="635" w:type="dxa"/>
            <w:tcBorders>
              <w:left w:val="single" w:sz="12" w:space="0" w:color="auto"/>
              <w:right w:val="single" w:sz="4" w:space="0" w:color="auto"/>
            </w:tcBorders>
            <w:shd w:val="clear" w:color="000000" w:fill="FFFFFF"/>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18%</w:t>
            </w:r>
          </w:p>
        </w:tc>
        <w:tc>
          <w:tcPr>
            <w:tcW w:w="635" w:type="dxa"/>
            <w:tcBorders>
              <w:left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24%</w:t>
            </w:r>
          </w:p>
        </w:tc>
        <w:tc>
          <w:tcPr>
            <w:tcW w:w="635" w:type="dxa"/>
            <w:tcBorders>
              <w:left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24%</w:t>
            </w:r>
          </w:p>
        </w:tc>
        <w:tc>
          <w:tcPr>
            <w:tcW w:w="635" w:type="dxa"/>
            <w:tcBorders>
              <w:left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16%</w:t>
            </w:r>
          </w:p>
        </w:tc>
        <w:tc>
          <w:tcPr>
            <w:tcW w:w="635" w:type="dxa"/>
            <w:tcBorders>
              <w:left w:val="single" w:sz="4" w:space="0" w:color="auto"/>
              <w:right w:val="single" w:sz="12"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18%</w:t>
            </w:r>
          </w:p>
        </w:tc>
      </w:tr>
      <w:tr w:rsidR="00C17E74" w:rsidRPr="00C17E74" w:rsidTr="0053283A">
        <w:trPr>
          <w:trHeight w:val="460"/>
        </w:trPr>
        <w:tc>
          <w:tcPr>
            <w:tcW w:w="6398" w:type="dxa"/>
            <w:tcBorders>
              <w:left w:val="single" w:sz="12" w:space="0" w:color="auto"/>
              <w:right w:val="single" w:sz="12" w:space="0" w:color="auto"/>
            </w:tcBorders>
            <w:shd w:val="clear" w:color="auto" w:fill="auto"/>
            <w:vAlign w:val="center"/>
            <w:hideMark/>
          </w:tcPr>
          <w:p w:rsidR="00C17E74" w:rsidRPr="00C17E74" w:rsidRDefault="00C17E74" w:rsidP="00C17E74">
            <w:pPr>
              <w:spacing w:line="240" w:lineRule="auto"/>
              <w:rPr>
                <w:rFonts w:ascii="Calibri" w:eastAsia="Times New Roman" w:hAnsi="Calibri" w:cs="Calibri"/>
                <w:sz w:val="18"/>
                <w:szCs w:val="20"/>
                <w:lang w:eastAsia="en-AU"/>
              </w:rPr>
            </w:pPr>
            <w:r w:rsidRPr="00C17E74">
              <w:rPr>
                <w:rFonts w:ascii="Calibri" w:eastAsia="Times New Roman" w:hAnsi="Calibri" w:cs="Calibri"/>
                <w:sz w:val="18"/>
                <w:szCs w:val="20"/>
                <w:lang w:eastAsia="en-AU"/>
              </w:rPr>
              <w:t>An increase in the number of community groups that partner with stakeholders to provide mentoring and coaching opportunities for young people</w:t>
            </w:r>
          </w:p>
        </w:tc>
        <w:tc>
          <w:tcPr>
            <w:tcW w:w="1239" w:type="dxa"/>
            <w:tcBorders>
              <w:left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24</w:t>
            </w:r>
          </w:p>
        </w:tc>
        <w:tc>
          <w:tcPr>
            <w:tcW w:w="635" w:type="dxa"/>
            <w:tcBorders>
              <w:left w:val="single" w:sz="12" w:space="0" w:color="auto"/>
              <w:right w:val="single" w:sz="4" w:space="0" w:color="auto"/>
            </w:tcBorders>
            <w:shd w:val="clear" w:color="000000" w:fill="FFFFFF"/>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25%</w:t>
            </w:r>
          </w:p>
        </w:tc>
        <w:tc>
          <w:tcPr>
            <w:tcW w:w="635" w:type="dxa"/>
            <w:tcBorders>
              <w:left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33%</w:t>
            </w:r>
          </w:p>
        </w:tc>
        <w:tc>
          <w:tcPr>
            <w:tcW w:w="635" w:type="dxa"/>
            <w:tcBorders>
              <w:left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21%</w:t>
            </w:r>
          </w:p>
        </w:tc>
        <w:tc>
          <w:tcPr>
            <w:tcW w:w="635" w:type="dxa"/>
            <w:tcBorders>
              <w:left w:val="single" w:sz="4"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13%</w:t>
            </w:r>
          </w:p>
        </w:tc>
        <w:tc>
          <w:tcPr>
            <w:tcW w:w="635" w:type="dxa"/>
            <w:tcBorders>
              <w:left w:val="single" w:sz="4" w:space="0" w:color="auto"/>
              <w:right w:val="single" w:sz="12"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8%</w:t>
            </w:r>
          </w:p>
        </w:tc>
      </w:tr>
      <w:tr w:rsidR="00C17E74" w:rsidRPr="00C17E74" w:rsidTr="0053283A">
        <w:trPr>
          <w:trHeight w:val="460"/>
        </w:trPr>
        <w:tc>
          <w:tcPr>
            <w:tcW w:w="6398" w:type="dxa"/>
            <w:tcBorders>
              <w:left w:val="single" w:sz="12" w:space="0" w:color="auto"/>
              <w:bottom w:val="single" w:sz="12" w:space="0" w:color="auto"/>
              <w:right w:val="single" w:sz="12" w:space="0" w:color="auto"/>
            </w:tcBorders>
            <w:shd w:val="clear" w:color="auto" w:fill="auto"/>
            <w:vAlign w:val="center"/>
            <w:hideMark/>
          </w:tcPr>
          <w:p w:rsidR="00C17E74" w:rsidRPr="00C17E74" w:rsidRDefault="00C17E74" w:rsidP="00C17E74">
            <w:pPr>
              <w:spacing w:line="240" w:lineRule="auto"/>
              <w:rPr>
                <w:rFonts w:ascii="Calibri" w:eastAsia="Times New Roman" w:hAnsi="Calibri" w:cs="Calibri"/>
                <w:sz w:val="18"/>
                <w:szCs w:val="20"/>
                <w:lang w:eastAsia="en-AU"/>
              </w:rPr>
            </w:pPr>
            <w:r w:rsidRPr="00C17E74">
              <w:rPr>
                <w:rFonts w:ascii="Calibri" w:eastAsia="Times New Roman" w:hAnsi="Calibri" w:cs="Calibri"/>
                <w:sz w:val="18"/>
                <w:szCs w:val="20"/>
                <w:lang w:eastAsia="en-AU"/>
              </w:rPr>
              <w:t>An increase in the number of community groups that partner with stakeholders to provide young people with opportunities to connect with the community</w:t>
            </w:r>
          </w:p>
        </w:tc>
        <w:tc>
          <w:tcPr>
            <w:tcW w:w="1239" w:type="dxa"/>
            <w:tcBorders>
              <w:left w:val="single" w:sz="12" w:space="0" w:color="auto"/>
              <w:bottom w:val="single" w:sz="12" w:space="0" w:color="auto"/>
              <w:right w:val="single" w:sz="12" w:space="0" w:color="auto"/>
            </w:tcBorders>
            <w:shd w:val="clear" w:color="auto" w:fill="DAEEF3" w:themeFill="accent5" w:themeFillTint="33"/>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51</w:t>
            </w:r>
          </w:p>
        </w:tc>
        <w:tc>
          <w:tcPr>
            <w:tcW w:w="635" w:type="dxa"/>
            <w:tcBorders>
              <w:left w:val="single" w:sz="12" w:space="0" w:color="auto"/>
              <w:bottom w:val="single" w:sz="12" w:space="0" w:color="auto"/>
              <w:right w:val="single" w:sz="4" w:space="0" w:color="auto"/>
            </w:tcBorders>
            <w:shd w:val="clear" w:color="000000" w:fill="FFFFFF"/>
            <w:vAlign w:val="center"/>
            <w:hideMark/>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12%</w:t>
            </w:r>
          </w:p>
        </w:tc>
        <w:tc>
          <w:tcPr>
            <w:tcW w:w="635" w:type="dxa"/>
            <w:tcBorders>
              <w:left w:val="single" w:sz="4" w:space="0" w:color="auto"/>
              <w:bottom w:val="single" w:sz="12"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37%</w:t>
            </w:r>
          </w:p>
        </w:tc>
        <w:tc>
          <w:tcPr>
            <w:tcW w:w="635" w:type="dxa"/>
            <w:tcBorders>
              <w:left w:val="single" w:sz="4" w:space="0" w:color="auto"/>
              <w:bottom w:val="single" w:sz="12"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20%</w:t>
            </w:r>
          </w:p>
        </w:tc>
        <w:tc>
          <w:tcPr>
            <w:tcW w:w="635" w:type="dxa"/>
            <w:tcBorders>
              <w:left w:val="single" w:sz="4" w:space="0" w:color="auto"/>
              <w:bottom w:val="single" w:sz="12" w:space="0" w:color="auto"/>
              <w:right w:val="single" w:sz="4"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16%</w:t>
            </w:r>
          </w:p>
        </w:tc>
        <w:tc>
          <w:tcPr>
            <w:tcW w:w="635" w:type="dxa"/>
            <w:tcBorders>
              <w:left w:val="single" w:sz="4" w:space="0" w:color="auto"/>
              <w:bottom w:val="single" w:sz="12" w:space="0" w:color="auto"/>
              <w:right w:val="single" w:sz="12" w:space="0" w:color="auto"/>
            </w:tcBorders>
            <w:shd w:val="clear" w:color="000000" w:fill="FFFFFF"/>
            <w:vAlign w:val="center"/>
          </w:tcPr>
          <w:p w:rsidR="00C17E74" w:rsidRPr="00C17E74" w:rsidRDefault="00C17E74" w:rsidP="00C17E74">
            <w:pPr>
              <w:spacing w:line="240" w:lineRule="auto"/>
              <w:jc w:val="center"/>
              <w:rPr>
                <w:rFonts w:ascii="Calibri" w:eastAsia="Times New Roman" w:hAnsi="Calibri" w:cs="Calibri"/>
                <w:color w:val="000000"/>
                <w:sz w:val="20"/>
                <w:szCs w:val="20"/>
              </w:rPr>
            </w:pPr>
            <w:r w:rsidRPr="00C17E74">
              <w:rPr>
                <w:rFonts w:ascii="Calibri" w:eastAsia="Times New Roman" w:hAnsi="Calibri" w:cs="Calibri"/>
                <w:color w:val="000000"/>
                <w:sz w:val="20"/>
                <w:szCs w:val="20"/>
              </w:rPr>
              <w:t>16%</w:t>
            </w:r>
          </w:p>
        </w:tc>
      </w:tr>
    </w:tbl>
    <w:p w:rsidR="00C17E74" w:rsidRPr="00C17E74" w:rsidRDefault="00C17E74" w:rsidP="00C17E74">
      <w:pPr>
        <w:spacing w:before="120" w:line="240" w:lineRule="auto"/>
        <w:ind w:right="34"/>
        <w:rPr>
          <w:rFonts w:ascii="Calibri" w:eastAsia="Times New Roman" w:hAnsi="Calibri" w:cstheme="minorHAnsi"/>
          <w:sz w:val="20"/>
          <w:lang w:val="en-US"/>
        </w:rPr>
        <w:sectPr w:rsidR="00C17E74" w:rsidRPr="00C17E74" w:rsidSect="0053283A">
          <w:type w:val="continuous"/>
          <w:pgSz w:w="11906" w:h="16838"/>
          <w:pgMar w:top="709" w:right="991" w:bottom="567" w:left="1134" w:header="142" w:footer="0" w:gutter="0"/>
          <w:cols w:num="2" w:space="0" w:equalWidth="0">
            <w:col w:w="4275" w:space="0"/>
            <w:col w:w="5506"/>
          </w:cols>
          <w:docGrid w:linePitch="360"/>
        </w:sectPr>
      </w:pPr>
      <w:bookmarkStart w:id="120" w:name="_Toc323901040"/>
    </w:p>
    <w:p w:rsidR="00C17E74" w:rsidRPr="00C17E74" w:rsidRDefault="00C17E74" w:rsidP="00C17E74">
      <w:pPr>
        <w:spacing w:before="120" w:line="240" w:lineRule="auto"/>
        <w:ind w:left="-142" w:right="34"/>
        <w:rPr>
          <w:rFonts w:ascii="Calibri" w:eastAsia="Times New Roman" w:hAnsi="Calibri" w:cstheme="minorHAnsi"/>
          <w:lang w:val="en-US"/>
        </w:rPr>
      </w:pPr>
      <w:r w:rsidRPr="00C17E74">
        <w:rPr>
          <w:rFonts w:ascii="Calibri" w:eastAsia="Times New Roman" w:hAnsi="Calibri" w:cstheme="minorHAnsi"/>
          <w:lang w:val="en-US"/>
        </w:rPr>
        <w:t>The data above shows that:</w:t>
      </w:r>
      <w:bookmarkEnd w:id="120"/>
    </w:p>
    <w:p w:rsidR="00C17E74" w:rsidRPr="00C17E74" w:rsidRDefault="00C17E74" w:rsidP="00C17E74">
      <w:pPr>
        <w:numPr>
          <w:ilvl w:val="0"/>
          <w:numId w:val="47"/>
        </w:numPr>
        <w:tabs>
          <w:tab w:val="left" w:pos="426"/>
        </w:tabs>
        <w:spacing w:line="240" w:lineRule="auto"/>
        <w:ind w:left="426" w:right="-142" w:hanging="426"/>
        <w:contextualSpacing/>
        <w:rPr>
          <w:rFonts w:eastAsia="Times New Roman" w:cstheme="minorHAnsi"/>
        </w:rPr>
      </w:pPr>
      <w:r w:rsidRPr="00C17E74">
        <w:rPr>
          <w:rFonts w:eastAsia="Times New Roman" w:cstheme="minorHAnsi"/>
        </w:rPr>
        <w:t xml:space="preserve">Providers reported 32% of partnerships that have been evaluated have </w:t>
      </w:r>
      <w:r w:rsidRPr="00C17E74">
        <w:rPr>
          <w:rFonts w:eastAsia="Times New Roman" w:cstheme="minorHAnsi"/>
          <w:i/>
        </w:rPr>
        <w:t>achieved</w:t>
      </w:r>
      <w:r w:rsidRPr="00C17E74">
        <w:rPr>
          <w:rFonts w:eastAsia="Times New Roman" w:cstheme="minorHAnsi"/>
        </w:rPr>
        <w:t xml:space="preserve"> or made </w:t>
      </w:r>
      <w:r w:rsidRPr="00C17E74">
        <w:rPr>
          <w:rFonts w:eastAsia="Times New Roman" w:cstheme="minorHAnsi"/>
          <w:i/>
        </w:rPr>
        <w:t>considerable progress</w:t>
      </w:r>
      <w:r w:rsidRPr="00C17E74">
        <w:rPr>
          <w:rFonts w:eastAsia="Times New Roman" w:cstheme="minorHAnsi"/>
        </w:rPr>
        <w:t xml:space="preserve"> against this outcome.</w:t>
      </w:r>
    </w:p>
    <w:p w:rsidR="00C17E74" w:rsidRPr="00C17E74" w:rsidRDefault="00C17E74" w:rsidP="00C17E74">
      <w:pPr>
        <w:numPr>
          <w:ilvl w:val="0"/>
          <w:numId w:val="47"/>
        </w:numPr>
        <w:tabs>
          <w:tab w:val="left" w:pos="426"/>
        </w:tabs>
        <w:spacing w:line="240" w:lineRule="auto"/>
        <w:ind w:left="426" w:hanging="426"/>
        <w:contextualSpacing/>
        <w:rPr>
          <w:rFonts w:eastAsia="Times New Roman" w:cstheme="minorHAnsi"/>
        </w:rPr>
      </w:pPr>
      <w:r w:rsidRPr="00C17E74">
        <w:rPr>
          <w:rFonts w:eastAsia="Times New Roman" w:cstheme="minorHAnsi"/>
        </w:rPr>
        <w:t xml:space="preserve">Providers reported 41% of partnerships have made </w:t>
      </w:r>
      <w:r w:rsidRPr="00C17E74">
        <w:rPr>
          <w:rFonts w:eastAsia="Times New Roman" w:cstheme="minorHAnsi"/>
          <w:i/>
        </w:rPr>
        <w:t>limited</w:t>
      </w:r>
      <w:r w:rsidRPr="00C17E74">
        <w:rPr>
          <w:rFonts w:eastAsia="Times New Roman" w:cstheme="minorHAnsi"/>
        </w:rPr>
        <w:t xml:space="preserve"> or </w:t>
      </w:r>
      <w:r w:rsidRPr="00C17E74">
        <w:rPr>
          <w:rFonts w:eastAsia="Times New Roman" w:cstheme="minorHAnsi"/>
          <w:i/>
        </w:rPr>
        <w:t>some progress</w:t>
      </w:r>
      <w:r w:rsidRPr="00C17E74">
        <w:rPr>
          <w:rFonts w:eastAsia="Times New Roman" w:cstheme="minorHAnsi"/>
        </w:rPr>
        <w:t xml:space="preserve"> against this outcome.</w:t>
      </w:r>
    </w:p>
    <w:p w:rsidR="00C17E74" w:rsidRPr="00C17E74" w:rsidRDefault="00C17E74" w:rsidP="00C17E74">
      <w:pPr>
        <w:numPr>
          <w:ilvl w:val="0"/>
          <w:numId w:val="47"/>
        </w:numPr>
        <w:tabs>
          <w:tab w:val="left" w:pos="426"/>
        </w:tabs>
        <w:spacing w:line="240" w:lineRule="auto"/>
        <w:ind w:left="426" w:hanging="426"/>
        <w:contextualSpacing/>
        <w:rPr>
          <w:rFonts w:eastAsia="Times New Roman" w:cstheme="minorHAnsi"/>
        </w:rPr>
      </w:pPr>
      <w:r w:rsidRPr="00C17E74">
        <w:rPr>
          <w:rFonts w:eastAsia="Times New Roman" w:cstheme="minorHAnsi"/>
        </w:rPr>
        <w:t>There are 59 partnerships (21% of the total number of partnerships in SA) that have made progress towards providing ‘</w:t>
      </w:r>
      <w:r w:rsidRPr="00C17E74">
        <w:rPr>
          <w:rFonts w:eastAsia="Times New Roman" w:cstheme="minorHAnsi"/>
          <w:i/>
        </w:rPr>
        <w:t>an increase in the number of community groups that partner with stakeholders to build networks and linkages among agencies to support young people</w:t>
      </w:r>
      <w:r w:rsidRPr="00C17E74">
        <w:rPr>
          <w:rFonts w:eastAsia="Times New Roman" w:cstheme="minorHAnsi"/>
        </w:rPr>
        <w:t xml:space="preserve">’. Providers reported that 36% of these partnerships have </w:t>
      </w:r>
      <w:r w:rsidRPr="00C17E74">
        <w:rPr>
          <w:rFonts w:eastAsia="Times New Roman" w:cstheme="minorHAnsi"/>
          <w:i/>
        </w:rPr>
        <w:t>achieved</w:t>
      </w:r>
      <w:r w:rsidRPr="00C17E74">
        <w:rPr>
          <w:rFonts w:eastAsia="Times New Roman" w:cstheme="minorHAnsi"/>
        </w:rPr>
        <w:t xml:space="preserve"> or made </w:t>
      </w:r>
      <w:r w:rsidRPr="00C17E74">
        <w:rPr>
          <w:rFonts w:eastAsia="Times New Roman" w:cstheme="minorHAnsi"/>
          <w:i/>
        </w:rPr>
        <w:t>considerable progress</w:t>
      </w:r>
      <w:r w:rsidRPr="00C17E74">
        <w:rPr>
          <w:rFonts w:eastAsia="Times New Roman" w:cstheme="minorHAnsi"/>
        </w:rPr>
        <w:t xml:space="preserve"> against this </w:t>
      </w:r>
      <w:proofErr w:type="spellStart"/>
      <w:r w:rsidRPr="00C17E74">
        <w:rPr>
          <w:rFonts w:eastAsia="Times New Roman" w:cstheme="minorHAnsi"/>
        </w:rPr>
        <w:t>KPM</w:t>
      </w:r>
      <w:proofErr w:type="spellEnd"/>
      <w:r w:rsidRPr="00C17E74">
        <w:rPr>
          <w:rFonts w:eastAsia="Times New Roman" w:cstheme="minorHAnsi"/>
        </w:rPr>
        <w:t>.</w:t>
      </w:r>
    </w:p>
    <w:p w:rsidR="00DC0E7D" w:rsidRDefault="00DC0E7D" w:rsidP="00C17E74">
      <w:pPr>
        <w:tabs>
          <w:tab w:val="left" w:pos="284"/>
        </w:tabs>
        <w:spacing w:line="240" w:lineRule="auto"/>
        <w:rPr>
          <w:rFonts w:eastAsia="Times New Roman" w:cstheme="minorHAnsi"/>
        </w:rPr>
        <w:sectPr w:rsidR="00DC0E7D" w:rsidSect="00DC0E7D">
          <w:type w:val="continuous"/>
          <w:pgSz w:w="11906" w:h="16838"/>
          <w:pgMar w:top="1134" w:right="993" w:bottom="1440" w:left="851" w:header="708" w:footer="708" w:gutter="0"/>
          <w:cols w:space="428"/>
          <w:docGrid w:linePitch="360"/>
        </w:sectPr>
      </w:pPr>
    </w:p>
    <w:p w:rsidR="00C17E74" w:rsidRPr="00C17E74" w:rsidRDefault="00C17E74" w:rsidP="00C17E74">
      <w:pPr>
        <w:tabs>
          <w:tab w:val="left" w:pos="284"/>
        </w:tabs>
        <w:spacing w:line="240" w:lineRule="auto"/>
        <w:rPr>
          <w:rFonts w:eastAsia="Times New Roman" w:cstheme="minorHAnsi"/>
        </w:rPr>
      </w:pPr>
    </w:p>
    <w:p w:rsidR="00DC0E7D" w:rsidRDefault="00DC0E7D">
      <w:pPr>
        <w:spacing w:after="200"/>
        <w:rPr>
          <w:rFonts w:eastAsia="Times New Roman" w:cstheme="minorHAnsi"/>
        </w:rPr>
      </w:pPr>
      <w:r>
        <w:rPr>
          <w:rFonts w:eastAsia="Times New Roman" w:cstheme="minorHAnsi"/>
        </w:rPr>
        <w:br w:type="page"/>
      </w:r>
    </w:p>
    <w:p w:rsidR="00C17E74" w:rsidRPr="00C17E74" w:rsidRDefault="00C17E74" w:rsidP="00C17E74">
      <w:pPr>
        <w:tabs>
          <w:tab w:val="left" w:pos="5425"/>
        </w:tabs>
        <w:spacing w:line="240" w:lineRule="auto"/>
        <w:rPr>
          <w:rFonts w:eastAsia="Times New Roman" w:cstheme="minorHAnsi"/>
          <w:sz w:val="20"/>
          <w:szCs w:val="20"/>
        </w:rPr>
      </w:pPr>
      <w:r w:rsidRPr="00C17E74">
        <w:rPr>
          <w:rFonts w:eastAsia="Times New Roman" w:cstheme="minorHAnsi"/>
          <w:noProof/>
          <w:sz w:val="20"/>
          <w:szCs w:val="20"/>
          <w:lang w:eastAsia="en-AU"/>
        </w:rPr>
        <w:lastRenderedPageBreak/>
        <w:drawing>
          <wp:inline distT="0" distB="0" distL="0" distR="0" wp14:anchorId="7C67CCE0" wp14:editId="352BA137">
            <wp:extent cx="2679405" cy="570327"/>
            <wp:effectExtent l="0" t="0" r="0" b="0"/>
            <wp:docPr id="32" name="Picture 1" descr="Logo. Partnership Brokers. School + Business +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srcRect/>
                    <a:stretch>
                      <a:fillRect/>
                    </a:stretch>
                  </pic:blipFill>
                  <pic:spPr bwMode="auto">
                    <a:xfrm>
                      <a:off x="0" y="0"/>
                      <a:ext cx="2679405" cy="570327"/>
                    </a:xfrm>
                    <a:prstGeom prst="rect">
                      <a:avLst/>
                    </a:prstGeom>
                    <a:noFill/>
                    <a:ln w="9525">
                      <a:noFill/>
                      <a:miter lim="800000"/>
                      <a:headEnd/>
                      <a:tailEnd/>
                    </a:ln>
                  </pic:spPr>
                </pic:pic>
              </a:graphicData>
            </a:graphic>
          </wp:inline>
        </w:drawing>
      </w:r>
    </w:p>
    <w:p w:rsidR="00C17E74" w:rsidRPr="00C17E74" w:rsidRDefault="00C17E74" w:rsidP="00C17E74">
      <w:pPr>
        <w:tabs>
          <w:tab w:val="left" w:pos="5425"/>
        </w:tabs>
        <w:spacing w:line="240" w:lineRule="auto"/>
        <w:rPr>
          <w:rFonts w:eastAsia="Times New Roman" w:cstheme="minorHAnsi"/>
          <w:sz w:val="20"/>
          <w:szCs w:val="20"/>
        </w:rPr>
      </w:pPr>
      <w:r w:rsidRPr="00C17E74">
        <w:rPr>
          <w:rFonts w:eastAsia="Times New Roman" w:cstheme="minorHAnsi"/>
          <w:sz w:val="20"/>
          <w:szCs w:val="20"/>
        </w:rPr>
        <w:tab/>
      </w:r>
    </w:p>
    <w:p w:rsidR="00C17E74" w:rsidRPr="00C17E74" w:rsidRDefault="00C17E74" w:rsidP="00C17E74">
      <w:pPr>
        <w:tabs>
          <w:tab w:val="left" w:pos="6075"/>
        </w:tabs>
        <w:spacing w:line="240" w:lineRule="auto"/>
        <w:ind w:left="-142"/>
        <w:rPr>
          <w:rFonts w:eastAsia="Times New Roman" w:cstheme="minorHAnsi"/>
          <w:b/>
          <w:color w:val="1F497D" w:themeColor="text2"/>
          <w:sz w:val="20"/>
          <w:szCs w:val="20"/>
        </w:rPr>
      </w:pPr>
      <w:r w:rsidRPr="00C17E74">
        <w:rPr>
          <w:rFonts w:eastAsia="Times New Roman" w:cstheme="minorHAnsi"/>
          <w:b/>
          <w:noProof/>
          <w:color w:val="1F497D" w:themeColor="text2"/>
          <w:sz w:val="20"/>
          <w:szCs w:val="20"/>
          <w:lang w:eastAsia="en-AU"/>
        </w:rPr>
        <mc:AlternateContent>
          <mc:Choice Requires="wps">
            <w:drawing>
              <wp:inline distT="0" distB="0" distL="0" distR="0" wp14:anchorId="65D48DC6" wp14:editId="264FDA1F">
                <wp:extent cx="3216275" cy="2708694"/>
                <wp:effectExtent l="0" t="0" r="22225" b="15875"/>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6275" cy="2708694"/>
                        </a:xfrm>
                        <a:prstGeom prst="roundRect">
                          <a:avLst>
                            <a:gd name="adj" fmla="val 16667"/>
                          </a:avLst>
                        </a:prstGeom>
                        <a:solidFill>
                          <a:srgbClr val="1F497D">
                            <a:lumMod val="100000"/>
                            <a:lumOff val="0"/>
                          </a:srgbClr>
                        </a:solidFill>
                        <a:ln w="9525">
                          <a:solidFill>
                            <a:srgbClr val="000000"/>
                          </a:solidFill>
                          <a:round/>
                          <a:headEnd/>
                          <a:tailEnd/>
                        </a:ln>
                      </wps:spPr>
                      <wps:txbx>
                        <w:txbxContent>
                          <w:p w:rsidR="00C55871" w:rsidRPr="009C205D" w:rsidRDefault="00C55871" w:rsidP="00C17E74">
                            <w:pPr>
                              <w:shd w:val="clear" w:color="auto" w:fill="1F497D" w:themeFill="text2"/>
                              <w:rPr>
                                <w:b/>
                                <w:color w:val="FFFFFF" w:themeColor="background1"/>
                                <w:sz w:val="24"/>
                                <w:szCs w:val="24"/>
                              </w:rPr>
                            </w:pPr>
                            <w:r w:rsidRPr="009C205D">
                              <w:rPr>
                                <w:b/>
                                <w:color w:val="FFFFFF" w:themeColor="background1"/>
                                <w:sz w:val="24"/>
                                <w:szCs w:val="24"/>
                              </w:rPr>
                              <w:t xml:space="preserve">MID NORTH ENGINEERING ACADEMY </w:t>
                            </w:r>
                          </w:p>
                          <w:p w:rsidR="00C55871" w:rsidRDefault="00C55871" w:rsidP="00C17E74">
                            <w:pPr>
                              <w:shd w:val="clear" w:color="auto" w:fill="1F497D" w:themeFill="text2"/>
                              <w:spacing w:after="60"/>
                              <w:rPr>
                                <w:b/>
                                <w:color w:val="FFFFFF" w:themeColor="background1"/>
                                <w:sz w:val="20"/>
                              </w:rPr>
                            </w:pPr>
                            <w:r w:rsidRPr="008A579A">
                              <w:rPr>
                                <w:b/>
                                <w:color w:val="FFFFFF" w:themeColor="background1"/>
                                <w:sz w:val="20"/>
                              </w:rPr>
                              <w:t>Purpose:</w:t>
                            </w:r>
                          </w:p>
                          <w:p w:rsidR="00C55871" w:rsidRDefault="00C55871" w:rsidP="00C17E74">
                            <w:pPr>
                              <w:shd w:val="clear" w:color="auto" w:fill="1F497D" w:themeFill="text2"/>
                              <w:spacing w:after="60"/>
                              <w:rPr>
                                <w:color w:val="FFFFFF" w:themeColor="background1"/>
                                <w:sz w:val="20"/>
                              </w:rPr>
                            </w:pPr>
                            <w:r>
                              <w:rPr>
                                <w:color w:val="FFFFFF" w:themeColor="background1"/>
                                <w:sz w:val="20"/>
                              </w:rPr>
                              <w:t>To equip high-achieving secondary students with the skills they need to become managers and entrepreneurs within the local engineering and manufacturing industry.</w:t>
                            </w:r>
                          </w:p>
                          <w:p w:rsidR="00C55871" w:rsidRDefault="00C55871" w:rsidP="00C17E74">
                            <w:pPr>
                              <w:shd w:val="clear" w:color="auto" w:fill="1F497D" w:themeFill="text2"/>
                              <w:spacing w:after="60"/>
                              <w:rPr>
                                <w:b/>
                                <w:color w:val="FFFFFF" w:themeColor="background1"/>
                                <w:sz w:val="20"/>
                              </w:rPr>
                            </w:pPr>
                            <w:r w:rsidRPr="005D70C2">
                              <w:rPr>
                                <w:b/>
                                <w:color w:val="FFFFFF" w:themeColor="background1"/>
                                <w:sz w:val="20"/>
                              </w:rPr>
                              <w:t>Partnership Members:</w:t>
                            </w:r>
                          </w:p>
                          <w:p w:rsidR="00C55871" w:rsidRDefault="00C55871" w:rsidP="00C17E74">
                            <w:pPr>
                              <w:pStyle w:val="ListParagraph"/>
                              <w:numPr>
                                <w:ilvl w:val="0"/>
                                <w:numId w:val="50"/>
                              </w:numPr>
                              <w:shd w:val="clear" w:color="auto" w:fill="1F497D" w:themeFill="text2"/>
                              <w:spacing w:after="60" w:line="240" w:lineRule="auto"/>
                              <w:rPr>
                                <w:color w:val="FFFFFF" w:themeColor="background1"/>
                                <w:sz w:val="20"/>
                              </w:rPr>
                            </w:pPr>
                            <w:r>
                              <w:rPr>
                                <w:color w:val="FFFFFF" w:themeColor="background1"/>
                                <w:sz w:val="20"/>
                              </w:rPr>
                              <w:t>Kelly Engineering</w:t>
                            </w:r>
                          </w:p>
                          <w:p w:rsidR="00C55871" w:rsidRDefault="00C55871" w:rsidP="00C17E74">
                            <w:pPr>
                              <w:pStyle w:val="ListParagraph"/>
                              <w:numPr>
                                <w:ilvl w:val="0"/>
                                <w:numId w:val="50"/>
                              </w:numPr>
                              <w:shd w:val="clear" w:color="auto" w:fill="1F497D" w:themeFill="text2"/>
                              <w:spacing w:after="60" w:line="240" w:lineRule="auto"/>
                              <w:rPr>
                                <w:color w:val="FFFFFF" w:themeColor="background1"/>
                                <w:sz w:val="20"/>
                              </w:rPr>
                            </w:pPr>
                            <w:r>
                              <w:rPr>
                                <w:color w:val="FFFFFF" w:themeColor="background1"/>
                                <w:sz w:val="20"/>
                              </w:rPr>
                              <w:t>Taylors Wines</w:t>
                            </w:r>
                          </w:p>
                          <w:p w:rsidR="00C55871" w:rsidRDefault="00C55871" w:rsidP="00C17E74">
                            <w:pPr>
                              <w:pStyle w:val="ListParagraph"/>
                              <w:numPr>
                                <w:ilvl w:val="0"/>
                                <w:numId w:val="50"/>
                              </w:numPr>
                              <w:shd w:val="clear" w:color="auto" w:fill="1F497D" w:themeFill="text2"/>
                              <w:spacing w:after="60" w:line="240" w:lineRule="auto"/>
                              <w:rPr>
                                <w:color w:val="FFFFFF" w:themeColor="background1"/>
                                <w:sz w:val="20"/>
                              </w:rPr>
                            </w:pPr>
                            <w:r>
                              <w:rPr>
                                <w:color w:val="FFFFFF" w:themeColor="background1"/>
                                <w:sz w:val="20"/>
                              </w:rPr>
                              <w:t>Primo Smallgoods</w:t>
                            </w:r>
                          </w:p>
                          <w:p w:rsidR="00C55871" w:rsidRDefault="00C55871" w:rsidP="00C17E74">
                            <w:pPr>
                              <w:pStyle w:val="ListParagraph"/>
                              <w:numPr>
                                <w:ilvl w:val="0"/>
                                <w:numId w:val="50"/>
                              </w:numPr>
                              <w:shd w:val="clear" w:color="auto" w:fill="1F497D" w:themeFill="text2"/>
                              <w:spacing w:after="60" w:line="240" w:lineRule="auto"/>
                              <w:rPr>
                                <w:color w:val="FFFFFF" w:themeColor="background1"/>
                                <w:sz w:val="20"/>
                              </w:rPr>
                            </w:pPr>
                            <w:r>
                              <w:rPr>
                                <w:color w:val="FFFFFF" w:themeColor="background1"/>
                                <w:sz w:val="20"/>
                              </w:rPr>
                              <w:t>Ashmore Engineering</w:t>
                            </w:r>
                          </w:p>
                          <w:p w:rsidR="00C55871" w:rsidRDefault="00C55871" w:rsidP="00C17E74">
                            <w:pPr>
                              <w:pStyle w:val="ListParagraph"/>
                              <w:numPr>
                                <w:ilvl w:val="0"/>
                                <w:numId w:val="50"/>
                              </w:numPr>
                              <w:shd w:val="clear" w:color="auto" w:fill="1F497D" w:themeFill="text2"/>
                              <w:spacing w:after="60" w:line="240" w:lineRule="auto"/>
                              <w:rPr>
                                <w:color w:val="FFFFFF" w:themeColor="background1"/>
                                <w:sz w:val="20"/>
                              </w:rPr>
                            </w:pPr>
                            <w:proofErr w:type="spellStart"/>
                            <w:r>
                              <w:rPr>
                                <w:color w:val="FFFFFF" w:themeColor="background1"/>
                                <w:sz w:val="20"/>
                              </w:rPr>
                              <w:t>TAFESA</w:t>
                            </w:r>
                            <w:proofErr w:type="spellEnd"/>
                            <w:r>
                              <w:rPr>
                                <w:color w:val="FFFFFF" w:themeColor="background1"/>
                                <w:sz w:val="20"/>
                              </w:rPr>
                              <w:t xml:space="preserve"> Regional</w:t>
                            </w:r>
                          </w:p>
                          <w:p w:rsidR="00C55871" w:rsidRDefault="00C55871" w:rsidP="00C17E74">
                            <w:pPr>
                              <w:pStyle w:val="ListParagraph"/>
                              <w:numPr>
                                <w:ilvl w:val="0"/>
                                <w:numId w:val="50"/>
                              </w:numPr>
                              <w:shd w:val="clear" w:color="auto" w:fill="1F497D" w:themeFill="text2"/>
                              <w:spacing w:after="60" w:line="240" w:lineRule="auto"/>
                              <w:rPr>
                                <w:color w:val="FFFFFF" w:themeColor="background1"/>
                                <w:sz w:val="20"/>
                              </w:rPr>
                            </w:pPr>
                            <w:proofErr w:type="spellStart"/>
                            <w:r w:rsidRPr="009802F9">
                              <w:rPr>
                                <w:color w:val="FFFFFF" w:themeColor="background1"/>
                                <w:sz w:val="20"/>
                              </w:rPr>
                              <w:t>Balco</w:t>
                            </w:r>
                            <w:proofErr w:type="spellEnd"/>
                            <w:r w:rsidRPr="009802F9">
                              <w:rPr>
                                <w:color w:val="FFFFFF" w:themeColor="background1"/>
                                <w:sz w:val="20"/>
                              </w:rPr>
                              <w:t xml:space="preserve"> Australia</w:t>
                            </w:r>
                          </w:p>
                          <w:p w:rsidR="00C55871" w:rsidRDefault="00C55871" w:rsidP="00C17E74">
                            <w:pPr>
                              <w:shd w:val="clear" w:color="auto" w:fill="548DD4" w:themeFill="text2" w:themeFillTint="99"/>
                              <w:tabs>
                                <w:tab w:val="left" w:pos="6075"/>
                              </w:tabs>
                              <w:rPr>
                                <w:color w:val="FFFFFF" w:themeColor="background1"/>
                                <w:sz w:val="21"/>
                                <w:szCs w:val="21"/>
                              </w:rPr>
                            </w:pPr>
                          </w:p>
                        </w:txbxContent>
                      </wps:txbx>
                      <wps:bodyPr rot="0" vert="horz" wrap="square" lIns="91440" tIns="45720" rIns="91440" bIns="45720" anchor="t" anchorCtr="0" upright="1">
                        <a:noAutofit/>
                      </wps:bodyPr>
                    </wps:wsp>
                  </a:graphicData>
                </a:graphic>
              </wp:inline>
            </w:drawing>
          </mc:Choice>
          <mc:Fallback>
            <w:pict>
              <v:roundrect id="Rounded Rectangle 8" o:spid="_x0000_s1028" style="width:253.25pt;height:213.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jU1XAIAALEEAAAOAAAAZHJzL2Uyb0RvYy54bWysVNty0zAQfWeGf9DonTg2uXrqdDoNZZgp&#10;0GnhAxRJjgWyVkhK7PbrWcluSMsbQx482ovO7tmjzcVl32pylM4rMBXNJ1NKpOEglNlX9Pu3m3cr&#10;SnxgRjANRlb0UXp6uXn75qKzpSygAS2kIwhifNnZijYh2DLLPG9ky/wErDQYrMG1LKDp9plwrEP0&#10;VmfFdLrIOnDCOuDSe/RuhyDdJPy6ljx8rWsvA9EVxd5C+rr03cVvtrlg5d4x2yg+tsH+oYuWKYNF&#10;T1BbFhg5OPUXVKu4Aw91mHBoM6hrxWXigGzy6Ss2Dw2zMnHB4Xh7GpP/f7D8y/HOESUqikIZ1qJE&#10;93AwQgpyj8NjZq8lWcUxddaXmP1g71wk6u0t8J+eGLhuMEteOQddI5nA5vKYn724EA2PV8mu+wwC&#10;q7BDgDSxvnZtBMRZkD4J83gSRvaBcHS+L/JFsZxTwjFWLKerxXqWarDy+bp1PnyU0JJ4qKiLJCKD&#10;VIMdb31I8oiRJBM/KKlbjWIfmSb5YrFYjohjcsbKZ8zEF7QSN0rrZLj97lo7gleR7c1svdymOvrQ&#10;IrvRPY2/iMlK9OMzHPzJheB+wMBB4fkcXBvSVXQ9L+YJ80VsvDQinSq8hkjsU+WoyAcj0jkwpYcz&#10;5mszShRVGdQN/a5PT6GIXUfFdiAeUTMHw97gnuOhAfdESYc7U1H/68CcpER/Mqj7Op/N4pIlYzZf&#10;Fmi488juPMIMR6iKBkqG43UYFvNgndo3WClPAzBwhW+lVgGbSo9q6Go0cC/SCMcdjot3bqesP/80&#10;m98AAAD//wMAUEsDBBQABgAIAAAAIQDOC8to3gAAAAUBAAAPAAAAZHJzL2Rvd25yZXYueG1sTI9P&#10;S8NAEMXvQr/DMoIXsZuEJpaYTSlKQYqX/kE8TrNjEszOhuy2id/e1Yu9DDze473fFKvJdOJCg2st&#10;K4jnEQjiyuqWawXHw+ZhCcJ5ZI2dZVLwTQ5W5eymwFzbkXd02ftahBJ2OSpovO9zKV3VkEE3tz1x&#10;8D7tYNAHOdRSDziGctPJJIoyabDlsNBgT88NVV/7s1Hwkm7ej3FsxsXHyPfb1+1b8hgvlbq7ndZP&#10;IDxN/j8Mv/gBHcrAdLJn1k50CsIj/u8GL42yFMRJwSLJMpBlIa/pyx8AAAD//wMAUEsBAi0AFAAG&#10;AAgAAAAhALaDOJL+AAAA4QEAABMAAAAAAAAAAAAAAAAAAAAAAFtDb250ZW50X1R5cGVzXS54bWxQ&#10;SwECLQAUAAYACAAAACEAOP0h/9YAAACUAQAACwAAAAAAAAAAAAAAAAAvAQAAX3JlbHMvLnJlbHNQ&#10;SwECLQAUAAYACAAAACEAM+o1NVwCAACxBAAADgAAAAAAAAAAAAAAAAAuAgAAZHJzL2Uyb0RvYy54&#10;bWxQSwECLQAUAAYACAAAACEAzgvLaN4AAAAFAQAADwAAAAAAAAAAAAAAAAC2BAAAZHJzL2Rvd25y&#10;ZXYueG1sUEsFBgAAAAAEAAQA8wAAAMEFAAAAAA==&#10;" fillcolor="#1f497d">
                <v:textbox>
                  <w:txbxContent>
                    <w:p w:rsidR="00C55871" w:rsidRPr="009C205D" w:rsidRDefault="00C55871" w:rsidP="00C17E74">
                      <w:pPr>
                        <w:shd w:val="clear" w:color="auto" w:fill="1F497D" w:themeFill="text2"/>
                        <w:rPr>
                          <w:b/>
                          <w:color w:val="FFFFFF" w:themeColor="background1"/>
                          <w:sz w:val="24"/>
                          <w:szCs w:val="24"/>
                        </w:rPr>
                      </w:pPr>
                      <w:r w:rsidRPr="009C205D">
                        <w:rPr>
                          <w:b/>
                          <w:color w:val="FFFFFF" w:themeColor="background1"/>
                          <w:sz w:val="24"/>
                          <w:szCs w:val="24"/>
                        </w:rPr>
                        <w:t xml:space="preserve">MID NORTH ENGINEERING ACADEMY </w:t>
                      </w:r>
                    </w:p>
                    <w:p w:rsidR="00C55871" w:rsidRDefault="00C55871" w:rsidP="00C17E74">
                      <w:pPr>
                        <w:shd w:val="clear" w:color="auto" w:fill="1F497D" w:themeFill="text2"/>
                        <w:spacing w:after="60"/>
                        <w:rPr>
                          <w:b/>
                          <w:color w:val="FFFFFF" w:themeColor="background1"/>
                          <w:sz w:val="20"/>
                        </w:rPr>
                      </w:pPr>
                      <w:r w:rsidRPr="008A579A">
                        <w:rPr>
                          <w:b/>
                          <w:color w:val="FFFFFF" w:themeColor="background1"/>
                          <w:sz w:val="20"/>
                        </w:rPr>
                        <w:t>Purpose:</w:t>
                      </w:r>
                    </w:p>
                    <w:p w:rsidR="00C55871" w:rsidRDefault="00C55871" w:rsidP="00C17E74">
                      <w:pPr>
                        <w:shd w:val="clear" w:color="auto" w:fill="1F497D" w:themeFill="text2"/>
                        <w:spacing w:after="60"/>
                        <w:rPr>
                          <w:color w:val="FFFFFF" w:themeColor="background1"/>
                          <w:sz w:val="20"/>
                        </w:rPr>
                      </w:pPr>
                      <w:r>
                        <w:rPr>
                          <w:color w:val="FFFFFF" w:themeColor="background1"/>
                          <w:sz w:val="20"/>
                        </w:rPr>
                        <w:t>To equip high-achieving secondary students with the skills they need to become managers and entrepreneurs within the local engineering and manufacturing industry.</w:t>
                      </w:r>
                    </w:p>
                    <w:p w:rsidR="00C55871" w:rsidRDefault="00C55871" w:rsidP="00C17E74">
                      <w:pPr>
                        <w:shd w:val="clear" w:color="auto" w:fill="1F497D" w:themeFill="text2"/>
                        <w:spacing w:after="60"/>
                        <w:rPr>
                          <w:b/>
                          <w:color w:val="FFFFFF" w:themeColor="background1"/>
                          <w:sz w:val="20"/>
                        </w:rPr>
                      </w:pPr>
                      <w:r w:rsidRPr="005D70C2">
                        <w:rPr>
                          <w:b/>
                          <w:color w:val="FFFFFF" w:themeColor="background1"/>
                          <w:sz w:val="20"/>
                        </w:rPr>
                        <w:t>Partnership Members:</w:t>
                      </w:r>
                    </w:p>
                    <w:p w:rsidR="00C55871" w:rsidRDefault="00C55871" w:rsidP="00C17E74">
                      <w:pPr>
                        <w:pStyle w:val="ListParagraph"/>
                        <w:numPr>
                          <w:ilvl w:val="0"/>
                          <w:numId w:val="50"/>
                        </w:numPr>
                        <w:shd w:val="clear" w:color="auto" w:fill="1F497D" w:themeFill="text2"/>
                        <w:spacing w:after="60" w:line="240" w:lineRule="auto"/>
                        <w:rPr>
                          <w:color w:val="FFFFFF" w:themeColor="background1"/>
                          <w:sz w:val="20"/>
                        </w:rPr>
                      </w:pPr>
                      <w:r>
                        <w:rPr>
                          <w:color w:val="FFFFFF" w:themeColor="background1"/>
                          <w:sz w:val="20"/>
                        </w:rPr>
                        <w:t>Kelly Engineering</w:t>
                      </w:r>
                    </w:p>
                    <w:p w:rsidR="00C55871" w:rsidRDefault="00C55871" w:rsidP="00C17E74">
                      <w:pPr>
                        <w:pStyle w:val="ListParagraph"/>
                        <w:numPr>
                          <w:ilvl w:val="0"/>
                          <w:numId w:val="50"/>
                        </w:numPr>
                        <w:shd w:val="clear" w:color="auto" w:fill="1F497D" w:themeFill="text2"/>
                        <w:spacing w:after="60" w:line="240" w:lineRule="auto"/>
                        <w:rPr>
                          <w:color w:val="FFFFFF" w:themeColor="background1"/>
                          <w:sz w:val="20"/>
                        </w:rPr>
                      </w:pPr>
                      <w:r>
                        <w:rPr>
                          <w:color w:val="FFFFFF" w:themeColor="background1"/>
                          <w:sz w:val="20"/>
                        </w:rPr>
                        <w:t>Taylors Wines</w:t>
                      </w:r>
                    </w:p>
                    <w:p w:rsidR="00C55871" w:rsidRDefault="00C55871" w:rsidP="00C17E74">
                      <w:pPr>
                        <w:pStyle w:val="ListParagraph"/>
                        <w:numPr>
                          <w:ilvl w:val="0"/>
                          <w:numId w:val="50"/>
                        </w:numPr>
                        <w:shd w:val="clear" w:color="auto" w:fill="1F497D" w:themeFill="text2"/>
                        <w:spacing w:after="60" w:line="240" w:lineRule="auto"/>
                        <w:rPr>
                          <w:color w:val="FFFFFF" w:themeColor="background1"/>
                          <w:sz w:val="20"/>
                        </w:rPr>
                      </w:pPr>
                      <w:r>
                        <w:rPr>
                          <w:color w:val="FFFFFF" w:themeColor="background1"/>
                          <w:sz w:val="20"/>
                        </w:rPr>
                        <w:t>Primo Smallgoods</w:t>
                      </w:r>
                    </w:p>
                    <w:p w:rsidR="00C55871" w:rsidRDefault="00C55871" w:rsidP="00C17E74">
                      <w:pPr>
                        <w:pStyle w:val="ListParagraph"/>
                        <w:numPr>
                          <w:ilvl w:val="0"/>
                          <w:numId w:val="50"/>
                        </w:numPr>
                        <w:shd w:val="clear" w:color="auto" w:fill="1F497D" w:themeFill="text2"/>
                        <w:spacing w:after="60" w:line="240" w:lineRule="auto"/>
                        <w:rPr>
                          <w:color w:val="FFFFFF" w:themeColor="background1"/>
                          <w:sz w:val="20"/>
                        </w:rPr>
                      </w:pPr>
                      <w:r>
                        <w:rPr>
                          <w:color w:val="FFFFFF" w:themeColor="background1"/>
                          <w:sz w:val="20"/>
                        </w:rPr>
                        <w:t>Ashmore Engineering</w:t>
                      </w:r>
                    </w:p>
                    <w:p w:rsidR="00C55871" w:rsidRDefault="00C55871" w:rsidP="00C17E74">
                      <w:pPr>
                        <w:pStyle w:val="ListParagraph"/>
                        <w:numPr>
                          <w:ilvl w:val="0"/>
                          <w:numId w:val="50"/>
                        </w:numPr>
                        <w:shd w:val="clear" w:color="auto" w:fill="1F497D" w:themeFill="text2"/>
                        <w:spacing w:after="60" w:line="240" w:lineRule="auto"/>
                        <w:rPr>
                          <w:color w:val="FFFFFF" w:themeColor="background1"/>
                          <w:sz w:val="20"/>
                        </w:rPr>
                      </w:pPr>
                      <w:proofErr w:type="spellStart"/>
                      <w:r>
                        <w:rPr>
                          <w:color w:val="FFFFFF" w:themeColor="background1"/>
                          <w:sz w:val="20"/>
                        </w:rPr>
                        <w:t>TAFESA</w:t>
                      </w:r>
                      <w:proofErr w:type="spellEnd"/>
                      <w:r>
                        <w:rPr>
                          <w:color w:val="FFFFFF" w:themeColor="background1"/>
                          <w:sz w:val="20"/>
                        </w:rPr>
                        <w:t xml:space="preserve"> Regional</w:t>
                      </w:r>
                    </w:p>
                    <w:p w:rsidR="00C55871" w:rsidRDefault="00C55871" w:rsidP="00C17E74">
                      <w:pPr>
                        <w:pStyle w:val="ListParagraph"/>
                        <w:numPr>
                          <w:ilvl w:val="0"/>
                          <w:numId w:val="50"/>
                        </w:numPr>
                        <w:shd w:val="clear" w:color="auto" w:fill="1F497D" w:themeFill="text2"/>
                        <w:spacing w:after="60" w:line="240" w:lineRule="auto"/>
                        <w:rPr>
                          <w:color w:val="FFFFFF" w:themeColor="background1"/>
                          <w:sz w:val="20"/>
                        </w:rPr>
                      </w:pPr>
                      <w:proofErr w:type="spellStart"/>
                      <w:r w:rsidRPr="009802F9">
                        <w:rPr>
                          <w:color w:val="FFFFFF" w:themeColor="background1"/>
                          <w:sz w:val="20"/>
                        </w:rPr>
                        <w:t>Balco</w:t>
                      </w:r>
                      <w:proofErr w:type="spellEnd"/>
                      <w:r w:rsidRPr="009802F9">
                        <w:rPr>
                          <w:color w:val="FFFFFF" w:themeColor="background1"/>
                          <w:sz w:val="20"/>
                        </w:rPr>
                        <w:t xml:space="preserve"> Australia</w:t>
                      </w:r>
                    </w:p>
                    <w:p w:rsidR="00C55871" w:rsidRDefault="00C55871" w:rsidP="00C17E74">
                      <w:pPr>
                        <w:shd w:val="clear" w:color="auto" w:fill="548DD4" w:themeFill="text2" w:themeFillTint="99"/>
                        <w:tabs>
                          <w:tab w:val="left" w:pos="6075"/>
                        </w:tabs>
                        <w:rPr>
                          <w:color w:val="FFFFFF" w:themeColor="background1"/>
                          <w:sz w:val="21"/>
                          <w:szCs w:val="21"/>
                        </w:rPr>
                      </w:pPr>
                    </w:p>
                  </w:txbxContent>
                </v:textbox>
                <w10:anchorlock/>
              </v:roundrect>
            </w:pict>
          </mc:Fallback>
        </mc:AlternateContent>
      </w:r>
    </w:p>
    <w:p w:rsidR="00C17E74" w:rsidRPr="00C17E74" w:rsidRDefault="00C17E74" w:rsidP="009C205D">
      <w:pPr>
        <w:tabs>
          <w:tab w:val="left" w:pos="6075"/>
        </w:tabs>
        <w:spacing w:before="120" w:line="240" w:lineRule="auto"/>
        <w:rPr>
          <w:rFonts w:eastAsia="Times New Roman" w:cstheme="minorHAnsi"/>
          <w:b/>
          <w:color w:val="1F497D" w:themeColor="text2"/>
          <w:sz w:val="20"/>
          <w:szCs w:val="20"/>
        </w:rPr>
      </w:pPr>
      <w:r w:rsidRPr="00C17E74">
        <w:rPr>
          <w:rFonts w:eastAsia="Times New Roman" w:cstheme="minorHAnsi"/>
          <w:b/>
          <w:color w:val="1F497D" w:themeColor="text2"/>
          <w:sz w:val="20"/>
          <w:szCs w:val="20"/>
        </w:rPr>
        <w:t>Context and Goals</w:t>
      </w:r>
    </w:p>
    <w:p w:rsidR="00C17E74" w:rsidRPr="009C205D" w:rsidRDefault="00C17E74" w:rsidP="009C205D">
      <w:pPr>
        <w:spacing w:after="120" w:line="240" w:lineRule="auto"/>
        <w:rPr>
          <w:rFonts w:eastAsia="Times New Roman" w:cstheme="minorHAnsi"/>
          <w:sz w:val="20"/>
          <w:szCs w:val="20"/>
        </w:rPr>
      </w:pPr>
      <w:r w:rsidRPr="009C205D">
        <w:rPr>
          <w:rFonts w:eastAsia="Times New Roman" w:cstheme="minorHAnsi"/>
          <w:sz w:val="20"/>
          <w:szCs w:val="20"/>
        </w:rPr>
        <w:t xml:space="preserve">The Yorke and Mid North Regions of South Australia are currently experiencing a boom in mineral exploration and mining. As a consequence, local engineering and manufacturing firms across the region are experiencing a loss of existing and potential employees to the mining industry. Local employers were concerned that, without some kind of intervention, young people would continue to leave the region and the future of the local engineering and manufacturing industry would be at risk. </w:t>
      </w:r>
    </w:p>
    <w:p w:rsidR="00C17E74" w:rsidRPr="00C17E74" w:rsidRDefault="00C17E74" w:rsidP="009C205D">
      <w:pPr>
        <w:tabs>
          <w:tab w:val="left" w:pos="6075"/>
        </w:tabs>
        <w:spacing w:before="120"/>
        <w:rPr>
          <w:rFonts w:eastAsia="Calibri" w:cstheme="minorHAnsi"/>
          <w:b/>
          <w:color w:val="1F497D" w:themeColor="text2"/>
          <w:sz w:val="20"/>
          <w:szCs w:val="20"/>
        </w:rPr>
      </w:pPr>
      <w:r w:rsidRPr="00C17E74">
        <w:rPr>
          <w:rFonts w:eastAsia="Calibri" w:cstheme="minorHAnsi"/>
          <w:b/>
          <w:color w:val="1F497D" w:themeColor="text2"/>
          <w:sz w:val="20"/>
          <w:szCs w:val="20"/>
        </w:rPr>
        <w:t>The Partnership’s Approach</w:t>
      </w:r>
    </w:p>
    <w:p w:rsidR="00C17E74" w:rsidRPr="009C205D" w:rsidRDefault="00C17E74" w:rsidP="009C205D">
      <w:pPr>
        <w:spacing w:after="120" w:line="240" w:lineRule="auto"/>
        <w:rPr>
          <w:rFonts w:eastAsia="Times New Roman" w:cstheme="minorHAnsi"/>
          <w:sz w:val="20"/>
          <w:szCs w:val="20"/>
        </w:rPr>
      </w:pPr>
      <w:r w:rsidRPr="009C205D">
        <w:rPr>
          <w:rFonts w:eastAsia="Times New Roman" w:cstheme="minorHAnsi"/>
          <w:sz w:val="20"/>
          <w:szCs w:val="20"/>
        </w:rPr>
        <w:t>A partnership was formed and established the Mid North Engineering Academy to provide opportunities for selected students to be trained, mentored and developed by industry for employment in the local region.</w:t>
      </w:r>
    </w:p>
    <w:p w:rsidR="00C17E74" w:rsidRPr="00C17E74" w:rsidRDefault="00C17E74" w:rsidP="00C17E74">
      <w:pPr>
        <w:spacing w:after="120" w:line="240" w:lineRule="auto"/>
        <w:rPr>
          <w:rFonts w:eastAsia="Times New Roman" w:cstheme="minorHAnsi"/>
          <w:sz w:val="20"/>
          <w:szCs w:val="20"/>
        </w:rPr>
      </w:pPr>
      <w:r w:rsidRPr="00C17E74">
        <w:rPr>
          <w:rFonts w:eastAsia="Times New Roman" w:cstheme="minorHAnsi"/>
          <w:sz w:val="20"/>
          <w:szCs w:val="20"/>
        </w:rPr>
        <w:t>The partnership, largely driven by local employers, involves TAFE SA and supports public and private secondary schools from across the region. The partnership targets local senior secondary students who wish to pursue a career in the engineering and manufacturing industry, and who have the potential to become leaders and managers in local industry.</w:t>
      </w:r>
    </w:p>
    <w:p w:rsidR="00C17E74" w:rsidRPr="00C17E74" w:rsidRDefault="00C17E74" w:rsidP="00C17E74">
      <w:pPr>
        <w:spacing w:after="120" w:line="240" w:lineRule="auto"/>
        <w:rPr>
          <w:rFonts w:eastAsia="Times New Roman" w:cstheme="minorHAnsi"/>
          <w:sz w:val="20"/>
          <w:szCs w:val="20"/>
        </w:rPr>
      </w:pPr>
      <w:r w:rsidRPr="00C17E74">
        <w:rPr>
          <w:rFonts w:eastAsia="Times New Roman" w:cstheme="minorHAnsi"/>
          <w:sz w:val="20"/>
          <w:szCs w:val="20"/>
        </w:rPr>
        <w:t xml:space="preserve">The two year program requires students to commit to staying at school for the completion of their SA Certificate of Education, while taking part in an individually tailored, case-managed program. Technical skill development, mentoring, TAFE training and co-ordinated work placements are incorporated into the program. </w:t>
      </w:r>
    </w:p>
    <w:p w:rsidR="00C17E74" w:rsidRPr="00C17E74" w:rsidRDefault="00C17E74" w:rsidP="00C17E74">
      <w:pPr>
        <w:spacing w:after="120" w:line="240" w:lineRule="auto"/>
        <w:rPr>
          <w:rFonts w:eastAsia="Times New Roman" w:cstheme="minorHAnsi"/>
          <w:sz w:val="20"/>
          <w:szCs w:val="20"/>
        </w:rPr>
      </w:pPr>
      <w:r w:rsidRPr="00C17E74">
        <w:rPr>
          <w:rFonts w:eastAsia="Times New Roman" w:cstheme="minorHAnsi"/>
          <w:sz w:val="20"/>
          <w:szCs w:val="20"/>
        </w:rPr>
        <w:t xml:space="preserve">The partners jointly devised all aspects of the program, including developing the selection criteria, promoting the program and conducting the selection interviews. </w:t>
      </w:r>
    </w:p>
    <w:p w:rsidR="00C17E74" w:rsidRPr="00C17E74" w:rsidRDefault="00C17E74" w:rsidP="00C17E74">
      <w:pPr>
        <w:tabs>
          <w:tab w:val="left" w:pos="6075"/>
        </w:tabs>
        <w:spacing w:before="240" w:line="240" w:lineRule="auto"/>
        <w:ind w:left="567"/>
        <w:rPr>
          <w:rFonts w:eastAsia="Calibri" w:cstheme="minorHAnsi"/>
          <w:b/>
          <w:color w:val="1F497D" w:themeColor="text2"/>
          <w:sz w:val="20"/>
          <w:szCs w:val="20"/>
        </w:rPr>
      </w:pPr>
      <w:r w:rsidRPr="00C17E74">
        <w:rPr>
          <w:rFonts w:eastAsia="Calibri" w:cstheme="minorHAnsi"/>
          <w:b/>
          <w:noProof/>
          <w:color w:val="1F497D" w:themeColor="text2"/>
          <w:sz w:val="20"/>
          <w:szCs w:val="20"/>
          <w:lang w:eastAsia="en-AU"/>
        </w:rPr>
        <w:lastRenderedPageBreak/>
        <w:drawing>
          <wp:inline distT="0" distB="0" distL="0" distR="0" wp14:anchorId="606F8E08" wp14:editId="32A8C0A5">
            <wp:extent cx="2275205" cy="1923415"/>
            <wp:effectExtent l="0" t="0" r="0" b="635"/>
            <wp:docPr id="33" name="Picture 8" descr="Photo: Participants in the Mid North Engineering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d North Engineering Academy"/>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75205" cy="1923415"/>
                    </a:xfrm>
                    <a:prstGeom prst="rect">
                      <a:avLst/>
                    </a:prstGeom>
                    <a:noFill/>
                    <a:ln w="9525">
                      <a:noFill/>
                      <a:miter lim="800000"/>
                      <a:headEnd/>
                      <a:tailEnd/>
                    </a:ln>
                  </pic:spPr>
                </pic:pic>
              </a:graphicData>
            </a:graphic>
          </wp:inline>
        </w:drawing>
      </w:r>
    </w:p>
    <w:p w:rsidR="009C205D" w:rsidRDefault="009C205D" w:rsidP="009C205D">
      <w:pPr>
        <w:autoSpaceDE w:val="0"/>
        <w:autoSpaceDN w:val="0"/>
        <w:jc w:val="center"/>
        <w:rPr>
          <w:rFonts w:cstheme="minorHAnsi"/>
          <w:i/>
          <w:sz w:val="20"/>
          <w:szCs w:val="20"/>
          <w:lang w:eastAsia="en-AU"/>
        </w:rPr>
      </w:pPr>
      <w:r w:rsidRPr="009C205D">
        <w:rPr>
          <w:rFonts w:cstheme="minorHAnsi"/>
          <w:i/>
          <w:sz w:val="20"/>
          <w:szCs w:val="20"/>
          <w:lang w:eastAsia="en-AU"/>
        </w:rPr>
        <w:t xml:space="preserve">The inaugural entrants into the </w:t>
      </w:r>
    </w:p>
    <w:p w:rsidR="009C205D" w:rsidRPr="009C205D" w:rsidRDefault="009C205D" w:rsidP="009C205D">
      <w:pPr>
        <w:autoSpaceDE w:val="0"/>
        <w:autoSpaceDN w:val="0"/>
        <w:jc w:val="center"/>
        <w:rPr>
          <w:rFonts w:cstheme="minorHAnsi"/>
          <w:i/>
          <w:sz w:val="20"/>
          <w:szCs w:val="20"/>
          <w:lang w:eastAsia="en-AU"/>
        </w:rPr>
      </w:pPr>
      <w:r w:rsidRPr="009C205D">
        <w:rPr>
          <w:rFonts w:cstheme="minorHAnsi"/>
          <w:i/>
          <w:sz w:val="20"/>
          <w:szCs w:val="20"/>
          <w:lang w:eastAsia="en-AU"/>
        </w:rPr>
        <w:t>Mid North Engineering Academy</w:t>
      </w:r>
    </w:p>
    <w:p w:rsidR="00C17E74" w:rsidRPr="00C17E74" w:rsidRDefault="00C17E74" w:rsidP="009C205D">
      <w:pPr>
        <w:tabs>
          <w:tab w:val="left" w:pos="6075"/>
        </w:tabs>
        <w:spacing w:before="120" w:line="240" w:lineRule="auto"/>
        <w:rPr>
          <w:rFonts w:eastAsia="Calibri" w:cstheme="minorHAnsi"/>
          <w:b/>
          <w:color w:val="1F497D" w:themeColor="text2"/>
          <w:sz w:val="20"/>
          <w:szCs w:val="20"/>
          <w:lang w:eastAsia="en-AU"/>
        </w:rPr>
      </w:pPr>
      <w:r w:rsidRPr="00C17E74">
        <w:rPr>
          <w:rFonts w:eastAsia="Calibri" w:cstheme="minorHAnsi"/>
          <w:b/>
          <w:color w:val="1F497D" w:themeColor="text2"/>
          <w:sz w:val="20"/>
          <w:szCs w:val="20"/>
        </w:rPr>
        <w:t>Benefits</w:t>
      </w:r>
    </w:p>
    <w:p w:rsidR="00C17E74" w:rsidRPr="00C17E74" w:rsidRDefault="00C17E74" w:rsidP="00C17E74">
      <w:pPr>
        <w:numPr>
          <w:ilvl w:val="0"/>
          <w:numId w:val="49"/>
        </w:numPr>
        <w:autoSpaceDE w:val="0"/>
        <w:autoSpaceDN w:val="0"/>
        <w:spacing w:after="60" w:line="240" w:lineRule="auto"/>
        <w:ind w:left="425" w:hanging="425"/>
        <w:rPr>
          <w:rFonts w:cstheme="minorHAnsi"/>
          <w:b/>
          <w:bCs/>
          <w:sz w:val="20"/>
          <w:szCs w:val="20"/>
          <w:lang w:eastAsia="en-AU"/>
        </w:rPr>
      </w:pPr>
      <w:r w:rsidRPr="00C17E74">
        <w:rPr>
          <w:rFonts w:cstheme="minorHAnsi"/>
          <w:sz w:val="20"/>
          <w:szCs w:val="20"/>
          <w:lang w:eastAsia="en-AU"/>
        </w:rPr>
        <w:t>Six students from schools from across the region were selected for the first intake in Feb 2012.</w:t>
      </w:r>
    </w:p>
    <w:p w:rsidR="00C17E74" w:rsidRPr="00C17E74" w:rsidRDefault="00C17E74" w:rsidP="00C17E74">
      <w:pPr>
        <w:numPr>
          <w:ilvl w:val="0"/>
          <w:numId w:val="49"/>
        </w:numPr>
        <w:autoSpaceDE w:val="0"/>
        <w:autoSpaceDN w:val="0"/>
        <w:spacing w:after="60" w:line="240" w:lineRule="auto"/>
        <w:ind w:left="425" w:hanging="425"/>
        <w:rPr>
          <w:rFonts w:cstheme="minorHAnsi"/>
          <w:b/>
          <w:bCs/>
          <w:sz w:val="20"/>
          <w:szCs w:val="20"/>
          <w:lang w:eastAsia="en-AU"/>
        </w:rPr>
      </w:pPr>
      <w:r w:rsidRPr="00C17E74">
        <w:rPr>
          <w:rFonts w:cstheme="minorHAnsi"/>
          <w:sz w:val="20"/>
          <w:szCs w:val="20"/>
          <w:lang w:eastAsia="en-AU"/>
        </w:rPr>
        <w:t>Young people have access to improved educational pathways and local employment opportunities.</w:t>
      </w:r>
    </w:p>
    <w:p w:rsidR="00C17E74" w:rsidRPr="00C17E74" w:rsidRDefault="00C17E74" w:rsidP="00C17E74">
      <w:pPr>
        <w:numPr>
          <w:ilvl w:val="0"/>
          <w:numId w:val="49"/>
        </w:numPr>
        <w:autoSpaceDE w:val="0"/>
        <w:autoSpaceDN w:val="0"/>
        <w:spacing w:after="60" w:line="240" w:lineRule="auto"/>
        <w:ind w:left="425" w:hanging="425"/>
        <w:rPr>
          <w:rFonts w:cstheme="minorHAnsi"/>
          <w:b/>
          <w:bCs/>
          <w:sz w:val="20"/>
          <w:szCs w:val="20"/>
          <w:lang w:eastAsia="en-AU"/>
        </w:rPr>
      </w:pPr>
      <w:r w:rsidRPr="00C17E74">
        <w:rPr>
          <w:rFonts w:cstheme="minorHAnsi"/>
          <w:sz w:val="20"/>
          <w:szCs w:val="20"/>
          <w:lang w:eastAsia="en-AU"/>
        </w:rPr>
        <w:t>Young people receive personalised tuition in resume/ application writing and interview skills.</w:t>
      </w:r>
    </w:p>
    <w:p w:rsidR="00C17E74" w:rsidRPr="00C17E74" w:rsidRDefault="00C17E74" w:rsidP="00C17E74">
      <w:pPr>
        <w:numPr>
          <w:ilvl w:val="0"/>
          <w:numId w:val="49"/>
        </w:numPr>
        <w:autoSpaceDE w:val="0"/>
        <w:autoSpaceDN w:val="0"/>
        <w:spacing w:line="240" w:lineRule="auto"/>
        <w:ind w:left="425" w:hanging="425"/>
        <w:rPr>
          <w:rFonts w:cstheme="minorHAnsi"/>
          <w:b/>
          <w:bCs/>
          <w:sz w:val="20"/>
          <w:szCs w:val="20"/>
          <w:lang w:eastAsia="en-AU"/>
        </w:rPr>
      </w:pPr>
      <w:r w:rsidRPr="00C17E74">
        <w:rPr>
          <w:rFonts w:cstheme="minorHAnsi"/>
          <w:sz w:val="20"/>
          <w:szCs w:val="20"/>
          <w:lang w:eastAsia="en-AU"/>
        </w:rPr>
        <w:t>Support from the Academy to improve apprenticeship opportunities within the region.</w:t>
      </w:r>
      <w:r w:rsidRPr="00C17E74">
        <w:rPr>
          <w:rFonts w:cstheme="minorHAnsi"/>
          <w:noProof/>
          <w:sz w:val="20"/>
          <w:szCs w:val="20"/>
          <w:lang w:eastAsia="en-AU"/>
        </w:rPr>
        <w:t xml:space="preserve"> </w:t>
      </w:r>
    </w:p>
    <w:p w:rsidR="00C17E74" w:rsidRPr="00C17E74" w:rsidRDefault="00C17E74" w:rsidP="00C17E74">
      <w:pPr>
        <w:tabs>
          <w:tab w:val="left" w:pos="6075"/>
        </w:tabs>
        <w:rPr>
          <w:rFonts w:eastAsia="Calibri" w:cstheme="minorHAnsi"/>
          <w:b/>
          <w:color w:val="1F497D" w:themeColor="text2"/>
          <w:sz w:val="20"/>
          <w:szCs w:val="20"/>
          <w:lang w:eastAsia="en-AU"/>
        </w:rPr>
      </w:pPr>
      <w:r w:rsidRPr="00C17E74">
        <w:rPr>
          <w:rFonts w:eastAsia="Calibri" w:cstheme="minorHAnsi"/>
          <w:b/>
          <w:noProof/>
          <w:color w:val="1F497D" w:themeColor="text2"/>
          <w:sz w:val="20"/>
          <w:szCs w:val="20"/>
          <w:lang w:eastAsia="en-AU"/>
        </w:rPr>
        <mc:AlternateContent>
          <mc:Choice Requires="wps">
            <w:drawing>
              <wp:inline distT="0" distB="0" distL="0" distR="0" wp14:anchorId="4DFBA23C" wp14:editId="498BB1DC">
                <wp:extent cx="3268980" cy="974785"/>
                <wp:effectExtent l="0" t="0" r="7620" b="0"/>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980" cy="974785"/>
                        </a:xfrm>
                        <a:prstGeom prst="roundRect">
                          <a:avLst>
                            <a:gd name="adj" fmla="val 16667"/>
                          </a:avLst>
                        </a:prstGeom>
                        <a:solidFill>
                          <a:srgbClr val="4F81BD">
                            <a:lumMod val="20000"/>
                            <a:lumOff val="8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55871" w:rsidRDefault="00C55871" w:rsidP="00C17E74">
                            <w:pPr>
                              <w:tabs>
                                <w:tab w:val="left" w:pos="6075"/>
                              </w:tabs>
                              <w:spacing w:after="120"/>
                              <w:jc w:val="both"/>
                              <w:rPr>
                                <w:i/>
                                <w:color w:val="1F497D" w:themeColor="text2"/>
                                <w:sz w:val="20"/>
                              </w:rPr>
                            </w:pPr>
                            <w:r w:rsidRPr="005D70C2">
                              <w:rPr>
                                <w:i/>
                                <w:color w:val="1F497D" w:themeColor="text2"/>
                                <w:sz w:val="20"/>
                              </w:rPr>
                              <w:sym w:font="Wingdings" w:char="F07D"/>
                            </w:r>
                            <w:r>
                              <w:rPr>
                                <w:sz w:val="20"/>
                              </w:rPr>
                              <w:t xml:space="preserve"> </w:t>
                            </w:r>
                            <w:r>
                              <w:rPr>
                                <w:i/>
                                <w:color w:val="1F497D" w:themeColor="text2"/>
                                <w:sz w:val="20"/>
                              </w:rPr>
                              <w:t>This initiative heralds a new phase in having a much stronger local industry input into skills training</w:t>
                            </w:r>
                            <w:r w:rsidRPr="00AC0D0F">
                              <w:rPr>
                                <w:i/>
                                <w:color w:val="1F497D"/>
                                <w:sz w:val="20"/>
                              </w:rPr>
                              <w:sym w:font="Wingdings" w:char="F07E"/>
                            </w:r>
                            <w:r w:rsidRPr="00D45C40">
                              <w:rPr>
                                <w:i/>
                                <w:color w:val="1F497D" w:themeColor="text2"/>
                                <w:sz w:val="20"/>
                              </w:rPr>
                              <w:t xml:space="preserve"> </w:t>
                            </w:r>
                            <w:r>
                              <w:rPr>
                                <w:i/>
                                <w:color w:val="1F497D" w:themeColor="text2"/>
                                <w:sz w:val="20"/>
                              </w:rPr>
                              <w:t xml:space="preserve">Clive Thomson, Engineering Program Manager, </w:t>
                            </w:r>
                          </w:p>
                          <w:p w:rsidR="00C55871" w:rsidRDefault="00C55871" w:rsidP="00C17E74">
                            <w:pPr>
                              <w:tabs>
                                <w:tab w:val="left" w:pos="6075"/>
                              </w:tabs>
                              <w:spacing w:after="120"/>
                            </w:pPr>
                            <w:r>
                              <w:rPr>
                                <w:i/>
                                <w:color w:val="1F497D" w:themeColor="text2"/>
                                <w:sz w:val="20"/>
                              </w:rPr>
                              <w:t>TAFE SA Regional</w:t>
                            </w:r>
                          </w:p>
                        </w:txbxContent>
                      </wps:txbx>
                      <wps:bodyPr rot="0" vert="horz" wrap="square" lIns="91440" tIns="45720" rIns="91440" bIns="45720" anchor="t" anchorCtr="0" upright="1">
                        <a:noAutofit/>
                      </wps:bodyPr>
                    </wps:wsp>
                  </a:graphicData>
                </a:graphic>
              </wp:inline>
            </w:drawing>
          </mc:Choice>
          <mc:Fallback>
            <w:pict>
              <v:roundrect id="Rounded Rectangle 10" o:spid="_x0000_s1029" style="width:257.4pt;height:7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kctwIAAHQFAAAOAAAAZHJzL2Uyb0RvYy54bWysVF1v0zAUfUfiP1h+7/JBmiZR02lbKUIa&#10;MG3wA9zYaQyOHWy36Yb471w7yWjHC0K8JPa1fe495x57eXlsBTowbbiSJY4uQoyYrBTlclfiL583&#10;swwjY4mkRCjJSvzIDL5cvX617LuCxapRgjKNAESaou9K3FjbFUFgqoa1xFyojklYrJVuiYWp3gVU&#10;kx7QWxHEYZgGvdK006pixkB0PSzilceva1bZT3VtmEWixFCb9V/tv1v3DVZLUuw06RpejWWQf6ii&#10;JVxC0meoNbEE7TX/A6rllVZG1faiUm2g6ppXzHMANlH4gs1DQzrmuYA4pnuWyfw/2Orj4U4jTqF3&#10;II8kLfToXu0lZRTdg3pE7gRDsAZC9Z0pYP9Dd6cdVdPdquqbQVLdNLCNXWmt+oYRCuVFbn9wdsBN&#10;DBxF2/6DopCG7K3ymh1r3TpAUAMdfWsen1vDjhZVEHwTp1meQYkVrOWLZJHNfQpSTKc7bew7plrk&#10;BiXWjoRj4FOQw62xvj90JEnoV4zqVkC3D0SgKE3TxYg4bg5IMWF6ukpwuuFC+InebW+ERnC0xMkm&#10;i67XPo/Yt0BuCIM9w9FgEAYbDuFsCgO+GWBAKhif4gvpskjl8jklSTFEQI6RiBPGG+xHHsVJeB3n&#10;s02aLWbJJpnP8kWYzcIov87TMMmT9eanqy5KioZTyuQtl2wye5T8nZnGazfY1Nsd9dCJeTz3xM+q&#10;H2kNfB3dQYeXJH2L/AV0rnkrqR9bwsUwDs4r9jIA7envhfAec7Ya7GmP26N3czIZdqvoI5hOK/AE&#10;2AeeKhg0Sj9h1MO1L7H5vieaYSTeSzBuHiWJeyf8JJkvYpjo05Xt6QqRFUCV2GI0DG/s8LbsO813&#10;DWSKvDpSXYHZa26nWzFUBUzcrYCr7TmNz5B7O07nftfvx3L1CwAA//8DAFBLAwQUAAYACAAAACEA&#10;1oC1CdsAAAAFAQAADwAAAGRycy9kb3ducmV2LnhtbEyPwU7DMBBE70j9B2srcaNOoIGSxqlIJU4g&#10;oRQ+wI2XJE28jmKnDX/PwgUuK41mNPsm2822F2ccfetIQbyKQCBVzrRUK/h4f77ZgPBBk9G9I1Tw&#10;hR52+eIq06lxFyrxfAi14BLyqVbQhDCkUvqqQav9yg1I7H260erAcqylGfWFy20vb6PoXlrdEn9o&#10;9ID7BqvuMFkF0z6Oi7J7eXt9WJ+6TXgsp8IVSl0v56ctiIBz+AvDDz6jQ85MRzeR8aJXwEPC72Uv&#10;idc848ih5C4BmWfyP33+DQAA//8DAFBLAQItABQABgAIAAAAIQC2gziS/gAAAOEBAAATAAAAAAAA&#10;AAAAAAAAAAAAAABbQ29udGVudF9UeXBlc10ueG1sUEsBAi0AFAAGAAgAAAAhADj9If/WAAAAlAEA&#10;AAsAAAAAAAAAAAAAAAAALwEAAF9yZWxzLy5yZWxzUEsBAi0AFAAGAAgAAAAhAPEUqRy3AgAAdAUA&#10;AA4AAAAAAAAAAAAAAAAALgIAAGRycy9lMm9Eb2MueG1sUEsBAi0AFAAGAAgAAAAhANaAtQnbAAAA&#10;BQEAAA8AAAAAAAAAAAAAAAAAEQUAAGRycy9kb3ducmV2LnhtbFBLBQYAAAAABAAEAPMAAAAZBgAA&#10;AAA=&#10;" fillcolor="#dce6f2" stroked="f">
                <v:textbox>
                  <w:txbxContent>
                    <w:p w:rsidR="00C55871" w:rsidRDefault="00C55871" w:rsidP="00C17E74">
                      <w:pPr>
                        <w:tabs>
                          <w:tab w:val="left" w:pos="6075"/>
                        </w:tabs>
                        <w:spacing w:after="120"/>
                        <w:jc w:val="both"/>
                        <w:rPr>
                          <w:i/>
                          <w:color w:val="1F497D" w:themeColor="text2"/>
                          <w:sz w:val="20"/>
                        </w:rPr>
                      </w:pPr>
                      <w:r w:rsidRPr="005D70C2">
                        <w:rPr>
                          <w:i/>
                          <w:color w:val="1F497D" w:themeColor="text2"/>
                          <w:sz w:val="20"/>
                        </w:rPr>
                        <w:sym w:font="Wingdings" w:char="F07D"/>
                      </w:r>
                      <w:r>
                        <w:rPr>
                          <w:sz w:val="20"/>
                        </w:rPr>
                        <w:t xml:space="preserve"> </w:t>
                      </w:r>
                      <w:r>
                        <w:rPr>
                          <w:i/>
                          <w:color w:val="1F497D" w:themeColor="text2"/>
                          <w:sz w:val="20"/>
                        </w:rPr>
                        <w:t>This initiative heralds a new phase in having a much stronger local industry input into skills training</w:t>
                      </w:r>
                      <w:r w:rsidRPr="00AC0D0F">
                        <w:rPr>
                          <w:i/>
                          <w:color w:val="1F497D"/>
                          <w:sz w:val="20"/>
                        </w:rPr>
                        <w:sym w:font="Wingdings" w:char="F07E"/>
                      </w:r>
                      <w:r w:rsidRPr="00D45C40">
                        <w:rPr>
                          <w:i/>
                          <w:color w:val="1F497D" w:themeColor="text2"/>
                          <w:sz w:val="20"/>
                        </w:rPr>
                        <w:t xml:space="preserve"> </w:t>
                      </w:r>
                      <w:r>
                        <w:rPr>
                          <w:i/>
                          <w:color w:val="1F497D" w:themeColor="text2"/>
                          <w:sz w:val="20"/>
                        </w:rPr>
                        <w:t xml:space="preserve">Clive Thomson, Engineering Program Manager, </w:t>
                      </w:r>
                    </w:p>
                    <w:p w:rsidR="00C55871" w:rsidRDefault="00C55871" w:rsidP="00C17E74">
                      <w:pPr>
                        <w:tabs>
                          <w:tab w:val="left" w:pos="6075"/>
                        </w:tabs>
                        <w:spacing w:after="120"/>
                      </w:pPr>
                      <w:r>
                        <w:rPr>
                          <w:i/>
                          <w:color w:val="1F497D" w:themeColor="text2"/>
                          <w:sz w:val="20"/>
                        </w:rPr>
                        <w:t>TAFE SA Regional</w:t>
                      </w:r>
                    </w:p>
                  </w:txbxContent>
                </v:textbox>
                <w10:anchorlock/>
              </v:roundrect>
            </w:pict>
          </mc:Fallback>
        </mc:AlternateContent>
      </w:r>
    </w:p>
    <w:p w:rsidR="00C17E74" w:rsidRPr="00C17E74" w:rsidRDefault="00C17E74" w:rsidP="009C205D">
      <w:pPr>
        <w:tabs>
          <w:tab w:val="left" w:pos="6075"/>
        </w:tabs>
        <w:spacing w:before="120"/>
        <w:rPr>
          <w:rFonts w:eastAsia="Calibri" w:cstheme="minorHAnsi"/>
          <w:b/>
          <w:color w:val="1F497D" w:themeColor="text2"/>
          <w:sz w:val="20"/>
          <w:szCs w:val="20"/>
          <w:lang w:eastAsia="en-AU"/>
        </w:rPr>
      </w:pPr>
      <w:r w:rsidRPr="00C17E74">
        <w:rPr>
          <w:rFonts w:eastAsia="Calibri" w:cstheme="minorHAnsi"/>
          <w:b/>
          <w:color w:val="1F497D" w:themeColor="text2"/>
          <w:sz w:val="20"/>
          <w:szCs w:val="20"/>
          <w:lang w:eastAsia="en-AU"/>
        </w:rPr>
        <w:t xml:space="preserve">Next </w:t>
      </w:r>
      <w:r w:rsidRPr="00C17E74">
        <w:rPr>
          <w:rFonts w:eastAsia="Calibri" w:cstheme="minorHAnsi"/>
          <w:b/>
          <w:color w:val="1F497D" w:themeColor="text2"/>
          <w:sz w:val="20"/>
          <w:szCs w:val="20"/>
        </w:rPr>
        <w:t>Steps</w:t>
      </w:r>
    </w:p>
    <w:p w:rsidR="00C17E74" w:rsidRPr="00C17E74" w:rsidRDefault="00C17E74" w:rsidP="00C17E74">
      <w:pPr>
        <w:spacing w:after="120" w:line="240" w:lineRule="auto"/>
        <w:ind w:right="-312"/>
        <w:rPr>
          <w:rFonts w:cstheme="minorHAnsi"/>
          <w:sz w:val="20"/>
          <w:szCs w:val="20"/>
          <w:lang w:eastAsia="en-AU"/>
        </w:rPr>
      </w:pPr>
      <w:r w:rsidRPr="00C17E74">
        <w:rPr>
          <w:rFonts w:cstheme="minorHAnsi"/>
          <w:sz w:val="20"/>
          <w:szCs w:val="20"/>
          <w:lang w:eastAsia="en-AU"/>
        </w:rPr>
        <w:t xml:space="preserve">The partners have formed a strong alliance which is aiming to expand over the next few years. The partners are keen to monitor the effectiveness of the Academy and enlist the support of a much wider set of employers as potential partners. The partnership is also looking to strengthen their ties with local schools.  There is excellent scope for the model to be adopted by other regions, and other industry sectors. </w:t>
      </w:r>
    </w:p>
    <w:p w:rsidR="00C17E74" w:rsidRPr="00C17E74" w:rsidRDefault="00C17E74" w:rsidP="009C205D">
      <w:pPr>
        <w:tabs>
          <w:tab w:val="left" w:pos="6075"/>
        </w:tabs>
        <w:spacing w:before="120"/>
        <w:rPr>
          <w:rFonts w:eastAsia="Calibri" w:cstheme="minorHAnsi"/>
          <w:b/>
          <w:color w:val="1F497D" w:themeColor="text2"/>
          <w:sz w:val="20"/>
          <w:szCs w:val="20"/>
        </w:rPr>
      </w:pPr>
      <w:r w:rsidRPr="00C17E74">
        <w:rPr>
          <w:rFonts w:eastAsia="Calibri" w:cstheme="minorHAnsi"/>
          <w:b/>
          <w:color w:val="1F497D" w:themeColor="text2"/>
          <w:sz w:val="20"/>
          <w:szCs w:val="20"/>
        </w:rPr>
        <w:t>Support from the Partnership Broker</w:t>
      </w:r>
    </w:p>
    <w:p w:rsidR="00C17E74" w:rsidRPr="00C17E74" w:rsidRDefault="00C17E74" w:rsidP="00C17E74">
      <w:pPr>
        <w:autoSpaceDE w:val="0"/>
        <w:autoSpaceDN w:val="0"/>
        <w:spacing w:after="120"/>
        <w:ind w:right="-312"/>
        <w:rPr>
          <w:rFonts w:cstheme="minorHAnsi"/>
          <w:sz w:val="20"/>
          <w:szCs w:val="20"/>
          <w:lang w:eastAsia="en-AU"/>
        </w:rPr>
      </w:pPr>
      <w:r w:rsidRPr="00C17E74">
        <w:rPr>
          <w:rFonts w:cstheme="minorHAnsi"/>
          <w:sz w:val="20"/>
          <w:szCs w:val="20"/>
          <w:lang w:eastAsia="en-AU"/>
        </w:rPr>
        <w:t>The Partnership Broker played a key role in bringing the key stakeholders together to explore the benefits of a partnership approach, and provided the catalyst for change. The Partnership Broker continues to work with the partnership to assist partners to monitor and evaluate their progress and explore opportunities to expand the model to other co</w:t>
      </w:r>
      <w:r w:rsidR="009C205D">
        <w:rPr>
          <w:rFonts w:cstheme="minorHAnsi"/>
          <w:sz w:val="20"/>
          <w:szCs w:val="20"/>
          <w:lang w:eastAsia="en-AU"/>
        </w:rPr>
        <w:t>mmunities and industry sectors.</w:t>
      </w:r>
      <w:r w:rsidRPr="00C17E74">
        <w:rPr>
          <w:rFonts w:cstheme="minorHAnsi"/>
          <w:noProof/>
          <w:sz w:val="20"/>
          <w:szCs w:val="20"/>
          <w:lang w:eastAsia="en-AU"/>
        </w:rPr>
        <mc:AlternateContent>
          <mc:Choice Requires="wps">
            <w:drawing>
              <wp:inline distT="0" distB="0" distL="0" distR="0" wp14:anchorId="0F332B81" wp14:editId="39189A87">
                <wp:extent cx="3253105" cy="795020"/>
                <wp:effectExtent l="12065" t="13970" r="11430" b="10160"/>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3105" cy="795020"/>
                        </a:xfrm>
                        <a:prstGeom prst="roundRect">
                          <a:avLst>
                            <a:gd name="adj" fmla="val 16667"/>
                          </a:avLst>
                        </a:prstGeom>
                        <a:solidFill>
                          <a:srgbClr val="1F497D">
                            <a:lumMod val="100000"/>
                            <a:lumOff val="0"/>
                          </a:srgbClr>
                        </a:solidFill>
                        <a:ln w="9525">
                          <a:solidFill>
                            <a:srgbClr val="000000"/>
                          </a:solidFill>
                          <a:round/>
                          <a:headEnd/>
                          <a:tailEnd/>
                        </a:ln>
                      </wps:spPr>
                      <wps:txbx>
                        <w:txbxContent>
                          <w:p w:rsidR="00C55871" w:rsidRPr="005D70C2" w:rsidRDefault="00C55871" w:rsidP="00C17E74">
                            <w:pPr>
                              <w:spacing w:after="120"/>
                              <w:rPr>
                                <w:b/>
                                <w:color w:val="FFFFFF" w:themeColor="background1"/>
                                <w:sz w:val="20"/>
                              </w:rPr>
                            </w:pPr>
                            <w:r w:rsidRPr="005D70C2">
                              <w:rPr>
                                <w:b/>
                                <w:color w:val="FFFFFF" w:themeColor="background1"/>
                                <w:sz w:val="20"/>
                              </w:rPr>
                              <w:t>TOP TIP</w:t>
                            </w:r>
                          </w:p>
                          <w:p w:rsidR="00C55871" w:rsidRPr="005D70C2" w:rsidRDefault="00C55871" w:rsidP="00C17E74">
                            <w:pPr>
                              <w:rPr>
                                <w:color w:val="FFFFFF" w:themeColor="background1"/>
                                <w:sz w:val="20"/>
                              </w:rPr>
                            </w:pPr>
                            <w:r>
                              <w:rPr>
                                <w:color w:val="FFFFFF" w:themeColor="background1"/>
                                <w:sz w:val="20"/>
                              </w:rPr>
                              <w:t>Allow yourself ample time for discussion and planning. Partnership initiatives do not happen overnight.</w:t>
                            </w:r>
                          </w:p>
                        </w:txbxContent>
                      </wps:txbx>
                      <wps:bodyPr rot="0" vert="horz" wrap="square" lIns="91440" tIns="45720" rIns="91440" bIns="45720" anchor="t" anchorCtr="0" upright="1">
                        <a:noAutofit/>
                      </wps:bodyPr>
                    </wps:wsp>
                  </a:graphicData>
                </a:graphic>
              </wp:inline>
            </w:drawing>
          </mc:Choice>
          <mc:Fallback>
            <w:pict>
              <v:roundrect id="Rounded Rectangle 11" o:spid="_x0000_s1030" style="width:256.15pt;height:62.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QkYWgIAALIEAAAOAAAAZHJzL2Uyb0RvYy54bWysVMGO0zAQvSPxD5bvbJJu09Kq6WrVpQhp&#10;gdUufIBrO43Bsc3YbVq+nrGTlhZuiB6iGc/4zbx5ni7uDq0mewleWVPR4ianRBpuhTLbin79sn7z&#10;lhIfmBFMWyMrepSe3i1fv1p0bi5HtrFaSCAIYvy8cxVtQnDzLPO8kS3zN9ZJg8HaQssCurDNBLAO&#10;0VudjfJ8knUWhAPLpfd4+tAH6TLh17Xk4XNdexmIrij2FtIX0ncTv9lyweZbYK5RfGiD/UMXLVMG&#10;i56hHlhgZAfqL6hWcbDe1uGG2zazda24TByQTZH/wealYU4mLjgc785j8v8Pln/aPwFRArUrKDGs&#10;RY2e7c4IKcgzTo+ZrZYEYziozvk55r+4J4hUvXu0/Lsnxq4aTJP3ALZrJBPYXsrPri5Ex+NVsuk+&#10;WoFl2C7YNLNDDW0ExGmQQ5LmeJZGHgLheHg7Km+LvKSEY2w6K/NR0i5j89NtBz68l7Yl0agoRBKR&#10;QSrB9o8+JH3EQJKJb5TUrUa190yTYjKZTCNJRByS0TphJrpWK7FWWicHtpuVBoJXkex6PJs+pDp6&#10;1yK54TiPv/6F4Tm+w/781LjvMVJJfwmuDekqOitHZcK8ig2XBqRzBez1Ki2xT287CvLOiGQHpnRv&#10;Y742WPkkSi9uOGwO6S2UJ7k3VhxRMrD94uCio9FY+ElJh0tTUf9jx0BSoj8YlH1WjMdxy5IzLqco&#10;EoHLyOYywgxHqIoGSnpzFfrN3DlQ2wYrFWkAxt7jU6lViPLEjvuuBgcXI41wWOK4eZd+yvr9V7P8&#10;BQAA//8DAFBLAwQUAAYACAAAACEAsTMxC9wAAAAFAQAADwAAAGRycy9kb3ducmV2LnhtbEyPQUvE&#10;MBCF74L/IYzgRdw00epSmy6iLMjixXURj9lmbIvNpDTZbf33jl708mB4j/e+KVez78URx9gFMqAW&#10;GQikOriOGgO71/XlEkRMlpztA6GBL4ywqk5PSlu4MNELHrepEVxCsbAG2pSGQspYt+htXIQBib2P&#10;MHqb+Bwb6UY7cbnvpc6yG+ltR7zQ2gEfWqw/twdv4DFfv+2U8tP1+0QXm6fNs75VS2POz+b7OxAJ&#10;5/QXhh98RoeKmfbhQC6K3gA/kn6VvVzpKxB7Dulcg6xK+Z+++gYAAP//AwBQSwECLQAUAAYACAAA&#10;ACEAtoM4kv4AAADhAQAAEwAAAAAAAAAAAAAAAAAAAAAAW0NvbnRlbnRfVHlwZXNdLnhtbFBLAQIt&#10;ABQABgAIAAAAIQA4/SH/1gAAAJQBAAALAAAAAAAAAAAAAAAAAC8BAABfcmVscy8ucmVsc1BLAQIt&#10;ABQABgAIAAAAIQDF1QkYWgIAALIEAAAOAAAAAAAAAAAAAAAAAC4CAABkcnMvZTJvRG9jLnhtbFBL&#10;AQItABQABgAIAAAAIQCxMzEL3AAAAAUBAAAPAAAAAAAAAAAAAAAAALQEAABkcnMvZG93bnJldi54&#10;bWxQSwUGAAAAAAQABADzAAAAvQUAAAAA&#10;" fillcolor="#1f497d">
                <v:textbox>
                  <w:txbxContent>
                    <w:p w:rsidR="00C55871" w:rsidRPr="005D70C2" w:rsidRDefault="00C55871" w:rsidP="00C17E74">
                      <w:pPr>
                        <w:spacing w:after="120"/>
                        <w:rPr>
                          <w:b/>
                          <w:color w:val="FFFFFF" w:themeColor="background1"/>
                          <w:sz w:val="20"/>
                        </w:rPr>
                      </w:pPr>
                      <w:r w:rsidRPr="005D70C2">
                        <w:rPr>
                          <w:b/>
                          <w:color w:val="FFFFFF" w:themeColor="background1"/>
                          <w:sz w:val="20"/>
                        </w:rPr>
                        <w:t>TOP TIP</w:t>
                      </w:r>
                    </w:p>
                    <w:p w:rsidR="00C55871" w:rsidRPr="005D70C2" w:rsidRDefault="00C55871" w:rsidP="00C17E74">
                      <w:pPr>
                        <w:rPr>
                          <w:color w:val="FFFFFF" w:themeColor="background1"/>
                          <w:sz w:val="20"/>
                        </w:rPr>
                      </w:pPr>
                      <w:r>
                        <w:rPr>
                          <w:color w:val="FFFFFF" w:themeColor="background1"/>
                          <w:sz w:val="20"/>
                        </w:rPr>
                        <w:t>Allow yourself ample time for discussion and planning. Partnership initiatives do not happen overnight.</w:t>
                      </w:r>
                    </w:p>
                  </w:txbxContent>
                </v:textbox>
                <w10:anchorlock/>
              </v:roundrect>
            </w:pict>
          </mc:Fallback>
        </mc:AlternateContent>
      </w:r>
    </w:p>
    <w:p w:rsidR="00C17E74" w:rsidRDefault="00C17E74" w:rsidP="00C17E74">
      <w:pPr>
        <w:tabs>
          <w:tab w:val="left" w:pos="6075"/>
        </w:tabs>
        <w:spacing w:line="240" w:lineRule="auto"/>
        <w:ind w:left="284"/>
        <w:rPr>
          <w:rFonts w:ascii="Times New Roman" w:eastAsia="Times New Roman" w:hAnsi="Times New Roman" w:cs="Times New Roman"/>
          <w:b/>
          <w:bCs/>
          <w:sz w:val="20"/>
          <w:szCs w:val="20"/>
        </w:rPr>
      </w:pPr>
    </w:p>
    <w:p w:rsidR="009C205D" w:rsidRDefault="009C205D" w:rsidP="00C17E74">
      <w:pPr>
        <w:tabs>
          <w:tab w:val="left" w:pos="6075"/>
        </w:tabs>
        <w:spacing w:line="240" w:lineRule="auto"/>
        <w:ind w:left="284"/>
        <w:rPr>
          <w:rFonts w:ascii="Times New Roman" w:eastAsia="Times New Roman" w:hAnsi="Times New Roman" w:cs="Times New Roman"/>
          <w:b/>
          <w:bCs/>
          <w:sz w:val="20"/>
          <w:szCs w:val="20"/>
        </w:rPr>
        <w:sectPr w:rsidR="009C205D" w:rsidSect="00C17E74">
          <w:type w:val="continuous"/>
          <w:pgSz w:w="11906" w:h="16838"/>
          <w:pgMar w:top="1134" w:right="993" w:bottom="1440" w:left="851" w:header="708" w:footer="708" w:gutter="0"/>
          <w:cols w:num="2" w:space="428"/>
          <w:docGrid w:linePitch="360"/>
        </w:sectPr>
      </w:pPr>
    </w:p>
    <w:p w:rsidR="00C17E74" w:rsidRPr="00C17E74" w:rsidRDefault="00C17E74" w:rsidP="00C17E74">
      <w:pPr>
        <w:tabs>
          <w:tab w:val="left" w:pos="6075"/>
        </w:tabs>
        <w:spacing w:line="240" w:lineRule="auto"/>
        <w:ind w:left="284"/>
        <w:rPr>
          <w:rFonts w:ascii="Times New Roman" w:eastAsia="Times New Roman" w:hAnsi="Times New Roman" w:cs="Times New Roman"/>
          <w:b/>
          <w:bCs/>
          <w:sz w:val="20"/>
          <w:szCs w:val="20"/>
        </w:rPr>
      </w:pPr>
      <w:r w:rsidRPr="00C17E74">
        <w:rPr>
          <w:rFonts w:ascii="Calibri" w:eastAsia="Calibri" w:hAnsi="Calibri" w:cs="Times New Roman"/>
          <w:noProof/>
          <w:lang w:eastAsia="en-AU"/>
        </w:rPr>
        <w:lastRenderedPageBreak/>
        <w:drawing>
          <wp:inline distT="0" distB="0" distL="0" distR="0" wp14:anchorId="0138684E" wp14:editId="6C0622AB">
            <wp:extent cx="2679700" cy="574040"/>
            <wp:effectExtent l="0" t="0" r="0" b="0"/>
            <wp:docPr id="34" name="Picture 1" descr="Logo. Partnership Brokers. School + Business +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srcRect/>
                    <a:stretch>
                      <a:fillRect/>
                    </a:stretch>
                  </pic:blipFill>
                  <pic:spPr bwMode="auto">
                    <a:xfrm>
                      <a:off x="0" y="0"/>
                      <a:ext cx="2679700" cy="574040"/>
                    </a:xfrm>
                    <a:prstGeom prst="rect">
                      <a:avLst/>
                    </a:prstGeom>
                    <a:noFill/>
                    <a:ln w="9525">
                      <a:noFill/>
                      <a:miter lim="800000"/>
                      <a:headEnd/>
                      <a:tailEnd/>
                    </a:ln>
                  </pic:spPr>
                </pic:pic>
              </a:graphicData>
            </a:graphic>
          </wp:inline>
        </w:drawing>
      </w:r>
    </w:p>
    <w:p w:rsidR="00C17E74" w:rsidRPr="00C17E74" w:rsidRDefault="00C17E74" w:rsidP="00C17E74">
      <w:pPr>
        <w:tabs>
          <w:tab w:val="left" w:pos="6075"/>
        </w:tabs>
        <w:spacing w:line="240" w:lineRule="auto"/>
        <w:ind w:left="284"/>
        <w:rPr>
          <w:rFonts w:ascii="Calibri" w:eastAsia="Calibri" w:hAnsi="Calibri" w:cs="Times New Roman"/>
        </w:rPr>
      </w:pPr>
    </w:p>
    <w:p w:rsidR="00C17E74" w:rsidRPr="00C17E74" w:rsidRDefault="00C17E74" w:rsidP="00C17E74">
      <w:pPr>
        <w:spacing w:after="60" w:line="240" w:lineRule="auto"/>
        <w:rPr>
          <w:rFonts w:ascii="Calibri" w:eastAsia="Calibri" w:hAnsi="Calibri" w:cs="Times New Roman"/>
          <w:b/>
          <w:color w:val="1F497D" w:themeColor="text2"/>
          <w:sz w:val="24"/>
          <w:szCs w:val="24"/>
        </w:rPr>
      </w:pPr>
      <w:r w:rsidRPr="00C17E74">
        <w:rPr>
          <w:rFonts w:ascii="Calibri" w:eastAsia="Calibri" w:hAnsi="Calibri" w:cs="Times New Roman"/>
          <w:b/>
          <w:noProof/>
          <w:color w:val="1F497D" w:themeColor="text2"/>
          <w:sz w:val="24"/>
          <w:szCs w:val="24"/>
          <w:lang w:eastAsia="en-AU"/>
        </w:rPr>
        <mc:AlternateContent>
          <mc:Choice Requires="wps">
            <w:drawing>
              <wp:inline distT="0" distB="0" distL="0" distR="0" wp14:anchorId="426CEC03" wp14:editId="67A71810">
                <wp:extent cx="2999740" cy="2424022"/>
                <wp:effectExtent l="0" t="0" r="10160" b="14605"/>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9740" cy="2424022"/>
                        </a:xfrm>
                        <a:prstGeom prst="roundRect">
                          <a:avLst>
                            <a:gd name="adj" fmla="val 16667"/>
                          </a:avLst>
                        </a:prstGeom>
                        <a:solidFill>
                          <a:srgbClr val="1F497D">
                            <a:lumMod val="100000"/>
                            <a:lumOff val="0"/>
                          </a:srgbClr>
                        </a:solidFill>
                        <a:ln w="9525">
                          <a:solidFill>
                            <a:srgbClr val="000000"/>
                          </a:solidFill>
                          <a:round/>
                          <a:headEnd/>
                          <a:tailEnd/>
                        </a:ln>
                      </wps:spPr>
                      <wps:txbx>
                        <w:txbxContent>
                          <w:p w:rsidR="00C55871" w:rsidRPr="003420EE" w:rsidRDefault="00C55871" w:rsidP="00C17E74">
                            <w:pPr>
                              <w:tabs>
                                <w:tab w:val="left" w:pos="6075"/>
                              </w:tabs>
                              <w:rPr>
                                <w:b/>
                                <w:color w:val="FFFFFF"/>
                                <w:sz w:val="28"/>
                                <w:szCs w:val="28"/>
                              </w:rPr>
                            </w:pPr>
                            <w:r w:rsidRPr="003420EE">
                              <w:rPr>
                                <w:b/>
                                <w:color w:val="FFFFFF"/>
                                <w:sz w:val="28"/>
                                <w:szCs w:val="28"/>
                              </w:rPr>
                              <w:t>LIFE IN THE UNI LANE</w:t>
                            </w:r>
                          </w:p>
                          <w:p w:rsidR="00C55871" w:rsidRDefault="00C55871" w:rsidP="00C17E74">
                            <w:pPr>
                              <w:spacing w:after="60"/>
                              <w:rPr>
                                <w:b/>
                                <w:color w:val="FFFFFF"/>
                              </w:rPr>
                            </w:pPr>
                            <w:r w:rsidRPr="009F0DD2">
                              <w:rPr>
                                <w:b/>
                                <w:color w:val="FFFFFF"/>
                              </w:rPr>
                              <w:t>Purpose:</w:t>
                            </w:r>
                          </w:p>
                          <w:p w:rsidR="00C55871" w:rsidRDefault="00C55871" w:rsidP="00C17E74">
                            <w:pPr>
                              <w:spacing w:after="60"/>
                              <w:rPr>
                                <w:color w:val="FFFFFF"/>
                                <w:sz w:val="20"/>
                              </w:rPr>
                            </w:pPr>
                            <w:r w:rsidRPr="0092549C">
                              <w:rPr>
                                <w:color w:val="FFFFFF"/>
                                <w:sz w:val="20"/>
                              </w:rPr>
                              <w:t>Raising aspirations of Indigenous students and de-mystifying access to higher education.</w:t>
                            </w:r>
                          </w:p>
                          <w:p w:rsidR="00C55871" w:rsidRPr="003420EE" w:rsidRDefault="00C55871" w:rsidP="00C17E74">
                            <w:pPr>
                              <w:spacing w:after="60"/>
                              <w:rPr>
                                <w:b/>
                                <w:color w:val="FFFFFF"/>
                              </w:rPr>
                            </w:pPr>
                            <w:r w:rsidRPr="003420EE">
                              <w:rPr>
                                <w:b/>
                                <w:color w:val="FFFFFF"/>
                              </w:rPr>
                              <w:t>Partnership Members:</w:t>
                            </w:r>
                          </w:p>
                          <w:p w:rsidR="00C55871" w:rsidRPr="00E36624" w:rsidRDefault="00C55871" w:rsidP="00C17E74">
                            <w:pPr>
                              <w:pStyle w:val="ListParagraph"/>
                              <w:numPr>
                                <w:ilvl w:val="0"/>
                                <w:numId w:val="51"/>
                              </w:numPr>
                              <w:spacing w:after="60" w:line="240" w:lineRule="auto"/>
                              <w:ind w:left="360"/>
                              <w:rPr>
                                <w:color w:val="FFFFFF"/>
                                <w:sz w:val="20"/>
                              </w:rPr>
                            </w:pPr>
                            <w:proofErr w:type="spellStart"/>
                            <w:r w:rsidRPr="0092549C">
                              <w:rPr>
                                <w:color w:val="FFFFFF"/>
                                <w:sz w:val="20"/>
                              </w:rPr>
                              <w:t>Yunggorendi</w:t>
                            </w:r>
                            <w:proofErr w:type="spellEnd"/>
                            <w:r w:rsidRPr="0092549C">
                              <w:rPr>
                                <w:color w:val="FFFFFF"/>
                                <w:sz w:val="20"/>
                              </w:rPr>
                              <w:t xml:space="preserve"> </w:t>
                            </w:r>
                            <w:proofErr w:type="spellStart"/>
                            <w:r w:rsidRPr="0092549C">
                              <w:rPr>
                                <w:color w:val="FFFFFF"/>
                                <w:sz w:val="20"/>
                              </w:rPr>
                              <w:t>Mande</w:t>
                            </w:r>
                            <w:proofErr w:type="spellEnd"/>
                            <w:r w:rsidRPr="0092549C">
                              <w:rPr>
                                <w:color w:val="FFFFFF"/>
                                <w:sz w:val="20"/>
                              </w:rPr>
                              <w:t>-Flinders University</w:t>
                            </w:r>
                          </w:p>
                          <w:p w:rsidR="00C55871" w:rsidRPr="00E36624" w:rsidRDefault="00C55871" w:rsidP="00C17E74">
                            <w:pPr>
                              <w:pStyle w:val="ListParagraph"/>
                              <w:numPr>
                                <w:ilvl w:val="0"/>
                                <w:numId w:val="50"/>
                              </w:numPr>
                              <w:spacing w:after="60" w:line="240" w:lineRule="auto"/>
                              <w:ind w:left="360"/>
                              <w:rPr>
                                <w:color w:val="FFFFFF"/>
                                <w:sz w:val="20"/>
                              </w:rPr>
                            </w:pPr>
                            <w:r w:rsidRPr="0092549C">
                              <w:rPr>
                                <w:color w:val="FFFFFF"/>
                                <w:sz w:val="20"/>
                              </w:rPr>
                              <w:t>Department Education &amp; Children’s Services</w:t>
                            </w:r>
                          </w:p>
                          <w:p w:rsidR="00C55871" w:rsidRPr="00E36624" w:rsidRDefault="00C55871" w:rsidP="00C17E74">
                            <w:pPr>
                              <w:pStyle w:val="ListParagraph"/>
                              <w:numPr>
                                <w:ilvl w:val="0"/>
                                <w:numId w:val="50"/>
                              </w:numPr>
                              <w:spacing w:after="60" w:line="240" w:lineRule="auto"/>
                              <w:ind w:left="360"/>
                              <w:rPr>
                                <w:color w:val="FFFFFF"/>
                                <w:sz w:val="20"/>
                              </w:rPr>
                            </w:pPr>
                            <w:r w:rsidRPr="0092549C">
                              <w:rPr>
                                <w:iCs/>
                                <w:color w:val="FFFFFF"/>
                                <w:sz w:val="20"/>
                              </w:rPr>
                              <w:t>Association Independent Schools South Australia</w:t>
                            </w:r>
                          </w:p>
                          <w:p w:rsidR="00C55871" w:rsidRPr="00E36624" w:rsidRDefault="00C55871" w:rsidP="00C17E74">
                            <w:pPr>
                              <w:pStyle w:val="ListParagraph"/>
                              <w:numPr>
                                <w:ilvl w:val="0"/>
                                <w:numId w:val="50"/>
                              </w:numPr>
                              <w:spacing w:after="60" w:line="240" w:lineRule="auto"/>
                              <w:ind w:left="360"/>
                              <w:rPr>
                                <w:color w:val="FFFFFF"/>
                                <w:sz w:val="20"/>
                              </w:rPr>
                            </w:pPr>
                            <w:r w:rsidRPr="0092549C">
                              <w:rPr>
                                <w:color w:val="FFFFFF"/>
                                <w:sz w:val="20"/>
                              </w:rPr>
                              <w:t>Catholic Education Office</w:t>
                            </w:r>
                          </w:p>
                          <w:p w:rsidR="00C55871" w:rsidRPr="00E36624" w:rsidRDefault="00C55871" w:rsidP="00C17E74">
                            <w:pPr>
                              <w:pStyle w:val="ListParagraph"/>
                              <w:numPr>
                                <w:ilvl w:val="0"/>
                                <w:numId w:val="50"/>
                              </w:numPr>
                              <w:spacing w:after="60" w:line="240" w:lineRule="auto"/>
                              <w:ind w:left="360"/>
                              <w:rPr>
                                <w:color w:val="FFFFFF"/>
                                <w:sz w:val="20"/>
                              </w:rPr>
                            </w:pPr>
                            <w:r w:rsidRPr="0092549C">
                              <w:rPr>
                                <w:color w:val="FFFFFF"/>
                                <w:sz w:val="20"/>
                              </w:rPr>
                              <w:t>Creative Connections (</w:t>
                            </w:r>
                            <w:proofErr w:type="spellStart"/>
                            <w:r w:rsidRPr="0092549C">
                              <w:rPr>
                                <w:color w:val="FFFFFF"/>
                                <w:sz w:val="20"/>
                              </w:rPr>
                              <w:t>PaCE</w:t>
                            </w:r>
                            <w:proofErr w:type="spellEnd"/>
                            <w:r w:rsidRPr="0092549C">
                              <w:rPr>
                                <w:color w:val="FFFFFF"/>
                                <w:sz w:val="20"/>
                              </w:rPr>
                              <w:t>)</w:t>
                            </w:r>
                          </w:p>
                          <w:p w:rsidR="00C55871" w:rsidRPr="003420EE" w:rsidRDefault="00C55871" w:rsidP="00C17E74">
                            <w:pPr>
                              <w:pStyle w:val="ListParagraph"/>
                              <w:ind w:left="360"/>
                              <w:rPr>
                                <w:color w:val="FFFFFF"/>
                                <w:sz w:val="21"/>
                                <w:szCs w:val="21"/>
                              </w:rPr>
                            </w:pPr>
                          </w:p>
                        </w:txbxContent>
                      </wps:txbx>
                      <wps:bodyPr rot="0" vert="horz" wrap="square" lIns="91440" tIns="45720" rIns="91440" bIns="45720" anchor="t" anchorCtr="0" upright="1">
                        <a:noAutofit/>
                      </wps:bodyPr>
                    </wps:wsp>
                  </a:graphicData>
                </a:graphic>
              </wp:inline>
            </w:drawing>
          </mc:Choice>
          <mc:Fallback>
            <w:pict>
              <v:roundrect id="Rounded Rectangle 14" o:spid="_x0000_s1031" style="width:236.2pt;height:190.8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0IXAIAALMEAAAOAAAAZHJzL2Uyb0RvYy54bWysVG1v0zAQ/o7Ef7D8naWNspZGS6dpYwhp&#10;wLTBD3BtpzE4PnN2m45fz9nJShnfEP0Q+V783D33+Hpxeegt22sMBlzD52czzrSToIzbNvzrl9s3&#10;bzkLUTglLDjd8Ccd+OX69auLwde6hA6s0sgIxIV68A3vYvR1UQTZ6V6EM/DaUbAF7EUkE7eFQjEQ&#10;em+LcjZbFAOg8ghSh0DemzHI1xm/bbWMn9s26Mhsw6m3mL+Yv5v0LdYXot6i8J2RUxviH7rohXFU&#10;9Ah1I6JgOzR/QfVGIgRo45mEvoC2NVJnDsRmPnvB5rETXmcuNJzgj2MK/w9WftrfIzOKtKs4c6In&#10;jR5g55RW7IGmJ9zWakYxGtTgQ035j/4eE9Xg70B+D8zBdUdp+goRhk4LRe3NU37xx4VkBLrKNsNH&#10;UFRG7CLkmR1a7BMgTYMdsjRPR2n0ITJJznK1Wi0rUlBSrKzKalaWuYaon697DPG9hp6lQ8MxsUgU&#10;cg2xvwsxC6QmlkJ946ztLcm9F5bNF4vFckKckgtRP2NmvmCNujXWZgO3m2uLjK4S29tqtbzJdeyu&#10;J3aTe5Z+CVPU5KeHOPqzi8DDiEGDovMpuHVsaPjqvDzPmH/EpksT0rHCS4jMPldOirxzKp+jMHY8&#10;U751k0RJlVHdeNgc8mNYpK6TYhtQT6QZwrg5tOl06AB/cjbQ1jQ8/NgJ1JzZD450X82rJFLMRnW+&#10;LMnA08jmNCKcJKiGR87G43UcV3Pn0Ww7qjTPA3BwRW+lNZGayo9q7GoyaDPyCKctTqt3aues3/81&#10;618AAAD//wMAUEsDBBQABgAIAAAAIQBrxZwX3gAAAAUBAAAPAAAAZHJzL2Rvd25yZXYueG1sTI9B&#10;S8NAEIXvQv/DMgUv0m42RhNiNkWUgpRerKV43GanSWh2NmS3Tfz3rl70MvB4j/e+KVaT6dgVB9da&#10;kiCWETCkyuqWagn7j/UiA+a8Iq06SyjhCx2sytlNoXJtR3rH687XLJSQy5WExvs+59xVDRrllrZH&#10;Ct7JDkb5IIea60GNodx0PI6iR25US2GhUT2+NFiddxcj4fVhfdgLYcbkc6S7zdtmG6cik/J2Pj0/&#10;AfM4+b8w/OAHdCgD09FeSDvWSQiP+N8bvCSNE2BHCfeZSIGXBf9PX34DAAD//wMAUEsBAi0AFAAG&#10;AAgAAAAhALaDOJL+AAAA4QEAABMAAAAAAAAAAAAAAAAAAAAAAFtDb250ZW50X1R5cGVzXS54bWxQ&#10;SwECLQAUAAYACAAAACEAOP0h/9YAAACUAQAACwAAAAAAAAAAAAAAAAAvAQAAX3JlbHMvLnJlbHNQ&#10;SwECLQAUAAYACAAAACEA958tCFwCAACzBAAADgAAAAAAAAAAAAAAAAAuAgAAZHJzL2Uyb0RvYy54&#10;bWxQSwECLQAUAAYACAAAACEAa8WcF94AAAAFAQAADwAAAAAAAAAAAAAAAAC2BAAAZHJzL2Rvd25y&#10;ZXYueG1sUEsFBgAAAAAEAAQA8wAAAMEFAAAAAA==&#10;" fillcolor="#1f497d">
                <v:textbox>
                  <w:txbxContent>
                    <w:p w:rsidR="00C55871" w:rsidRPr="003420EE" w:rsidRDefault="00C55871" w:rsidP="00C17E74">
                      <w:pPr>
                        <w:tabs>
                          <w:tab w:val="left" w:pos="6075"/>
                        </w:tabs>
                        <w:rPr>
                          <w:b/>
                          <w:color w:val="FFFFFF"/>
                          <w:sz w:val="28"/>
                          <w:szCs w:val="28"/>
                        </w:rPr>
                      </w:pPr>
                      <w:r w:rsidRPr="003420EE">
                        <w:rPr>
                          <w:b/>
                          <w:color w:val="FFFFFF"/>
                          <w:sz w:val="28"/>
                          <w:szCs w:val="28"/>
                        </w:rPr>
                        <w:t>LIFE IN THE UNI LANE</w:t>
                      </w:r>
                    </w:p>
                    <w:p w:rsidR="00C55871" w:rsidRDefault="00C55871" w:rsidP="00C17E74">
                      <w:pPr>
                        <w:spacing w:after="60"/>
                        <w:rPr>
                          <w:b/>
                          <w:color w:val="FFFFFF"/>
                        </w:rPr>
                      </w:pPr>
                      <w:r w:rsidRPr="009F0DD2">
                        <w:rPr>
                          <w:b/>
                          <w:color w:val="FFFFFF"/>
                        </w:rPr>
                        <w:t>Purpose:</w:t>
                      </w:r>
                    </w:p>
                    <w:p w:rsidR="00C55871" w:rsidRDefault="00C55871" w:rsidP="00C17E74">
                      <w:pPr>
                        <w:spacing w:after="60"/>
                        <w:rPr>
                          <w:color w:val="FFFFFF"/>
                          <w:sz w:val="20"/>
                        </w:rPr>
                      </w:pPr>
                      <w:r w:rsidRPr="0092549C">
                        <w:rPr>
                          <w:color w:val="FFFFFF"/>
                          <w:sz w:val="20"/>
                        </w:rPr>
                        <w:t>Raising aspirations of Indigenous students and de-mystifying access to higher education.</w:t>
                      </w:r>
                    </w:p>
                    <w:p w:rsidR="00C55871" w:rsidRPr="003420EE" w:rsidRDefault="00C55871" w:rsidP="00C17E74">
                      <w:pPr>
                        <w:spacing w:after="60"/>
                        <w:rPr>
                          <w:b/>
                          <w:color w:val="FFFFFF"/>
                        </w:rPr>
                      </w:pPr>
                      <w:r w:rsidRPr="003420EE">
                        <w:rPr>
                          <w:b/>
                          <w:color w:val="FFFFFF"/>
                        </w:rPr>
                        <w:t>Partnership Members:</w:t>
                      </w:r>
                    </w:p>
                    <w:p w:rsidR="00C55871" w:rsidRPr="00E36624" w:rsidRDefault="00C55871" w:rsidP="00C17E74">
                      <w:pPr>
                        <w:pStyle w:val="ListParagraph"/>
                        <w:numPr>
                          <w:ilvl w:val="0"/>
                          <w:numId w:val="51"/>
                        </w:numPr>
                        <w:spacing w:after="60" w:line="240" w:lineRule="auto"/>
                        <w:ind w:left="360"/>
                        <w:rPr>
                          <w:color w:val="FFFFFF"/>
                          <w:sz w:val="20"/>
                        </w:rPr>
                      </w:pPr>
                      <w:proofErr w:type="spellStart"/>
                      <w:r w:rsidRPr="0092549C">
                        <w:rPr>
                          <w:color w:val="FFFFFF"/>
                          <w:sz w:val="20"/>
                        </w:rPr>
                        <w:t>Yunggorendi</w:t>
                      </w:r>
                      <w:proofErr w:type="spellEnd"/>
                      <w:r w:rsidRPr="0092549C">
                        <w:rPr>
                          <w:color w:val="FFFFFF"/>
                          <w:sz w:val="20"/>
                        </w:rPr>
                        <w:t xml:space="preserve"> </w:t>
                      </w:r>
                      <w:proofErr w:type="spellStart"/>
                      <w:r w:rsidRPr="0092549C">
                        <w:rPr>
                          <w:color w:val="FFFFFF"/>
                          <w:sz w:val="20"/>
                        </w:rPr>
                        <w:t>Mande</w:t>
                      </w:r>
                      <w:proofErr w:type="spellEnd"/>
                      <w:r w:rsidRPr="0092549C">
                        <w:rPr>
                          <w:color w:val="FFFFFF"/>
                          <w:sz w:val="20"/>
                        </w:rPr>
                        <w:t>-Flinders University</w:t>
                      </w:r>
                    </w:p>
                    <w:p w:rsidR="00C55871" w:rsidRPr="00E36624" w:rsidRDefault="00C55871" w:rsidP="00C17E74">
                      <w:pPr>
                        <w:pStyle w:val="ListParagraph"/>
                        <w:numPr>
                          <w:ilvl w:val="0"/>
                          <w:numId w:val="50"/>
                        </w:numPr>
                        <w:spacing w:after="60" w:line="240" w:lineRule="auto"/>
                        <w:ind w:left="360"/>
                        <w:rPr>
                          <w:color w:val="FFFFFF"/>
                          <w:sz w:val="20"/>
                        </w:rPr>
                      </w:pPr>
                      <w:r w:rsidRPr="0092549C">
                        <w:rPr>
                          <w:color w:val="FFFFFF"/>
                          <w:sz w:val="20"/>
                        </w:rPr>
                        <w:t>Department Education &amp; Children’s Services</w:t>
                      </w:r>
                    </w:p>
                    <w:p w:rsidR="00C55871" w:rsidRPr="00E36624" w:rsidRDefault="00C55871" w:rsidP="00C17E74">
                      <w:pPr>
                        <w:pStyle w:val="ListParagraph"/>
                        <w:numPr>
                          <w:ilvl w:val="0"/>
                          <w:numId w:val="50"/>
                        </w:numPr>
                        <w:spacing w:after="60" w:line="240" w:lineRule="auto"/>
                        <w:ind w:left="360"/>
                        <w:rPr>
                          <w:color w:val="FFFFFF"/>
                          <w:sz w:val="20"/>
                        </w:rPr>
                      </w:pPr>
                      <w:r w:rsidRPr="0092549C">
                        <w:rPr>
                          <w:iCs/>
                          <w:color w:val="FFFFFF"/>
                          <w:sz w:val="20"/>
                        </w:rPr>
                        <w:t>Association Independent Schools South Australia</w:t>
                      </w:r>
                    </w:p>
                    <w:p w:rsidR="00C55871" w:rsidRPr="00E36624" w:rsidRDefault="00C55871" w:rsidP="00C17E74">
                      <w:pPr>
                        <w:pStyle w:val="ListParagraph"/>
                        <w:numPr>
                          <w:ilvl w:val="0"/>
                          <w:numId w:val="50"/>
                        </w:numPr>
                        <w:spacing w:after="60" w:line="240" w:lineRule="auto"/>
                        <w:ind w:left="360"/>
                        <w:rPr>
                          <w:color w:val="FFFFFF"/>
                          <w:sz w:val="20"/>
                        </w:rPr>
                      </w:pPr>
                      <w:r w:rsidRPr="0092549C">
                        <w:rPr>
                          <w:color w:val="FFFFFF"/>
                          <w:sz w:val="20"/>
                        </w:rPr>
                        <w:t>Catholic Education Office</w:t>
                      </w:r>
                    </w:p>
                    <w:p w:rsidR="00C55871" w:rsidRPr="00E36624" w:rsidRDefault="00C55871" w:rsidP="00C17E74">
                      <w:pPr>
                        <w:pStyle w:val="ListParagraph"/>
                        <w:numPr>
                          <w:ilvl w:val="0"/>
                          <w:numId w:val="50"/>
                        </w:numPr>
                        <w:spacing w:after="60" w:line="240" w:lineRule="auto"/>
                        <w:ind w:left="360"/>
                        <w:rPr>
                          <w:color w:val="FFFFFF"/>
                          <w:sz w:val="20"/>
                        </w:rPr>
                      </w:pPr>
                      <w:r w:rsidRPr="0092549C">
                        <w:rPr>
                          <w:color w:val="FFFFFF"/>
                          <w:sz w:val="20"/>
                        </w:rPr>
                        <w:t>Creative Connections (</w:t>
                      </w:r>
                      <w:proofErr w:type="spellStart"/>
                      <w:r w:rsidRPr="0092549C">
                        <w:rPr>
                          <w:color w:val="FFFFFF"/>
                          <w:sz w:val="20"/>
                        </w:rPr>
                        <w:t>PaCE</w:t>
                      </w:r>
                      <w:proofErr w:type="spellEnd"/>
                      <w:r w:rsidRPr="0092549C">
                        <w:rPr>
                          <w:color w:val="FFFFFF"/>
                          <w:sz w:val="20"/>
                        </w:rPr>
                        <w:t>)</w:t>
                      </w:r>
                    </w:p>
                    <w:p w:rsidR="00C55871" w:rsidRPr="003420EE" w:rsidRDefault="00C55871" w:rsidP="00C17E74">
                      <w:pPr>
                        <w:pStyle w:val="ListParagraph"/>
                        <w:ind w:left="360"/>
                        <w:rPr>
                          <w:color w:val="FFFFFF"/>
                          <w:sz w:val="21"/>
                          <w:szCs w:val="21"/>
                        </w:rPr>
                      </w:pPr>
                    </w:p>
                  </w:txbxContent>
                </v:textbox>
                <w10:anchorlock/>
              </v:roundrect>
            </w:pict>
          </mc:Fallback>
        </mc:AlternateContent>
      </w:r>
    </w:p>
    <w:p w:rsidR="00C17E74" w:rsidRPr="009A7741" w:rsidRDefault="00C17E74" w:rsidP="009A7741">
      <w:pPr>
        <w:tabs>
          <w:tab w:val="left" w:pos="6075"/>
        </w:tabs>
        <w:spacing w:before="120" w:after="120"/>
        <w:rPr>
          <w:rFonts w:ascii="Calibri" w:eastAsia="Calibri" w:hAnsi="Calibri" w:cs="Times New Roman"/>
          <w:b/>
          <w:color w:val="1F497D"/>
          <w:sz w:val="20"/>
          <w:szCs w:val="20"/>
        </w:rPr>
      </w:pPr>
      <w:r w:rsidRPr="009A7741">
        <w:rPr>
          <w:rFonts w:ascii="Calibri" w:eastAsia="Calibri" w:hAnsi="Calibri" w:cs="Times New Roman"/>
          <w:b/>
          <w:color w:val="1F497D"/>
          <w:sz w:val="20"/>
          <w:szCs w:val="20"/>
        </w:rPr>
        <w:t>Context and Goals</w:t>
      </w:r>
    </w:p>
    <w:p w:rsidR="00C17E74" w:rsidRPr="00C17E74" w:rsidRDefault="00C17E74" w:rsidP="00C17E74">
      <w:pPr>
        <w:tabs>
          <w:tab w:val="left" w:pos="6075"/>
        </w:tabs>
        <w:spacing w:after="120"/>
        <w:rPr>
          <w:rFonts w:eastAsia="Times New Roman" w:cs="Arial"/>
          <w:color w:val="000000"/>
          <w:sz w:val="20"/>
          <w:szCs w:val="20"/>
          <w:lang w:eastAsia="en-AU"/>
        </w:rPr>
      </w:pPr>
      <w:r w:rsidRPr="00C17E74">
        <w:rPr>
          <w:rFonts w:eastAsia="Times New Roman" w:cstheme="minorHAnsi"/>
          <w:sz w:val="20"/>
          <w:szCs w:val="20"/>
          <w:lang w:eastAsia="en-AU"/>
        </w:rPr>
        <w:t xml:space="preserve">In Southern Adelaide, few Aboriginal and Torres Strait Islander students consider tertiary education as an option and this is reflected in low university enrolment rates for Indigenous young people. </w:t>
      </w:r>
      <w:r w:rsidRPr="00C17E74">
        <w:rPr>
          <w:rFonts w:eastAsia="Times New Roman" w:cs="Arial"/>
          <w:color w:val="000000"/>
          <w:sz w:val="20"/>
          <w:szCs w:val="20"/>
          <w:lang w:eastAsia="en-AU"/>
        </w:rPr>
        <w:t>‘Life in the Uni Lane’ began as a Local Community Partnerships program from 2007/09</w:t>
      </w:r>
      <w:r w:rsidRPr="00C17E74">
        <w:rPr>
          <w:rFonts w:eastAsia="Times New Roman" w:cstheme="minorHAnsi"/>
          <w:sz w:val="20"/>
          <w:szCs w:val="20"/>
          <w:lang w:eastAsia="en-AU"/>
        </w:rPr>
        <w:t xml:space="preserve"> and was designed to raise the aspirations of Indigenous students as well as demystifying access to higher education.</w:t>
      </w:r>
      <w:r w:rsidRPr="00C17E74">
        <w:rPr>
          <w:rFonts w:eastAsia="Times New Roman" w:cs="Arial"/>
          <w:color w:val="000000"/>
          <w:sz w:val="20"/>
          <w:szCs w:val="20"/>
          <w:lang w:eastAsia="en-AU"/>
        </w:rPr>
        <w:t xml:space="preserve"> The program achieved some excellent </w:t>
      </w:r>
      <w:proofErr w:type="gramStart"/>
      <w:r w:rsidRPr="00C17E74">
        <w:rPr>
          <w:rFonts w:eastAsia="Times New Roman" w:cs="Arial"/>
          <w:color w:val="000000"/>
          <w:sz w:val="20"/>
          <w:szCs w:val="20"/>
          <w:lang w:eastAsia="en-AU"/>
        </w:rPr>
        <w:t>results,</w:t>
      </w:r>
      <w:proofErr w:type="gramEnd"/>
      <w:r w:rsidRPr="00C17E74">
        <w:rPr>
          <w:rFonts w:eastAsia="Times New Roman" w:cs="Arial"/>
          <w:color w:val="000000"/>
          <w:sz w:val="20"/>
          <w:szCs w:val="20"/>
          <w:lang w:eastAsia="en-AU"/>
        </w:rPr>
        <w:t xml:space="preserve"> however, it was at risk of ceasing without the support of committed partners to drive it forward. </w:t>
      </w:r>
    </w:p>
    <w:p w:rsidR="00C17E74" w:rsidRPr="009A7741" w:rsidRDefault="00C17E74" w:rsidP="009A7741">
      <w:pPr>
        <w:tabs>
          <w:tab w:val="left" w:pos="6075"/>
        </w:tabs>
        <w:spacing w:before="120" w:after="120"/>
        <w:rPr>
          <w:rFonts w:ascii="Calibri" w:eastAsia="Calibri" w:hAnsi="Calibri" w:cs="Times New Roman"/>
          <w:b/>
          <w:color w:val="1F497D"/>
          <w:sz w:val="20"/>
          <w:szCs w:val="20"/>
        </w:rPr>
      </w:pPr>
      <w:r w:rsidRPr="009A7741">
        <w:rPr>
          <w:rFonts w:ascii="Calibri" w:eastAsia="Calibri" w:hAnsi="Calibri" w:cs="Times New Roman"/>
          <w:b/>
          <w:color w:val="1F497D"/>
          <w:sz w:val="20"/>
          <w:szCs w:val="20"/>
        </w:rPr>
        <w:t>The Partnership’s Approach</w:t>
      </w:r>
    </w:p>
    <w:p w:rsidR="00C17E74" w:rsidRPr="00C17E74" w:rsidRDefault="00C17E74" w:rsidP="00C17E74">
      <w:pPr>
        <w:tabs>
          <w:tab w:val="num" w:pos="720"/>
        </w:tabs>
        <w:adjustRightInd w:val="0"/>
        <w:rPr>
          <w:rFonts w:eastAsia="Times New Roman" w:cs="Arial"/>
          <w:color w:val="000000"/>
          <w:sz w:val="20"/>
          <w:szCs w:val="20"/>
          <w:lang w:eastAsia="en-AU"/>
        </w:rPr>
      </w:pPr>
      <w:r w:rsidRPr="00C17E74">
        <w:rPr>
          <w:rFonts w:eastAsia="Times New Roman" w:cstheme="minorHAnsi"/>
          <w:sz w:val="20"/>
          <w:szCs w:val="20"/>
          <w:lang w:eastAsia="en-AU"/>
        </w:rPr>
        <w:t>A partnership involving Flinders University, government and non-government schooling sectors, and parent and community groups was formed to reinvigorate the Life in the Uni Lane program and continue to offer students an enjoyable look at University life. The program also provides participants with a variety of ‘hands-on’ learning activities through a number of the faculties at Flinders University.  Faculties selected were chosen to correspond with skills shortages in the region. The program focuses on what University has to offer by way of environment and facilities, social networks and study support.</w:t>
      </w:r>
      <w:r w:rsidRPr="00C17E74">
        <w:rPr>
          <w:rFonts w:eastAsia="Times New Roman" w:cs="Arial"/>
          <w:color w:val="000000"/>
          <w:sz w:val="20"/>
          <w:szCs w:val="20"/>
          <w:lang w:eastAsia="en-AU"/>
        </w:rPr>
        <w:t xml:space="preserve"> </w:t>
      </w:r>
    </w:p>
    <w:p w:rsidR="00C17E74" w:rsidRPr="00C17E74" w:rsidRDefault="00C17E74" w:rsidP="00C17E74">
      <w:pPr>
        <w:tabs>
          <w:tab w:val="num" w:pos="720"/>
        </w:tabs>
        <w:adjustRightInd w:val="0"/>
        <w:rPr>
          <w:rFonts w:ascii="Calibri" w:eastAsia="Times New Roman" w:hAnsi="Calibri" w:cs="Arial"/>
          <w:color w:val="000000"/>
          <w:lang w:eastAsia="en-AU"/>
        </w:rPr>
      </w:pPr>
      <w:r w:rsidRPr="00C17E74">
        <w:rPr>
          <w:rFonts w:ascii="Calibri" w:eastAsia="Times New Roman" w:hAnsi="Calibri" w:cs="Arial"/>
          <w:noProof/>
          <w:color w:val="000000"/>
          <w:lang w:eastAsia="en-AU"/>
        </w:rPr>
        <mc:AlternateContent>
          <mc:Choice Requires="wps">
            <w:drawing>
              <wp:inline distT="0" distB="0" distL="0" distR="0" wp14:anchorId="10530A03" wp14:editId="5CB3D3A7">
                <wp:extent cx="2966085" cy="1312545"/>
                <wp:effectExtent l="0" t="0" r="5715" b="1905"/>
                <wp:docPr id="13" name="Rounded Rectangle 13" descr="Rounded Rectangle: Quote &quot;The Partnership Broker enabled this collaboration to come together by working effectively with all partners involved, creating meaningful connections within the community.&quot;&#10;Professor Tracey Bunda-Yunggorendi Mande&#10;&#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6085" cy="1312545"/>
                        </a:xfrm>
                        <a:prstGeom prst="roundRect">
                          <a:avLst>
                            <a:gd name="adj" fmla="val 16667"/>
                          </a:avLst>
                        </a:pr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55871" w:rsidRPr="00557629" w:rsidRDefault="00C55871" w:rsidP="00C17E74">
                            <w:pPr>
                              <w:pStyle w:val="Quote"/>
                            </w:pPr>
                            <w:r w:rsidRPr="00557629">
                              <w:sym w:font="Wingdings" w:char="F07D"/>
                            </w:r>
                            <w:r w:rsidRPr="00557629">
                              <w:t xml:space="preserve"> The Partnership Broker enabled this collaboration to come together by working effectively with all partners involved, creating meaningful connections within the community</w:t>
                            </w:r>
                            <w:r w:rsidRPr="00557629">
                              <w:sym w:font="Wingdings" w:char="F07E"/>
                            </w:r>
                          </w:p>
                          <w:p w:rsidR="00C55871" w:rsidRPr="0011220A" w:rsidRDefault="00C55871" w:rsidP="00C17E74">
                            <w:pPr>
                              <w:rPr>
                                <w:i/>
                                <w:color w:val="1F497D" w:themeColor="text2"/>
                                <w:sz w:val="20"/>
                              </w:rPr>
                            </w:pPr>
                            <w:r>
                              <w:rPr>
                                <w:i/>
                                <w:color w:val="1F497D" w:themeColor="text2"/>
                                <w:sz w:val="20"/>
                              </w:rPr>
                              <w:t xml:space="preserve">Professor Tracey </w:t>
                            </w:r>
                            <w:proofErr w:type="spellStart"/>
                            <w:r>
                              <w:rPr>
                                <w:i/>
                                <w:color w:val="1F497D" w:themeColor="text2"/>
                                <w:sz w:val="20"/>
                              </w:rPr>
                              <w:t>Bunda-</w:t>
                            </w:r>
                            <w:r w:rsidRPr="0011220A">
                              <w:rPr>
                                <w:i/>
                                <w:color w:val="1F497D" w:themeColor="text2"/>
                                <w:sz w:val="20"/>
                              </w:rPr>
                              <w:t>Yunggorendi</w:t>
                            </w:r>
                            <w:proofErr w:type="spellEnd"/>
                            <w:r w:rsidRPr="0011220A">
                              <w:rPr>
                                <w:i/>
                                <w:color w:val="1F497D" w:themeColor="text2"/>
                                <w:sz w:val="20"/>
                              </w:rPr>
                              <w:t xml:space="preserve"> </w:t>
                            </w:r>
                            <w:proofErr w:type="spellStart"/>
                            <w:r w:rsidRPr="0011220A">
                              <w:rPr>
                                <w:i/>
                                <w:color w:val="1F497D" w:themeColor="text2"/>
                                <w:sz w:val="20"/>
                              </w:rPr>
                              <w:t>Mande</w:t>
                            </w:r>
                            <w:proofErr w:type="spellEnd"/>
                          </w:p>
                          <w:p w:rsidR="00C55871" w:rsidRDefault="00C55871" w:rsidP="00C17E74"/>
                          <w:p w:rsidR="00C55871" w:rsidRDefault="00C55871" w:rsidP="00C17E74"/>
                        </w:txbxContent>
                      </wps:txbx>
                      <wps:bodyPr rot="0" vert="horz" wrap="square" lIns="91440" tIns="45720" rIns="91440" bIns="45720" anchor="t" anchorCtr="0" upright="1">
                        <a:noAutofit/>
                      </wps:bodyPr>
                    </wps:wsp>
                  </a:graphicData>
                </a:graphic>
              </wp:inline>
            </w:drawing>
          </mc:Choice>
          <mc:Fallback>
            <w:pict>
              <v:roundrect id="Rounded Rectangle 13" o:spid="_x0000_s1032" alt="Rounded Rectangle: Quote &quot;The Partnership Broker enabled this collaboration to come together by working effectively with all partners involved, creating meaningful connections within the community.&quot;&#10;Professor Tracey Bunda-Yunggorendi Mande&#10;&#10;&#10;" style="width:233.55pt;height:103.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wuSwMAAFEGAAAOAAAAZHJzL2Uyb0RvYy54bWysVUtz2zYQvnem/2EHncmpMkmFkk3GdMay&#10;o05nnMRN3EOPIAGSqEGAAUBRSib/PQuQcuTm0ulUBxCPfX777ery9b6TsOPGCq0KkpzFBLiqNBOq&#10;KcifD9vFBQHrqGJUasULcuCWvL76+afLsc/5UrdaMm4AjSibj31BWuf6PIps1fKO2jPdc4WPtTYd&#10;dXg0TcQMHdF6J6NlHK+jURvWG11xa/H2dnokV8F+XfPKva9ryx3IgmBsLqwmrKVfo6tLmjeG9q2o&#10;5jDof4iio0Kh0ydTt9RRGIz4wVQnKqOtrt1ZpbtI17WoeMgBs0nif2TzsaU9D7kgOLZ/gsn+f2ar&#10;d7t7A4Jh7V4SULTDGn3Qg2KcwQdEj6pGcvBvjNsKgfvhMYc/Bu04vPiEn1cPLYd7apxCSrSih43R&#10;j1hgrmgp0aRrhYVKS0lLbahD0oDTeNFx/DbctShbHgCL+ojVBB4qKHZc4p1wLVApoZ/Ng1A7LXec&#10;/QqV4WgMFTpOFX7rQaJRpTABdGGDrkBXGBz66gYl3OFsCvjFL/vrV/dG10ggbeDB0IofYIMI0MVf&#10;g2oabbhiAt4ih3kQ/r549oy9zRHEj/298fW3/Z2uHi0ofdMidvzaGD22nDKsWeLlo2cK/mBRFcrx&#10;rWaIPR2cDkTa16bzBpEisA98PTzxle8dVHi5zNbr+GJFoMK35GWyXKWr4IPmR/XeWPcb1x34TUGM&#10;L62va/BBd3fWBdayufSU/U2g7iT2wI5KSNbr9flscRaOaH60GfLVUrCtkDIcTFPeSAOoWpDbzZvV&#10;dkoZYTkVk8oLK+3VPCI0n24wrTken2Doni9ZskzjzTJbbNcX54t0m64W2Xl8sYiTbJOt4zRLb7df&#10;fTJJmreCMa7uhOLHTk7Sf9cp80yZejD0MowFyVbLVcDpWfT2NMk4/GaEnokFpMN08dV/o1jYOyrk&#10;tI+eRxxgwLSP3wBE4Iqnx0Qzty/3oVVDSTx1Ss0OSB6jsbQ43XAO46bV5jOBEWdaQeyngRpOQP6u&#10;kIBZkqZ+CIZDujpf4sGcvpSnL1RVaKogjsC0vXHT4Bx6I5oWPSUBHaWvkbS1cEd2T1HNVMe5FXKa&#10;Z6wfjKfnIPX9n+DqGwAAAP//AwBQSwMEFAAGAAgAAAAhAEju3HLcAAAABQEAAA8AAABkcnMvZG93&#10;bnJldi54bWxMj01Lw0AQhu+C/2EZwYu0m5aSlphNET+gN20iep0kYxLNzsbsto3/3tGLXgaG9+WZ&#10;Z9LtZHt1pNF3jg0s5hEo4srVHTcGnouH2QaUD8g19o7JwBd52GbnZykmtTvxno55aJRA2CdooA1h&#10;SLT2VUsW/dwNxJK9udFikHVsdD3iSeC218soirXFjuVCiwPdtlR95AcrlPvd43uT79iXd8XTVbFC&#10;fH35NObyYrq5BhVoCn9l+NEXdcjEqXQHrr3qDcgj4XdKtorXC1ClgWUUr0Fnqf5vn30DAAD//wMA&#10;UEsBAi0AFAAGAAgAAAAhALaDOJL+AAAA4QEAABMAAAAAAAAAAAAAAAAAAAAAAFtDb250ZW50X1R5&#10;cGVzXS54bWxQSwECLQAUAAYACAAAACEAOP0h/9YAAACUAQAACwAAAAAAAAAAAAAAAAAvAQAAX3Jl&#10;bHMvLnJlbHNQSwECLQAUAAYACAAAACEA2IOcLksDAABRBgAADgAAAAAAAAAAAAAAAAAuAgAAZHJz&#10;L2Uyb0RvYy54bWxQSwECLQAUAAYACAAAACEASO7cctwAAAAFAQAADwAAAAAAAAAAAAAAAAClBQAA&#10;ZHJzL2Rvd25yZXYueG1sUEsFBgAAAAAEAAQA8wAAAK4GAAAAAA==&#10;" fillcolor="#dbe5f1" stroked="f">
                <v:textbox>
                  <w:txbxContent>
                    <w:p w:rsidR="00C55871" w:rsidRPr="00557629" w:rsidRDefault="00C55871" w:rsidP="00C17E74">
                      <w:pPr>
                        <w:pStyle w:val="Quote"/>
                      </w:pPr>
                      <w:r w:rsidRPr="00557629">
                        <w:sym w:font="Wingdings" w:char="F07D"/>
                      </w:r>
                      <w:r w:rsidRPr="00557629">
                        <w:t xml:space="preserve"> The Partnership Broker enabled this collaboration to come together by working effectively with all partners involved, creating meaningful connections within the community</w:t>
                      </w:r>
                      <w:r w:rsidRPr="00557629">
                        <w:sym w:font="Wingdings" w:char="F07E"/>
                      </w:r>
                    </w:p>
                    <w:p w:rsidR="00C55871" w:rsidRPr="0011220A" w:rsidRDefault="00C55871" w:rsidP="00C17E74">
                      <w:pPr>
                        <w:rPr>
                          <w:i/>
                          <w:color w:val="1F497D" w:themeColor="text2"/>
                          <w:sz w:val="20"/>
                        </w:rPr>
                      </w:pPr>
                      <w:r>
                        <w:rPr>
                          <w:i/>
                          <w:color w:val="1F497D" w:themeColor="text2"/>
                          <w:sz w:val="20"/>
                        </w:rPr>
                        <w:t xml:space="preserve">Professor Tracey </w:t>
                      </w:r>
                      <w:proofErr w:type="spellStart"/>
                      <w:r>
                        <w:rPr>
                          <w:i/>
                          <w:color w:val="1F497D" w:themeColor="text2"/>
                          <w:sz w:val="20"/>
                        </w:rPr>
                        <w:t>Bunda-</w:t>
                      </w:r>
                      <w:r w:rsidRPr="0011220A">
                        <w:rPr>
                          <w:i/>
                          <w:color w:val="1F497D" w:themeColor="text2"/>
                          <w:sz w:val="20"/>
                        </w:rPr>
                        <w:t>Yunggorendi</w:t>
                      </w:r>
                      <w:proofErr w:type="spellEnd"/>
                      <w:r w:rsidRPr="0011220A">
                        <w:rPr>
                          <w:i/>
                          <w:color w:val="1F497D" w:themeColor="text2"/>
                          <w:sz w:val="20"/>
                        </w:rPr>
                        <w:t xml:space="preserve"> </w:t>
                      </w:r>
                      <w:proofErr w:type="spellStart"/>
                      <w:r w:rsidRPr="0011220A">
                        <w:rPr>
                          <w:i/>
                          <w:color w:val="1F497D" w:themeColor="text2"/>
                          <w:sz w:val="20"/>
                        </w:rPr>
                        <w:t>Mande</w:t>
                      </w:r>
                      <w:proofErr w:type="spellEnd"/>
                    </w:p>
                    <w:p w:rsidR="00C55871" w:rsidRDefault="00C55871" w:rsidP="00C17E74"/>
                    <w:p w:rsidR="00C55871" w:rsidRDefault="00C55871" w:rsidP="00C17E74"/>
                  </w:txbxContent>
                </v:textbox>
                <w10:anchorlock/>
              </v:roundrect>
            </w:pict>
          </mc:Fallback>
        </mc:AlternateContent>
      </w:r>
    </w:p>
    <w:p w:rsidR="00C17E74" w:rsidRPr="009A7741" w:rsidRDefault="00C17E74" w:rsidP="009A7741">
      <w:pPr>
        <w:tabs>
          <w:tab w:val="left" w:pos="6075"/>
        </w:tabs>
        <w:rPr>
          <w:rFonts w:ascii="Calibri" w:eastAsia="Calibri" w:hAnsi="Calibri" w:cs="Times New Roman"/>
          <w:b/>
          <w:color w:val="1F497D"/>
          <w:sz w:val="20"/>
          <w:szCs w:val="20"/>
        </w:rPr>
      </w:pPr>
      <w:r w:rsidRPr="009A7741">
        <w:rPr>
          <w:rFonts w:ascii="Calibri" w:eastAsia="Calibri" w:hAnsi="Calibri" w:cs="Times New Roman"/>
          <w:b/>
          <w:color w:val="1F497D"/>
          <w:sz w:val="20"/>
          <w:szCs w:val="20"/>
        </w:rPr>
        <w:lastRenderedPageBreak/>
        <w:t>Benefits</w:t>
      </w:r>
    </w:p>
    <w:p w:rsidR="00C17E74" w:rsidRPr="00C17E74" w:rsidRDefault="00C17E74" w:rsidP="009A7741">
      <w:pPr>
        <w:tabs>
          <w:tab w:val="left" w:pos="6075"/>
        </w:tabs>
        <w:spacing w:before="120" w:after="60"/>
        <w:rPr>
          <w:rFonts w:eastAsia="Calibri" w:cstheme="minorHAnsi"/>
          <w:sz w:val="20"/>
          <w:szCs w:val="20"/>
          <w:lang w:eastAsia="en-AU"/>
        </w:rPr>
      </w:pPr>
      <w:proofErr w:type="gramStart"/>
      <w:r w:rsidRPr="00C17E74">
        <w:rPr>
          <w:rFonts w:eastAsia="Calibri" w:cstheme="minorHAnsi"/>
          <w:sz w:val="20"/>
          <w:szCs w:val="20"/>
          <w:lang w:eastAsia="en-AU"/>
        </w:rPr>
        <w:t>Raising aspirations of young Indigenous students.</w:t>
      </w:r>
      <w:proofErr w:type="gramEnd"/>
    </w:p>
    <w:p w:rsidR="00C17E74" w:rsidRPr="00C17E74" w:rsidRDefault="00C17E74" w:rsidP="009A7741">
      <w:pPr>
        <w:tabs>
          <w:tab w:val="left" w:pos="6075"/>
        </w:tabs>
        <w:spacing w:before="120" w:after="60"/>
        <w:rPr>
          <w:rFonts w:eastAsia="Calibri" w:cstheme="minorHAnsi"/>
          <w:sz w:val="20"/>
          <w:szCs w:val="20"/>
          <w:lang w:eastAsia="en-AU"/>
        </w:rPr>
      </w:pPr>
      <w:proofErr w:type="gramStart"/>
      <w:r w:rsidRPr="00C17E74">
        <w:rPr>
          <w:rFonts w:eastAsia="Calibri" w:cstheme="minorHAnsi"/>
          <w:sz w:val="20"/>
          <w:szCs w:val="20"/>
          <w:lang w:eastAsia="en-AU"/>
        </w:rPr>
        <w:t>Providing a hands-on introduction to Uni life.</w:t>
      </w:r>
      <w:proofErr w:type="gramEnd"/>
    </w:p>
    <w:p w:rsidR="00C17E74" w:rsidRPr="00C17E74" w:rsidRDefault="00C17E74" w:rsidP="009A7741">
      <w:pPr>
        <w:tabs>
          <w:tab w:val="left" w:pos="6075"/>
        </w:tabs>
        <w:spacing w:before="120" w:after="60"/>
        <w:rPr>
          <w:rFonts w:eastAsia="Calibri" w:cstheme="minorHAnsi"/>
          <w:sz w:val="20"/>
          <w:szCs w:val="20"/>
          <w:lang w:eastAsia="en-AU"/>
        </w:rPr>
      </w:pPr>
      <w:proofErr w:type="gramStart"/>
      <w:r w:rsidRPr="00C17E74">
        <w:rPr>
          <w:rFonts w:eastAsia="Calibri" w:cstheme="minorHAnsi"/>
          <w:sz w:val="20"/>
          <w:szCs w:val="20"/>
          <w:lang w:eastAsia="en-AU"/>
        </w:rPr>
        <w:t>Making connections between culture, tertiary education and the Indigenous community.</w:t>
      </w:r>
      <w:proofErr w:type="gramEnd"/>
    </w:p>
    <w:p w:rsidR="00C17E74" w:rsidRPr="00C17E74" w:rsidRDefault="00C17E74" w:rsidP="009A7741">
      <w:pPr>
        <w:tabs>
          <w:tab w:val="left" w:pos="6075"/>
        </w:tabs>
        <w:spacing w:before="120" w:after="60"/>
        <w:rPr>
          <w:rFonts w:eastAsia="Calibri" w:cstheme="minorHAnsi"/>
          <w:sz w:val="20"/>
          <w:szCs w:val="20"/>
          <w:lang w:eastAsia="en-AU"/>
        </w:rPr>
      </w:pPr>
      <w:r w:rsidRPr="00C17E74">
        <w:rPr>
          <w:rFonts w:eastAsia="Calibri" w:cstheme="minorHAnsi"/>
          <w:sz w:val="20"/>
          <w:szCs w:val="20"/>
          <w:lang w:eastAsia="en-AU"/>
        </w:rPr>
        <w:t>100% of participants indicating they would now consider going on to study at University.</w:t>
      </w:r>
    </w:p>
    <w:p w:rsidR="00C17E74" w:rsidRPr="009A7741" w:rsidRDefault="00C17E74" w:rsidP="009A7741">
      <w:pPr>
        <w:tabs>
          <w:tab w:val="left" w:pos="6075"/>
        </w:tabs>
        <w:spacing w:before="120" w:after="120"/>
        <w:rPr>
          <w:rFonts w:ascii="Calibri" w:eastAsia="Calibri" w:hAnsi="Calibri" w:cs="Times New Roman"/>
          <w:b/>
          <w:color w:val="1F497D"/>
          <w:sz w:val="20"/>
          <w:szCs w:val="20"/>
        </w:rPr>
      </w:pPr>
      <w:r w:rsidRPr="009A7741">
        <w:rPr>
          <w:rFonts w:ascii="Calibri" w:eastAsia="Calibri" w:hAnsi="Calibri" w:cs="Times New Roman"/>
          <w:b/>
          <w:color w:val="1F497D"/>
          <w:sz w:val="20"/>
          <w:szCs w:val="20"/>
        </w:rPr>
        <w:t>Next Steps</w:t>
      </w:r>
    </w:p>
    <w:p w:rsidR="00C17E74" w:rsidRPr="00C17E74" w:rsidRDefault="00C17E74" w:rsidP="00C17E74">
      <w:pPr>
        <w:spacing w:after="120"/>
        <w:rPr>
          <w:rFonts w:ascii="Century Gothic" w:eastAsia="Calibri" w:hAnsi="Century Gothic" w:cs="Times New Roman"/>
          <w:noProof/>
          <w:sz w:val="20"/>
          <w:szCs w:val="20"/>
          <w:lang w:eastAsia="en-AU"/>
        </w:rPr>
      </w:pPr>
      <w:proofErr w:type="spellStart"/>
      <w:r w:rsidRPr="00C17E74">
        <w:rPr>
          <w:rFonts w:eastAsia="Calibri" w:cs="Times New Roman"/>
          <w:sz w:val="20"/>
          <w:szCs w:val="20"/>
        </w:rPr>
        <w:t>Yunggorendi</w:t>
      </w:r>
      <w:proofErr w:type="spellEnd"/>
      <w:r w:rsidRPr="00C17E74">
        <w:rPr>
          <w:rFonts w:eastAsia="Calibri" w:cs="Times New Roman"/>
          <w:sz w:val="20"/>
          <w:szCs w:val="20"/>
        </w:rPr>
        <w:t xml:space="preserve"> secured funding through the Southern Knowledge Transfer Partnership at Flinders University for research to be applied to this program. It is anticipated that this will be longitudinal and/or have a destination tracking component.</w:t>
      </w:r>
      <w:r w:rsidRPr="00C17E74">
        <w:rPr>
          <w:rFonts w:ascii="Century Gothic" w:eastAsia="Calibri" w:hAnsi="Century Gothic" w:cs="Times New Roman"/>
          <w:noProof/>
          <w:sz w:val="20"/>
          <w:szCs w:val="20"/>
          <w:lang w:eastAsia="en-AU"/>
        </w:rPr>
        <w:t xml:space="preserve"> </w:t>
      </w:r>
    </w:p>
    <w:p w:rsidR="00C17E74" w:rsidRPr="00C17E74" w:rsidRDefault="00C17E74" w:rsidP="00C17E74">
      <w:pPr>
        <w:spacing w:after="120"/>
        <w:rPr>
          <w:rFonts w:eastAsia="Calibri" w:cs="Times New Roman"/>
          <w:sz w:val="4"/>
          <w:szCs w:val="4"/>
        </w:rPr>
      </w:pPr>
    </w:p>
    <w:p w:rsidR="00C17E74" w:rsidRPr="00C17E74" w:rsidRDefault="00C17E74" w:rsidP="00C17E74">
      <w:pPr>
        <w:tabs>
          <w:tab w:val="left" w:pos="6075"/>
        </w:tabs>
        <w:spacing w:after="120"/>
        <w:rPr>
          <w:rFonts w:eastAsia="Calibri" w:cstheme="minorHAnsi"/>
          <w:sz w:val="16"/>
          <w:szCs w:val="16"/>
          <w:lang w:eastAsia="en-AU"/>
        </w:rPr>
      </w:pPr>
      <w:r w:rsidRPr="00C17E74">
        <w:rPr>
          <w:rFonts w:ascii="Century Gothic" w:eastAsia="Calibri" w:hAnsi="Century Gothic" w:cs="Times New Roman"/>
          <w:noProof/>
          <w:sz w:val="20"/>
          <w:szCs w:val="20"/>
          <w:lang w:eastAsia="en-AU"/>
        </w:rPr>
        <w:drawing>
          <wp:inline distT="0" distB="0" distL="0" distR="0" wp14:anchorId="79CBA134" wp14:editId="13F44B8B">
            <wp:extent cx="3042285" cy="2065289"/>
            <wp:effectExtent l="0" t="0" r="0" b="0"/>
            <wp:docPr id="35" name="Picture 1" descr="Five student participants standing with two university supervi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
                    <pic:cNvPicPr>
                      <a:picLocks noChangeAspect="1" noChangeArrowheads="1"/>
                    </pic:cNvPicPr>
                  </pic:nvPicPr>
                  <pic:blipFill>
                    <a:blip r:embed="rId48" cstate="print"/>
                    <a:srcRect l="3961" t="3943" r="3120" b="-56"/>
                    <a:stretch>
                      <a:fillRect/>
                    </a:stretch>
                  </pic:blipFill>
                  <pic:spPr bwMode="auto">
                    <a:xfrm>
                      <a:off x="0" y="0"/>
                      <a:ext cx="3042285" cy="2065289"/>
                    </a:xfrm>
                    <a:prstGeom prst="rect">
                      <a:avLst/>
                    </a:prstGeom>
                    <a:noFill/>
                    <a:ln w="9525">
                      <a:noFill/>
                      <a:miter lim="800000"/>
                      <a:headEnd/>
                      <a:tailEnd/>
                    </a:ln>
                  </pic:spPr>
                </pic:pic>
              </a:graphicData>
            </a:graphic>
          </wp:inline>
        </w:drawing>
      </w:r>
    </w:p>
    <w:p w:rsidR="00C17E74" w:rsidRPr="00C17E74" w:rsidRDefault="00C17E74" w:rsidP="00C17E74">
      <w:pPr>
        <w:tabs>
          <w:tab w:val="left" w:pos="6075"/>
        </w:tabs>
        <w:spacing w:after="120"/>
        <w:rPr>
          <w:rFonts w:eastAsia="Calibri" w:cstheme="minorHAnsi"/>
          <w:lang w:eastAsia="en-AU"/>
        </w:rPr>
      </w:pPr>
      <w:r w:rsidRPr="00C17E74">
        <w:rPr>
          <w:rFonts w:eastAsia="Calibri" w:cstheme="minorHAnsi"/>
          <w:noProof/>
          <w:lang w:eastAsia="en-AU"/>
        </w:rPr>
        <mc:AlternateContent>
          <mc:Choice Requires="wps">
            <w:drawing>
              <wp:inline distT="0" distB="0" distL="0" distR="0" wp14:anchorId="1E02CC85" wp14:editId="6C6CC68E">
                <wp:extent cx="3192145" cy="499745"/>
                <wp:effectExtent l="2540" t="2540" r="5715" b="2540"/>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145" cy="499745"/>
                        </a:xfrm>
                        <a:prstGeom prst="roundRect">
                          <a:avLst>
                            <a:gd name="adj" fmla="val 16667"/>
                          </a:avLst>
                        </a:pr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55871" w:rsidRPr="00557629" w:rsidRDefault="00C55871" w:rsidP="00C17E74">
                            <w:pPr>
                              <w:pStyle w:val="Caption"/>
                            </w:pPr>
                            <w:r w:rsidRPr="00557629">
                              <w:t>Participants in Life in the Uni Lane from Christies Beach High School in the Outer South of Adelaide</w:t>
                            </w:r>
                          </w:p>
                        </w:txbxContent>
                      </wps:txbx>
                      <wps:bodyPr rot="0" vert="horz" wrap="square" lIns="91440" tIns="45720" rIns="91440" bIns="45720" anchor="t" anchorCtr="0" upright="1">
                        <a:noAutofit/>
                      </wps:bodyPr>
                    </wps:wsp>
                  </a:graphicData>
                </a:graphic>
              </wp:inline>
            </w:drawing>
          </mc:Choice>
          <mc:Fallback>
            <w:pict>
              <v:roundrect id="Rounded Rectangle 17" o:spid="_x0000_s1033" style="width:251.35pt;height:39.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rsngIAADsFAAAOAAAAZHJzL2Uyb0RvYy54bWysVNuO0zAQfUfiHyy/d3MhvSTadLW7pQhp&#10;gdUufIBrO43BsY3tNl0Q/87YSZcWXhCiD+5MZjyec+bYl1eHTqI9t05oVePsIsWIK6qZUNsaf/q4&#10;niwwcp4oRqRWvMZP3OGr5csXl72peK5bLRm3CIooV/Wmxq33pkoSR1veEXehDVcQbLTtiAfXbhNm&#10;SQ/VO5nkaTpLem2ZsZpy5+DragjiZazfNJz6D03juEeyxtCbj6uN6yasyfKSVFtLTCvo2Ab5hy46&#10;IhQc+lxqRTxBOyv+KNUJarXTjb+gukt00wjKIwZAk6W/oXlsieERC5DjzDNN7v+Vpe/39xYJBrOb&#10;Y6RIBzN60DvFOEMPwB5RW8kRxICo3rgK8h/NvQ1QnbnT9ItDSt+2kMavrdV9ywmD9rKQn5xtCI6D&#10;rWjTv9MMjiE7ryNnh8Z2oSCwgQ5xNE/Po+EHjyh8fJWVeVZMMaIQK8pyDnY4glTH3cY6/4brDgWj&#10;xjaACAjiEWR/53ycDxtBEvYZo6aTMO09kSibzWYRJFQck8E61oxwtRRsLaSMjt1ubqVFsLXGq5vX&#10;0/WAGFg5TZMqJCsdtg3dDl8A1dhPwBd18r3M8iK9ycvJeraYT4p1MZ2U83QxSbPyppylRVms1j8C&#10;mKyoWsEYV3dC8aNms+LvNDHenkFtUbWor3E5zaeRp7Pu3SnINP5Gzs/SItOAjlRh+K8Vi7YnQg52&#10;ct5xHBrAPv5HIqJUgjoGlfnD5hBFuTjqbqPZE2jHahgt3GN4ccBotf2GUQ+3t8bu645YjpF8q0B/&#10;ZVYU4bpHp5jOc3DsaWRzGiGKQqkae4wG89YPT8TOWLFt4aQssqP0NWi2ET7MMuh56Gp04IZGTONr&#10;Ep6AUz9m/Xrzlj8BAAD//wMAUEsDBBQABgAIAAAAIQCFhDID2wAAAAQBAAAPAAAAZHJzL2Rvd25y&#10;ZXYueG1sTI9NS8RADIbvgv9hiOBF3KmL2qV2uogfsDe1Fb2mndhWO5namd2t/97oRS+B8L48eZKv&#10;ZzeoHU2h92zgbJGAIm687bk18Fzdn65AhYhscfBMBr4owLo4PMgxs37PT7QrY6sEwiFDA12MY6Z1&#10;aDpyGBZ+JJbszU8Oo6xTq+2Ee4G7QS+T5FI77FkudDjSTUfNR7l1QrnbPLy35YZDfVs9nlTniK8v&#10;n8YcH83XV6AizfGvDD/6og6FONV+yzaowYA8En+nZBfJMgVVG0hXKegi1//li28AAAD//wMAUEsB&#10;Ai0AFAAGAAgAAAAhALaDOJL+AAAA4QEAABMAAAAAAAAAAAAAAAAAAAAAAFtDb250ZW50X1R5cGVz&#10;XS54bWxQSwECLQAUAAYACAAAACEAOP0h/9YAAACUAQAACwAAAAAAAAAAAAAAAAAvAQAAX3JlbHMv&#10;LnJlbHNQSwECLQAUAAYACAAAACEA9bUq7J4CAAA7BQAADgAAAAAAAAAAAAAAAAAuAgAAZHJzL2Uy&#10;b0RvYy54bWxQSwECLQAUAAYACAAAACEAhYQyA9sAAAAEAQAADwAAAAAAAAAAAAAAAAD4BAAAZHJz&#10;L2Rvd25yZXYueG1sUEsFBgAAAAAEAAQA8wAAAAAGAAAAAA==&#10;" fillcolor="#dbe5f1" stroked="f">
                <v:textbox>
                  <w:txbxContent>
                    <w:p w:rsidR="00C55871" w:rsidRPr="00557629" w:rsidRDefault="00C55871" w:rsidP="00C17E74">
                      <w:pPr>
                        <w:pStyle w:val="Caption"/>
                      </w:pPr>
                      <w:r w:rsidRPr="00557629">
                        <w:t>Participants in Life in the Uni Lane from Christies Beach High School in the Outer South of Adelaide</w:t>
                      </w:r>
                    </w:p>
                  </w:txbxContent>
                </v:textbox>
                <w10:anchorlock/>
              </v:roundrect>
            </w:pict>
          </mc:Fallback>
        </mc:AlternateContent>
      </w:r>
    </w:p>
    <w:p w:rsidR="00C17E74" w:rsidRPr="009A7741" w:rsidRDefault="00C17E74" w:rsidP="009A7741">
      <w:pPr>
        <w:tabs>
          <w:tab w:val="left" w:pos="6075"/>
        </w:tabs>
        <w:spacing w:before="120" w:after="120"/>
        <w:rPr>
          <w:rFonts w:ascii="Calibri" w:eastAsia="Calibri" w:hAnsi="Calibri" w:cs="Times New Roman"/>
          <w:b/>
          <w:color w:val="1F497D"/>
          <w:sz w:val="20"/>
          <w:szCs w:val="20"/>
        </w:rPr>
      </w:pPr>
      <w:r w:rsidRPr="009A7741">
        <w:rPr>
          <w:rFonts w:ascii="Calibri" w:eastAsia="Calibri" w:hAnsi="Calibri" w:cs="Times New Roman"/>
          <w:b/>
          <w:color w:val="1F497D"/>
          <w:sz w:val="20"/>
          <w:szCs w:val="20"/>
        </w:rPr>
        <w:t>Support from the Partnership Broker</w:t>
      </w:r>
    </w:p>
    <w:p w:rsidR="00C17E74" w:rsidRPr="00C17E74" w:rsidRDefault="00C17E74" w:rsidP="00C17E74">
      <w:pPr>
        <w:tabs>
          <w:tab w:val="left" w:pos="6075"/>
        </w:tabs>
        <w:rPr>
          <w:rFonts w:ascii="Calibri" w:eastAsia="Calibri" w:hAnsi="Calibri" w:cs="Times New Roman"/>
          <w:color w:val="000000" w:themeColor="text1"/>
          <w:sz w:val="20"/>
          <w:szCs w:val="20"/>
        </w:rPr>
      </w:pPr>
      <w:r w:rsidRPr="00C17E74">
        <w:rPr>
          <w:rFonts w:ascii="Calibri" w:eastAsia="Calibri" w:hAnsi="Calibri" w:cs="Times New Roman"/>
          <w:color w:val="000000" w:themeColor="text1"/>
          <w:sz w:val="20"/>
          <w:szCs w:val="20"/>
        </w:rPr>
        <w:t xml:space="preserve">Initial support from the Partnership Broker was quite intensive including engaging potential partners, convening and facilitating meetings and advising partners about the development of marketing material. Now that the partnership has been established, </w:t>
      </w:r>
      <w:proofErr w:type="spellStart"/>
      <w:r w:rsidRPr="00C17E74">
        <w:rPr>
          <w:rFonts w:ascii="Calibri" w:eastAsia="Calibri" w:hAnsi="Calibri" w:cs="Times New Roman"/>
          <w:color w:val="000000" w:themeColor="text1"/>
          <w:sz w:val="20"/>
          <w:szCs w:val="20"/>
        </w:rPr>
        <w:t>Yunggorendi</w:t>
      </w:r>
      <w:proofErr w:type="spellEnd"/>
      <w:r w:rsidRPr="00C17E74">
        <w:rPr>
          <w:rFonts w:ascii="Calibri" w:eastAsia="Calibri" w:hAnsi="Calibri" w:cs="Times New Roman"/>
          <w:color w:val="000000" w:themeColor="text1"/>
          <w:sz w:val="20"/>
          <w:szCs w:val="20"/>
        </w:rPr>
        <w:t xml:space="preserve"> has taken the lead role and all partners are taking ownership of the initiative. </w:t>
      </w:r>
    </w:p>
    <w:p w:rsidR="00C17E74" w:rsidRPr="00C17E74" w:rsidRDefault="00C17E74" w:rsidP="00C17E74">
      <w:pPr>
        <w:tabs>
          <w:tab w:val="left" w:pos="6075"/>
        </w:tabs>
        <w:rPr>
          <w:rFonts w:ascii="Calibri" w:eastAsia="Calibri" w:hAnsi="Calibri" w:cs="Times New Roman"/>
          <w:color w:val="000000" w:themeColor="text1"/>
          <w:sz w:val="20"/>
          <w:szCs w:val="20"/>
        </w:rPr>
      </w:pPr>
    </w:p>
    <w:p w:rsidR="00C17E74" w:rsidRDefault="00C17E74" w:rsidP="00C17E74">
      <w:pPr>
        <w:tabs>
          <w:tab w:val="left" w:pos="6075"/>
        </w:tabs>
        <w:rPr>
          <w:rFonts w:ascii="Calibri" w:eastAsia="Calibri" w:hAnsi="Calibri" w:cs="Times New Roman"/>
          <w:color w:val="000000" w:themeColor="text1"/>
          <w:sz w:val="20"/>
          <w:szCs w:val="20"/>
        </w:rPr>
      </w:pPr>
      <w:r w:rsidRPr="00C17E74">
        <w:rPr>
          <w:rFonts w:ascii="Calibri" w:eastAsia="Calibri" w:hAnsi="Calibri" w:cs="Times New Roman"/>
          <w:noProof/>
          <w:color w:val="000000" w:themeColor="text1"/>
          <w:sz w:val="20"/>
          <w:szCs w:val="20"/>
          <w:lang w:eastAsia="en-AU"/>
        </w:rPr>
        <mc:AlternateContent>
          <mc:Choice Requires="wps">
            <w:drawing>
              <wp:inline distT="0" distB="0" distL="0" distR="0" wp14:anchorId="240A374A" wp14:editId="36F7D58B">
                <wp:extent cx="3192145" cy="1160145"/>
                <wp:effectExtent l="0" t="0" r="27305" b="20955"/>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145" cy="1160145"/>
                        </a:xfrm>
                        <a:prstGeom prst="roundRect">
                          <a:avLst>
                            <a:gd name="adj" fmla="val 16667"/>
                          </a:avLst>
                        </a:prstGeom>
                        <a:solidFill>
                          <a:srgbClr val="1F497D">
                            <a:lumMod val="100000"/>
                            <a:lumOff val="0"/>
                          </a:srgbClr>
                        </a:solidFill>
                        <a:ln w="9525">
                          <a:solidFill>
                            <a:srgbClr val="000000"/>
                          </a:solidFill>
                          <a:round/>
                          <a:headEnd/>
                          <a:tailEnd/>
                        </a:ln>
                      </wps:spPr>
                      <wps:txbx>
                        <w:txbxContent>
                          <w:p w:rsidR="00C55871" w:rsidRPr="003420EE" w:rsidRDefault="00C55871" w:rsidP="00C17E74">
                            <w:pPr>
                              <w:spacing w:after="120"/>
                              <w:rPr>
                                <w:b/>
                                <w:color w:val="FFFFFF"/>
                                <w:sz w:val="20"/>
                              </w:rPr>
                            </w:pPr>
                            <w:r w:rsidRPr="003420EE">
                              <w:rPr>
                                <w:b/>
                                <w:color w:val="FFFFFF"/>
                                <w:sz w:val="20"/>
                              </w:rPr>
                              <w:t>TOP TIP</w:t>
                            </w:r>
                          </w:p>
                          <w:p w:rsidR="00C55871" w:rsidRPr="003420EE" w:rsidRDefault="00C55871" w:rsidP="00C17E74">
                            <w:pPr>
                              <w:rPr>
                                <w:color w:val="FFFFFF"/>
                                <w:sz w:val="20"/>
                              </w:rPr>
                            </w:pPr>
                            <w:r>
                              <w:rPr>
                                <w:color w:val="FFFFFF"/>
                                <w:sz w:val="20"/>
                              </w:rPr>
                              <w:t>Establishing a clear understanding of partners’ roles and responsibilities and regularly evaluating progress are critical to maintaining successful partnerships.</w:t>
                            </w:r>
                          </w:p>
                        </w:txbxContent>
                      </wps:txbx>
                      <wps:bodyPr rot="0" vert="horz" wrap="square" lIns="91440" tIns="45720" rIns="91440" bIns="45720" anchor="t" anchorCtr="0" upright="1">
                        <a:noAutofit/>
                      </wps:bodyPr>
                    </wps:wsp>
                  </a:graphicData>
                </a:graphic>
              </wp:inline>
            </w:drawing>
          </mc:Choice>
          <mc:Fallback>
            <w:pict>
              <v:roundrect id="Rounded Rectangle 18" o:spid="_x0000_s1034" style="width:251.35pt;height:91.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4iXXAIAALMEAAAOAAAAZHJzL2Uyb0RvYy54bWysVNtuEzEQfUfiHyy/082GJCWrbKqqpQip&#10;QNXCBzi2N2vweszYyab9esbebUjhDZGHlefiM3PmeLK6OHSW7TUGA67m5dmEM+0kKOO2Nf/29ebN&#10;O85CFE4JC07X/FEHfrF+/WrV+0pPoQWrNDICcaHqfc3bGH1VFEG2uhPhDLx2FGwAOxHJxG2hUPSE&#10;3tliOpksih5QeQSpQyDv9RDk64zfNFrGL00TdGS25tRbzF/M3036FuuVqLYofGvk2Ib4hy46YRwV&#10;PUJdiyjYDs1fUJ2RCAGaeCahK6BpjNSZA7EpJ3+weWiF15kLDSf445jC/4OVn/d3yIwi7UgpJzrS&#10;6B52TmnF7ml6wm2tZhSjQfU+VJT/4O8wUQ3+FuSPwBxctZSmLxGhb7VQ1F6Z8osXF5IR6Crb9J9A&#10;URmxi5BndmiwS4A0DXbI0jwepdGHyCQ535bLaTmbcyYpVpaLSTJSDVE9X/cY4gcNHUuHmmNikSjk&#10;GmJ/G2IWSI0shfrOWdNZknsvLCsXi8X5iDgmE/YzZuYL1qgbY202cLu5ssjoKvVzM1ueX+c6dtcR&#10;u9E9Sb+EKSry00Mc/NlF4GHAyCTCKbh1rK/5cj6dZ8wXsfHSiHSskOBOITL7XDkp8t6pfI7C2OFM&#10;+daNEiVVBnXjYXPIj2GZuk6KbUA9kmYIw+bQptOhBXzirKetqXn4uROoObMfHem+LGeztGbZmM3P&#10;p2TgaWRzGhFOElTNI2fD8SoOq7nzaLYtVSrzABxc0ltpTKSm8qMauhoN2ow8wnGL0+qd2jnr93/N&#10;+hcAAAD//wMAUEsDBBQABgAIAAAAIQDvB34v3AAAAAUBAAAPAAAAZHJzL2Rvd25yZXYueG1sTI9B&#10;S8NAEIXvgv9hGcGL2E2CtSFmU0QpSPFiLeJxmh2TYHY2ZLdN/PeOXvQyzPAeb75XrmfXqxONofNs&#10;IF0koIhrbztuDOxfN9c5qBCRLfaeycAXBVhX52clFtZP/EKnXWyUhHAo0EAb41BoHeqWHIaFH4hF&#10;+/Cjwyjn2Gg74iThrtdZktxqhx3LhxYHemip/twdnYHH5eZtn6Zuunmf+Gr7tH3OVmluzOXFfH8H&#10;KtIc/8zwgy/oUAnTwR/ZBtUbkCLxd4q2TLIVqIOYcll0Ver/9NU3AAAA//8DAFBLAQItABQABgAI&#10;AAAAIQC2gziS/gAAAOEBAAATAAAAAAAAAAAAAAAAAAAAAABbQ29udGVudF9UeXBlc10ueG1sUEsB&#10;Ai0AFAAGAAgAAAAhADj9If/WAAAAlAEAAAsAAAAAAAAAAAAAAAAALwEAAF9yZWxzLy5yZWxzUEsB&#10;Ai0AFAAGAAgAAAAhAJrniJdcAgAAswQAAA4AAAAAAAAAAAAAAAAALgIAAGRycy9lMm9Eb2MueG1s&#10;UEsBAi0AFAAGAAgAAAAhAO8Hfi/cAAAABQEAAA8AAAAAAAAAAAAAAAAAtgQAAGRycy9kb3ducmV2&#10;LnhtbFBLBQYAAAAABAAEAPMAAAC/BQAAAAA=&#10;" fillcolor="#1f497d">
                <v:textbox>
                  <w:txbxContent>
                    <w:p w:rsidR="00C55871" w:rsidRPr="003420EE" w:rsidRDefault="00C55871" w:rsidP="00C17E74">
                      <w:pPr>
                        <w:spacing w:after="120"/>
                        <w:rPr>
                          <w:b/>
                          <w:color w:val="FFFFFF"/>
                          <w:sz w:val="20"/>
                        </w:rPr>
                      </w:pPr>
                      <w:r w:rsidRPr="003420EE">
                        <w:rPr>
                          <w:b/>
                          <w:color w:val="FFFFFF"/>
                          <w:sz w:val="20"/>
                        </w:rPr>
                        <w:t>TOP TIP</w:t>
                      </w:r>
                    </w:p>
                    <w:p w:rsidR="00C55871" w:rsidRPr="003420EE" w:rsidRDefault="00C55871" w:rsidP="00C17E74">
                      <w:pPr>
                        <w:rPr>
                          <w:color w:val="FFFFFF"/>
                          <w:sz w:val="20"/>
                        </w:rPr>
                      </w:pPr>
                      <w:r>
                        <w:rPr>
                          <w:color w:val="FFFFFF"/>
                          <w:sz w:val="20"/>
                        </w:rPr>
                        <w:t>Establishing a clear understanding of partners’ roles and responsibilities and regularly evaluating progress are critical to maintaining successful partnerships.</w:t>
                      </w:r>
                    </w:p>
                  </w:txbxContent>
                </v:textbox>
                <w10:anchorlock/>
              </v:roundrect>
            </w:pict>
          </mc:Fallback>
        </mc:AlternateContent>
      </w:r>
    </w:p>
    <w:p w:rsidR="009C205D" w:rsidRDefault="009C205D" w:rsidP="00C17E74">
      <w:pPr>
        <w:spacing w:after="200"/>
        <w:rPr>
          <w:rFonts w:ascii="Calibri" w:eastAsia="Calibri" w:hAnsi="Calibri" w:cs="Times New Roman"/>
        </w:rPr>
      </w:pPr>
    </w:p>
    <w:p w:rsidR="009C205D" w:rsidRDefault="009C205D" w:rsidP="00C17E74">
      <w:pPr>
        <w:spacing w:after="200"/>
        <w:rPr>
          <w:rFonts w:ascii="Calibri" w:eastAsia="Calibri" w:hAnsi="Calibri" w:cs="Times New Roman"/>
        </w:rPr>
        <w:sectPr w:rsidR="009C205D" w:rsidSect="007C6D1D">
          <w:type w:val="continuous"/>
          <w:pgSz w:w="11906" w:h="16838"/>
          <w:pgMar w:top="1134" w:right="993" w:bottom="1440" w:left="851" w:header="708" w:footer="708" w:gutter="0"/>
          <w:cols w:num="2" w:space="428"/>
          <w:docGrid w:linePitch="360"/>
        </w:sectPr>
      </w:pPr>
    </w:p>
    <w:p w:rsidR="00C17E74" w:rsidRPr="00C17E74" w:rsidRDefault="00C17E74" w:rsidP="00C17E74">
      <w:pPr>
        <w:tabs>
          <w:tab w:val="left" w:pos="6075"/>
        </w:tabs>
        <w:spacing w:after="120"/>
        <w:ind w:left="284"/>
        <w:rPr>
          <w:rFonts w:ascii="Calibri" w:eastAsia="Calibri" w:hAnsi="Calibri" w:cs="Times New Roman"/>
          <w:sz w:val="20"/>
          <w:szCs w:val="20"/>
        </w:rPr>
      </w:pPr>
      <w:r w:rsidRPr="00C17E74">
        <w:rPr>
          <w:rFonts w:ascii="Calibri" w:eastAsia="Calibri" w:hAnsi="Calibri" w:cs="Times New Roman"/>
          <w:noProof/>
          <w:sz w:val="20"/>
          <w:szCs w:val="20"/>
          <w:lang w:eastAsia="en-AU"/>
        </w:rPr>
        <w:lastRenderedPageBreak/>
        <w:drawing>
          <wp:inline distT="0" distB="0" distL="0" distR="0" wp14:anchorId="42B8D543" wp14:editId="47DA44BB">
            <wp:extent cx="2656840" cy="569595"/>
            <wp:effectExtent l="0" t="0" r="0" b="1905"/>
            <wp:docPr id="36" name="Picture 36" descr="Logo. Partnership Brokers. School + Business +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tnership Brokers. School + Business + Community"/>
                    <pic:cNvPicPr>
                      <a:picLocks noChangeAspect="1" noChangeArrowheads="1"/>
                    </pic:cNvPicPr>
                  </pic:nvPicPr>
                  <pic:blipFill>
                    <a:blip r:embed="rId46"/>
                    <a:srcRect/>
                    <a:stretch>
                      <a:fillRect/>
                    </a:stretch>
                  </pic:blipFill>
                  <pic:spPr bwMode="auto">
                    <a:xfrm>
                      <a:off x="0" y="0"/>
                      <a:ext cx="2656840" cy="569595"/>
                    </a:xfrm>
                    <a:prstGeom prst="rect">
                      <a:avLst/>
                    </a:prstGeom>
                    <a:noFill/>
                    <a:ln w="9525">
                      <a:noFill/>
                      <a:miter lim="800000"/>
                      <a:headEnd/>
                      <a:tailEnd/>
                    </a:ln>
                  </pic:spPr>
                </pic:pic>
              </a:graphicData>
            </a:graphic>
          </wp:inline>
        </w:drawing>
      </w:r>
    </w:p>
    <w:p w:rsidR="00C17E74" w:rsidRPr="00C17E74" w:rsidRDefault="00C17E74" w:rsidP="00C17E74">
      <w:pPr>
        <w:spacing w:after="60" w:line="240" w:lineRule="auto"/>
        <w:ind w:left="-142" w:right="255"/>
        <w:rPr>
          <w:rFonts w:ascii="Calibri" w:eastAsia="Calibri" w:hAnsi="Calibri" w:cs="Times New Roman"/>
          <w:b/>
          <w:color w:val="1F497D"/>
          <w:sz w:val="20"/>
          <w:szCs w:val="20"/>
        </w:rPr>
      </w:pPr>
      <w:r w:rsidRPr="00C17E74">
        <w:rPr>
          <w:rFonts w:ascii="Calibri" w:eastAsia="Calibri" w:hAnsi="Calibri" w:cs="Times New Roman"/>
          <w:noProof/>
          <w:sz w:val="20"/>
          <w:szCs w:val="20"/>
          <w:lang w:eastAsia="en-AU"/>
        </w:rPr>
        <mc:AlternateContent>
          <mc:Choice Requires="wps">
            <w:drawing>
              <wp:inline distT="0" distB="0" distL="0" distR="0" wp14:anchorId="1B8B8829" wp14:editId="52F358A5">
                <wp:extent cx="3171825" cy="3810000"/>
                <wp:effectExtent l="0" t="0" r="28575" b="19050"/>
                <wp:docPr id="19" name="AutoShape 2" descr="Rounded rectangle : KANGAROO ISLAND FACILITATION, EDUCATION, EMPLOYMENT &amp; TRANSITION (FEET) &#10;Purpose:&#10;To support students with disability to successfully transition through school and from school to further education training or employment.&#10;Partnership Members:&#10;• National Disability Coordination Officer&#10;• Kangaroo Island Community Education (Department for Education and Child Development)&#10;• Disability Services (Department for Communities and Social Inclusion)&#10;• Finding Workable Solutions (FWS) Youth Services&#10;• Community Living and Support Services (CLASS)&#10;" title="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3810000"/>
                        </a:xfrm>
                        <a:prstGeom prst="roundRect">
                          <a:avLst>
                            <a:gd name="adj" fmla="val 16667"/>
                          </a:avLst>
                        </a:prstGeom>
                        <a:solidFill>
                          <a:srgbClr val="1F497D"/>
                        </a:solidFill>
                        <a:ln w="9525">
                          <a:solidFill>
                            <a:srgbClr val="000000"/>
                          </a:solidFill>
                          <a:round/>
                          <a:headEnd/>
                          <a:tailEnd/>
                        </a:ln>
                      </wps:spPr>
                      <wps:txbx>
                        <w:txbxContent>
                          <w:p w:rsidR="00C55871" w:rsidRDefault="00C55871" w:rsidP="00C17E74">
                            <w:pPr>
                              <w:tabs>
                                <w:tab w:val="left" w:pos="6075"/>
                              </w:tabs>
                              <w:rPr>
                                <w:b/>
                                <w:color w:val="FFFFFF"/>
                                <w:sz w:val="28"/>
                                <w:szCs w:val="28"/>
                              </w:rPr>
                            </w:pPr>
                            <w:r>
                              <w:rPr>
                                <w:b/>
                                <w:color w:val="FFFFFF"/>
                                <w:sz w:val="28"/>
                                <w:szCs w:val="28"/>
                              </w:rPr>
                              <w:t xml:space="preserve">KANGAROO ISLAND FACILITATION, EDUCATION, EMPLOYMENT &amp; TRANSITION (FEET) </w:t>
                            </w:r>
                          </w:p>
                          <w:p w:rsidR="00C55871" w:rsidRDefault="00C55871" w:rsidP="00C17E74">
                            <w:pPr>
                              <w:shd w:val="clear" w:color="auto" w:fill="1F497D"/>
                              <w:spacing w:after="60"/>
                              <w:rPr>
                                <w:b/>
                                <w:color w:val="FFFFFF"/>
                              </w:rPr>
                            </w:pPr>
                            <w:r>
                              <w:rPr>
                                <w:b/>
                                <w:color w:val="FFFFFF"/>
                              </w:rPr>
                              <w:t>Purpose:</w:t>
                            </w:r>
                          </w:p>
                          <w:p w:rsidR="00C55871" w:rsidRDefault="00C55871" w:rsidP="00C17E74">
                            <w:pPr>
                              <w:shd w:val="clear" w:color="auto" w:fill="1F497D"/>
                              <w:spacing w:after="60"/>
                              <w:rPr>
                                <w:color w:val="FFFFFF"/>
                              </w:rPr>
                            </w:pPr>
                            <w:r>
                              <w:rPr>
                                <w:color w:val="FFFFFF"/>
                              </w:rPr>
                              <w:t>To support students with disability to successfully transition through school and from school to further education training or employment.</w:t>
                            </w:r>
                          </w:p>
                          <w:p w:rsidR="00C55871" w:rsidRDefault="00C55871" w:rsidP="00C17E74">
                            <w:pPr>
                              <w:spacing w:after="60"/>
                              <w:rPr>
                                <w:b/>
                                <w:color w:val="FFFFFF"/>
                              </w:rPr>
                            </w:pPr>
                            <w:r>
                              <w:rPr>
                                <w:b/>
                                <w:color w:val="FFFFFF"/>
                              </w:rPr>
                              <w:t>Partnership Members:</w:t>
                            </w:r>
                          </w:p>
                          <w:p w:rsidR="00C55871" w:rsidRPr="00886C1C" w:rsidRDefault="00C55871" w:rsidP="00C17E74">
                            <w:pPr>
                              <w:pStyle w:val="ListParagraph"/>
                              <w:numPr>
                                <w:ilvl w:val="0"/>
                                <w:numId w:val="50"/>
                              </w:numPr>
                              <w:spacing w:after="60" w:line="240" w:lineRule="auto"/>
                              <w:ind w:left="360"/>
                              <w:rPr>
                                <w:color w:val="FFFFFF" w:themeColor="background1"/>
                              </w:rPr>
                            </w:pPr>
                            <w:r w:rsidRPr="00886C1C">
                              <w:rPr>
                                <w:color w:val="FFFFFF" w:themeColor="background1"/>
                              </w:rPr>
                              <w:t>National Disability Coordination Officer</w:t>
                            </w:r>
                          </w:p>
                          <w:p w:rsidR="00C55871" w:rsidRPr="00886C1C" w:rsidRDefault="00C55871" w:rsidP="00C17E74">
                            <w:pPr>
                              <w:pStyle w:val="ListParagraph"/>
                              <w:numPr>
                                <w:ilvl w:val="0"/>
                                <w:numId w:val="50"/>
                              </w:numPr>
                              <w:spacing w:after="60" w:line="240" w:lineRule="auto"/>
                              <w:ind w:left="360"/>
                              <w:rPr>
                                <w:color w:val="FFFFFF" w:themeColor="background1"/>
                              </w:rPr>
                            </w:pPr>
                            <w:r w:rsidRPr="00886C1C">
                              <w:rPr>
                                <w:color w:val="FFFFFF" w:themeColor="background1"/>
                              </w:rPr>
                              <w:t>Kangaroo Island Community Education</w:t>
                            </w:r>
                            <w:r>
                              <w:rPr>
                                <w:color w:val="FFFFFF" w:themeColor="background1"/>
                              </w:rPr>
                              <w:t xml:space="preserve"> (Department for Education and Child Development)</w:t>
                            </w:r>
                          </w:p>
                          <w:p w:rsidR="00C55871" w:rsidRDefault="00C55871" w:rsidP="00C17E74">
                            <w:pPr>
                              <w:pStyle w:val="ListParagraph"/>
                              <w:numPr>
                                <w:ilvl w:val="0"/>
                                <w:numId w:val="50"/>
                              </w:numPr>
                              <w:spacing w:after="60" w:line="240" w:lineRule="auto"/>
                              <w:ind w:left="360"/>
                              <w:rPr>
                                <w:color w:val="FFFFFF" w:themeColor="background1"/>
                              </w:rPr>
                            </w:pPr>
                            <w:r>
                              <w:rPr>
                                <w:color w:val="FFFFFF" w:themeColor="background1"/>
                              </w:rPr>
                              <w:t>Disability Services (</w:t>
                            </w:r>
                            <w:r w:rsidRPr="00886C1C">
                              <w:rPr>
                                <w:color w:val="FFFFFF" w:themeColor="background1"/>
                              </w:rPr>
                              <w:t>Department for C</w:t>
                            </w:r>
                            <w:r>
                              <w:rPr>
                                <w:color w:val="FFFFFF" w:themeColor="background1"/>
                              </w:rPr>
                              <w:t>ommunities and Social Inclusion)</w:t>
                            </w:r>
                          </w:p>
                          <w:p w:rsidR="00C55871" w:rsidRDefault="00C55871" w:rsidP="00C17E74">
                            <w:pPr>
                              <w:pStyle w:val="ListParagraph"/>
                              <w:numPr>
                                <w:ilvl w:val="0"/>
                                <w:numId w:val="50"/>
                              </w:numPr>
                              <w:spacing w:after="60" w:line="240" w:lineRule="auto"/>
                              <w:ind w:left="360"/>
                              <w:rPr>
                                <w:color w:val="FFFFFF" w:themeColor="background1"/>
                              </w:rPr>
                            </w:pPr>
                            <w:r>
                              <w:rPr>
                                <w:color w:val="FFFFFF" w:themeColor="background1"/>
                              </w:rPr>
                              <w:t>Finding Workable Solutions (</w:t>
                            </w:r>
                            <w:proofErr w:type="spellStart"/>
                            <w:r>
                              <w:rPr>
                                <w:color w:val="FFFFFF" w:themeColor="background1"/>
                              </w:rPr>
                              <w:t>FWS</w:t>
                            </w:r>
                            <w:proofErr w:type="spellEnd"/>
                            <w:r>
                              <w:rPr>
                                <w:color w:val="FFFFFF" w:themeColor="background1"/>
                              </w:rPr>
                              <w:t>) Youth Services</w:t>
                            </w:r>
                          </w:p>
                          <w:p w:rsidR="00C55871" w:rsidRPr="00886C1C" w:rsidRDefault="00C55871" w:rsidP="00C17E74">
                            <w:pPr>
                              <w:pStyle w:val="ListParagraph"/>
                              <w:numPr>
                                <w:ilvl w:val="0"/>
                                <w:numId w:val="50"/>
                              </w:numPr>
                              <w:spacing w:after="60" w:line="240" w:lineRule="auto"/>
                              <w:ind w:left="360"/>
                              <w:rPr>
                                <w:color w:val="FFFFFF" w:themeColor="background1"/>
                              </w:rPr>
                            </w:pPr>
                            <w:r>
                              <w:rPr>
                                <w:color w:val="FFFFFF" w:themeColor="background1"/>
                              </w:rPr>
                              <w:t>Community Living and Support Services (CLASS)</w:t>
                            </w:r>
                          </w:p>
                          <w:p w:rsidR="00C55871" w:rsidRDefault="00C55871" w:rsidP="00C17E74">
                            <w:pPr>
                              <w:pStyle w:val="ListParagraph"/>
                              <w:ind w:left="360"/>
                              <w:rPr>
                                <w:color w:val="FFFFFF"/>
                                <w:sz w:val="21"/>
                                <w:szCs w:val="21"/>
                              </w:rPr>
                            </w:pPr>
                          </w:p>
                        </w:txbxContent>
                      </wps:txbx>
                      <wps:bodyPr rot="0" vert="horz" wrap="square" lIns="91440" tIns="45720" rIns="91440" bIns="45720" anchor="t" anchorCtr="0" upright="1">
                        <a:noAutofit/>
                      </wps:bodyPr>
                    </wps:wsp>
                  </a:graphicData>
                </a:graphic>
              </wp:inline>
            </w:drawing>
          </mc:Choice>
          <mc:Fallback>
            <w:pict>
              <v:roundrect id="AutoShape 2" o:spid="_x0000_s1035" alt="Title: text box - Description: Rounded rectangle : KANGAROO ISLAND FACILITATION, EDUCATION, EMPLOYMENT &amp; TRANSITION (FEET) &#10;Purpose:&#10;To support students with disability to successfully transition through school and from school to further education training or employment.&#10;Partnership Members:&#10;• National Disability Coordination Officer&#10;• Kangaroo Island Community Education (Department for Education and Child Development)&#10;• Disability Services (Department for Communities and Social Inclusion)&#10;• Finding Workable Solutions (FWS) Youth Services&#10;• Community Living and Support Services (CLASS)&#10;" style="width:249.75pt;height:300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rzrAMAAPMGAAAOAAAAZHJzL2Uyb0RvYy54bWysVduO2zYQfS/QfxioQLALJOtL9uqsNxB8&#10;CYx47cXaQZBHSqQsNhSHJSlf+tRv6af1SzqkbK83BfpQVA/CjMg5c+aq+4/bSsFaWCdR95PORTsB&#10;oXPkUq/6yZfl+N1tAs4zzZlCLfrJTrjk48PPP91vTE90sUTFhQUC0a63Mf2k9N70Wi2Xl6Ji7gKN&#10;0HRYoK2YJ9WuWtyyDaFXqtVtt69bG7TcWMyFc/R12BwmDxG/KETu50XhhAfVT4ibj28b31l4tx7u&#10;WW9lmSllvqfB/gOLiklNTo9QQ+YZ1Fb+A6qSuUWHhb/IsWphUchcxBgomk77h2gWJTMixkLJceaY&#10;Jvf/weaz9ZMFyal2dwloVlGN0tpjdA3dBLhwOeXrGWvNBQdLGWV6pQT04HM6+5Q+z+cwWUzT2RDG&#10;6WAynSzT5WQ+ewuj4ZfBQXx8ms6/PY5mS3jDKvMBls/pbDEJ9+BsPBotz+HNL9v0w1NtDTrRi8oS&#10;wdXGoPXUQDUX2jvYSF8Cl45lUkm/Ax/u5KH2Ra0U6ZZpJz31IvjSYr0qgToJUQF1IBQWq4NOlkVt&#10;fUnNJ3ids8bGUhmpiwDpa2UU7ipye9FwY9Zr6vNSGngUVUZiw/OvP/6EWbRnCoYv3AZInSl1g0xN&#10;SIW2ESkYfKYcMosIE6cCtQFWVa1DSKMjm7OhMOQ0UAAagJOTaFFKxWEo1kKhCXfOj+AnJBbCrsmx&#10;gx/BDg4lnQW4BeaS+E90ruowyy9oY6nDNMNXtN9ZRoVfoKpDugh0/HVxDt+wpqocPB1ZHDzsYCrX&#10;ASC62Vf0cBvOBtN0sWi80XhKr6gBvdh6yHAbpnNjXI+adGGebJgvZ6aYf3egcVBSDkVqLW5KwTjN&#10;RCfcb70yCIojU8g2j8gJmlFvx0HdFrYKgDSCsI37YHfcB8F9Th/fd246t92rBHI6e3/badMTfbDe&#10;wdxY5z8J6qsg9BPqOc2faUaiD7aeOh+3At+PFuO/JlBUinbMmtLdub6+vtkj7i+3WO+AGeNFJflY&#10;KhUVu8oGygKZUrTjy7ub4d7YnV5TGjb95O6KmP87RIjnGNEriBhH3I0htyPNo+yZVI1MLJXeJzvk&#10;t6mT32bbZpfENIXkZ8h3lH6LzealPwUJJdrfE9jQ1u0n7reaWZGAmmgq4V3n8jKs6ahcXt10SbGn&#10;J9npCdM03LScfELNFcSBb1Z7baxcleSpEzOgMay0QvpDfzSs9vxps5L0anWf6vHWy7/q4W8AAAD/&#10;/wMAUEsDBBQABgAIAAAAIQAyjOvt3gAAAAUBAAAPAAAAZHJzL2Rvd25yZXYueG1sTI9BS8NAEIXv&#10;Qv/DMgUvYndT2trGbIooBSm9WIt43GanSWh2NmS3Tfz3jl70MvB4j/e+ydaDa8QVu1B70pBMFAik&#10;wtuaSg2H9839EkSIhqxpPKGGLwywzkc3mUmt7+kNr/tYCi6hkBoNVYxtKmUoKnQmTHyLxN7Jd85E&#10;ll0pbWd6LneNnCq1kM7UxAuVafG5wuK8vzgNL/PNxyFJXD/77Olu+7rdTR+Spda34+HpEUTEIf6F&#10;4Qef0SFnpqO/kA2i0cCPxN/L3my1moM4algopUDmmfxPn38DAAD//wMAUEsBAi0AFAAGAAgAAAAh&#10;ALaDOJL+AAAA4QEAABMAAAAAAAAAAAAAAAAAAAAAAFtDb250ZW50X1R5cGVzXS54bWxQSwECLQAU&#10;AAYACAAAACEAOP0h/9YAAACUAQAACwAAAAAAAAAAAAAAAAAvAQAAX3JlbHMvLnJlbHNQSwECLQAU&#10;AAYACAAAACEAmx0q86wDAADzBgAADgAAAAAAAAAAAAAAAAAuAgAAZHJzL2Uyb0RvYy54bWxQSwEC&#10;LQAUAAYACAAAACEAMozr7d4AAAAFAQAADwAAAAAAAAAAAAAAAAAGBgAAZHJzL2Rvd25yZXYueG1s&#10;UEsFBgAAAAAEAAQA8wAAABEHAAAAAA==&#10;" fillcolor="#1f497d">
                <v:textbox>
                  <w:txbxContent>
                    <w:p w:rsidR="00C55871" w:rsidRDefault="00C55871" w:rsidP="00C17E74">
                      <w:pPr>
                        <w:tabs>
                          <w:tab w:val="left" w:pos="6075"/>
                        </w:tabs>
                        <w:rPr>
                          <w:b/>
                          <w:color w:val="FFFFFF"/>
                          <w:sz w:val="28"/>
                          <w:szCs w:val="28"/>
                        </w:rPr>
                      </w:pPr>
                      <w:r>
                        <w:rPr>
                          <w:b/>
                          <w:color w:val="FFFFFF"/>
                          <w:sz w:val="28"/>
                          <w:szCs w:val="28"/>
                        </w:rPr>
                        <w:t xml:space="preserve">KANGAROO ISLAND FACILITATION, EDUCATION, EMPLOYMENT &amp; TRANSITION (FEET) </w:t>
                      </w:r>
                    </w:p>
                    <w:p w:rsidR="00C55871" w:rsidRDefault="00C55871" w:rsidP="00C17E74">
                      <w:pPr>
                        <w:shd w:val="clear" w:color="auto" w:fill="1F497D"/>
                        <w:spacing w:after="60"/>
                        <w:rPr>
                          <w:b/>
                          <w:color w:val="FFFFFF"/>
                        </w:rPr>
                      </w:pPr>
                      <w:r>
                        <w:rPr>
                          <w:b/>
                          <w:color w:val="FFFFFF"/>
                        </w:rPr>
                        <w:t>Purpose:</w:t>
                      </w:r>
                    </w:p>
                    <w:p w:rsidR="00C55871" w:rsidRDefault="00C55871" w:rsidP="00C17E74">
                      <w:pPr>
                        <w:shd w:val="clear" w:color="auto" w:fill="1F497D"/>
                        <w:spacing w:after="60"/>
                        <w:rPr>
                          <w:color w:val="FFFFFF"/>
                        </w:rPr>
                      </w:pPr>
                      <w:r>
                        <w:rPr>
                          <w:color w:val="FFFFFF"/>
                        </w:rPr>
                        <w:t>To support students with disability to successfully transition through school and from school to further education training or employment.</w:t>
                      </w:r>
                    </w:p>
                    <w:p w:rsidR="00C55871" w:rsidRDefault="00C55871" w:rsidP="00C17E74">
                      <w:pPr>
                        <w:spacing w:after="60"/>
                        <w:rPr>
                          <w:b/>
                          <w:color w:val="FFFFFF"/>
                        </w:rPr>
                      </w:pPr>
                      <w:r>
                        <w:rPr>
                          <w:b/>
                          <w:color w:val="FFFFFF"/>
                        </w:rPr>
                        <w:t>Partnership Members:</w:t>
                      </w:r>
                    </w:p>
                    <w:p w:rsidR="00C55871" w:rsidRPr="00886C1C" w:rsidRDefault="00C55871" w:rsidP="00C17E74">
                      <w:pPr>
                        <w:pStyle w:val="ListParagraph"/>
                        <w:numPr>
                          <w:ilvl w:val="0"/>
                          <w:numId w:val="50"/>
                        </w:numPr>
                        <w:spacing w:after="60" w:line="240" w:lineRule="auto"/>
                        <w:ind w:left="360"/>
                        <w:rPr>
                          <w:color w:val="FFFFFF" w:themeColor="background1"/>
                        </w:rPr>
                      </w:pPr>
                      <w:r w:rsidRPr="00886C1C">
                        <w:rPr>
                          <w:color w:val="FFFFFF" w:themeColor="background1"/>
                        </w:rPr>
                        <w:t>National Disability Coordination Officer</w:t>
                      </w:r>
                    </w:p>
                    <w:p w:rsidR="00C55871" w:rsidRPr="00886C1C" w:rsidRDefault="00C55871" w:rsidP="00C17E74">
                      <w:pPr>
                        <w:pStyle w:val="ListParagraph"/>
                        <w:numPr>
                          <w:ilvl w:val="0"/>
                          <w:numId w:val="50"/>
                        </w:numPr>
                        <w:spacing w:after="60" w:line="240" w:lineRule="auto"/>
                        <w:ind w:left="360"/>
                        <w:rPr>
                          <w:color w:val="FFFFFF" w:themeColor="background1"/>
                        </w:rPr>
                      </w:pPr>
                      <w:r w:rsidRPr="00886C1C">
                        <w:rPr>
                          <w:color w:val="FFFFFF" w:themeColor="background1"/>
                        </w:rPr>
                        <w:t>Kangaroo Island Community Education</w:t>
                      </w:r>
                      <w:r>
                        <w:rPr>
                          <w:color w:val="FFFFFF" w:themeColor="background1"/>
                        </w:rPr>
                        <w:t xml:space="preserve"> (Department for Education and Child Development)</w:t>
                      </w:r>
                    </w:p>
                    <w:p w:rsidR="00C55871" w:rsidRDefault="00C55871" w:rsidP="00C17E74">
                      <w:pPr>
                        <w:pStyle w:val="ListParagraph"/>
                        <w:numPr>
                          <w:ilvl w:val="0"/>
                          <w:numId w:val="50"/>
                        </w:numPr>
                        <w:spacing w:after="60" w:line="240" w:lineRule="auto"/>
                        <w:ind w:left="360"/>
                        <w:rPr>
                          <w:color w:val="FFFFFF" w:themeColor="background1"/>
                        </w:rPr>
                      </w:pPr>
                      <w:r>
                        <w:rPr>
                          <w:color w:val="FFFFFF" w:themeColor="background1"/>
                        </w:rPr>
                        <w:t>Disability Services (</w:t>
                      </w:r>
                      <w:r w:rsidRPr="00886C1C">
                        <w:rPr>
                          <w:color w:val="FFFFFF" w:themeColor="background1"/>
                        </w:rPr>
                        <w:t>Department for C</w:t>
                      </w:r>
                      <w:r>
                        <w:rPr>
                          <w:color w:val="FFFFFF" w:themeColor="background1"/>
                        </w:rPr>
                        <w:t>ommunities and Social Inclusion)</w:t>
                      </w:r>
                    </w:p>
                    <w:p w:rsidR="00C55871" w:rsidRDefault="00C55871" w:rsidP="00C17E74">
                      <w:pPr>
                        <w:pStyle w:val="ListParagraph"/>
                        <w:numPr>
                          <w:ilvl w:val="0"/>
                          <w:numId w:val="50"/>
                        </w:numPr>
                        <w:spacing w:after="60" w:line="240" w:lineRule="auto"/>
                        <w:ind w:left="360"/>
                        <w:rPr>
                          <w:color w:val="FFFFFF" w:themeColor="background1"/>
                        </w:rPr>
                      </w:pPr>
                      <w:r>
                        <w:rPr>
                          <w:color w:val="FFFFFF" w:themeColor="background1"/>
                        </w:rPr>
                        <w:t>Finding Workable Solutions (</w:t>
                      </w:r>
                      <w:proofErr w:type="spellStart"/>
                      <w:r>
                        <w:rPr>
                          <w:color w:val="FFFFFF" w:themeColor="background1"/>
                        </w:rPr>
                        <w:t>FWS</w:t>
                      </w:r>
                      <w:proofErr w:type="spellEnd"/>
                      <w:r>
                        <w:rPr>
                          <w:color w:val="FFFFFF" w:themeColor="background1"/>
                        </w:rPr>
                        <w:t>) Youth Services</w:t>
                      </w:r>
                    </w:p>
                    <w:p w:rsidR="00C55871" w:rsidRPr="00886C1C" w:rsidRDefault="00C55871" w:rsidP="00C17E74">
                      <w:pPr>
                        <w:pStyle w:val="ListParagraph"/>
                        <w:numPr>
                          <w:ilvl w:val="0"/>
                          <w:numId w:val="50"/>
                        </w:numPr>
                        <w:spacing w:after="60" w:line="240" w:lineRule="auto"/>
                        <w:ind w:left="360"/>
                        <w:rPr>
                          <w:color w:val="FFFFFF" w:themeColor="background1"/>
                        </w:rPr>
                      </w:pPr>
                      <w:r>
                        <w:rPr>
                          <w:color w:val="FFFFFF" w:themeColor="background1"/>
                        </w:rPr>
                        <w:t>Community Living and Support Services (CLASS)</w:t>
                      </w:r>
                    </w:p>
                    <w:p w:rsidR="00C55871" w:rsidRDefault="00C55871" w:rsidP="00C17E74">
                      <w:pPr>
                        <w:pStyle w:val="ListParagraph"/>
                        <w:ind w:left="360"/>
                        <w:rPr>
                          <w:color w:val="FFFFFF"/>
                          <w:sz w:val="21"/>
                          <w:szCs w:val="21"/>
                        </w:rPr>
                      </w:pPr>
                    </w:p>
                  </w:txbxContent>
                </v:textbox>
                <w10:anchorlock/>
              </v:roundrect>
            </w:pict>
          </mc:Fallback>
        </mc:AlternateContent>
      </w:r>
    </w:p>
    <w:p w:rsidR="00C17E74" w:rsidRPr="00C17E74" w:rsidRDefault="00C17E74" w:rsidP="009A7741">
      <w:pPr>
        <w:tabs>
          <w:tab w:val="left" w:pos="6075"/>
        </w:tabs>
        <w:spacing w:before="120" w:after="120"/>
        <w:rPr>
          <w:rFonts w:ascii="Calibri" w:eastAsia="Calibri" w:hAnsi="Calibri" w:cs="Times New Roman"/>
          <w:b/>
          <w:color w:val="1F497D"/>
          <w:sz w:val="20"/>
          <w:szCs w:val="20"/>
        </w:rPr>
      </w:pPr>
      <w:r w:rsidRPr="00C17E74">
        <w:rPr>
          <w:rFonts w:ascii="Calibri" w:eastAsia="Calibri" w:hAnsi="Calibri" w:cs="Times New Roman"/>
          <w:b/>
          <w:color w:val="1F497D"/>
          <w:sz w:val="20"/>
          <w:szCs w:val="20"/>
        </w:rPr>
        <w:t>Context and Goals</w:t>
      </w:r>
    </w:p>
    <w:p w:rsidR="00C17E74" w:rsidRPr="00C17E74" w:rsidRDefault="00C17E74" w:rsidP="00C17E74">
      <w:pPr>
        <w:numPr>
          <w:ilvl w:val="0"/>
          <w:numId w:val="44"/>
        </w:numPr>
        <w:tabs>
          <w:tab w:val="num" w:pos="360"/>
        </w:tabs>
        <w:autoSpaceDE w:val="0"/>
        <w:autoSpaceDN w:val="0"/>
        <w:spacing w:after="120" w:line="240" w:lineRule="auto"/>
        <w:ind w:left="0" w:firstLine="0"/>
        <w:rPr>
          <w:rFonts w:ascii="Calibri" w:eastAsia="Calibri" w:hAnsi="Calibri" w:cs="Calibri"/>
          <w:sz w:val="20"/>
          <w:szCs w:val="20"/>
          <w:lang w:eastAsia="en-AU"/>
        </w:rPr>
      </w:pPr>
      <w:r w:rsidRPr="00C17E74">
        <w:rPr>
          <w:rFonts w:ascii="Calibri" w:eastAsia="Calibri" w:hAnsi="Calibri" w:cs="Calibri"/>
          <w:sz w:val="20"/>
          <w:szCs w:val="20"/>
          <w:lang w:eastAsia="en-AU"/>
        </w:rPr>
        <w:t>There are limited further education, training or employment opportunities for young people living on Kangaroo Island. Successful transitions from school are often even more difficult for young people with disability.</w:t>
      </w:r>
    </w:p>
    <w:p w:rsidR="00C17E74" w:rsidRPr="00C17E74" w:rsidRDefault="00C17E74" w:rsidP="00C17E74">
      <w:pPr>
        <w:numPr>
          <w:ilvl w:val="0"/>
          <w:numId w:val="44"/>
        </w:numPr>
        <w:tabs>
          <w:tab w:val="num" w:pos="360"/>
        </w:tabs>
        <w:autoSpaceDE w:val="0"/>
        <w:autoSpaceDN w:val="0"/>
        <w:spacing w:after="120" w:line="240" w:lineRule="auto"/>
        <w:ind w:left="0" w:firstLine="0"/>
        <w:rPr>
          <w:rFonts w:ascii="Calibri" w:eastAsia="Calibri" w:hAnsi="Calibri" w:cs="Calibri"/>
          <w:sz w:val="20"/>
          <w:szCs w:val="20"/>
          <w:lang w:eastAsia="en-AU"/>
        </w:rPr>
      </w:pPr>
      <w:r w:rsidRPr="00C17E74">
        <w:rPr>
          <w:rFonts w:ascii="Calibri" w:eastAsia="Calibri" w:hAnsi="Calibri" w:cs="Calibri"/>
          <w:sz w:val="20"/>
          <w:szCs w:val="20"/>
          <w:lang w:eastAsia="en-AU"/>
        </w:rPr>
        <w:t>The Kangaroo Island (KI) Facilitation Education Employment and Transition (FEET) Network identified the need for a coordinated approach to support young people with disability to make a successful transition from school to further education, community participation and/or employment.</w:t>
      </w:r>
    </w:p>
    <w:p w:rsidR="00C17E74" w:rsidRPr="00C17E74" w:rsidRDefault="00C17E74" w:rsidP="00C17E74">
      <w:pPr>
        <w:numPr>
          <w:ilvl w:val="0"/>
          <w:numId w:val="44"/>
        </w:numPr>
        <w:tabs>
          <w:tab w:val="num" w:pos="360"/>
        </w:tabs>
        <w:autoSpaceDE w:val="0"/>
        <w:autoSpaceDN w:val="0"/>
        <w:spacing w:after="120" w:line="240" w:lineRule="auto"/>
        <w:ind w:left="0" w:firstLine="0"/>
        <w:rPr>
          <w:rFonts w:ascii="Calibri" w:eastAsia="Calibri" w:hAnsi="Calibri" w:cs="Calibri"/>
          <w:sz w:val="20"/>
          <w:szCs w:val="20"/>
          <w:lang w:eastAsia="en-AU"/>
        </w:rPr>
      </w:pPr>
      <w:r w:rsidRPr="00C17E74">
        <w:rPr>
          <w:rFonts w:ascii="Calibri" w:eastAsia="Calibri" w:hAnsi="Calibri" w:cs="Calibri"/>
          <w:sz w:val="20"/>
          <w:szCs w:val="20"/>
          <w:lang w:eastAsia="en-AU"/>
        </w:rPr>
        <w:t>Support was also required for the parents and caregivers of these young people to assist them to navigate the plethora of pathways and services available.</w:t>
      </w:r>
    </w:p>
    <w:p w:rsidR="009A7741" w:rsidRPr="009A7741" w:rsidRDefault="00C17E74" w:rsidP="00C17E74">
      <w:pPr>
        <w:numPr>
          <w:ilvl w:val="0"/>
          <w:numId w:val="44"/>
        </w:numPr>
        <w:tabs>
          <w:tab w:val="num" w:pos="360"/>
        </w:tabs>
        <w:autoSpaceDE w:val="0"/>
        <w:autoSpaceDN w:val="0"/>
        <w:spacing w:after="120" w:line="240" w:lineRule="auto"/>
        <w:ind w:left="0" w:firstLine="0"/>
        <w:rPr>
          <w:rFonts w:ascii="Times New Roman" w:eastAsia="Calibri" w:hAnsi="Times New Roman" w:cs="Times New Roman"/>
          <w:sz w:val="20"/>
          <w:szCs w:val="20"/>
          <w:lang w:eastAsia="en-AU"/>
        </w:rPr>
      </w:pPr>
      <w:r w:rsidRPr="00C17E74">
        <w:rPr>
          <w:rFonts w:ascii="Calibri" w:eastAsia="Calibri" w:hAnsi="Calibri" w:cs="Calibri"/>
          <w:sz w:val="20"/>
          <w:szCs w:val="20"/>
          <w:lang w:eastAsia="en-AU"/>
        </w:rPr>
        <w:t>The KI FEET partnership was established to develop and implement a model for improved collaboration based on cross-agency communication and effective coordination of support services.</w:t>
      </w:r>
    </w:p>
    <w:p w:rsidR="00C17E74" w:rsidRPr="00C17E74" w:rsidRDefault="00C17E74" w:rsidP="009A7741">
      <w:pPr>
        <w:autoSpaceDE w:val="0"/>
        <w:autoSpaceDN w:val="0"/>
        <w:spacing w:after="120" w:line="240" w:lineRule="auto"/>
        <w:rPr>
          <w:rFonts w:ascii="Times New Roman" w:eastAsia="Calibri" w:hAnsi="Times New Roman" w:cs="Times New Roman"/>
          <w:sz w:val="20"/>
          <w:szCs w:val="20"/>
          <w:lang w:eastAsia="en-AU"/>
        </w:rPr>
      </w:pPr>
      <w:r w:rsidRPr="00C17E74">
        <w:rPr>
          <w:rFonts w:ascii="Times New Roman" w:eastAsia="Calibri" w:hAnsi="Times New Roman" w:cs="Times New Roman"/>
          <w:noProof/>
          <w:sz w:val="20"/>
          <w:szCs w:val="20"/>
          <w:lang w:eastAsia="en-AU"/>
        </w:rPr>
        <mc:AlternateContent>
          <mc:Choice Requires="wps">
            <w:drawing>
              <wp:inline distT="0" distB="0" distL="0" distR="0" wp14:anchorId="559D2AE5" wp14:editId="09837068">
                <wp:extent cx="3086100" cy="1095375"/>
                <wp:effectExtent l="0" t="0" r="0" b="9525"/>
                <wp:docPr id="22" name="AutoShape 17" descr="Rounded rectangle: Partner Quote: }  The Partnership has helped bring all the services to together to develop a better process that supports students with disability to transition through school.~&#10;Julie Saunders, FWS&#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095375"/>
                        </a:xfrm>
                        <a:prstGeom prst="roundRect">
                          <a:avLst>
                            <a:gd name="adj" fmla="val 16667"/>
                          </a:avLst>
                        </a:pr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55871" w:rsidRPr="007E7319" w:rsidRDefault="00C55871" w:rsidP="00C17E74">
                            <w:pPr>
                              <w:pStyle w:val="Quote"/>
                            </w:pPr>
                            <w:r w:rsidRPr="007E7319">
                              <w:sym w:font="Wingdings" w:char="F07D"/>
                            </w:r>
                            <w:r w:rsidRPr="007E7319">
                              <w:t xml:space="preserve">  The Partnership has helped bring all the services to together to develop a better process that supports students with disability to transition through school.</w:t>
                            </w:r>
                            <w:r w:rsidRPr="007E7319">
                              <w:sym w:font="Wingdings" w:char="F07E"/>
                            </w:r>
                          </w:p>
                          <w:p w:rsidR="00C55871" w:rsidRPr="007E7319" w:rsidRDefault="00C55871" w:rsidP="00C17E74">
                            <w:pPr>
                              <w:pStyle w:val="Quote"/>
                            </w:pPr>
                            <w:r w:rsidRPr="007E7319">
                              <w:t xml:space="preserve">Julie Saunders, </w:t>
                            </w:r>
                            <w:proofErr w:type="spellStart"/>
                            <w:r w:rsidRPr="007E7319">
                              <w:t>FWS</w:t>
                            </w:r>
                            <w:proofErr w:type="spellEnd"/>
                          </w:p>
                          <w:p w:rsidR="00C55871" w:rsidRDefault="00C55871" w:rsidP="00C17E74">
                            <w:pPr>
                              <w:tabs>
                                <w:tab w:val="left" w:pos="6075"/>
                              </w:tabs>
                              <w:rPr>
                                <w:i/>
                                <w:color w:val="1F497D"/>
                              </w:rPr>
                            </w:pPr>
                          </w:p>
                          <w:p w:rsidR="00C55871" w:rsidRDefault="00C55871" w:rsidP="00C17E74"/>
                          <w:p w:rsidR="00C55871" w:rsidRDefault="00C55871" w:rsidP="00C17E74"/>
                        </w:txbxContent>
                      </wps:txbx>
                      <wps:bodyPr rot="0" vert="horz" wrap="square" lIns="91440" tIns="46800" rIns="91440" bIns="46800" anchor="t" anchorCtr="0" upright="1">
                        <a:noAutofit/>
                      </wps:bodyPr>
                    </wps:wsp>
                  </a:graphicData>
                </a:graphic>
              </wp:inline>
            </w:drawing>
          </mc:Choice>
          <mc:Fallback>
            <w:pict>
              <v:roundrect id="AutoShape 17" o:spid="_x0000_s1036" alt="Rounded rectangle: Partner Quote: }  The Partnership has helped bring all the services to together to develop a better process that supports students with disability to transition through school.~&#10;Julie Saunders, FWS&#10;" style="width:243pt;height:86.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ldbNQMAAB8GAAAOAAAAZHJzL2Uyb0RvYy54bWysVNuO5DQQfUfafygZaZ/oSdKbviRMZjWX&#10;bQQaYNhZxLMTOx2DYxvb6fSAlm+n7KSHnuVlhRiN0r5UleucOlWXb4+9hAO3TmhVkewiJcBVo5lQ&#10;+4r8/GG32BJwnipGpVa8Ik/ckbdXr764HE3Jl7rTknELGES5cjQV6bw3ZZK4puM9dRfacIWXrbY9&#10;9bi1+4RZOmL0XibLNF0no7bMWN1w5/D0brokVzF+2/LG/9i2jnuQFcHcfPza+K3DN7m6pOXeUtOJ&#10;Zk6D/ocseioUPvoc6o56CoMV/wrVi8Zqp1t/0eg+0W0rGh4xIJos/QTNY0cNj1iQHGeeaXL/X9jm&#10;h8ODBcEqslwSULTHGl0PXsenIdsQYNw1SNh7PSjGGViklKq95CU8UOsVVu+nQXvcfgT40PHTqeuE&#10;gY466Lg06FdbLA9QKcGjkeP2gMgdeI3/e45nNqwZP3CpDVCoufd4NpcWnagHNxijrXeoqIFxhYtR&#10;+A6YcLQWUvinGM5S5YRHPaKT1cO+A1ST1vLir9dfHq+//m6QgsMjDXCs+wp2vzzG8yCF0bgSGXk0&#10;DzYU05l73fzmQOnbDjHza2v12HHKsABZsE9eOISNQ1eox+81QyIpEhlVcWxtHwJiveEYxff0LD5+&#10;9NDg4Zt0u85S1GiDd1larN5sVvENWp7cjXX+G657ZMWhkhGcYu+xHvENerh3PkqQzXWk7FcCbS9R&#10;0AcqIVuv15s54myc0PIUM+LVUrCdkDJu7L6+lRbQtSJ3N+9Wuwky0nJuJlUwVjq4BUZoOZ0grDmf&#10;ADC2wp9FtszTm2Wx2K23m0W+y1eLYpNuF2lW3BTrNC/yu93HACbLy04wLPG9UPzUlln+ebKfB8TU&#10;ULExYaxIsVquIk8vsnfnINP4NzP0wiwyHUdFqP47xeLaUyGndfIy40gDwj79RiKiVoI8Jpn5Y32M&#10;fZdFWoN2as2eUD1WY21RBzhVcdFp+weBESdURdzvA7WcgPxWoQKLLM/DSIubfL0N2rHnN/X5DVXY&#10;BNjHnsC0vPXTGByMFfsOX8oiPUqH9m+FP8l7ymrWOk6hCGqemGHMne+j1T9z/epvAAAA//8DAFBL&#10;AwQUAAYACAAAACEAfuNn/9sAAAAFAQAADwAAAGRycy9kb3ducmV2LnhtbEyPwU7DMBBE70j8g7VI&#10;3KiTCEoIcSpUqRIHJNTSD3DjbRIary3bbcLfs3CBy0qjGc2+qVezHcUFQxwcKcgXGQik1pmBOgX7&#10;j81dCSImTUaPjlDBF0ZYNddXta6Mm2iLl13qBJdQrLSCPiVfSRnbHq2OC+eR2Du6YHViGTppgp64&#10;3I6yyLKltHog/tBrj+se29PubBWEt/en9fHV5cWn2ZfT1ufenjZK3d7ML88gEs7pLww/+IwODTMd&#10;3JlMFKMCHpJ+L3v35ZLlgUOPxQPIppb/6ZtvAAAA//8DAFBLAQItABQABgAIAAAAIQC2gziS/gAA&#10;AOEBAAATAAAAAAAAAAAAAAAAAAAAAABbQ29udGVudF9UeXBlc10ueG1sUEsBAi0AFAAGAAgAAAAh&#10;ADj9If/WAAAAlAEAAAsAAAAAAAAAAAAAAAAALwEAAF9yZWxzLy5yZWxzUEsBAi0AFAAGAAgAAAAh&#10;ALfKV1s1AwAAHwYAAA4AAAAAAAAAAAAAAAAALgIAAGRycy9lMm9Eb2MueG1sUEsBAi0AFAAGAAgA&#10;AAAhAH7jZ//bAAAABQEAAA8AAAAAAAAAAAAAAAAAjwUAAGRycy9kb3ducmV2LnhtbFBLBQYAAAAA&#10;BAAEAPMAAACXBgAAAAA=&#10;" fillcolor="#dbe5f1" stroked="f">
                <v:textbox inset=",1.3mm,,1.3mm">
                  <w:txbxContent>
                    <w:p w:rsidR="00C55871" w:rsidRPr="007E7319" w:rsidRDefault="00C55871" w:rsidP="00C17E74">
                      <w:pPr>
                        <w:pStyle w:val="Quote"/>
                      </w:pPr>
                      <w:r w:rsidRPr="007E7319">
                        <w:sym w:font="Wingdings" w:char="F07D"/>
                      </w:r>
                      <w:r w:rsidRPr="007E7319">
                        <w:t xml:space="preserve">  The Partnership has helped bring all the services to together to develop a better process that supports students with disability to transition through school.</w:t>
                      </w:r>
                      <w:r w:rsidRPr="007E7319">
                        <w:sym w:font="Wingdings" w:char="F07E"/>
                      </w:r>
                    </w:p>
                    <w:p w:rsidR="00C55871" w:rsidRPr="007E7319" w:rsidRDefault="00C55871" w:rsidP="00C17E74">
                      <w:pPr>
                        <w:pStyle w:val="Quote"/>
                      </w:pPr>
                      <w:r w:rsidRPr="007E7319">
                        <w:t xml:space="preserve">Julie Saunders, </w:t>
                      </w:r>
                      <w:proofErr w:type="spellStart"/>
                      <w:r w:rsidRPr="007E7319">
                        <w:t>FWS</w:t>
                      </w:r>
                      <w:proofErr w:type="spellEnd"/>
                    </w:p>
                    <w:p w:rsidR="00C55871" w:rsidRDefault="00C55871" w:rsidP="00C17E74">
                      <w:pPr>
                        <w:tabs>
                          <w:tab w:val="left" w:pos="6075"/>
                        </w:tabs>
                        <w:rPr>
                          <w:i/>
                          <w:color w:val="1F497D"/>
                        </w:rPr>
                      </w:pPr>
                    </w:p>
                    <w:p w:rsidR="00C55871" w:rsidRDefault="00C55871" w:rsidP="00C17E74"/>
                    <w:p w:rsidR="00C55871" w:rsidRDefault="00C55871" w:rsidP="00C17E74"/>
                  </w:txbxContent>
                </v:textbox>
                <w10:anchorlock/>
              </v:roundrect>
            </w:pict>
          </mc:Fallback>
        </mc:AlternateContent>
      </w:r>
    </w:p>
    <w:p w:rsidR="00C17E74" w:rsidRPr="00C17E74" w:rsidRDefault="00C17E74" w:rsidP="009A7741">
      <w:pPr>
        <w:tabs>
          <w:tab w:val="left" w:pos="6075"/>
        </w:tabs>
        <w:spacing w:before="120" w:after="120"/>
        <w:rPr>
          <w:rFonts w:ascii="Calibri" w:eastAsia="Calibri" w:hAnsi="Calibri" w:cs="Times New Roman"/>
          <w:b/>
          <w:color w:val="1F497D"/>
          <w:sz w:val="20"/>
          <w:szCs w:val="20"/>
        </w:rPr>
      </w:pPr>
      <w:r w:rsidRPr="00C17E74">
        <w:rPr>
          <w:rFonts w:ascii="Calibri" w:eastAsia="Calibri" w:hAnsi="Calibri" w:cs="Times New Roman"/>
          <w:b/>
          <w:color w:val="1F497D"/>
          <w:sz w:val="20"/>
          <w:szCs w:val="20"/>
        </w:rPr>
        <w:lastRenderedPageBreak/>
        <w:t>The Partnership’s Approach</w:t>
      </w:r>
    </w:p>
    <w:p w:rsidR="00C17E74" w:rsidRPr="00C17E74" w:rsidRDefault="00C17E74" w:rsidP="00C17E74">
      <w:pPr>
        <w:numPr>
          <w:ilvl w:val="0"/>
          <w:numId w:val="44"/>
        </w:numPr>
        <w:tabs>
          <w:tab w:val="num" w:pos="360"/>
        </w:tabs>
        <w:autoSpaceDE w:val="0"/>
        <w:autoSpaceDN w:val="0"/>
        <w:spacing w:after="120" w:line="240" w:lineRule="auto"/>
        <w:ind w:left="0" w:firstLine="0"/>
        <w:rPr>
          <w:rFonts w:ascii="Calibri" w:eastAsia="Calibri" w:hAnsi="Calibri" w:cs="Calibri"/>
          <w:sz w:val="20"/>
          <w:szCs w:val="20"/>
          <w:lang w:eastAsia="en-AU"/>
        </w:rPr>
      </w:pPr>
      <w:r w:rsidRPr="00C17E74">
        <w:rPr>
          <w:rFonts w:ascii="Calibri" w:eastAsia="Calibri" w:hAnsi="Calibri" w:cs="Calibri"/>
          <w:sz w:val="20"/>
          <w:szCs w:val="20"/>
          <w:lang w:eastAsia="en-AU"/>
        </w:rPr>
        <w:t xml:space="preserve">The FEET model clearly outlines the roles and responsibilities of partners. Representatives from each of the partnering agencies and services meet regularly with the young people and their parents or caregivers to provide accurate and timely information to assist them to make informed choices regarding supported pathways into further education, training and employment. </w:t>
      </w:r>
    </w:p>
    <w:p w:rsidR="00C17E74" w:rsidRPr="00C17E74" w:rsidRDefault="00C17E74" w:rsidP="00C17E74">
      <w:pPr>
        <w:numPr>
          <w:ilvl w:val="0"/>
          <w:numId w:val="44"/>
        </w:numPr>
        <w:tabs>
          <w:tab w:val="num" w:pos="360"/>
        </w:tabs>
        <w:autoSpaceDE w:val="0"/>
        <w:autoSpaceDN w:val="0"/>
        <w:spacing w:after="120" w:line="240" w:lineRule="auto"/>
        <w:ind w:left="0" w:firstLine="0"/>
        <w:rPr>
          <w:rFonts w:ascii="Calibri" w:eastAsia="Calibri" w:hAnsi="Calibri" w:cs="Calibri"/>
          <w:b/>
          <w:sz w:val="20"/>
          <w:szCs w:val="20"/>
          <w:lang w:eastAsia="en-AU"/>
        </w:rPr>
      </w:pPr>
      <w:r w:rsidRPr="00C17E74">
        <w:rPr>
          <w:rFonts w:ascii="Calibri" w:eastAsia="Calibri" w:hAnsi="Calibri" w:cs="Calibri"/>
          <w:sz w:val="20"/>
          <w:szCs w:val="20"/>
          <w:lang w:eastAsia="en-AU"/>
        </w:rPr>
        <w:t>This coordinated approach, with the young person central to the process, ensures the focus is clearly on the needs and aspirations of the young person. Partners work collaboratively to provide the expertise, advice and/or resources needed to action the individualised transition plan.</w:t>
      </w:r>
    </w:p>
    <w:p w:rsidR="00C17E74" w:rsidRPr="00C17E74" w:rsidRDefault="00C17E74" w:rsidP="009A7741">
      <w:pPr>
        <w:tabs>
          <w:tab w:val="left" w:pos="6075"/>
        </w:tabs>
        <w:spacing w:before="120" w:after="120"/>
        <w:rPr>
          <w:rFonts w:ascii="Calibri" w:eastAsia="Calibri" w:hAnsi="Calibri" w:cs="Times New Roman"/>
          <w:b/>
          <w:color w:val="1F497D"/>
          <w:sz w:val="20"/>
          <w:szCs w:val="20"/>
        </w:rPr>
      </w:pPr>
      <w:r w:rsidRPr="00C17E74">
        <w:rPr>
          <w:rFonts w:ascii="Calibri" w:eastAsia="Calibri" w:hAnsi="Calibri" w:cs="Times New Roman"/>
          <w:b/>
          <w:color w:val="1F497D"/>
          <w:sz w:val="20"/>
          <w:szCs w:val="20"/>
        </w:rPr>
        <w:t>Benefits</w:t>
      </w:r>
    </w:p>
    <w:p w:rsidR="00C17E74" w:rsidRPr="00C17E74" w:rsidRDefault="00C17E74" w:rsidP="009A7741">
      <w:pPr>
        <w:tabs>
          <w:tab w:val="num" w:pos="0"/>
        </w:tabs>
        <w:spacing w:after="60"/>
        <w:rPr>
          <w:rFonts w:ascii="Calibri" w:eastAsia="Calibri" w:hAnsi="Calibri" w:cs="Times New Roman"/>
          <w:sz w:val="20"/>
          <w:szCs w:val="20"/>
        </w:rPr>
      </w:pPr>
      <w:r w:rsidRPr="00C17E74">
        <w:rPr>
          <w:rFonts w:ascii="Calibri" w:eastAsia="Calibri" w:hAnsi="Calibri" w:cs="Times New Roman"/>
          <w:sz w:val="20"/>
          <w:szCs w:val="20"/>
        </w:rPr>
        <w:t>Transition plans developed for more than a dozen young people with disability since December 2010.</w:t>
      </w:r>
    </w:p>
    <w:p w:rsidR="00C17E74" w:rsidRPr="00C17E74" w:rsidRDefault="00C17E74" w:rsidP="009A7741">
      <w:pPr>
        <w:tabs>
          <w:tab w:val="num" w:pos="0"/>
        </w:tabs>
        <w:spacing w:after="120"/>
        <w:rPr>
          <w:rFonts w:ascii="Calibri" w:eastAsia="Calibri" w:hAnsi="Calibri" w:cs="Times New Roman"/>
          <w:sz w:val="20"/>
          <w:szCs w:val="20"/>
        </w:rPr>
      </w:pPr>
      <w:r w:rsidRPr="00C17E74">
        <w:rPr>
          <w:rFonts w:ascii="Calibri" w:eastAsia="Calibri" w:hAnsi="Calibri" w:cs="Times New Roman"/>
          <w:sz w:val="20"/>
          <w:szCs w:val="20"/>
        </w:rPr>
        <w:t>Young people have successfully transitioned from school on Kangaroo Island to further education, employment and independent living on the mainland.</w:t>
      </w:r>
    </w:p>
    <w:p w:rsidR="00C17E74" w:rsidRPr="00C17E74" w:rsidRDefault="00C17E74" w:rsidP="009A7741">
      <w:pPr>
        <w:tabs>
          <w:tab w:val="num" w:pos="0"/>
        </w:tabs>
        <w:spacing w:after="120"/>
        <w:rPr>
          <w:rFonts w:ascii="Calibri" w:eastAsia="Calibri" w:hAnsi="Calibri" w:cs="Times New Roman"/>
          <w:sz w:val="20"/>
          <w:szCs w:val="20"/>
        </w:rPr>
      </w:pPr>
      <w:r w:rsidRPr="00C17E74">
        <w:rPr>
          <w:rFonts w:ascii="Calibri" w:eastAsia="Calibri" w:hAnsi="Calibri" w:cs="Times New Roman"/>
          <w:sz w:val="20"/>
          <w:szCs w:val="20"/>
        </w:rPr>
        <w:t>Agencies and services collaborate to provide wrap around support for the young person and their family.</w:t>
      </w:r>
    </w:p>
    <w:p w:rsidR="00C17E74" w:rsidRPr="00C17E74" w:rsidRDefault="00C17E74" w:rsidP="00C17E74">
      <w:pPr>
        <w:tabs>
          <w:tab w:val="left" w:pos="6075"/>
        </w:tabs>
        <w:rPr>
          <w:rFonts w:ascii="Calibri" w:eastAsia="Calibri" w:hAnsi="Calibri" w:cs="Times New Roman"/>
          <w:b/>
          <w:color w:val="1F497D"/>
          <w:sz w:val="20"/>
          <w:szCs w:val="20"/>
          <w:lang w:eastAsia="en-AU"/>
        </w:rPr>
      </w:pPr>
      <w:r w:rsidRPr="00C17E74">
        <w:rPr>
          <w:rFonts w:ascii="Times New Roman" w:eastAsia="Calibri" w:hAnsi="Times New Roman" w:cs="Times New Roman"/>
          <w:b/>
          <w:noProof/>
          <w:color w:val="1F497D"/>
          <w:sz w:val="20"/>
          <w:szCs w:val="20"/>
          <w:lang w:eastAsia="en-AU"/>
        </w:rPr>
        <mc:AlternateContent>
          <mc:Choice Requires="wps">
            <w:drawing>
              <wp:inline distT="0" distB="0" distL="0" distR="0" wp14:anchorId="2E1A3727" wp14:editId="3EC2A8D0">
                <wp:extent cx="3087370" cy="1039495"/>
                <wp:effectExtent l="0" t="0" r="0" b="8255"/>
                <wp:docPr id="23" name="AutoShape 17" descr="Rounded rectangle: Partner Quote - &quot;Thanks for assisting us to establish our partnership and get the FEET model working. It is very much appreciated.&quot; &#10;M McSherry, Kangaroo Island Community Education&#10; " title="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1039495"/>
                        </a:xfrm>
                        <a:prstGeom prst="roundRect">
                          <a:avLst>
                            <a:gd name="adj" fmla="val 16667"/>
                          </a:avLst>
                        </a:prstGeom>
                        <a:solidFill>
                          <a:srgbClr val="4F81BD">
                            <a:lumMod val="20000"/>
                            <a:lumOff val="8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55871" w:rsidRPr="007E7319" w:rsidRDefault="00C55871" w:rsidP="00C17E74">
                            <w:pPr>
                              <w:pStyle w:val="Quote"/>
                            </w:pPr>
                            <w:r w:rsidRPr="007E7319">
                              <w:sym w:font="Wingdings" w:char="F07D"/>
                            </w:r>
                            <w:r w:rsidRPr="007E7319">
                              <w:t xml:space="preserve">  Thanks for assisting us to establish our partnership and get the FEET model working. It is very much appreciated.</w:t>
                            </w:r>
                            <w:r w:rsidRPr="007E7319">
                              <w:sym w:font="Wingdings" w:char="F07E"/>
                            </w:r>
                            <w:r w:rsidRPr="007E7319">
                              <w:t xml:space="preserve"> </w:t>
                            </w:r>
                          </w:p>
                          <w:p w:rsidR="00C55871" w:rsidRPr="007E7319" w:rsidRDefault="00C55871" w:rsidP="00C17E74">
                            <w:pPr>
                              <w:pStyle w:val="Quote"/>
                            </w:pPr>
                            <w:r w:rsidRPr="007E7319">
                              <w:t xml:space="preserve">M </w:t>
                            </w:r>
                            <w:proofErr w:type="spellStart"/>
                            <w:r w:rsidRPr="007E7319">
                              <w:t>McSherry</w:t>
                            </w:r>
                            <w:proofErr w:type="spellEnd"/>
                            <w:r w:rsidRPr="007E7319">
                              <w:t>, Kangaroo Island Community Education</w:t>
                            </w:r>
                          </w:p>
                        </w:txbxContent>
                      </wps:txbx>
                      <wps:bodyPr rot="0" vert="horz" wrap="square" lIns="91440" tIns="45720" rIns="91440" bIns="45720" anchor="t" anchorCtr="0" upright="1">
                        <a:noAutofit/>
                      </wps:bodyPr>
                    </wps:wsp>
                  </a:graphicData>
                </a:graphic>
              </wp:inline>
            </w:drawing>
          </mc:Choice>
          <mc:Fallback>
            <w:pict>
              <v:roundrect id="_x0000_s1037" alt="Title: text box - Description: Rounded rectangle: Partner Quote - &quot;Thanks for assisting us to establish our partnership and get the FEET model working. It is very much appreciated.&quot; &#10;M McSherry, Kangaroo Island Community Education&#10; " style="width:243.1pt;height:81.8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hXgMAAGMGAAAOAAAAZHJzL2Uyb0RvYy54bWysVdtu2zgQfS+w/zDgAn2qLcmRL1KjFLm5&#10;CJrsZpvsB9AiZXFLkSpJRXaL/nuHlJxN0pei6As9HGouZ+bM+PjdrpHwwI0VWhUkmcYEuCo1E2pb&#10;kH/v15MVAeuoYlRqxQuy55a8O/nj1XHf5nymay0ZN4BOlM37tiC1c20eRbaseUPtVLdc4WOlTUMd&#10;Xs02Yob26L2R0SyOF1GvDWuNLrm1qL0YHslJ8F9VvHR/V5XlDmRBMDcXThPOjT+jk2Oabw1ta1GO&#10;adBfyKKhQmHQR1cX1FHojPjBVSNKo62u3LTUTaSrSpQ8YEA0SfwCzV1NWx6wYHFs+1gm+/vcln89&#10;3BoQrCCzIwKKNtij087pEBqSJQHGbYkF+6g7xTgDgyWlait5DrfUOIXd+6fTjsMEXn9G4e19TdUn&#10;C9gyoNgT67At0FlwGjgyYSOFrUF3BtrB3NaiBSQIbLFLruawvry8h0YzLgGb+wnNp3DlQFjPsz00&#10;XVkDbVtMRFDH2XQIC6//3J2+vYGb8q7mxuzfwAdMkxqt4cpK7/9cN02nhNvDJetK6pCxwQaQFsJJ&#10;BO74zsFG7zwr+tbmWJy79tb4vtr2WpcIS+lzxLflp8bovuaUYS8S/330zMBfLJrCpr9BJAWhWNNA&#10;kF1lGu8QWw+7wMP9Iw99+BKVR/FqebREupb4lsRHWZrNQwyaH8xbY917rhvwQkGM785HbE2IQR+u&#10;rQtsZGNLKfuPQNVI5PYDlZAsFovl6HH8OKL5wWfAq6VgayFluJjt5lwaQNOCpOtVcnYR4siuQXSD&#10;GocxHscJ1Th0g3p1UKN/O7jBWqH81L9UPorSPp4vJc0HDdZjBOIrE8bpa5bM0vhslk3Wi9Vykq7T&#10;+SRbxqtJnGRn2SJOs/Ri/c1nl6R5LRjj6loofhjtJP250RmXzDCUYbihL0g2n80D8GfZj7AGvB7u&#10;UIeXIEOLwrrxtLlULMiOCjnI0fOMQxkQ9uE3FCKQzPNq4KfbbXZhdpPZgbIbzfZIO6ORFEggnBgU&#10;am2+EOhxyxXEfu6o4QTklULqZkma+rUYLul8OcOLefqyefpCVYmucE4IDqwXz92wSrvWiG2NkZJQ&#10;HqX9CqmEO8zFkBVC8XOBmyyAGreuX5VP7+Gr//8bTr4DAAD//wMAUEsDBBQABgAIAAAAIQCGsSXE&#10;2wAAAAUBAAAPAAAAZHJzL2Rvd25yZXYueG1sTI9BT4NAEIXvJv6HzZh4swu1oYgsjTTxpImh+gO2&#10;7AgIO0vYpcV/7+ilXl4yeS/vfZPvFjuIE06+c6QgXkUgkGpnOmoUfLw/36UgfNBk9OAIFXyjh11x&#10;fZXrzLgzVXg6hEZwCflMK2hDGDMpfd2i1X7lRiT2Pt1kdeBzaqSZ9JnL7SDXUZRIqzvihVaPuG+x&#10;7g+zVTDv47is+pe31+3mq0/DQzWXrlTq9mZ5egQRcAmXMPziMzoUzHR0MxkvBgX8SPhT9jZpsgZx&#10;5FByvwVZ5PI/ffEDAAD//wMAUEsBAi0AFAAGAAgAAAAhALaDOJL+AAAA4QEAABMAAAAAAAAAAAAA&#10;AAAAAAAAAFtDb250ZW50X1R5cGVzXS54bWxQSwECLQAUAAYACAAAACEAOP0h/9YAAACUAQAACwAA&#10;AAAAAAAAAAAAAAAvAQAAX3JlbHMvLnJlbHNQSwECLQAUAAYACAAAACEAE/s3YV4DAABjBgAADgAA&#10;AAAAAAAAAAAAAAAuAgAAZHJzL2Uyb0RvYy54bWxQSwECLQAUAAYACAAAACEAhrElxNsAAAAFAQAA&#10;DwAAAAAAAAAAAAAAAAC4BQAAZHJzL2Rvd25yZXYueG1sUEsFBgAAAAAEAAQA8wAAAMAGAAAAAA==&#10;" fillcolor="#dce6f2" stroked="f">
                <v:textbox>
                  <w:txbxContent>
                    <w:p w:rsidR="00C55871" w:rsidRPr="007E7319" w:rsidRDefault="00C55871" w:rsidP="00C17E74">
                      <w:pPr>
                        <w:pStyle w:val="Quote"/>
                      </w:pPr>
                      <w:r w:rsidRPr="007E7319">
                        <w:sym w:font="Wingdings" w:char="F07D"/>
                      </w:r>
                      <w:r w:rsidRPr="007E7319">
                        <w:t xml:space="preserve">  Thanks for assisting us to establish our partnership and get the FEET model working. It is very much appreciated.</w:t>
                      </w:r>
                      <w:r w:rsidRPr="007E7319">
                        <w:sym w:font="Wingdings" w:char="F07E"/>
                      </w:r>
                      <w:r w:rsidRPr="007E7319">
                        <w:t xml:space="preserve"> </w:t>
                      </w:r>
                    </w:p>
                    <w:p w:rsidR="00C55871" w:rsidRPr="007E7319" w:rsidRDefault="00C55871" w:rsidP="00C17E74">
                      <w:pPr>
                        <w:pStyle w:val="Quote"/>
                      </w:pPr>
                      <w:r w:rsidRPr="007E7319">
                        <w:t xml:space="preserve">M </w:t>
                      </w:r>
                      <w:proofErr w:type="spellStart"/>
                      <w:r w:rsidRPr="007E7319">
                        <w:t>McSherry</w:t>
                      </w:r>
                      <w:proofErr w:type="spellEnd"/>
                      <w:r w:rsidRPr="007E7319">
                        <w:t>, Kangaroo Island Community Education</w:t>
                      </w:r>
                    </w:p>
                  </w:txbxContent>
                </v:textbox>
                <w10:anchorlock/>
              </v:roundrect>
            </w:pict>
          </mc:Fallback>
        </mc:AlternateContent>
      </w:r>
    </w:p>
    <w:p w:rsidR="00C17E74" w:rsidRPr="00C17E74" w:rsidRDefault="00C17E74" w:rsidP="009A7741">
      <w:pPr>
        <w:tabs>
          <w:tab w:val="left" w:pos="6075"/>
        </w:tabs>
        <w:spacing w:before="120" w:after="120"/>
        <w:rPr>
          <w:rFonts w:ascii="Calibri" w:eastAsia="Calibri" w:hAnsi="Calibri" w:cs="Times New Roman"/>
          <w:b/>
          <w:color w:val="1F497D"/>
          <w:sz w:val="20"/>
          <w:szCs w:val="20"/>
        </w:rPr>
      </w:pPr>
      <w:r w:rsidRPr="00C17E74">
        <w:rPr>
          <w:rFonts w:ascii="Calibri" w:eastAsia="Calibri" w:hAnsi="Calibri" w:cs="Times New Roman"/>
          <w:b/>
          <w:color w:val="1F497D"/>
          <w:sz w:val="20"/>
          <w:szCs w:val="20"/>
        </w:rPr>
        <w:t>Next Steps</w:t>
      </w:r>
    </w:p>
    <w:p w:rsidR="00C17E74" w:rsidRPr="00C17E74" w:rsidRDefault="00C17E74" w:rsidP="00C17E74">
      <w:pPr>
        <w:numPr>
          <w:ilvl w:val="0"/>
          <w:numId w:val="44"/>
        </w:numPr>
        <w:tabs>
          <w:tab w:val="num" w:pos="360"/>
        </w:tabs>
        <w:autoSpaceDE w:val="0"/>
        <w:autoSpaceDN w:val="0"/>
        <w:spacing w:after="120" w:line="240" w:lineRule="auto"/>
        <w:ind w:left="0" w:firstLine="0"/>
        <w:rPr>
          <w:rFonts w:ascii="Calibri" w:eastAsia="Calibri" w:hAnsi="Calibri" w:cs="Calibri"/>
          <w:noProof/>
          <w:sz w:val="20"/>
          <w:szCs w:val="20"/>
          <w:lang w:eastAsia="en-AU"/>
        </w:rPr>
      </w:pPr>
      <w:r w:rsidRPr="00C17E74">
        <w:rPr>
          <w:rFonts w:ascii="Calibri" w:eastAsia="Calibri" w:hAnsi="Calibri" w:cs="Calibri"/>
          <w:noProof/>
          <w:sz w:val="20"/>
          <w:szCs w:val="20"/>
          <w:lang w:eastAsia="en-AU"/>
        </w:rPr>
        <w:t>The partnership will continue with current partners. The FEET Model has been replicated in other regional areas and is operating successfully in Victor Harbor and Strathalbyn. There has been a good deal of interest shown in the FEET Model and its application in other areas.</w:t>
      </w:r>
    </w:p>
    <w:p w:rsidR="00C17E74" w:rsidRPr="00C17E74" w:rsidRDefault="00C17E74" w:rsidP="009A7741">
      <w:pPr>
        <w:tabs>
          <w:tab w:val="left" w:pos="6075"/>
        </w:tabs>
        <w:spacing w:before="120" w:after="120"/>
        <w:rPr>
          <w:rFonts w:ascii="Calibri" w:eastAsia="Calibri" w:hAnsi="Calibri" w:cs="Times New Roman"/>
          <w:b/>
          <w:color w:val="1F497D"/>
          <w:sz w:val="20"/>
          <w:szCs w:val="20"/>
        </w:rPr>
      </w:pPr>
      <w:r w:rsidRPr="00C17E74">
        <w:rPr>
          <w:rFonts w:ascii="Calibri" w:eastAsia="Calibri" w:hAnsi="Calibri" w:cs="Times New Roman"/>
          <w:b/>
          <w:color w:val="1F497D"/>
          <w:sz w:val="20"/>
          <w:szCs w:val="20"/>
        </w:rPr>
        <w:t>Support from the Partnership Broker</w:t>
      </w:r>
    </w:p>
    <w:p w:rsidR="00C17E74" w:rsidRPr="00C17E74" w:rsidRDefault="00C17E74" w:rsidP="00C17E74">
      <w:pPr>
        <w:numPr>
          <w:ilvl w:val="0"/>
          <w:numId w:val="44"/>
        </w:numPr>
        <w:tabs>
          <w:tab w:val="num" w:pos="360"/>
        </w:tabs>
        <w:autoSpaceDE w:val="0"/>
        <w:autoSpaceDN w:val="0"/>
        <w:spacing w:after="120" w:line="240" w:lineRule="auto"/>
        <w:ind w:left="0" w:firstLine="0"/>
        <w:rPr>
          <w:rFonts w:ascii="Calibri" w:eastAsia="Calibri" w:hAnsi="Calibri" w:cs="Calibri"/>
          <w:sz w:val="20"/>
          <w:szCs w:val="20"/>
          <w:lang w:eastAsia="en-AU"/>
        </w:rPr>
      </w:pPr>
      <w:r w:rsidRPr="00C17E74">
        <w:rPr>
          <w:rFonts w:ascii="Calibri" w:eastAsia="Calibri" w:hAnsi="Calibri" w:cs="Calibri"/>
          <w:noProof/>
          <w:sz w:val="20"/>
          <w:szCs w:val="20"/>
          <w:lang w:eastAsia="en-AU"/>
        </w:rPr>
        <w:t>The Partnership Broker provided a high level of support and facilitation in the early stages of partnership development. As the capacity of the partners has grown, the Partnership Brokers role has been to support the partnership to become self-sustaining.</w:t>
      </w:r>
    </w:p>
    <w:p w:rsidR="00C17E74" w:rsidRPr="00C17E74" w:rsidRDefault="00C17E74" w:rsidP="00C17E74">
      <w:pPr>
        <w:spacing w:after="120"/>
        <w:rPr>
          <w:rFonts w:ascii="Calibri" w:eastAsia="Calibri" w:hAnsi="Calibri" w:cs="Times New Roman"/>
          <w:color w:val="000000"/>
          <w:sz w:val="20"/>
          <w:szCs w:val="20"/>
        </w:rPr>
      </w:pPr>
      <w:r w:rsidRPr="00C17E74">
        <w:rPr>
          <w:rFonts w:ascii="Times New Roman" w:eastAsia="Calibri" w:hAnsi="Times New Roman" w:cs="Times New Roman"/>
          <w:noProof/>
          <w:sz w:val="20"/>
          <w:szCs w:val="20"/>
          <w:lang w:eastAsia="en-AU"/>
        </w:rPr>
        <mc:AlternateContent>
          <mc:Choice Requires="wps">
            <w:drawing>
              <wp:inline distT="0" distB="0" distL="0" distR="0" wp14:anchorId="4CD30D07" wp14:editId="57A79ABC">
                <wp:extent cx="3114040" cy="1000760"/>
                <wp:effectExtent l="0" t="0" r="10160" b="27940"/>
                <wp:docPr id="27" name="AutoShape 11" descr="Closing Comment: Top Tip A successful partnership is built on the foundation of strong and reciprocated relationships between partners." title="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1000760"/>
                        </a:xfrm>
                        <a:prstGeom prst="roundRect">
                          <a:avLst>
                            <a:gd name="adj" fmla="val 16667"/>
                          </a:avLst>
                        </a:prstGeom>
                        <a:solidFill>
                          <a:srgbClr val="1F497D"/>
                        </a:solidFill>
                        <a:ln w="9525">
                          <a:solidFill>
                            <a:srgbClr val="000000"/>
                          </a:solidFill>
                          <a:round/>
                          <a:headEnd/>
                          <a:tailEnd/>
                        </a:ln>
                      </wps:spPr>
                      <wps:txbx>
                        <w:txbxContent>
                          <w:p w:rsidR="00C55871" w:rsidRDefault="00C55871" w:rsidP="00C17E74">
                            <w:pPr>
                              <w:rPr>
                                <w:b/>
                                <w:color w:val="FFFFFF"/>
                              </w:rPr>
                            </w:pPr>
                            <w:r>
                              <w:rPr>
                                <w:b/>
                                <w:color w:val="FFFFFF"/>
                              </w:rPr>
                              <w:t>TOP TIP</w:t>
                            </w:r>
                          </w:p>
                          <w:p w:rsidR="00C55871" w:rsidRDefault="00C55871" w:rsidP="00C17E74">
                            <w:pPr>
                              <w:rPr>
                                <w:color w:val="FFFFFF"/>
                              </w:rPr>
                            </w:pPr>
                            <w:r>
                              <w:rPr>
                                <w:color w:val="FFFFFF"/>
                              </w:rPr>
                              <w:t>A successful partnership is built on the foundation of strong and reciprocated relationships between partners.</w:t>
                            </w:r>
                          </w:p>
                        </w:txbxContent>
                      </wps:txbx>
                      <wps:bodyPr rot="0" vert="horz" wrap="square" lIns="91440" tIns="45720" rIns="91440" bIns="45720" anchor="t" anchorCtr="0" upright="1">
                        <a:noAutofit/>
                      </wps:bodyPr>
                    </wps:wsp>
                  </a:graphicData>
                </a:graphic>
              </wp:inline>
            </w:drawing>
          </mc:Choice>
          <mc:Fallback>
            <w:pict>
              <v:roundrect id="AutoShape 11" o:spid="_x0000_s1038" alt="Title: Text box - Description: Closing Comment: Top Tip A successful partnership is built on the foundation of strong and reciprocated relationships between partners." style="width:245.2pt;height:78.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OQngIAABcFAAAOAAAAZHJzL2Uyb0RvYy54bWysVFFv0zAQfkfiP5z8TpN0XcuipdPUMYQ0&#10;YGLlBziO0xgcn7Gdptuv5+x2pQOeEHmw7nL257vvvvPl1a7XsJXOKzQVKyY5A2kENspsKvZ1ffvm&#10;LQMfuGm4RiMr9ig9u1q+fnU52lJOsUPdSAcEYnw52op1Idgyy7zoZM/9BK00FGzR9TyQ6zZZ4/hI&#10;6L3Opnk+z0Z0jXUopPf092YfZMuE37ZShM9t62UAXTHKLaTVpbWOa7a85OXGcdspcUiD/0MWPVeG&#10;Lj1C3fDAYXDqD6heCYce2zAR2GfYtkrIVANVU+S/VfPQcStTLUSOt0ea/P+DFZ+29w5UU7HpgoHh&#10;PfXoegiYroaiYNBIL4iwlcZIMKyw76UJJazRwlpZuAY/iEh/O2iw3AVDaugooDzUg9IB0EDoJLQ4&#10;kAwCCQWwJVE4JDhSBjgpVGwhDzI6Ou2JEAQgwyilOeJOqIUqaEpyLXcBatzFDo7Wl1TIg713sQfe&#10;3qH47sHgquNmI6+dw7GTvCHeirg/e3EgOp6OQj1+xIagOdWfmrlrXR8BqU2wS5p5PGomXi/o51lR&#10;zPIZSUtQrMjzfDFPqsp4+XzcOh/eS+whGhVzkYcvpMx0B9/e+ZCU0xzo5803Bm2vSYdbrqGYz+eL&#10;lDUvD5sJ+xkz1YtaNbdK6+S4Tb3SDugo5XM7u1jcHA77023awFixi/PpecriRcyfQlBF9P0NItWR&#10;5idy+840yQ5c6b1NWWpzIDvyu+9T2NW7pLfiLIJG8mtsHol+h/vppNeEjA7dE4ORJrNi/sfAnWSg&#10;Pxhq4UUxi3yH5MzOF1Ny3GmkPo1wIwiqYoGR1qK5CvvxH6xTm45uKhIDBqPsWxWe9bHP6pA/TR9Z&#10;L8b71E+7fr1ny58AAAD//wMAUEsDBBQABgAIAAAAIQBMeee13gAAAAUBAAAPAAAAZHJzL2Rvd25y&#10;ZXYueG1sTI/NasMwEITvhbyD2EIvpZEdnJ+6lkNpCZSQS9IQclSsrW1irYylxO7bd9tLcxlYZpj5&#10;NlsOthFX7HztSEE8jkAgFc7UVCrYf66eFiB80GR04wgVfKOHZT66y3RqXE9bvO5CKbiEfKoVVCG0&#10;qZS+qNBqP3YtEntfrrM68NmV0nS653LbyEkUzaTVNfFCpVt8q7A47y5Wwft0ddjHse2TY0+P64/1&#10;ZjKPF0o93A+vLyACDuE/DL/4jA45M53chYwXjQJ+JPwpe8lzlIA4cWg6n4HMM3lLn/8AAAD//wMA&#10;UEsBAi0AFAAGAAgAAAAhALaDOJL+AAAA4QEAABMAAAAAAAAAAAAAAAAAAAAAAFtDb250ZW50X1R5&#10;cGVzXS54bWxQSwECLQAUAAYACAAAACEAOP0h/9YAAACUAQAACwAAAAAAAAAAAAAAAAAvAQAAX3Jl&#10;bHMvLnJlbHNQSwECLQAUAAYACAAAACEAFQYzkJ4CAAAXBQAADgAAAAAAAAAAAAAAAAAuAgAAZHJz&#10;L2Uyb0RvYy54bWxQSwECLQAUAAYACAAAACEATHnntd4AAAAFAQAADwAAAAAAAAAAAAAAAAD4BAAA&#10;ZHJzL2Rvd25yZXYueG1sUEsFBgAAAAAEAAQA8wAAAAMGAAAAAA==&#10;" fillcolor="#1f497d">
                <v:textbox>
                  <w:txbxContent>
                    <w:p w:rsidR="00C55871" w:rsidRDefault="00C55871" w:rsidP="00C17E74">
                      <w:pPr>
                        <w:rPr>
                          <w:b/>
                          <w:color w:val="FFFFFF"/>
                        </w:rPr>
                      </w:pPr>
                      <w:r>
                        <w:rPr>
                          <w:b/>
                          <w:color w:val="FFFFFF"/>
                        </w:rPr>
                        <w:t>TOP TIP</w:t>
                      </w:r>
                    </w:p>
                    <w:p w:rsidR="00C55871" w:rsidRDefault="00C55871" w:rsidP="00C17E74">
                      <w:pPr>
                        <w:rPr>
                          <w:color w:val="FFFFFF"/>
                        </w:rPr>
                      </w:pPr>
                      <w:r>
                        <w:rPr>
                          <w:color w:val="FFFFFF"/>
                        </w:rPr>
                        <w:t>A successful partnership is built on the foundation of strong and reciprocated relationships between partners.</w:t>
                      </w:r>
                    </w:p>
                  </w:txbxContent>
                </v:textbox>
                <w10:anchorlock/>
              </v:roundrect>
            </w:pict>
          </mc:Fallback>
        </mc:AlternateContent>
      </w:r>
    </w:p>
    <w:p w:rsidR="009C205D" w:rsidRDefault="009C205D" w:rsidP="00E619A9">
      <w:pPr>
        <w:rPr>
          <w:rFonts w:ascii="Arial" w:hAnsi="Arial" w:cs="Arial"/>
          <w:b/>
          <w:u w:val="single"/>
        </w:rPr>
      </w:pPr>
    </w:p>
    <w:p w:rsidR="009C205D" w:rsidRDefault="009C205D" w:rsidP="00E619A9">
      <w:pPr>
        <w:rPr>
          <w:rFonts w:ascii="Arial" w:hAnsi="Arial" w:cs="Arial"/>
          <w:b/>
          <w:u w:val="single"/>
        </w:rPr>
        <w:sectPr w:rsidR="009C205D" w:rsidSect="007C6D1D">
          <w:type w:val="continuous"/>
          <w:pgSz w:w="11906" w:h="16838"/>
          <w:pgMar w:top="1134" w:right="993" w:bottom="1440" w:left="851" w:header="708" w:footer="708" w:gutter="0"/>
          <w:cols w:num="2" w:space="428"/>
          <w:docGrid w:linePitch="360"/>
        </w:sectPr>
      </w:pPr>
    </w:p>
    <w:p w:rsidR="00E16952" w:rsidRPr="00E16952" w:rsidRDefault="00E16952" w:rsidP="009A7741">
      <w:pPr>
        <w:pStyle w:val="Heading1"/>
        <w:spacing w:before="0"/>
        <w:rPr>
          <w:rFonts w:eastAsia="Times New Roman"/>
        </w:rPr>
      </w:pPr>
      <w:bookmarkStart w:id="121" w:name="_Toc320196900"/>
      <w:bookmarkStart w:id="122" w:name="_Toc384038256"/>
      <w:r w:rsidRPr="00E16952">
        <w:rPr>
          <w:rFonts w:eastAsia="Times New Roman"/>
        </w:rPr>
        <w:lastRenderedPageBreak/>
        <w:t>ANNEXURE 1</w:t>
      </w:r>
      <w:bookmarkEnd w:id="121"/>
      <w:r w:rsidRPr="00E16952">
        <w:rPr>
          <w:rFonts w:eastAsia="Times New Roman"/>
        </w:rPr>
        <w:t xml:space="preserve"> C – National Career Development</w:t>
      </w:r>
      <w:bookmarkEnd w:id="122"/>
      <w:r w:rsidRPr="00E16952">
        <w:rPr>
          <w:rFonts w:eastAsia="Times New Roman"/>
        </w:rPr>
        <w:t xml:space="preserve"> </w:t>
      </w:r>
    </w:p>
    <w:p w:rsidR="00E16952" w:rsidRPr="00E16952" w:rsidRDefault="00E16952" w:rsidP="002E4B72">
      <w:pPr>
        <w:pStyle w:val="Heading2"/>
        <w:rPr>
          <w:rFonts w:eastAsia="Times New Roman"/>
        </w:rPr>
      </w:pPr>
      <w:bookmarkStart w:id="123" w:name="_Toc384038257"/>
      <w:r w:rsidRPr="00E16952">
        <w:rPr>
          <w:rFonts w:eastAsia="Times New Roman"/>
        </w:rPr>
        <w:t>National Summary: Activity during the 2012 calendar year</w:t>
      </w:r>
      <w:bookmarkEnd w:id="123"/>
      <w:r w:rsidRPr="00E16952">
        <w:rPr>
          <w:rFonts w:eastAsia="Times New Roman"/>
        </w:rPr>
        <w:t xml:space="preserve">  </w:t>
      </w:r>
    </w:p>
    <w:p w:rsidR="00E16952" w:rsidRPr="00E16952" w:rsidRDefault="00E16952" w:rsidP="002E4B72">
      <w:pPr>
        <w:pStyle w:val="Heading3"/>
        <w:rPr>
          <w:rFonts w:eastAsia="Times New Roman"/>
        </w:rPr>
      </w:pPr>
      <w:r w:rsidRPr="00E16952">
        <w:rPr>
          <w:rFonts w:eastAsia="Times New Roman"/>
        </w:rPr>
        <w:t>Background</w:t>
      </w:r>
    </w:p>
    <w:p w:rsidR="00E16952" w:rsidRPr="00E16952" w:rsidRDefault="00E16952" w:rsidP="00E16952">
      <w:pPr>
        <w:rPr>
          <w:rFonts w:ascii="Calibri" w:eastAsia="Calibri" w:hAnsi="Calibri" w:cs="Times New Roman"/>
        </w:rPr>
      </w:pPr>
      <w:r w:rsidRPr="00E16952">
        <w:rPr>
          <w:rFonts w:ascii="Calibri" w:eastAsia="Calibri" w:hAnsi="Calibri" w:cs="Times New Roman"/>
        </w:rPr>
        <w:t xml:space="preserve">Under the National Career Development element of the National Partnership Agreement on Youth Attainment and Transitions, $47 million was committed through </w:t>
      </w:r>
      <w:proofErr w:type="spellStart"/>
      <w:r w:rsidRPr="00E16952">
        <w:rPr>
          <w:rFonts w:ascii="Calibri" w:eastAsia="Calibri" w:hAnsi="Calibri" w:cs="Times New Roman"/>
        </w:rPr>
        <w:t>COAG</w:t>
      </w:r>
      <w:proofErr w:type="spellEnd"/>
      <w:r w:rsidRPr="00E16952">
        <w:rPr>
          <w:rFonts w:ascii="Calibri" w:eastAsia="Calibri" w:hAnsi="Calibri" w:cs="Times New Roman"/>
        </w:rPr>
        <w:t xml:space="preserve"> over four years from January 2010 to December 2013 to fund a range of career development initiatives. As part of the 2012-2013 Budget, savings of $17 million over three financial years were identified from uncommitted aspects of the National Career Development element of the National Partnership Agreement on Youth Attainment and Transitions.  </w:t>
      </w:r>
    </w:p>
    <w:p w:rsidR="00E16952" w:rsidRPr="00E16952" w:rsidRDefault="00E16952" w:rsidP="002E4B72">
      <w:pPr>
        <w:pStyle w:val="Heading3"/>
        <w:rPr>
          <w:rFonts w:eastAsia="Times New Roman"/>
        </w:rPr>
      </w:pPr>
      <w:r w:rsidRPr="00E16952">
        <w:rPr>
          <w:rFonts w:eastAsia="Times New Roman"/>
        </w:rPr>
        <w:t xml:space="preserve">National Career Development Strategy research projects </w:t>
      </w:r>
    </w:p>
    <w:p w:rsidR="00E16952" w:rsidRPr="00E16952" w:rsidRDefault="00E16952" w:rsidP="00E16952">
      <w:pPr>
        <w:rPr>
          <w:rFonts w:ascii="Calibri" w:eastAsia="Calibri" w:hAnsi="Calibri" w:cs="Times New Roman"/>
        </w:rPr>
      </w:pPr>
      <w:r w:rsidRPr="00E16952">
        <w:rPr>
          <w:rFonts w:ascii="Calibri" w:eastAsia="Calibri" w:hAnsi="Calibri" w:cs="Times New Roman"/>
        </w:rPr>
        <w:t xml:space="preserve">To inform the development of a National Career Development Strategy, the department commissioned a multi-stage research project. The research project comprised five discrete but interrelated elements including a literature review, a market research study with stakeholders including young people, parents, employers and career practitioners, options for implementation, a cost-benefit analysis and an exploration of cognitive neuroscience and its effect on career decisions. </w:t>
      </w:r>
      <w:r w:rsidRPr="00E16952">
        <w:rPr>
          <w:rFonts w:ascii="Calibri" w:eastAsia="Calibri" w:hAnsi="Calibri" w:cs="Times New Roman"/>
        </w:rPr>
        <w:br/>
      </w:r>
    </w:p>
    <w:p w:rsidR="002E4B72" w:rsidRDefault="00E16952" w:rsidP="002E4B72">
      <w:pPr>
        <w:rPr>
          <w:rFonts w:ascii="Calibri" w:eastAsia="Calibri" w:hAnsi="Calibri" w:cs="Times New Roman"/>
        </w:rPr>
      </w:pPr>
      <w:r w:rsidRPr="00E16952">
        <w:rPr>
          <w:rFonts w:ascii="Calibri" w:eastAsia="Calibri" w:hAnsi="Calibri" w:cs="Times New Roman"/>
        </w:rPr>
        <w:t>The outcomes of the research projects were presented at the Career Development Association of Australia national conference on 30 March 2012. The department engaged external consultants to conduct the research at a combined total cost of $1,197,963.72. Reports from the research project are available on the Department of Education’s website.</w:t>
      </w:r>
    </w:p>
    <w:p w:rsidR="002E4B72" w:rsidRDefault="00E16952" w:rsidP="002E4B72">
      <w:pPr>
        <w:pStyle w:val="Heading3"/>
        <w:rPr>
          <w:rFonts w:eastAsia="Calibri"/>
        </w:rPr>
      </w:pPr>
      <w:r w:rsidRPr="00E16952">
        <w:rPr>
          <w:rFonts w:eastAsia="Calibri"/>
        </w:rPr>
        <w:t>National Career Development Strategy</w:t>
      </w:r>
    </w:p>
    <w:p w:rsidR="00E16952" w:rsidRPr="00E16952" w:rsidRDefault="00E16952" w:rsidP="00E16952">
      <w:pPr>
        <w:rPr>
          <w:rFonts w:ascii="Calibri" w:eastAsia="Calibri" w:hAnsi="Calibri" w:cs="Times New Roman"/>
        </w:rPr>
      </w:pPr>
      <w:r w:rsidRPr="00E16952">
        <w:rPr>
          <w:rFonts w:ascii="Calibri" w:eastAsia="Calibri" w:hAnsi="Calibri" w:cs="Times New Roman"/>
        </w:rPr>
        <w:t>On 27 June 2012, The Australian Government released the National Career Development Green paper. The paper drew on the results of the National Career Development Research Project and extensive consultation with state and territory governments, universities, the vocational education and training sector and other career development stakeholders.</w:t>
      </w:r>
    </w:p>
    <w:p w:rsidR="002E4B72" w:rsidRDefault="00E16952" w:rsidP="002E4B72">
      <w:pPr>
        <w:spacing w:before="120"/>
        <w:rPr>
          <w:rFonts w:ascii="Calibri" w:eastAsia="Calibri" w:hAnsi="Calibri" w:cs="Times New Roman"/>
        </w:rPr>
      </w:pPr>
      <w:r w:rsidRPr="00E16952">
        <w:rPr>
          <w:rFonts w:ascii="Calibri" w:eastAsia="Calibri" w:hAnsi="Calibri" w:cs="Times New Roman"/>
        </w:rPr>
        <w:t>The Department received 80 submissions to the Green Paper which were used to inform the final National Career Development Strategy.</w:t>
      </w:r>
    </w:p>
    <w:p w:rsidR="00E16952" w:rsidRPr="00E16952" w:rsidRDefault="00E16952" w:rsidP="002E4B72">
      <w:pPr>
        <w:pStyle w:val="Heading3"/>
        <w:rPr>
          <w:rFonts w:eastAsia="Times New Roman"/>
        </w:rPr>
      </w:pPr>
      <w:r w:rsidRPr="00E16952">
        <w:rPr>
          <w:rFonts w:eastAsia="Times New Roman"/>
        </w:rPr>
        <w:t xml:space="preserve">Job Guide </w:t>
      </w:r>
    </w:p>
    <w:p w:rsidR="00E16952" w:rsidRPr="00E16952" w:rsidRDefault="00E16952" w:rsidP="00E16952">
      <w:pPr>
        <w:rPr>
          <w:rFonts w:ascii="Calibri" w:eastAsia="Calibri" w:hAnsi="Calibri" w:cs="Arial"/>
        </w:rPr>
      </w:pPr>
      <w:r w:rsidRPr="00E16952">
        <w:rPr>
          <w:rFonts w:ascii="Calibri" w:eastAsia="Calibri" w:hAnsi="Calibri" w:cs="Arial"/>
        </w:rPr>
        <w:t xml:space="preserve">Job Guide assists young people to explore career, education and training options and make subject choices. It includes information on over 500 occupations. In 2012, the department moved from a distribution model of one book for every Year 10 student to the provision of class sets, based on Year 10 enrolment numbers provided by State and Territory education authorities. Students were however able to access Job Guide online and through a CD ROM. The department contracted </w:t>
      </w:r>
      <w:proofErr w:type="spellStart"/>
      <w:r w:rsidRPr="00E16952">
        <w:rPr>
          <w:rFonts w:ascii="Calibri" w:eastAsia="Calibri" w:hAnsi="Calibri" w:cs="Arial"/>
        </w:rPr>
        <w:t>Hobsons</w:t>
      </w:r>
      <w:proofErr w:type="spellEnd"/>
      <w:r w:rsidRPr="00E16952">
        <w:rPr>
          <w:rFonts w:ascii="Calibri" w:eastAsia="Calibri" w:hAnsi="Calibri" w:cs="Arial"/>
        </w:rPr>
        <w:t xml:space="preserve"> Australia to produce Job Guide at a cost of $</w:t>
      </w:r>
      <w:r w:rsidRPr="00E16952">
        <w:rPr>
          <w:rFonts w:ascii="Calibri" w:eastAsia="Calibri" w:hAnsi="Calibri" w:cs="Times New Roman"/>
        </w:rPr>
        <w:t>720,184.63. There was also a distribution cost to the Job Guide of $567,150.79</w:t>
      </w:r>
      <w:r w:rsidRPr="00E16952">
        <w:rPr>
          <w:rFonts w:ascii="Calibri" w:eastAsia="Calibri" w:hAnsi="Calibri" w:cs="Arial"/>
        </w:rPr>
        <w:t>.</w:t>
      </w:r>
      <w:r w:rsidRPr="00E16952">
        <w:rPr>
          <w:rFonts w:ascii="Calibri" w:eastAsia="Calibri" w:hAnsi="Calibri" w:cs="Times New Roman"/>
        </w:rPr>
        <w:t xml:space="preserve"> </w:t>
      </w:r>
      <w:r w:rsidRPr="00E16952">
        <w:rPr>
          <w:rFonts w:ascii="Calibri" w:eastAsia="Calibri" w:hAnsi="Calibri" w:cs="Arial"/>
        </w:rPr>
        <w:t xml:space="preserve">Approximately 134, 450 copies were issued across the country.  Limited quantities were also provided to universities, </w:t>
      </w:r>
      <w:proofErr w:type="spellStart"/>
      <w:r w:rsidRPr="00E16952">
        <w:rPr>
          <w:rFonts w:ascii="Calibri" w:eastAsia="Calibri" w:hAnsi="Calibri" w:cs="Arial"/>
        </w:rPr>
        <w:t>TAFEs</w:t>
      </w:r>
      <w:proofErr w:type="spellEnd"/>
      <w:r w:rsidRPr="00E16952">
        <w:rPr>
          <w:rFonts w:ascii="Calibri" w:eastAsia="Calibri" w:hAnsi="Calibri" w:cs="Arial"/>
        </w:rPr>
        <w:t xml:space="preserve"> and Australian Government funded youth programs. </w:t>
      </w:r>
    </w:p>
    <w:p w:rsidR="00E16952" w:rsidRPr="00E16952" w:rsidRDefault="00E16952" w:rsidP="00E16952">
      <w:pPr>
        <w:spacing w:line="240" w:lineRule="auto"/>
        <w:ind w:left="720"/>
        <w:rPr>
          <w:rFonts w:ascii="Arial" w:eastAsia="Calibri" w:hAnsi="Arial" w:cs="Calibri"/>
          <w:b/>
          <w:bCs/>
          <w:szCs w:val="28"/>
          <w:lang w:eastAsia="en-AU"/>
        </w:rPr>
      </w:pPr>
    </w:p>
    <w:p w:rsidR="00E16952" w:rsidRPr="00E16952" w:rsidRDefault="002E4B72" w:rsidP="002E4B72">
      <w:pPr>
        <w:pStyle w:val="Heading3"/>
        <w:rPr>
          <w:rFonts w:eastAsia="Times New Roman"/>
        </w:rPr>
      </w:pPr>
      <w:r>
        <w:rPr>
          <w:rFonts w:eastAsia="Times New Roman"/>
        </w:rPr>
        <w:lastRenderedPageBreak/>
        <w:t>Career Information Products</w:t>
      </w:r>
    </w:p>
    <w:p w:rsidR="00E16952" w:rsidRPr="00E16952" w:rsidRDefault="00E16952" w:rsidP="00E16952">
      <w:pPr>
        <w:tabs>
          <w:tab w:val="num" w:pos="361"/>
          <w:tab w:val="num" w:pos="400"/>
        </w:tabs>
        <w:rPr>
          <w:rFonts w:ascii="Calibri" w:eastAsia="Calibri" w:hAnsi="Calibri" w:cs="Times New Roman"/>
        </w:rPr>
      </w:pPr>
      <w:r w:rsidRPr="00E16952">
        <w:rPr>
          <w:rFonts w:ascii="Calibri" w:eastAsia="Calibri" w:hAnsi="Calibri" w:cs="Times New Roman"/>
        </w:rPr>
        <w:t xml:space="preserve">The department created and distributed a number of products which are used by teachers, career advisers, parents and students to help inform students’ career choices. The products include Year 12 What Next, Parents Talking Career Choices, Recap, ‘Bullseye’ posters, and Career Information Flyers. </w:t>
      </w:r>
    </w:p>
    <w:p w:rsidR="002E4B72" w:rsidRDefault="00E16952" w:rsidP="002E4B72">
      <w:pPr>
        <w:pStyle w:val="Heading3"/>
        <w:rPr>
          <w:rFonts w:eastAsia="Calibri"/>
        </w:rPr>
      </w:pPr>
      <w:proofErr w:type="spellStart"/>
      <w:proofErr w:type="gramStart"/>
      <w:r w:rsidRPr="00E16952">
        <w:rPr>
          <w:rFonts w:eastAsia="Calibri"/>
        </w:rPr>
        <w:t>myfuture</w:t>
      </w:r>
      <w:proofErr w:type="spellEnd"/>
      <w:proofErr w:type="gramEnd"/>
      <w:r w:rsidRPr="00E16952">
        <w:rPr>
          <w:rFonts w:eastAsia="Calibri"/>
        </w:rPr>
        <w:t xml:space="preserve"> website</w:t>
      </w:r>
    </w:p>
    <w:p w:rsidR="002E4B72" w:rsidRDefault="002E4B72" w:rsidP="00E16952">
      <w:pPr>
        <w:rPr>
          <w:rFonts w:ascii="Cambria" w:eastAsia="Calibri" w:hAnsi="Cambria" w:cs="Times New Roman"/>
          <w:b/>
          <w:bCs/>
        </w:rPr>
      </w:pPr>
    </w:p>
    <w:p w:rsidR="00E16952" w:rsidRPr="00E16952" w:rsidRDefault="00E16952" w:rsidP="00E16952">
      <w:pPr>
        <w:rPr>
          <w:rFonts w:ascii="Calibri" w:eastAsia="Calibri" w:hAnsi="Calibri" w:cs="Times New Roman"/>
        </w:rPr>
      </w:pPr>
      <w:proofErr w:type="spellStart"/>
      <w:proofErr w:type="gramStart"/>
      <w:r w:rsidRPr="00E16952">
        <w:rPr>
          <w:rFonts w:ascii="Calibri" w:eastAsia="Calibri" w:hAnsi="Calibri" w:cs="Times New Roman"/>
        </w:rPr>
        <w:t>myfuture</w:t>
      </w:r>
      <w:proofErr w:type="spellEnd"/>
      <w:proofErr w:type="gramEnd"/>
      <w:r w:rsidRPr="00E16952">
        <w:rPr>
          <w:rFonts w:ascii="Calibri" w:eastAsia="Calibri" w:hAnsi="Calibri" w:cs="Times New Roman"/>
        </w:rPr>
        <w:t xml:space="preserve">, Australia’s national career information and exploration service, is an interactive, user-driven website that contains a personalised career exploration and decision making tool, comprehensive career information, and help for those assisting others making career decisions. The </w:t>
      </w:r>
      <w:proofErr w:type="spellStart"/>
      <w:r w:rsidRPr="00E16952">
        <w:rPr>
          <w:rFonts w:ascii="Calibri" w:eastAsia="Calibri" w:hAnsi="Calibri" w:cs="Times New Roman"/>
        </w:rPr>
        <w:t>myfuture</w:t>
      </w:r>
      <w:proofErr w:type="spellEnd"/>
      <w:r w:rsidRPr="00E16952">
        <w:rPr>
          <w:rFonts w:ascii="Calibri" w:eastAsia="Calibri" w:hAnsi="Calibri" w:cs="Times New Roman"/>
        </w:rPr>
        <w:t xml:space="preserve"> website is managed by the Department on behalf of all governments. The Australian Government contributes 50 percent of total funding for core services, with the remainder paid by states and territories under the Standing Council on School Education and Early Childhood (</w:t>
      </w:r>
      <w:proofErr w:type="spellStart"/>
      <w:r w:rsidRPr="00E16952">
        <w:rPr>
          <w:rFonts w:ascii="Calibri" w:eastAsia="Calibri" w:hAnsi="Calibri" w:cs="Times New Roman"/>
        </w:rPr>
        <w:t>SCSEEC</w:t>
      </w:r>
      <w:proofErr w:type="spellEnd"/>
      <w:r w:rsidRPr="00E16952">
        <w:rPr>
          <w:rFonts w:ascii="Calibri" w:eastAsia="Calibri" w:hAnsi="Calibri" w:cs="Times New Roman"/>
        </w:rPr>
        <w:t xml:space="preserve">), using the former </w:t>
      </w:r>
      <w:proofErr w:type="spellStart"/>
      <w:r w:rsidRPr="00E16952">
        <w:rPr>
          <w:rFonts w:ascii="Calibri" w:eastAsia="Calibri" w:hAnsi="Calibri" w:cs="Times New Roman"/>
        </w:rPr>
        <w:t>MCEECDYA</w:t>
      </w:r>
      <w:proofErr w:type="spellEnd"/>
      <w:r w:rsidRPr="00E16952">
        <w:rPr>
          <w:rFonts w:ascii="Calibri" w:eastAsia="Calibri" w:hAnsi="Calibri" w:cs="Times New Roman"/>
        </w:rPr>
        <w:t xml:space="preserve"> National Projects Fund funding formula. </w:t>
      </w:r>
    </w:p>
    <w:p w:rsidR="00E16952" w:rsidRPr="00E16952" w:rsidRDefault="00E16952" w:rsidP="00E16952">
      <w:pPr>
        <w:rPr>
          <w:rFonts w:ascii="Calibri" w:eastAsia="Calibri" w:hAnsi="Calibri" w:cs="Times New Roman"/>
          <w:b/>
        </w:rPr>
      </w:pPr>
    </w:p>
    <w:p w:rsidR="00E16952" w:rsidRPr="00E16952" w:rsidRDefault="00E16952" w:rsidP="00E16952">
      <w:pPr>
        <w:spacing w:after="120"/>
        <w:rPr>
          <w:rFonts w:ascii="Calibri" w:eastAsia="Calibri" w:hAnsi="Calibri" w:cs="Times New Roman"/>
        </w:rPr>
      </w:pPr>
      <w:r w:rsidRPr="00E16952">
        <w:rPr>
          <w:rFonts w:ascii="Calibri" w:eastAsia="Calibri" w:hAnsi="Calibri" w:cs="Times New Roman"/>
        </w:rPr>
        <w:t xml:space="preserve">In 2012, the Australian Government undertook a project to enhance the </w:t>
      </w:r>
      <w:proofErr w:type="spellStart"/>
      <w:r w:rsidRPr="00E16952">
        <w:rPr>
          <w:rFonts w:ascii="Calibri" w:eastAsia="Calibri" w:hAnsi="Calibri" w:cs="Times New Roman"/>
        </w:rPr>
        <w:t>myfuture</w:t>
      </w:r>
      <w:proofErr w:type="spellEnd"/>
      <w:r w:rsidRPr="00E16952">
        <w:rPr>
          <w:rFonts w:ascii="Calibri" w:eastAsia="Calibri" w:hAnsi="Calibri" w:cs="Times New Roman"/>
        </w:rPr>
        <w:t xml:space="preserve"> web service in line with the findings from the National Career Development research projects and extensive focus group testing that commenced in 2012. The planned enhancements were to improve ease of use and reflect the diversity of life stages, skills and lifestyle choices that existed across Australia. The focus group testing was to be conducted over three rounds in metropolitan, regional and remote locations across Australia. </w:t>
      </w:r>
    </w:p>
    <w:p w:rsidR="00E16952" w:rsidRPr="00E16952" w:rsidRDefault="00E16952" w:rsidP="00E16952">
      <w:pPr>
        <w:spacing w:after="120"/>
        <w:rPr>
          <w:rFonts w:ascii="Calibri" w:eastAsia="Calibri" w:hAnsi="Calibri" w:cs="Times New Roman"/>
        </w:rPr>
      </w:pPr>
      <w:r w:rsidRPr="00E16952">
        <w:rPr>
          <w:rFonts w:ascii="Calibri" w:eastAsia="Calibri" w:hAnsi="Calibri" w:cs="Times New Roman"/>
        </w:rPr>
        <w:t xml:space="preserve">Key elements of </w:t>
      </w:r>
      <w:proofErr w:type="spellStart"/>
      <w:r w:rsidRPr="00E16952">
        <w:rPr>
          <w:rFonts w:ascii="Calibri" w:eastAsia="Calibri" w:hAnsi="Calibri" w:cs="Times New Roman"/>
        </w:rPr>
        <w:t>myfuture</w:t>
      </w:r>
      <w:proofErr w:type="spellEnd"/>
      <w:r w:rsidRPr="00E16952">
        <w:rPr>
          <w:rFonts w:ascii="Calibri" w:eastAsia="Calibri" w:hAnsi="Calibri" w:cs="Times New Roman"/>
        </w:rPr>
        <w:t xml:space="preserve"> redesign and enhancements include a Parent’s Portal, stronger connections with industry, enhanced social networking technology, improved access to information about VET courses and training options and career development information presented in a form relevant to workforce development.</w:t>
      </w:r>
    </w:p>
    <w:p w:rsidR="00E16952" w:rsidRPr="00E16952" w:rsidRDefault="00E16952" w:rsidP="00E16952">
      <w:pPr>
        <w:spacing w:after="120"/>
        <w:rPr>
          <w:rFonts w:ascii="Calibri" w:eastAsia="Calibri" w:hAnsi="Calibri" w:cs="Times New Roman"/>
        </w:rPr>
      </w:pPr>
      <w:r w:rsidRPr="00E16952">
        <w:rPr>
          <w:rFonts w:ascii="Calibri" w:eastAsia="Calibri" w:hAnsi="Calibri" w:cs="Times New Roman"/>
        </w:rPr>
        <w:t xml:space="preserve">In 2012, the department contracted Education Services Australia for the management and maintenance of the </w:t>
      </w:r>
      <w:proofErr w:type="spellStart"/>
      <w:r w:rsidRPr="00E16952">
        <w:rPr>
          <w:rFonts w:ascii="Calibri" w:eastAsia="Calibri" w:hAnsi="Calibri" w:cs="Times New Roman"/>
          <w:i/>
        </w:rPr>
        <w:t>myfuture</w:t>
      </w:r>
      <w:proofErr w:type="spellEnd"/>
      <w:r w:rsidRPr="00E16952">
        <w:rPr>
          <w:rFonts w:ascii="Calibri" w:eastAsia="Calibri" w:hAnsi="Calibri" w:cs="Times New Roman"/>
        </w:rPr>
        <w:t xml:space="preserve"> website at a cost to the Australian Government of $2.96 million (GST </w:t>
      </w:r>
      <w:proofErr w:type="spellStart"/>
      <w:r w:rsidRPr="00E16952">
        <w:rPr>
          <w:rFonts w:ascii="Calibri" w:eastAsia="Calibri" w:hAnsi="Calibri" w:cs="Times New Roman"/>
        </w:rPr>
        <w:t>incl</w:t>
      </w:r>
      <w:proofErr w:type="spellEnd"/>
      <w:r w:rsidRPr="00E16952">
        <w:rPr>
          <w:rFonts w:ascii="Calibri" w:eastAsia="Calibri" w:hAnsi="Calibri" w:cs="Times New Roman"/>
        </w:rPr>
        <w:t xml:space="preserve">). This figure includes the Australian Government’s contribution to maintenance and management ($1,569.952) and enhancements ($1,392,286) over 18 months. </w:t>
      </w:r>
    </w:p>
    <w:p w:rsidR="00E16952" w:rsidRPr="00E16952" w:rsidRDefault="002E4B72" w:rsidP="002E4B72">
      <w:pPr>
        <w:pStyle w:val="Heading3"/>
        <w:rPr>
          <w:rFonts w:eastAsia="Times New Roman"/>
        </w:rPr>
      </w:pPr>
      <w:proofErr w:type="spellStart"/>
      <w:proofErr w:type="gramStart"/>
      <w:r>
        <w:rPr>
          <w:rFonts w:eastAsia="Times New Roman"/>
        </w:rPr>
        <w:t>myfuture</w:t>
      </w:r>
      <w:proofErr w:type="spellEnd"/>
      <w:proofErr w:type="gramEnd"/>
      <w:r>
        <w:rPr>
          <w:rFonts w:eastAsia="Times New Roman"/>
        </w:rPr>
        <w:t xml:space="preserve"> video competition</w:t>
      </w:r>
    </w:p>
    <w:p w:rsidR="00E16952" w:rsidRPr="00E16952" w:rsidRDefault="00E16952" w:rsidP="00E16952">
      <w:pPr>
        <w:rPr>
          <w:rFonts w:ascii="Calibri" w:eastAsia="Calibri" w:hAnsi="Calibri" w:cs="Times New Roman"/>
        </w:rPr>
      </w:pPr>
      <w:r w:rsidRPr="00E16952">
        <w:rPr>
          <w:rFonts w:ascii="Calibri" w:eastAsia="Calibri" w:hAnsi="Calibri" w:cs="Times New Roman"/>
        </w:rPr>
        <w:t xml:space="preserve">The department engaged Education Services Australia to conduct the 2011 </w:t>
      </w:r>
      <w:proofErr w:type="spellStart"/>
      <w:r w:rsidRPr="00E16952">
        <w:rPr>
          <w:rFonts w:ascii="Calibri" w:eastAsia="Calibri" w:hAnsi="Calibri" w:cs="Times New Roman"/>
        </w:rPr>
        <w:t>myfuture</w:t>
      </w:r>
      <w:proofErr w:type="spellEnd"/>
      <w:r w:rsidRPr="00E16952">
        <w:rPr>
          <w:rFonts w:ascii="Calibri" w:eastAsia="Calibri" w:hAnsi="Calibri" w:cs="Times New Roman"/>
        </w:rPr>
        <w:t xml:space="preserve"> video competition at a cost of $216,260 (GST inclusive). This competition generated high quality occupation videos suitable for publication on the </w:t>
      </w:r>
      <w:proofErr w:type="spellStart"/>
      <w:r w:rsidRPr="00E16952">
        <w:rPr>
          <w:rFonts w:ascii="Calibri" w:eastAsia="Calibri" w:hAnsi="Calibri" w:cs="Times New Roman"/>
        </w:rPr>
        <w:t>myfuture</w:t>
      </w:r>
      <w:proofErr w:type="spellEnd"/>
      <w:r w:rsidRPr="00E16952">
        <w:rPr>
          <w:rFonts w:ascii="Calibri" w:eastAsia="Calibri" w:hAnsi="Calibri" w:cs="Times New Roman"/>
        </w:rPr>
        <w:t xml:space="preserve"> web service. Competition entrants submitted video clips of up to three minutes in length that profile one occupation exploring duties, tasks and working conditions and qualifications. 92 videos (45 entries in the Best School Video category and 47 entries in the Best Youth Video category) were entered into the </w:t>
      </w:r>
      <w:proofErr w:type="spellStart"/>
      <w:r w:rsidRPr="00E16952">
        <w:rPr>
          <w:rFonts w:ascii="Calibri" w:eastAsia="Calibri" w:hAnsi="Calibri" w:cs="Times New Roman"/>
        </w:rPr>
        <w:t>myfuture</w:t>
      </w:r>
      <w:proofErr w:type="spellEnd"/>
      <w:r w:rsidRPr="00E16952">
        <w:rPr>
          <w:rFonts w:ascii="Calibri" w:eastAsia="Calibri" w:hAnsi="Calibri" w:cs="Times New Roman"/>
        </w:rPr>
        <w:t xml:space="preserve"> 2011 Video Competition. Winners were announced on 30 March 2012 at the Career Development Association of Australia (</w:t>
      </w:r>
      <w:proofErr w:type="spellStart"/>
      <w:r w:rsidRPr="00E16952">
        <w:rPr>
          <w:rFonts w:ascii="Calibri" w:eastAsia="Calibri" w:hAnsi="Calibri" w:cs="Times New Roman"/>
        </w:rPr>
        <w:t>CDAA</w:t>
      </w:r>
      <w:proofErr w:type="spellEnd"/>
      <w:r w:rsidRPr="00E16952">
        <w:rPr>
          <w:rFonts w:ascii="Calibri" w:eastAsia="Calibri" w:hAnsi="Calibri" w:cs="Times New Roman"/>
        </w:rPr>
        <w:t>) conference in Canberra. Funding for the project ceased in June 2012.</w:t>
      </w:r>
      <w:r w:rsidRPr="00E16952">
        <w:rPr>
          <w:rFonts w:ascii="Calibri" w:eastAsia="Calibri" w:hAnsi="Calibri" w:cs="Times New Roman"/>
        </w:rPr>
        <w:br/>
      </w:r>
    </w:p>
    <w:p w:rsidR="00E16952" w:rsidRPr="00E16952" w:rsidRDefault="00E16952" w:rsidP="002E4B72">
      <w:pPr>
        <w:pStyle w:val="Heading3"/>
        <w:rPr>
          <w:rFonts w:eastAsia="Times New Roman"/>
        </w:rPr>
      </w:pPr>
      <w:r w:rsidRPr="00E16952">
        <w:rPr>
          <w:rFonts w:eastAsia="Times New Roman"/>
        </w:rPr>
        <w:t>Scholarships for Career Advisers Program</w:t>
      </w:r>
    </w:p>
    <w:p w:rsidR="00E16952" w:rsidRPr="00E16952" w:rsidRDefault="00E16952" w:rsidP="00E16952">
      <w:pPr>
        <w:rPr>
          <w:rFonts w:ascii="Calibri" w:eastAsia="Calibri" w:hAnsi="Calibri" w:cs="Times New Roman"/>
        </w:rPr>
      </w:pPr>
      <w:r w:rsidRPr="00E16952">
        <w:rPr>
          <w:rFonts w:ascii="Calibri" w:eastAsia="Calibri" w:hAnsi="Calibri" w:cs="Times New Roman"/>
        </w:rPr>
        <w:t xml:space="preserve">The Australian Government’s Scholarships for Career Advisers initiative were provided to support practitioners to enhance their skills, particularly during the transition phase when the Professional Standards for Australian Career Development Practitioners was being introduced. There were two </w:t>
      </w:r>
      <w:r w:rsidRPr="00E16952">
        <w:rPr>
          <w:rFonts w:ascii="Calibri" w:eastAsia="Calibri" w:hAnsi="Calibri" w:cs="Times New Roman"/>
        </w:rPr>
        <w:lastRenderedPageBreak/>
        <w:t xml:space="preserve">Scholarship categories: a Study Scholarship or an Industry Placement and both were available to advisers in schools, </w:t>
      </w:r>
      <w:proofErr w:type="spellStart"/>
      <w:r w:rsidRPr="00E16952">
        <w:rPr>
          <w:rFonts w:ascii="Calibri" w:eastAsia="Calibri" w:hAnsi="Calibri" w:cs="Times New Roman"/>
        </w:rPr>
        <w:t>TAFEs</w:t>
      </w:r>
      <w:proofErr w:type="spellEnd"/>
      <w:r w:rsidRPr="00E16952">
        <w:rPr>
          <w:rFonts w:ascii="Calibri" w:eastAsia="Calibri" w:hAnsi="Calibri" w:cs="Times New Roman"/>
        </w:rPr>
        <w:t xml:space="preserve"> and universities. There were 86 Study Scholarship winners and 17 Industry Placement winners in 2012.</w:t>
      </w:r>
      <w:r w:rsidRPr="00E16952">
        <w:rPr>
          <w:rFonts w:ascii="Calibri" w:eastAsia="Calibri" w:hAnsi="Calibri" w:cs="Times New Roman"/>
        </w:rPr>
        <w:br/>
      </w:r>
    </w:p>
    <w:p w:rsidR="00E16952" w:rsidRPr="00E16952" w:rsidRDefault="00E16952" w:rsidP="00E16952">
      <w:pPr>
        <w:rPr>
          <w:rFonts w:ascii="Calibri" w:eastAsia="Calibri" w:hAnsi="Calibri" w:cs="Times New Roman"/>
        </w:rPr>
      </w:pPr>
      <w:r w:rsidRPr="00E16952">
        <w:rPr>
          <w:rFonts w:ascii="Calibri" w:eastAsia="Calibri" w:hAnsi="Calibri" w:cs="Times New Roman"/>
        </w:rPr>
        <w:t xml:space="preserve">The Australian Government ceased the initiative in January 2013 as it had achieved its objective of supporting practitioners during the professional standard transitions phase, and was no longer consistent with the proposed Australian Government areas of responsibility heading into the future. </w:t>
      </w:r>
    </w:p>
    <w:p w:rsidR="00E16952" w:rsidRPr="00E16952" w:rsidRDefault="00E16952" w:rsidP="002E4B72">
      <w:pPr>
        <w:pStyle w:val="Heading3"/>
        <w:rPr>
          <w:rFonts w:eastAsia="Times New Roman"/>
        </w:rPr>
      </w:pPr>
      <w:r w:rsidRPr="00E16952">
        <w:rPr>
          <w:rFonts w:eastAsia="Times New Roman"/>
        </w:rPr>
        <w:t>Australian Career Ser</w:t>
      </w:r>
      <w:r w:rsidR="002E4B72">
        <w:rPr>
          <w:rFonts w:eastAsia="Times New Roman"/>
        </w:rPr>
        <w:t xml:space="preserve">vice (ACS) Judith </w:t>
      </w:r>
      <w:proofErr w:type="spellStart"/>
      <w:r w:rsidR="002E4B72">
        <w:rPr>
          <w:rFonts w:eastAsia="Times New Roman"/>
        </w:rPr>
        <w:t>Leeson</w:t>
      </w:r>
      <w:proofErr w:type="spellEnd"/>
      <w:r w:rsidR="002E4B72">
        <w:rPr>
          <w:rFonts w:eastAsia="Times New Roman"/>
        </w:rPr>
        <w:t xml:space="preserve"> Award</w:t>
      </w:r>
    </w:p>
    <w:p w:rsidR="00E16952" w:rsidRPr="00E16952" w:rsidRDefault="00E16952" w:rsidP="00E16952">
      <w:pPr>
        <w:rPr>
          <w:rFonts w:ascii="Calibri" w:eastAsia="Calibri" w:hAnsi="Calibri" w:cs="Times New Roman"/>
        </w:rPr>
      </w:pPr>
      <w:r w:rsidRPr="00E16952">
        <w:rPr>
          <w:rFonts w:ascii="Calibri" w:eastAsia="Calibri" w:hAnsi="Calibri" w:cs="Times New Roman"/>
        </w:rPr>
        <w:t xml:space="preserve">In 2012 the award winner was announced at the annual </w:t>
      </w:r>
      <w:proofErr w:type="spellStart"/>
      <w:r w:rsidRPr="00E16952">
        <w:rPr>
          <w:rFonts w:ascii="Calibri" w:eastAsia="Calibri" w:hAnsi="Calibri" w:cs="Times New Roman"/>
        </w:rPr>
        <w:t>CDAA</w:t>
      </w:r>
      <w:proofErr w:type="spellEnd"/>
      <w:r w:rsidRPr="00E16952">
        <w:rPr>
          <w:rFonts w:ascii="Calibri" w:eastAsia="Calibri" w:hAnsi="Calibri" w:cs="Times New Roman"/>
        </w:rPr>
        <w:t xml:space="preserve"> conference. The Australian Government ceased the supporting this Award in May 2012.</w:t>
      </w:r>
    </w:p>
    <w:p w:rsidR="00E16952" w:rsidRPr="00E16952" w:rsidRDefault="00E16952" w:rsidP="002E4B72">
      <w:pPr>
        <w:pStyle w:val="Heading3"/>
        <w:rPr>
          <w:rFonts w:eastAsia="Times New Roman"/>
        </w:rPr>
      </w:pPr>
      <w:r w:rsidRPr="00E16952">
        <w:rPr>
          <w:rFonts w:eastAsia="Times New Roman"/>
        </w:rPr>
        <w:t>Australian Vocational Student Prize</w:t>
      </w:r>
    </w:p>
    <w:p w:rsidR="00E16952" w:rsidRPr="00E16952" w:rsidRDefault="00E16952" w:rsidP="00E16952">
      <w:pPr>
        <w:rPr>
          <w:rFonts w:ascii="Calibri" w:eastAsia="Calibri" w:hAnsi="Calibri" w:cs="Times New Roman"/>
        </w:rPr>
      </w:pPr>
      <w:r w:rsidRPr="00E16952">
        <w:rPr>
          <w:rFonts w:ascii="Calibri" w:eastAsia="Calibri" w:hAnsi="Calibri" w:cs="Times New Roman"/>
        </w:rPr>
        <w:t xml:space="preserve">This initiative represents a $ 1,040,000 annual commitment and the 2011 </w:t>
      </w:r>
      <w:proofErr w:type="spellStart"/>
      <w:r w:rsidRPr="00E16952">
        <w:rPr>
          <w:rFonts w:ascii="Calibri" w:eastAsia="Calibri" w:hAnsi="Calibri" w:cs="Times New Roman"/>
        </w:rPr>
        <w:t>AVSP</w:t>
      </w:r>
      <w:proofErr w:type="spellEnd"/>
      <w:r w:rsidRPr="00E16952">
        <w:rPr>
          <w:rFonts w:ascii="Calibri" w:eastAsia="Calibri" w:hAnsi="Calibri" w:cs="Times New Roman"/>
        </w:rPr>
        <w:t xml:space="preserve"> winners’ details were released on 24 July 2012.</w:t>
      </w:r>
    </w:p>
    <w:p w:rsidR="00E16952" w:rsidRPr="00E16952" w:rsidRDefault="00E16952" w:rsidP="00E16952">
      <w:pPr>
        <w:rPr>
          <w:rFonts w:ascii="Calibri" w:eastAsia="Calibri" w:hAnsi="Calibri" w:cs="Times New Roman"/>
        </w:rPr>
      </w:pPr>
    </w:p>
    <w:p w:rsidR="00E16952" w:rsidRPr="00E16952" w:rsidRDefault="00E16952" w:rsidP="00E16952">
      <w:pPr>
        <w:rPr>
          <w:rFonts w:ascii="Calibri" w:eastAsia="Calibri" w:hAnsi="Calibri" w:cs="Times New Roman"/>
        </w:rPr>
      </w:pPr>
      <w:r w:rsidRPr="00E16952">
        <w:rPr>
          <w:rFonts w:ascii="Calibri" w:eastAsia="Calibri" w:hAnsi="Calibri" w:cs="Times New Roman"/>
        </w:rPr>
        <w:t>500 students were awarded an Australian Vocational Student Prize after being nominated by their schools for their participation in a Vocational Education and Training (VET) in Schools programme or Australian School based Apprenticeship, as part of their senior secondary studies during 2011. Winners received $2000 and a certificate. Of these winners, 20 went on to receive a Prime Minister’s Award for Skills Excellence in School and a further $2000 and certificate of recognition.  </w:t>
      </w:r>
    </w:p>
    <w:p w:rsidR="00E16952" w:rsidRPr="00E16952" w:rsidRDefault="00E16952" w:rsidP="002E4B72">
      <w:pPr>
        <w:pStyle w:val="Heading3"/>
        <w:rPr>
          <w:rFonts w:eastAsia="Times New Roman"/>
        </w:rPr>
      </w:pPr>
      <w:r w:rsidRPr="00E16952">
        <w:rPr>
          <w:rFonts w:eastAsia="Times New Roman"/>
        </w:rPr>
        <w:t>National Career Dev</w:t>
      </w:r>
      <w:r w:rsidR="002E4B72">
        <w:rPr>
          <w:rFonts w:eastAsia="Times New Roman"/>
        </w:rPr>
        <w:t>elopment Working Group (</w:t>
      </w:r>
      <w:proofErr w:type="spellStart"/>
      <w:r w:rsidR="002E4B72">
        <w:rPr>
          <w:rFonts w:eastAsia="Times New Roman"/>
        </w:rPr>
        <w:t>NCDWG</w:t>
      </w:r>
      <w:proofErr w:type="spellEnd"/>
      <w:r w:rsidR="002E4B72">
        <w:rPr>
          <w:rFonts w:eastAsia="Times New Roman"/>
        </w:rPr>
        <w:t>)</w:t>
      </w:r>
    </w:p>
    <w:p w:rsidR="00E16952" w:rsidRPr="00E16952" w:rsidRDefault="00E16952" w:rsidP="00E16952">
      <w:pPr>
        <w:rPr>
          <w:rFonts w:ascii="Calibri" w:eastAsia="Calibri" w:hAnsi="Calibri" w:cs="Times New Roman"/>
        </w:rPr>
      </w:pPr>
      <w:r w:rsidRPr="00E16952">
        <w:rPr>
          <w:rFonts w:ascii="Calibri" w:eastAsia="Calibri" w:hAnsi="Calibri" w:cs="Times New Roman"/>
        </w:rPr>
        <w:t xml:space="preserve">The </w:t>
      </w:r>
      <w:proofErr w:type="spellStart"/>
      <w:r w:rsidRPr="00E16952">
        <w:rPr>
          <w:rFonts w:ascii="Calibri" w:eastAsia="Calibri" w:hAnsi="Calibri" w:cs="Times New Roman"/>
        </w:rPr>
        <w:t>NCDWG</w:t>
      </w:r>
      <w:proofErr w:type="spellEnd"/>
      <w:r w:rsidRPr="00E16952">
        <w:rPr>
          <w:rFonts w:ascii="Calibri" w:eastAsia="Calibri" w:hAnsi="Calibri" w:cs="Times New Roman"/>
        </w:rPr>
        <w:t xml:space="preserve">, chaired by the Australian Government, includes representatives from all state and territory governments and the Catholic and Independent school sectors. The Working Group was established to provide information and advice on issues relating to career development activity under the National Partnership Agreement. </w:t>
      </w:r>
    </w:p>
    <w:p w:rsidR="0045514D" w:rsidRPr="00AA5F3C" w:rsidRDefault="0045514D" w:rsidP="00E619A9">
      <w:pPr>
        <w:rPr>
          <w:rFonts w:ascii="Arial" w:hAnsi="Arial" w:cs="Arial"/>
          <w:b/>
          <w:u w:val="single"/>
        </w:rPr>
      </w:pPr>
    </w:p>
    <w:sectPr w:rsidR="0045514D" w:rsidRPr="00AA5F3C" w:rsidSect="009A7741">
      <w:footerReference w:type="default" r:id="rId4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871" w:rsidRDefault="00C55871" w:rsidP="008F1C21">
      <w:pPr>
        <w:spacing w:line="240" w:lineRule="auto"/>
      </w:pPr>
      <w:r>
        <w:separator/>
      </w:r>
    </w:p>
  </w:endnote>
  <w:endnote w:type="continuationSeparator" w:id="0">
    <w:p w:rsidR="00C55871" w:rsidRDefault="00C55871" w:rsidP="008F1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71" w:rsidRPr="000B0A51" w:rsidRDefault="00C55871" w:rsidP="00500A8F">
    <w:pPr>
      <w:pStyle w:val="Footer"/>
      <w:tabs>
        <w:tab w:val="clear" w:pos="1134"/>
        <w:tab w:val="right" w:pos="9498"/>
      </w:tabs>
      <w:ind w:right="0"/>
    </w:pPr>
    <w:r>
      <w:tab/>
    </w:r>
    <w:r w:rsidRPr="009D48D6">
      <w:t>Page</w:t>
    </w:r>
    <w:r w:rsidRPr="00C23487">
      <w:t xml:space="preserve"> </w:t>
    </w:r>
    <w:sdt>
      <w:sdtPr>
        <w:id w:val="11230736"/>
        <w:docPartObj>
          <w:docPartGallery w:val="Page Numbers (Bottom of Page)"/>
          <w:docPartUnique/>
        </w:docPartObj>
      </w:sdt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71" w:rsidRPr="00C55871" w:rsidRDefault="00C55871" w:rsidP="00C55871">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523037"/>
      <w:docPartObj>
        <w:docPartGallery w:val="Page Numbers (Bottom of Page)"/>
        <w:docPartUnique/>
      </w:docPartObj>
    </w:sdtPr>
    <w:sdtEndPr>
      <w:rPr>
        <w:noProof/>
      </w:rPr>
    </w:sdtEndPr>
    <w:sdtContent>
      <w:p w:rsidR="00C55871" w:rsidRDefault="009C205D" w:rsidP="009C205D">
        <w:pPr>
          <w:pStyle w:val="Footer"/>
          <w:pBdr>
            <w:top w:val="none" w:sz="0" w:space="0" w:color="auto"/>
          </w:pBdr>
        </w:pPr>
        <w:r>
          <w:fldChar w:fldCharType="begin"/>
        </w:r>
        <w:r>
          <w:instrText xml:space="preserve"> PAGE   \* MERGEFORMAT </w:instrText>
        </w:r>
        <w:r>
          <w:fldChar w:fldCharType="separate"/>
        </w:r>
        <w:r w:rsidR="007D3AF1">
          <w:rPr>
            <w:noProof/>
          </w:rPr>
          <w:t>42</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269676"/>
      <w:docPartObj>
        <w:docPartGallery w:val="Page Numbers (Bottom of Page)"/>
        <w:docPartUnique/>
      </w:docPartObj>
    </w:sdtPr>
    <w:sdtEndPr>
      <w:rPr>
        <w:noProof/>
      </w:rPr>
    </w:sdtEndPr>
    <w:sdtContent>
      <w:p w:rsidR="00477256" w:rsidRDefault="00477256" w:rsidP="00477256">
        <w:pPr>
          <w:pStyle w:val="Footer"/>
          <w:pBdr>
            <w:top w:val="none" w:sz="0" w:space="0" w:color="auto"/>
          </w:pBdr>
        </w:pPr>
        <w:r>
          <w:fldChar w:fldCharType="begin"/>
        </w:r>
        <w:r>
          <w:instrText xml:space="preserve"> PAGE   \* MERGEFORMAT </w:instrText>
        </w:r>
        <w:r>
          <w:fldChar w:fldCharType="separate"/>
        </w:r>
        <w:r w:rsidR="007D3AF1">
          <w:rPr>
            <w:noProof/>
          </w:rPr>
          <w:t>74</w:t>
        </w:r>
        <w:r>
          <w:rPr>
            <w:noProof/>
          </w:rPr>
          <w:fldChar w:fldCharType="end"/>
        </w:r>
      </w:p>
    </w:sdtContent>
  </w:sdt>
  <w:p w:rsidR="00C55871" w:rsidRDefault="00C55871" w:rsidP="00477256">
    <w:pPr>
      <w:pStyle w:val="Footer"/>
      <w:pBdr>
        <w:top w:val="none" w:sz="0" w:space="0" w:color="auto"/>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035081"/>
      <w:docPartObj>
        <w:docPartGallery w:val="Page Numbers (Bottom of Page)"/>
        <w:docPartUnique/>
      </w:docPartObj>
    </w:sdtPr>
    <w:sdtEndPr>
      <w:rPr>
        <w:noProof/>
      </w:rPr>
    </w:sdtEndPr>
    <w:sdtContent>
      <w:p w:rsidR="00477256" w:rsidRDefault="00477256" w:rsidP="00477256">
        <w:pPr>
          <w:pStyle w:val="Footer"/>
          <w:pBdr>
            <w:top w:val="none" w:sz="0" w:space="0" w:color="auto"/>
          </w:pBdr>
        </w:pPr>
        <w:r>
          <w:fldChar w:fldCharType="begin"/>
        </w:r>
        <w:r>
          <w:instrText xml:space="preserve"> PAGE   \* MERGEFORMAT </w:instrText>
        </w:r>
        <w:r>
          <w:fldChar w:fldCharType="separate"/>
        </w:r>
        <w:r w:rsidR="007D3AF1">
          <w:rPr>
            <w:noProof/>
          </w:rPr>
          <w:t>77</w:t>
        </w:r>
        <w:r>
          <w:rPr>
            <w:noProof/>
          </w:rPr>
          <w:fldChar w:fldCharType="end"/>
        </w:r>
      </w:p>
    </w:sdtContent>
  </w:sdt>
  <w:p w:rsidR="00C55871" w:rsidRDefault="00C55871" w:rsidP="00477256">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871" w:rsidRDefault="00C55871" w:rsidP="008F1C21">
      <w:pPr>
        <w:spacing w:line="240" w:lineRule="auto"/>
      </w:pPr>
      <w:r>
        <w:separator/>
      </w:r>
    </w:p>
  </w:footnote>
  <w:footnote w:type="continuationSeparator" w:id="0">
    <w:p w:rsidR="00C55871" w:rsidRDefault="00C55871" w:rsidP="008F1C21">
      <w:pPr>
        <w:spacing w:line="240" w:lineRule="auto"/>
      </w:pPr>
      <w:r>
        <w:continuationSeparator/>
      </w:r>
    </w:p>
  </w:footnote>
  <w:footnote w:id="1">
    <w:p w:rsidR="00C55871" w:rsidRDefault="00C55871" w:rsidP="0040521B">
      <w:pPr>
        <w:pStyle w:val="FootnoteText"/>
      </w:pPr>
      <w:r>
        <w:rPr>
          <w:rStyle w:val="FootnoteReference"/>
          <w:rFonts w:eastAsiaTheme="majorEastAsia"/>
        </w:rPr>
        <w:footnoteRef/>
      </w:r>
      <w:r>
        <w:t xml:space="preserve"> </w:t>
      </w:r>
      <w:r w:rsidRPr="00E5135E">
        <w:t xml:space="preserve">Survey results are analysed by </w:t>
      </w:r>
      <w:proofErr w:type="spellStart"/>
      <w:r w:rsidRPr="00E5135E">
        <w:t>RMIT</w:t>
      </w:r>
      <w:proofErr w:type="spellEnd"/>
      <w:r w:rsidRPr="00E5135E">
        <w:t xml:space="preserve"> University.</w:t>
      </w:r>
    </w:p>
  </w:footnote>
  <w:footnote w:id="2">
    <w:p w:rsidR="00C55871" w:rsidRDefault="00C55871" w:rsidP="00C17E74">
      <w:pPr>
        <w:pStyle w:val="FootnoteText"/>
      </w:pPr>
      <w:r>
        <w:rPr>
          <w:rStyle w:val="FootnoteReference"/>
        </w:rPr>
        <w:footnoteRef/>
      </w:r>
      <w:r>
        <w:t xml:space="preserve"> </w:t>
      </w:r>
      <w:proofErr w:type="spellStart"/>
      <w:r>
        <w:t>ICSEA</w:t>
      </w:r>
      <w:proofErr w:type="spellEnd"/>
      <w:r>
        <w:t xml:space="preserve"> was created by the Australian Curriculum, Assessment and Reporting Authority (</w:t>
      </w:r>
      <w:proofErr w:type="spellStart"/>
      <w:r>
        <w:t>ACARA</w:t>
      </w:r>
      <w:proofErr w:type="spellEnd"/>
      <w:r>
        <w:t>) specifically to gain an understanding of the levels of educational advantage or disadvantage that students bring to their academic studies.</w:t>
      </w:r>
    </w:p>
  </w:footnote>
  <w:footnote w:id="3">
    <w:p w:rsidR="00C55871" w:rsidRPr="00363409" w:rsidRDefault="00C55871" w:rsidP="00C17E74">
      <w:pPr>
        <w:pStyle w:val="FootnoteText"/>
      </w:pPr>
      <w:r>
        <w:rPr>
          <w:rStyle w:val="FootnoteReference"/>
        </w:rPr>
        <w:footnoteRef/>
      </w:r>
      <w:r>
        <w:t xml:space="preserve"> </w:t>
      </w:r>
      <w:r w:rsidRPr="00E12A7E">
        <w:t xml:space="preserve">In Victoria, the </w:t>
      </w:r>
      <w:r w:rsidRPr="00906FE2">
        <w:t>Partnership</w:t>
      </w:r>
      <w:r w:rsidRPr="00E12A7E">
        <w:t xml:space="preserve"> Brokers program is delivered through the Victorian Government’s Local Learning and Employment Network (LLEN) and is managed by the Victorian Department o</w:t>
      </w:r>
      <w:r>
        <w:t xml:space="preserve">f Education and Early Childhood </w:t>
      </w:r>
      <w:r w:rsidRPr="0000354D">
        <w:t>Development.</w:t>
      </w:r>
      <w:r w:rsidRPr="00B34977">
        <w:rPr>
          <w:color w:val="0070C0"/>
        </w:rPr>
        <w:t xml:space="preserve"> </w:t>
      </w:r>
    </w:p>
  </w:footnote>
  <w:footnote w:id="4">
    <w:p w:rsidR="00C55871" w:rsidRDefault="00C55871" w:rsidP="00C17E74">
      <w:pPr>
        <w:pStyle w:val="FootnoteText"/>
      </w:pPr>
      <w:r>
        <w:rPr>
          <w:rStyle w:val="FootnoteReference"/>
        </w:rPr>
        <w:footnoteRef/>
      </w:r>
      <w:r>
        <w:t xml:space="preserve"> Data cited is accurate as at 2 April 2013.</w:t>
      </w:r>
    </w:p>
  </w:footnote>
  <w:footnote w:id="5">
    <w:p w:rsidR="00C55871" w:rsidRDefault="00C55871" w:rsidP="00C17E74">
      <w:pPr>
        <w:pStyle w:val="FootnoteText"/>
        <w:tabs>
          <w:tab w:val="left" w:pos="840"/>
          <w:tab w:val="left" w:pos="1890"/>
        </w:tabs>
      </w:pPr>
    </w:p>
  </w:footnote>
  <w:footnote w:id="6">
    <w:p w:rsidR="00C55871" w:rsidRDefault="00C55871" w:rsidP="00C17E74">
      <w:pPr>
        <w:pStyle w:val="FootnoteText"/>
      </w:pPr>
      <w:r>
        <w:rPr>
          <w:rStyle w:val="FootnoteReference"/>
        </w:rPr>
        <w:footnoteRef/>
      </w:r>
      <w:r>
        <w:t xml:space="preserve"> Data sourced from the 2012 Annual Partnership Broker Provider Survey.</w:t>
      </w:r>
    </w:p>
  </w:footnote>
  <w:footnote w:id="7">
    <w:p w:rsidR="00C55871" w:rsidRDefault="00C55871" w:rsidP="00C17E74">
      <w:pPr>
        <w:pStyle w:val="FootnoteText"/>
      </w:pPr>
      <w:r>
        <w:rPr>
          <w:rStyle w:val="FootnoteReference"/>
        </w:rPr>
        <w:footnoteRef/>
      </w:r>
      <w:r>
        <w:t xml:space="preserve"> Data sourced from the 2012 Annual Partnership Broker Provider Survey.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71" w:rsidRDefault="00C55871" w:rsidP="00C55871">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71" w:rsidRDefault="00C55871" w:rsidP="00556879">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71" w:rsidRPr="00A75CB7" w:rsidRDefault="00C55871" w:rsidP="00556879">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71" w:rsidRDefault="00C558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03B3"/>
    <w:multiLevelType w:val="hybridMultilevel"/>
    <w:tmpl w:val="80907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B120E9"/>
    <w:multiLevelType w:val="hybridMultilevel"/>
    <w:tmpl w:val="87F2F03E"/>
    <w:lvl w:ilvl="0" w:tplc="0C090001">
      <w:start w:val="1"/>
      <w:numFmt w:val="bullet"/>
      <w:lvlText w:val=""/>
      <w:lvlJc w:val="left"/>
      <w:pPr>
        <w:ind w:left="360" w:hanging="360"/>
      </w:pPr>
      <w:rPr>
        <w:rFonts w:ascii="Symbol" w:hAnsi="Symbol" w:hint="default"/>
      </w:rPr>
    </w:lvl>
    <w:lvl w:ilvl="1" w:tplc="9FD408CE">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B991D35"/>
    <w:multiLevelType w:val="hybridMultilevel"/>
    <w:tmpl w:val="512A0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DE7706"/>
    <w:multiLevelType w:val="hybridMultilevel"/>
    <w:tmpl w:val="C0921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E85B52"/>
    <w:multiLevelType w:val="hybridMultilevel"/>
    <w:tmpl w:val="491AE7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1412C1D"/>
    <w:multiLevelType w:val="hybridMultilevel"/>
    <w:tmpl w:val="27C880B0"/>
    <w:lvl w:ilvl="0" w:tplc="9FD408C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1E528B8"/>
    <w:multiLevelType w:val="hybridMultilevel"/>
    <w:tmpl w:val="C3DC50D4"/>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14AB2A6A"/>
    <w:multiLevelType w:val="hybridMultilevel"/>
    <w:tmpl w:val="F6D0115E"/>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16642E84"/>
    <w:multiLevelType w:val="hybridMultilevel"/>
    <w:tmpl w:val="4AA60F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71F3B3A"/>
    <w:multiLevelType w:val="hybridMultilevel"/>
    <w:tmpl w:val="A09CE8D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18C749DA"/>
    <w:multiLevelType w:val="hybridMultilevel"/>
    <w:tmpl w:val="EE386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6B1ABD"/>
    <w:multiLevelType w:val="hybridMultilevel"/>
    <w:tmpl w:val="3162CBFC"/>
    <w:lvl w:ilvl="0" w:tplc="04E89E0E">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D870F5"/>
    <w:multiLevelType w:val="hybridMultilevel"/>
    <w:tmpl w:val="60F4EEF4"/>
    <w:lvl w:ilvl="0" w:tplc="D0B89EB2">
      <w:start w:val="1"/>
      <w:numFmt w:val="bullet"/>
      <w:lvlText w:val=""/>
      <w:lvlJc w:val="left"/>
      <w:pPr>
        <w:ind w:left="677" w:hanging="360"/>
      </w:pPr>
      <w:rPr>
        <w:rFonts w:ascii="Symbol" w:hAnsi="Symbol" w:hint="default"/>
        <w:sz w:val="20"/>
        <w:szCs w:val="20"/>
      </w:rPr>
    </w:lvl>
    <w:lvl w:ilvl="1" w:tplc="94305D46">
      <w:start w:val="1"/>
      <w:numFmt w:val="bullet"/>
      <w:lvlText w:val="̵"/>
      <w:lvlJc w:val="left"/>
      <w:pPr>
        <w:tabs>
          <w:tab w:val="num" w:pos="1440"/>
        </w:tabs>
        <w:ind w:left="1440" w:hanging="360"/>
      </w:pPr>
      <w:rPr>
        <w:rFonts w:ascii="Calibri" w:hAnsi="Calibri" w:cs="Times New Roman"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nsid w:val="1E88010C"/>
    <w:multiLevelType w:val="hybridMultilevel"/>
    <w:tmpl w:val="AAC60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2FA0EE7"/>
    <w:multiLevelType w:val="hybridMultilevel"/>
    <w:tmpl w:val="B0B816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A676BF1"/>
    <w:multiLevelType w:val="hybridMultilevel"/>
    <w:tmpl w:val="9D3A4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B773D58"/>
    <w:multiLevelType w:val="hybridMultilevel"/>
    <w:tmpl w:val="4440B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F857F1"/>
    <w:multiLevelType w:val="hybridMultilevel"/>
    <w:tmpl w:val="0DB88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F324223"/>
    <w:multiLevelType w:val="hybridMultilevel"/>
    <w:tmpl w:val="F3F475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2F6B65B6"/>
    <w:multiLevelType w:val="hybridMultilevel"/>
    <w:tmpl w:val="9AA06D6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2F9C3C6C"/>
    <w:multiLevelType w:val="hybridMultilevel"/>
    <w:tmpl w:val="9CC26B1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301728F1"/>
    <w:multiLevelType w:val="hybridMultilevel"/>
    <w:tmpl w:val="D3E82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0BF58B9"/>
    <w:multiLevelType w:val="hybridMultilevel"/>
    <w:tmpl w:val="1240A858"/>
    <w:lvl w:ilvl="0" w:tplc="0C090001">
      <w:start w:val="1"/>
      <w:numFmt w:val="bullet"/>
      <w:lvlText w:val=""/>
      <w:lvlJc w:val="left"/>
      <w:pPr>
        <w:ind w:left="360" w:hanging="360"/>
      </w:pPr>
      <w:rPr>
        <w:rFonts w:ascii="Symbol" w:hAnsi="Symbol" w:hint="default"/>
      </w:rPr>
    </w:lvl>
    <w:lvl w:ilvl="1" w:tplc="9FD408CE">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16F3992"/>
    <w:multiLevelType w:val="hybridMultilevel"/>
    <w:tmpl w:val="ADC4D2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33087CBC"/>
    <w:multiLevelType w:val="hybridMultilevel"/>
    <w:tmpl w:val="FB26A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4834FD0"/>
    <w:multiLevelType w:val="hybridMultilevel"/>
    <w:tmpl w:val="6CC0A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5F41523"/>
    <w:multiLevelType w:val="hybridMultilevel"/>
    <w:tmpl w:val="109A4DB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7">
    <w:nsid w:val="39146FE3"/>
    <w:multiLevelType w:val="hybridMultilevel"/>
    <w:tmpl w:val="628AA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4291D54"/>
    <w:multiLevelType w:val="hybridMultilevel"/>
    <w:tmpl w:val="9F2E1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4E12E59"/>
    <w:multiLevelType w:val="hybridMultilevel"/>
    <w:tmpl w:val="A8BEFE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46A148FE"/>
    <w:multiLevelType w:val="hybridMultilevel"/>
    <w:tmpl w:val="FB6296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47542B57"/>
    <w:multiLevelType w:val="hybridMultilevel"/>
    <w:tmpl w:val="473C4C6A"/>
    <w:lvl w:ilvl="0" w:tplc="146263D6">
      <w:start w:val="1"/>
      <w:numFmt w:val="bullet"/>
      <w:pStyle w:val="Do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95D4984"/>
    <w:multiLevelType w:val="hybridMultilevel"/>
    <w:tmpl w:val="08D88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4B647093"/>
    <w:multiLevelType w:val="hybridMultilevel"/>
    <w:tmpl w:val="CA50E0B0"/>
    <w:lvl w:ilvl="0" w:tplc="56B60646">
      <w:start w:val="1"/>
      <w:numFmt w:val="bullet"/>
      <w:pStyle w:val="List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4">
    <w:nsid w:val="4C1F7810"/>
    <w:multiLevelType w:val="hybridMultilevel"/>
    <w:tmpl w:val="7F2C195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nsid w:val="4D21316A"/>
    <w:multiLevelType w:val="hybridMultilevel"/>
    <w:tmpl w:val="DF160B1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6">
    <w:nsid w:val="4F24612C"/>
    <w:multiLevelType w:val="hybridMultilevel"/>
    <w:tmpl w:val="4594B022"/>
    <w:lvl w:ilvl="0" w:tplc="0C090001">
      <w:start w:val="1"/>
      <w:numFmt w:val="bullet"/>
      <w:lvlText w:val=""/>
      <w:lvlJc w:val="left"/>
      <w:pPr>
        <w:ind w:left="720" w:hanging="360"/>
      </w:pPr>
      <w:rPr>
        <w:rFonts w:ascii="Symbol" w:hAnsi="Symbol" w:hint="default"/>
      </w:rPr>
    </w:lvl>
    <w:lvl w:ilvl="1" w:tplc="9FD408C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FD01A95"/>
    <w:multiLevelType w:val="hybridMultilevel"/>
    <w:tmpl w:val="E612F0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nsid w:val="5A104FA1"/>
    <w:multiLevelType w:val="hybridMultilevel"/>
    <w:tmpl w:val="52DAED30"/>
    <w:lvl w:ilvl="0" w:tplc="9FD408C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nsid w:val="5BB7501A"/>
    <w:multiLevelType w:val="hybridMultilevel"/>
    <w:tmpl w:val="6E981980"/>
    <w:lvl w:ilvl="0" w:tplc="8904E72A">
      <w:start w:val="1"/>
      <w:numFmt w:val="bullet"/>
      <w:pStyle w:val="dpReclev2"/>
      <w:lvlText w:val=""/>
      <w:lvlJc w:val="left"/>
      <w:pPr>
        <w:tabs>
          <w:tab w:val="num" w:pos="1070"/>
        </w:tabs>
        <w:ind w:left="1070" w:hanging="360"/>
      </w:pPr>
      <w:rPr>
        <w:rFonts w:ascii="Wingdings" w:hAnsi="Wingdings" w:hint="default"/>
        <w:sz w:val="18"/>
        <w:szCs w:val="18"/>
      </w:rPr>
    </w:lvl>
    <w:lvl w:ilvl="1" w:tplc="2C5C4B50" w:tentative="1">
      <w:start w:val="1"/>
      <w:numFmt w:val="bullet"/>
      <w:lvlText w:val=""/>
      <w:lvlJc w:val="left"/>
      <w:pPr>
        <w:tabs>
          <w:tab w:val="num" w:pos="1790"/>
        </w:tabs>
        <w:ind w:left="1790" w:hanging="360"/>
      </w:pPr>
      <w:rPr>
        <w:rFonts w:ascii="Wingdings" w:hAnsi="Wingdings" w:hint="default"/>
      </w:rPr>
    </w:lvl>
    <w:lvl w:ilvl="2" w:tplc="C7C4513A" w:tentative="1">
      <w:start w:val="1"/>
      <w:numFmt w:val="bullet"/>
      <w:lvlText w:val=""/>
      <w:lvlJc w:val="left"/>
      <w:pPr>
        <w:tabs>
          <w:tab w:val="num" w:pos="2510"/>
        </w:tabs>
        <w:ind w:left="2510" w:hanging="360"/>
      </w:pPr>
      <w:rPr>
        <w:rFonts w:ascii="Wingdings" w:hAnsi="Wingdings" w:hint="default"/>
      </w:rPr>
    </w:lvl>
    <w:lvl w:ilvl="3" w:tplc="94C24602" w:tentative="1">
      <w:start w:val="1"/>
      <w:numFmt w:val="bullet"/>
      <w:lvlText w:val=""/>
      <w:lvlJc w:val="left"/>
      <w:pPr>
        <w:tabs>
          <w:tab w:val="num" w:pos="3230"/>
        </w:tabs>
        <w:ind w:left="3230" w:hanging="360"/>
      </w:pPr>
      <w:rPr>
        <w:rFonts w:ascii="Wingdings" w:hAnsi="Wingdings" w:hint="default"/>
      </w:rPr>
    </w:lvl>
    <w:lvl w:ilvl="4" w:tplc="2BB88470" w:tentative="1">
      <w:start w:val="1"/>
      <w:numFmt w:val="bullet"/>
      <w:lvlText w:val=""/>
      <w:lvlJc w:val="left"/>
      <w:pPr>
        <w:tabs>
          <w:tab w:val="num" w:pos="3950"/>
        </w:tabs>
        <w:ind w:left="3950" w:hanging="360"/>
      </w:pPr>
      <w:rPr>
        <w:rFonts w:ascii="Wingdings" w:hAnsi="Wingdings" w:hint="default"/>
      </w:rPr>
    </w:lvl>
    <w:lvl w:ilvl="5" w:tplc="5FA83948" w:tentative="1">
      <w:start w:val="1"/>
      <w:numFmt w:val="bullet"/>
      <w:lvlText w:val=""/>
      <w:lvlJc w:val="left"/>
      <w:pPr>
        <w:tabs>
          <w:tab w:val="num" w:pos="4670"/>
        </w:tabs>
        <w:ind w:left="4670" w:hanging="360"/>
      </w:pPr>
      <w:rPr>
        <w:rFonts w:ascii="Wingdings" w:hAnsi="Wingdings" w:hint="default"/>
      </w:rPr>
    </w:lvl>
    <w:lvl w:ilvl="6" w:tplc="EE9A5414" w:tentative="1">
      <w:start w:val="1"/>
      <w:numFmt w:val="bullet"/>
      <w:lvlText w:val=""/>
      <w:lvlJc w:val="left"/>
      <w:pPr>
        <w:tabs>
          <w:tab w:val="num" w:pos="5390"/>
        </w:tabs>
        <w:ind w:left="5390" w:hanging="360"/>
      </w:pPr>
      <w:rPr>
        <w:rFonts w:ascii="Wingdings" w:hAnsi="Wingdings" w:hint="default"/>
      </w:rPr>
    </w:lvl>
    <w:lvl w:ilvl="7" w:tplc="0454851C" w:tentative="1">
      <w:start w:val="1"/>
      <w:numFmt w:val="bullet"/>
      <w:lvlText w:val=""/>
      <w:lvlJc w:val="left"/>
      <w:pPr>
        <w:tabs>
          <w:tab w:val="num" w:pos="6110"/>
        </w:tabs>
        <w:ind w:left="6110" w:hanging="360"/>
      </w:pPr>
      <w:rPr>
        <w:rFonts w:ascii="Wingdings" w:hAnsi="Wingdings" w:hint="default"/>
      </w:rPr>
    </w:lvl>
    <w:lvl w:ilvl="8" w:tplc="1144B6E6" w:tentative="1">
      <w:start w:val="1"/>
      <w:numFmt w:val="bullet"/>
      <w:lvlText w:val=""/>
      <w:lvlJc w:val="left"/>
      <w:pPr>
        <w:tabs>
          <w:tab w:val="num" w:pos="6830"/>
        </w:tabs>
        <w:ind w:left="6830" w:hanging="360"/>
      </w:pPr>
      <w:rPr>
        <w:rFonts w:ascii="Wingdings" w:hAnsi="Wingdings" w:hint="default"/>
      </w:rPr>
    </w:lvl>
  </w:abstractNum>
  <w:abstractNum w:abstractNumId="40">
    <w:nsid w:val="5C434799"/>
    <w:multiLevelType w:val="multilevel"/>
    <w:tmpl w:val="05D2A3B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D2228A6"/>
    <w:multiLevelType w:val="hybridMultilevel"/>
    <w:tmpl w:val="371CB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E6B7BFC"/>
    <w:multiLevelType w:val="hybridMultilevel"/>
    <w:tmpl w:val="99DC0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5F6273FA"/>
    <w:multiLevelType w:val="hybridMultilevel"/>
    <w:tmpl w:val="1AD49D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4">
    <w:nsid w:val="607C30E6"/>
    <w:multiLevelType w:val="hybridMultilevel"/>
    <w:tmpl w:val="5F4A28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63BD13FF"/>
    <w:multiLevelType w:val="hybridMultilevel"/>
    <w:tmpl w:val="B87AA0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64CD57A0"/>
    <w:multiLevelType w:val="hybridMultilevel"/>
    <w:tmpl w:val="B96E39BC"/>
    <w:lvl w:ilvl="0" w:tplc="9FD408C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6A1A362C"/>
    <w:multiLevelType w:val="hybridMultilevel"/>
    <w:tmpl w:val="E794C090"/>
    <w:lvl w:ilvl="0" w:tplc="9FD408C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6BDA53D0"/>
    <w:multiLevelType w:val="hybridMultilevel"/>
    <w:tmpl w:val="3F56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D383ACE"/>
    <w:multiLevelType w:val="hybridMultilevel"/>
    <w:tmpl w:val="8EB07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F055F77"/>
    <w:multiLevelType w:val="hybridMultilevel"/>
    <w:tmpl w:val="4E0ED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8854AAC"/>
    <w:multiLevelType w:val="hybridMultilevel"/>
    <w:tmpl w:val="B3CE7BCA"/>
    <w:lvl w:ilvl="0" w:tplc="8D28AA02">
      <w:start w:val="1"/>
      <w:numFmt w:val="decimal"/>
      <w:pStyle w:val="Normalnumbered"/>
      <w:lvlText w:val="%1."/>
      <w:lvlJc w:val="left"/>
      <w:pPr>
        <w:tabs>
          <w:tab w:val="num" w:pos="1277"/>
        </w:tabs>
        <w:ind w:left="1277" w:hanging="567"/>
      </w:pPr>
      <w:rPr>
        <w:rFonts w:cs="Times New Roman" w:hint="default"/>
      </w:rPr>
    </w:lvl>
    <w:lvl w:ilvl="1" w:tplc="0C090003">
      <w:start w:val="1"/>
      <w:numFmt w:val="lowerLetter"/>
      <w:lvlText w:val="%2."/>
      <w:lvlJc w:val="left"/>
      <w:pPr>
        <w:tabs>
          <w:tab w:val="num" w:pos="1440"/>
        </w:tabs>
        <w:ind w:left="1440" w:hanging="360"/>
      </w:pPr>
      <w:rPr>
        <w:rFonts w:cs="Times New Roman"/>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num w:numId="1">
    <w:abstractNumId w:val="31"/>
  </w:num>
  <w:num w:numId="2">
    <w:abstractNumId w:val="51"/>
  </w:num>
  <w:num w:numId="3">
    <w:abstractNumId w:val="0"/>
  </w:num>
  <w:num w:numId="4">
    <w:abstractNumId w:val="41"/>
  </w:num>
  <w:num w:numId="5">
    <w:abstractNumId w:val="50"/>
  </w:num>
  <w:num w:numId="6">
    <w:abstractNumId w:val="25"/>
  </w:num>
  <w:num w:numId="7">
    <w:abstractNumId w:val="13"/>
  </w:num>
  <w:num w:numId="8">
    <w:abstractNumId w:val="29"/>
  </w:num>
  <w:num w:numId="9">
    <w:abstractNumId w:val="30"/>
  </w:num>
  <w:num w:numId="10">
    <w:abstractNumId w:val="14"/>
  </w:num>
  <w:num w:numId="11">
    <w:abstractNumId w:val="4"/>
  </w:num>
  <w:num w:numId="12">
    <w:abstractNumId w:val="21"/>
  </w:num>
  <w:num w:numId="13">
    <w:abstractNumId w:val="42"/>
  </w:num>
  <w:num w:numId="14">
    <w:abstractNumId w:val="8"/>
  </w:num>
  <w:num w:numId="15">
    <w:abstractNumId w:val="44"/>
  </w:num>
  <w:num w:numId="16">
    <w:abstractNumId w:val="32"/>
  </w:num>
  <w:num w:numId="17">
    <w:abstractNumId w:val="2"/>
  </w:num>
  <w:num w:numId="18">
    <w:abstractNumId w:val="5"/>
  </w:num>
  <w:num w:numId="19">
    <w:abstractNumId w:val="46"/>
  </w:num>
  <w:num w:numId="20">
    <w:abstractNumId w:val="47"/>
  </w:num>
  <w:num w:numId="21">
    <w:abstractNumId w:val="18"/>
  </w:num>
  <w:num w:numId="22">
    <w:abstractNumId w:val="36"/>
  </w:num>
  <w:num w:numId="23">
    <w:abstractNumId w:val="1"/>
  </w:num>
  <w:num w:numId="24">
    <w:abstractNumId w:val="22"/>
  </w:num>
  <w:num w:numId="25">
    <w:abstractNumId w:val="27"/>
  </w:num>
  <w:num w:numId="26">
    <w:abstractNumId w:val="17"/>
  </w:num>
  <w:num w:numId="27">
    <w:abstractNumId w:val="23"/>
  </w:num>
  <w:num w:numId="28">
    <w:abstractNumId w:val="20"/>
  </w:num>
  <w:num w:numId="29">
    <w:abstractNumId w:val="19"/>
  </w:num>
  <w:num w:numId="30">
    <w:abstractNumId w:val="26"/>
  </w:num>
  <w:num w:numId="31">
    <w:abstractNumId w:val="9"/>
  </w:num>
  <w:num w:numId="32">
    <w:abstractNumId w:val="45"/>
  </w:num>
  <w:num w:numId="33">
    <w:abstractNumId w:val="38"/>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49"/>
  </w:num>
  <w:num w:numId="37">
    <w:abstractNumId w:val="6"/>
  </w:num>
  <w:num w:numId="38">
    <w:abstractNumId w:val="16"/>
  </w:num>
  <w:num w:numId="39">
    <w:abstractNumId w:val="28"/>
  </w:num>
  <w:num w:numId="40">
    <w:abstractNumId w:val="43"/>
  </w:num>
  <w:num w:numId="41">
    <w:abstractNumId w:val="35"/>
  </w:num>
  <w:num w:numId="42">
    <w:abstractNumId w:val="10"/>
  </w:num>
  <w:num w:numId="4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3"/>
  </w:num>
  <w:num w:numId="48">
    <w:abstractNumId w:val="37"/>
  </w:num>
  <w:num w:numId="49">
    <w:abstractNumId w:val="12"/>
  </w:num>
  <w:num w:numId="50">
    <w:abstractNumId w:val="24"/>
  </w:num>
  <w:num w:numId="51">
    <w:abstractNumId w:val="48"/>
  </w:num>
  <w:num w:numId="5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E6"/>
    <w:rsid w:val="00000BB4"/>
    <w:rsid w:val="000020AE"/>
    <w:rsid w:val="0002588E"/>
    <w:rsid w:val="0003289D"/>
    <w:rsid w:val="00032B47"/>
    <w:rsid w:val="000338EB"/>
    <w:rsid w:val="00037B5A"/>
    <w:rsid w:val="00041A2A"/>
    <w:rsid w:val="0004214D"/>
    <w:rsid w:val="000427B3"/>
    <w:rsid w:val="00044BF2"/>
    <w:rsid w:val="000453A5"/>
    <w:rsid w:val="00047245"/>
    <w:rsid w:val="0005136F"/>
    <w:rsid w:val="00053251"/>
    <w:rsid w:val="000536E7"/>
    <w:rsid w:val="000541EE"/>
    <w:rsid w:val="00055C53"/>
    <w:rsid w:val="00055DD7"/>
    <w:rsid w:val="00056F49"/>
    <w:rsid w:val="000604A4"/>
    <w:rsid w:val="00062174"/>
    <w:rsid w:val="00062A86"/>
    <w:rsid w:val="00066253"/>
    <w:rsid w:val="00067EE0"/>
    <w:rsid w:val="00072738"/>
    <w:rsid w:val="00074664"/>
    <w:rsid w:val="000751F2"/>
    <w:rsid w:val="00081713"/>
    <w:rsid w:val="00084AA6"/>
    <w:rsid w:val="00086CA0"/>
    <w:rsid w:val="000875DE"/>
    <w:rsid w:val="0009080C"/>
    <w:rsid w:val="0009585A"/>
    <w:rsid w:val="00097AD2"/>
    <w:rsid w:val="000A09D1"/>
    <w:rsid w:val="000A2567"/>
    <w:rsid w:val="000A27C0"/>
    <w:rsid w:val="000A6A17"/>
    <w:rsid w:val="000A6DEE"/>
    <w:rsid w:val="000B0A51"/>
    <w:rsid w:val="000B2256"/>
    <w:rsid w:val="000B3C55"/>
    <w:rsid w:val="000B55BC"/>
    <w:rsid w:val="000B620C"/>
    <w:rsid w:val="000B6578"/>
    <w:rsid w:val="000C0501"/>
    <w:rsid w:val="000C1B39"/>
    <w:rsid w:val="000C5717"/>
    <w:rsid w:val="000C70CA"/>
    <w:rsid w:val="000D3C8C"/>
    <w:rsid w:val="000E10E5"/>
    <w:rsid w:val="000E180A"/>
    <w:rsid w:val="000E2CCD"/>
    <w:rsid w:val="000F4945"/>
    <w:rsid w:val="00100B8D"/>
    <w:rsid w:val="001023B6"/>
    <w:rsid w:val="001235B4"/>
    <w:rsid w:val="00123C7E"/>
    <w:rsid w:val="00124D43"/>
    <w:rsid w:val="00125724"/>
    <w:rsid w:val="00126DE2"/>
    <w:rsid w:val="00135133"/>
    <w:rsid w:val="001368B0"/>
    <w:rsid w:val="00137CA3"/>
    <w:rsid w:val="00141156"/>
    <w:rsid w:val="00143775"/>
    <w:rsid w:val="0014476D"/>
    <w:rsid w:val="00151B9F"/>
    <w:rsid w:val="00153FC9"/>
    <w:rsid w:val="00155236"/>
    <w:rsid w:val="00155D61"/>
    <w:rsid w:val="00157E4D"/>
    <w:rsid w:val="00162673"/>
    <w:rsid w:val="00167041"/>
    <w:rsid w:val="00167D3D"/>
    <w:rsid w:val="0017216F"/>
    <w:rsid w:val="001748E4"/>
    <w:rsid w:val="00175A8D"/>
    <w:rsid w:val="0019404B"/>
    <w:rsid w:val="00196FBB"/>
    <w:rsid w:val="001975CF"/>
    <w:rsid w:val="001A26F6"/>
    <w:rsid w:val="001A50B2"/>
    <w:rsid w:val="001B435B"/>
    <w:rsid w:val="001C0BA0"/>
    <w:rsid w:val="001C1EE1"/>
    <w:rsid w:val="001C2321"/>
    <w:rsid w:val="001C4A20"/>
    <w:rsid w:val="001C5A94"/>
    <w:rsid w:val="001D11E8"/>
    <w:rsid w:val="001D635F"/>
    <w:rsid w:val="001D699A"/>
    <w:rsid w:val="001E4692"/>
    <w:rsid w:val="001E6A9D"/>
    <w:rsid w:val="001E7AF1"/>
    <w:rsid w:val="001F0915"/>
    <w:rsid w:val="001F5B80"/>
    <w:rsid w:val="00202C25"/>
    <w:rsid w:val="00210D72"/>
    <w:rsid w:val="0021364A"/>
    <w:rsid w:val="00213F56"/>
    <w:rsid w:val="00223E5F"/>
    <w:rsid w:val="002267A5"/>
    <w:rsid w:val="002378BE"/>
    <w:rsid w:val="002431D4"/>
    <w:rsid w:val="00243242"/>
    <w:rsid w:val="00253764"/>
    <w:rsid w:val="00256F20"/>
    <w:rsid w:val="002612C9"/>
    <w:rsid w:val="00267EE0"/>
    <w:rsid w:val="00271280"/>
    <w:rsid w:val="0027278D"/>
    <w:rsid w:val="00272B0B"/>
    <w:rsid w:val="00282008"/>
    <w:rsid w:val="002828C3"/>
    <w:rsid w:val="00284516"/>
    <w:rsid w:val="0029015A"/>
    <w:rsid w:val="0029351D"/>
    <w:rsid w:val="00295EAB"/>
    <w:rsid w:val="002A709F"/>
    <w:rsid w:val="002B14F0"/>
    <w:rsid w:val="002B183A"/>
    <w:rsid w:val="002B7CAE"/>
    <w:rsid w:val="002C14BF"/>
    <w:rsid w:val="002C527C"/>
    <w:rsid w:val="002D1319"/>
    <w:rsid w:val="002D2367"/>
    <w:rsid w:val="002E02C4"/>
    <w:rsid w:val="002E196A"/>
    <w:rsid w:val="002E3978"/>
    <w:rsid w:val="002E4B72"/>
    <w:rsid w:val="002E69CF"/>
    <w:rsid w:val="002E6B94"/>
    <w:rsid w:val="002F0627"/>
    <w:rsid w:val="002F2452"/>
    <w:rsid w:val="002F2E59"/>
    <w:rsid w:val="002F3B0F"/>
    <w:rsid w:val="002F7617"/>
    <w:rsid w:val="00314E6F"/>
    <w:rsid w:val="00314EAA"/>
    <w:rsid w:val="0032287F"/>
    <w:rsid w:val="00331C4A"/>
    <w:rsid w:val="00337725"/>
    <w:rsid w:val="0034093F"/>
    <w:rsid w:val="00351744"/>
    <w:rsid w:val="0035283F"/>
    <w:rsid w:val="003614FD"/>
    <w:rsid w:val="00363A59"/>
    <w:rsid w:val="003702A5"/>
    <w:rsid w:val="00373A5E"/>
    <w:rsid w:val="00373BF5"/>
    <w:rsid w:val="00377278"/>
    <w:rsid w:val="0038692D"/>
    <w:rsid w:val="00392191"/>
    <w:rsid w:val="003A191C"/>
    <w:rsid w:val="003A2CF5"/>
    <w:rsid w:val="003A50D3"/>
    <w:rsid w:val="003A5434"/>
    <w:rsid w:val="003B13E4"/>
    <w:rsid w:val="003B610B"/>
    <w:rsid w:val="003B6C13"/>
    <w:rsid w:val="003C4D92"/>
    <w:rsid w:val="003D111B"/>
    <w:rsid w:val="003D29C0"/>
    <w:rsid w:val="003D40FF"/>
    <w:rsid w:val="003E5362"/>
    <w:rsid w:val="00401A49"/>
    <w:rsid w:val="0040521B"/>
    <w:rsid w:val="00407269"/>
    <w:rsid w:val="00420FF5"/>
    <w:rsid w:val="00421714"/>
    <w:rsid w:val="00430042"/>
    <w:rsid w:val="00434C1B"/>
    <w:rsid w:val="00440AE1"/>
    <w:rsid w:val="00442752"/>
    <w:rsid w:val="00443A84"/>
    <w:rsid w:val="0045514D"/>
    <w:rsid w:val="004610B7"/>
    <w:rsid w:val="00471732"/>
    <w:rsid w:val="004731BF"/>
    <w:rsid w:val="00475DD5"/>
    <w:rsid w:val="004767D5"/>
    <w:rsid w:val="00476ABB"/>
    <w:rsid w:val="00477256"/>
    <w:rsid w:val="00481093"/>
    <w:rsid w:val="004810C9"/>
    <w:rsid w:val="004848F1"/>
    <w:rsid w:val="004875F2"/>
    <w:rsid w:val="00490960"/>
    <w:rsid w:val="00493B6F"/>
    <w:rsid w:val="004A2695"/>
    <w:rsid w:val="004A2A71"/>
    <w:rsid w:val="004A3B9B"/>
    <w:rsid w:val="004B0FFC"/>
    <w:rsid w:val="004B1271"/>
    <w:rsid w:val="004B1D5B"/>
    <w:rsid w:val="004B1E7D"/>
    <w:rsid w:val="004B2F6D"/>
    <w:rsid w:val="004B6422"/>
    <w:rsid w:val="004C3622"/>
    <w:rsid w:val="004D2716"/>
    <w:rsid w:val="004D5D53"/>
    <w:rsid w:val="004D6CBE"/>
    <w:rsid w:val="004F191E"/>
    <w:rsid w:val="004F4B3E"/>
    <w:rsid w:val="00500A8F"/>
    <w:rsid w:val="0050253B"/>
    <w:rsid w:val="005102EC"/>
    <w:rsid w:val="00510EF8"/>
    <w:rsid w:val="00512348"/>
    <w:rsid w:val="005172AB"/>
    <w:rsid w:val="005214BF"/>
    <w:rsid w:val="0053283A"/>
    <w:rsid w:val="005330EF"/>
    <w:rsid w:val="005340F8"/>
    <w:rsid w:val="00556879"/>
    <w:rsid w:val="00556EC0"/>
    <w:rsid w:val="005632C3"/>
    <w:rsid w:val="0056354A"/>
    <w:rsid w:val="005641EE"/>
    <w:rsid w:val="0056444F"/>
    <w:rsid w:val="00566EB2"/>
    <w:rsid w:val="00570E1D"/>
    <w:rsid w:val="00581117"/>
    <w:rsid w:val="0058137C"/>
    <w:rsid w:val="00582900"/>
    <w:rsid w:val="0058742A"/>
    <w:rsid w:val="00587645"/>
    <w:rsid w:val="00591DAB"/>
    <w:rsid w:val="005944DF"/>
    <w:rsid w:val="00596E7C"/>
    <w:rsid w:val="005B23E2"/>
    <w:rsid w:val="005B2F76"/>
    <w:rsid w:val="005B3768"/>
    <w:rsid w:val="005B378C"/>
    <w:rsid w:val="005C4F59"/>
    <w:rsid w:val="005D1C50"/>
    <w:rsid w:val="005D2D7F"/>
    <w:rsid w:val="005D5479"/>
    <w:rsid w:val="005E1500"/>
    <w:rsid w:val="005E57E0"/>
    <w:rsid w:val="005E7420"/>
    <w:rsid w:val="005F06E7"/>
    <w:rsid w:val="005F2405"/>
    <w:rsid w:val="005F315F"/>
    <w:rsid w:val="005F44F0"/>
    <w:rsid w:val="005F5567"/>
    <w:rsid w:val="0060000C"/>
    <w:rsid w:val="006026B8"/>
    <w:rsid w:val="006027CA"/>
    <w:rsid w:val="00603ACA"/>
    <w:rsid w:val="00605698"/>
    <w:rsid w:val="00605C73"/>
    <w:rsid w:val="00611D0D"/>
    <w:rsid w:val="00615049"/>
    <w:rsid w:val="00624D9E"/>
    <w:rsid w:val="006255E6"/>
    <w:rsid w:val="00626DC2"/>
    <w:rsid w:val="00627E26"/>
    <w:rsid w:val="00632BCA"/>
    <w:rsid w:val="00633EDC"/>
    <w:rsid w:val="00636279"/>
    <w:rsid w:val="006365DA"/>
    <w:rsid w:val="00643146"/>
    <w:rsid w:val="006457C6"/>
    <w:rsid w:val="0064634B"/>
    <w:rsid w:val="00646AA7"/>
    <w:rsid w:val="00646CCE"/>
    <w:rsid w:val="00647BBF"/>
    <w:rsid w:val="0065263E"/>
    <w:rsid w:val="00655C7E"/>
    <w:rsid w:val="006564E6"/>
    <w:rsid w:val="006577F7"/>
    <w:rsid w:val="00661B17"/>
    <w:rsid w:val="00665270"/>
    <w:rsid w:val="00667012"/>
    <w:rsid w:val="00674C1B"/>
    <w:rsid w:val="00675582"/>
    <w:rsid w:val="006840E3"/>
    <w:rsid w:val="00685605"/>
    <w:rsid w:val="00690CA7"/>
    <w:rsid w:val="00694EED"/>
    <w:rsid w:val="00695438"/>
    <w:rsid w:val="006966BA"/>
    <w:rsid w:val="006A406F"/>
    <w:rsid w:val="006A63CE"/>
    <w:rsid w:val="006A6A39"/>
    <w:rsid w:val="006A7471"/>
    <w:rsid w:val="006B449E"/>
    <w:rsid w:val="006B5790"/>
    <w:rsid w:val="006B60F3"/>
    <w:rsid w:val="006C1C6C"/>
    <w:rsid w:val="006D3CBA"/>
    <w:rsid w:val="006E06E0"/>
    <w:rsid w:val="006E4E82"/>
    <w:rsid w:val="006E508E"/>
    <w:rsid w:val="006E5D6A"/>
    <w:rsid w:val="006F01E5"/>
    <w:rsid w:val="006F0B9B"/>
    <w:rsid w:val="006F4D74"/>
    <w:rsid w:val="006F7FFB"/>
    <w:rsid w:val="00713147"/>
    <w:rsid w:val="00720191"/>
    <w:rsid w:val="0072391C"/>
    <w:rsid w:val="00727F70"/>
    <w:rsid w:val="00735206"/>
    <w:rsid w:val="00742598"/>
    <w:rsid w:val="00742A70"/>
    <w:rsid w:val="00742D08"/>
    <w:rsid w:val="00745181"/>
    <w:rsid w:val="00752320"/>
    <w:rsid w:val="00752F49"/>
    <w:rsid w:val="00761F3A"/>
    <w:rsid w:val="00766EE3"/>
    <w:rsid w:val="00777DD2"/>
    <w:rsid w:val="00780E6C"/>
    <w:rsid w:val="00793E43"/>
    <w:rsid w:val="007A0647"/>
    <w:rsid w:val="007A21F5"/>
    <w:rsid w:val="007A31AB"/>
    <w:rsid w:val="007A3BCE"/>
    <w:rsid w:val="007B0CA1"/>
    <w:rsid w:val="007B7F02"/>
    <w:rsid w:val="007C6D1D"/>
    <w:rsid w:val="007D0851"/>
    <w:rsid w:val="007D190D"/>
    <w:rsid w:val="007D267D"/>
    <w:rsid w:val="007D3AF1"/>
    <w:rsid w:val="007F2F12"/>
    <w:rsid w:val="007F6AAF"/>
    <w:rsid w:val="00806760"/>
    <w:rsid w:val="0081625C"/>
    <w:rsid w:val="00830167"/>
    <w:rsid w:val="00831D4E"/>
    <w:rsid w:val="00833EFF"/>
    <w:rsid w:val="00847AEF"/>
    <w:rsid w:val="0085303E"/>
    <w:rsid w:val="008554CF"/>
    <w:rsid w:val="00857502"/>
    <w:rsid w:val="008606FB"/>
    <w:rsid w:val="00866E2C"/>
    <w:rsid w:val="00872290"/>
    <w:rsid w:val="008749EC"/>
    <w:rsid w:val="0088434B"/>
    <w:rsid w:val="008858D8"/>
    <w:rsid w:val="00886562"/>
    <w:rsid w:val="008A1B92"/>
    <w:rsid w:val="008A38C3"/>
    <w:rsid w:val="008B25D1"/>
    <w:rsid w:val="008B6934"/>
    <w:rsid w:val="008C09C9"/>
    <w:rsid w:val="008C5F35"/>
    <w:rsid w:val="008D1E80"/>
    <w:rsid w:val="008D4463"/>
    <w:rsid w:val="008D4FC1"/>
    <w:rsid w:val="008D7470"/>
    <w:rsid w:val="008E49AB"/>
    <w:rsid w:val="008E6027"/>
    <w:rsid w:val="008F1C21"/>
    <w:rsid w:val="008F4B49"/>
    <w:rsid w:val="00900F62"/>
    <w:rsid w:val="009119DD"/>
    <w:rsid w:val="009123E2"/>
    <w:rsid w:val="00912804"/>
    <w:rsid w:val="00912E7A"/>
    <w:rsid w:val="00915408"/>
    <w:rsid w:val="00926F42"/>
    <w:rsid w:val="00930E6E"/>
    <w:rsid w:val="0093128B"/>
    <w:rsid w:val="009319F7"/>
    <w:rsid w:val="0093259A"/>
    <w:rsid w:val="00934BC4"/>
    <w:rsid w:val="00940463"/>
    <w:rsid w:val="009425DD"/>
    <w:rsid w:val="0094262B"/>
    <w:rsid w:val="0094338C"/>
    <w:rsid w:val="00943AF0"/>
    <w:rsid w:val="00944C3F"/>
    <w:rsid w:val="00950177"/>
    <w:rsid w:val="009502AE"/>
    <w:rsid w:val="0095198F"/>
    <w:rsid w:val="0095346D"/>
    <w:rsid w:val="009651B1"/>
    <w:rsid w:val="009720EA"/>
    <w:rsid w:val="00974C58"/>
    <w:rsid w:val="00975A6F"/>
    <w:rsid w:val="00990868"/>
    <w:rsid w:val="00990B48"/>
    <w:rsid w:val="00991BF0"/>
    <w:rsid w:val="00996D57"/>
    <w:rsid w:val="009A29CC"/>
    <w:rsid w:val="009A483B"/>
    <w:rsid w:val="009A7741"/>
    <w:rsid w:val="009B71D2"/>
    <w:rsid w:val="009C205D"/>
    <w:rsid w:val="009C2619"/>
    <w:rsid w:val="009C26D7"/>
    <w:rsid w:val="009C3D2A"/>
    <w:rsid w:val="009C52A1"/>
    <w:rsid w:val="009D00B8"/>
    <w:rsid w:val="009D060E"/>
    <w:rsid w:val="009D091E"/>
    <w:rsid w:val="009D25E2"/>
    <w:rsid w:val="009D456C"/>
    <w:rsid w:val="009D48D6"/>
    <w:rsid w:val="009D7F6B"/>
    <w:rsid w:val="009E0A28"/>
    <w:rsid w:val="009E395A"/>
    <w:rsid w:val="009E5ABF"/>
    <w:rsid w:val="009F1919"/>
    <w:rsid w:val="009F5D56"/>
    <w:rsid w:val="009F71C2"/>
    <w:rsid w:val="00A03940"/>
    <w:rsid w:val="00A05899"/>
    <w:rsid w:val="00A06B32"/>
    <w:rsid w:val="00A10E8D"/>
    <w:rsid w:val="00A12688"/>
    <w:rsid w:val="00A23A64"/>
    <w:rsid w:val="00A240C2"/>
    <w:rsid w:val="00A34C60"/>
    <w:rsid w:val="00A405C9"/>
    <w:rsid w:val="00A46B93"/>
    <w:rsid w:val="00A47CD1"/>
    <w:rsid w:val="00A51E8A"/>
    <w:rsid w:val="00A52B03"/>
    <w:rsid w:val="00A63349"/>
    <w:rsid w:val="00A70434"/>
    <w:rsid w:val="00A7330A"/>
    <w:rsid w:val="00A7440C"/>
    <w:rsid w:val="00A75CB7"/>
    <w:rsid w:val="00A816F9"/>
    <w:rsid w:val="00A854F3"/>
    <w:rsid w:val="00A87FC8"/>
    <w:rsid w:val="00AA1245"/>
    <w:rsid w:val="00AA45F9"/>
    <w:rsid w:val="00AA5F3C"/>
    <w:rsid w:val="00AB0559"/>
    <w:rsid w:val="00AB2D69"/>
    <w:rsid w:val="00AC682F"/>
    <w:rsid w:val="00AD3C22"/>
    <w:rsid w:val="00AE67DB"/>
    <w:rsid w:val="00AE6AC1"/>
    <w:rsid w:val="00AF174F"/>
    <w:rsid w:val="00AF1879"/>
    <w:rsid w:val="00B02596"/>
    <w:rsid w:val="00B04937"/>
    <w:rsid w:val="00B06E19"/>
    <w:rsid w:val="00B11D8C"/>
    <w:rsid w:val="00B1247D"/>
    <w:rsid w:val="00B14A21"/>
    <w:rsid w:val="00B1578C"/>
    <w:rsid w:val="00B330C8"/>
    <w:rsid w:val="00B363CF"/>
    <w:rsid w:val="00B37F43"/>
    <w:rsid w:val="00B43AA8"/>
    <w:rsid w:val="00B46506"/>
    <w:rsid w:val="00B46A39"/>
    <w:rsid w:val="00B47539"/>
    <w:rsid w:val="00B47ABF"/>
    <w:rsid w:val="00B553AC"/>
    <w:rsid w:val="00B5695E"/>
    <w:rsid w:val="00B604B4"/>
    <w:rsid w:val="00B6175C"/>
    <w:rsid w:val="00B731AD"/>
    <w:rsid w:val="00B80CE2"/>
    <w:rsid w:val="00B82BDE"/>
    <w:rsid w:val="00B91942"/>
    <w:rsid w:val="00B9471C"/>
    <w:rsid w:val="00B94A02"/>
    <w:rsid w:val="00B96744"/>
    <w:rsid w:val="00B975E8"/>
    <w:rsid w:val="00BA187D"/>
    <w:rsid w:val="00BB43CB"/>
    <w:rsid w:val="00BC0DA7"/>
    <w:rsid w:val="00BE1116"/>
    <w:rsid w:val="00BE20E4"/>
    <w:rsid w:val="00BE3E27"/>
    <w:rsid w:val="00BE44BA"/>
    <w:rsid w:val="00BF2578"/>
    <w:rsid w:val="00BF5078"/>
    <w:rsid w:val="00BF50D2"/>
    <w:rsid w:val="00BF6B22"/>
    <w:rsid w:val="00C04631"/>
    <w:rsid w:val="00C10AF9"/>
    <w:rsid w:val="00C10EB0"/>
    <w:rsid w:val="00C15F43"/>
    <w:rsid w:val="00C17E74"/>
    <w:rsid w:val="00C17EF5"/>
    <w:rsid w:val="00C20875"/>
    <w:rsid w:val="00C23487"/>
    <w:rsid w:val="00C33546"/>
    <w:rsid w:val="00C44548"/>
    <w:rsid w:val="00C44E11"/>
    <w:rsid w:val="00C50EBC"/>
    <w:rsid w:val="00C51E97"/>
    <w:rsid w:val="00C55871"/>
    <w:rsid w:val="00C66A66"/>
    <w:rsid w:val="00C77AB7"/>
    <w:rsid w:val="00C87393"/>
    <w:rsid w:val="00C91A9F"/>
    <w:rsid w:val="00CA7BF5"/>
    <w:rsid w:val="00CC12F9"/>
    <w:rsid w:val="00CC49FF"/>
    <w:rsid w:val="00CC5FE1"/>
    <w:rsid w:val="00CD07F5"/>
    <w:rsid w:val="00CD3565"/>
    <w:rsid w:val="00CD71F7"/>
    <w:rsid w:val="00CE0332"/>
    <w:rsid w:val="00CF13BC"/>
    <w:rsid w:val="00CF28D2"/>
    <w:rsid w:val="00CF68CC"/>
    <w:rsid w:val="00D14A50"/>
    <w:rsid w:val="00D21A4F"/>
    <w:rsid w:val="00D424DC"/>
    <w:rsid w:val="00D43B11"/>
    <w:rsid w:val="00D4417F"/>
    <w:rsid w:val="00D51472"/>
    <w:rsid w:val="00D53400"/>
    <w:rsid w:val="00D5757A"/>
    <w:rsid w:val="00D70329"/>
    <w:rsid w:val="00D7208B"/>
    <w:rsid w:val="00D767D8"/>
    <w:rsid w:val="00D8178D"/>
    <w:rsid w:val="00D82EEC"/>
    <w:rsid w:val="00D910B0"/>
    <w:rsid w:val="00D92503"/>
    <w:rsid w:val="00D97AE9"/>
    <w:rsid w:val="00D97B6D"/>
    <w:rsid w:val="00DA01FF"/>
    <w:rsid w:val="00DA1F92"/>
    <w:rsid w:val="00DA342F"/>
    <w:rsid w:val="00DA567B"/>
    <w:rsid w:val="00DA6260"/>
    <w:rsid w:val="00DA68FC"/>
    <w:rsid w:val="00DB2036"/>
    <w:rsid w:val="00DB45EF"/>
    <w:rsid w:val="00DB470E"/>
    <w:rsid w:val="00DB4EA2"/>
    <w:rsid w:val="00DB55FD"/>
    <w:rsid w:val="00DC0E7D"/>
    <w:rsid w:val="00DC1C7D"/>
    <w:rsid w:val="00DC7BE1"/>
    <w:rsid w:val="00DD53DB"/>
    <w:rsid w:val="00DD639D"/>
    <w:rsid w:val="00DF08B7"/>
    <w:rsid w:val="00E00A6B"/>
    <w:rsid w:val="00E04373"/>
    <w:rsid w:val="00E06BC7"/>
    <w:rsid w:val="00E06C5D"/>
    <w:rsid w:val="00E16952"/>
    <w:rsid w:val="00E21513"/>
    <w:rsid w:val="00E250EC"/>
    <w:rsid w:val="00E25181"/>
    <w:rsid w:val="00E46086"/>
    <w:rsid w:val="00E51387"/>
    <w:rsid w:val="00E52B6D"/>
    <w:rsid w:val="00E56728"/>
    <w:rsid w:val="00E56856"/>
    <w:rsid w:val="00E619A9"/>
    <w:rsid w:val="00E67EE5"/>
    <w:rsid w:val="00E71BE7"/>
    <w:rsid w:val="00E8127C"/>
    <w:rsid w:val="00E857EB"/>
    <w:rsid w:val="00EA0E0F"/>
    <w:rsid w:val="00EA5D23"/>
    <w:rsid w:val="00EB230F"/>
    <w:rsid w:val="00EC5957"/>
    <w:rsid w:val="00ED35D1"/>
    <w:rsid w:val="00ED4E03"/>
    <w:rsid w:val="00EE3D20"/>
    <w:rsid w:val="00EE40B4"/>
    <w:rsid w:val="00EF0B78"/>
    <w:rsid w:val="00EF3DD6"/>
    <w:rsid w:val="00EF51F5"/>
    <w:rsid w:val="00F0200B"/>
    <w:rsid w:val="00F02032"/>
    <w:rsid w:val="00F020CE"/>
    <w:rsid w:val="00F029B6"/>
    <w:rsid w:val="00F03718"/>
    <w:rsid w:val="00F07998"/>
    <w:rsid w:val="00F07B59"/>
    <w:rsid w:val="00F10BA6"/>
    <w:rsid w:val="00F125C1"/>
    <w:rsid w:val="00F24F0C"/>
    <w:rsid w:val="00F254F3"/>
    <w:rsid w:val="00F300BD"/>
    <w:rsid w:val="00F31222"/>
    <w:rsid w:val="00F336A9"/>
    <w:rsid w:val="00F34F6F"/>
    <w:rsid w:val="00F36A95"/>
    <w:rsid w:val="00F40E30"/>
    <w:rsid w:val="00F547A5"/>
    <w:rsid w:val="00F5609B"/>
    <w:rsid w:val="00F56134"/>
    <w:rsid w:val="00F63F8F"/>
    <w:rsid w:val="00F64675"/>
    <w:rsid w:val="00F679B7"/>
    <w:rsid w:val="00F70ECA"/>
    <w:rsid w:val="00F73E31"/>
    <w:rsid w:val="00F90333"/>
    <w:rsid w:val="00F91DFF"/>
    <w:rsid w:val="00F93673"/>
    <w:rsid w:val="00F93680"/>
    <w:rsid w:val="00FA2958"/>
    <w:rsid w:val="00FA7981"/>
    <w:rsid w:val="00FC4046"/>
    <w:rsid w:val="00FC5F32"/>
    <w:rsid w:val="00FC6FC3"/>
    <w:rsid w:val="00FD10E7"/>
    <w:rsid w:val="00FD3E7B"/>
    <w:rsid w:val="00FD4573"/>
    <w:rsid w:val="00FD4E73"/>
    <w:rsid w:val="00FD5A5E"/>
    <w:rsid w:val="00FE1646"/>
    <w:rsid w:val="00FE26AC"/>
    <w:rsid w:val="00FE58C1"/>
    <w:rsid w:val="00FF3E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qFormat="1"/>
    <w:lsdException w:name="footnote reference" w:uiPriority="0"/>
    <w:lsdException w:name="annotation reference"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B9B"/>
    <w:pPr>
      <w:spacing w:after="0"/>
    </w:pPr>
  </w:style>
  <w:style w:type="paragraph" w:styleId="Heading1">
    <w:name w:val="heading 1"/>
    <w:basedOn w:val="Normal"/>
    <w:next w:val="Normal"/>
    <w:link w:val="Heading1Char"/>
    <w:qFormat/>
    <w:rsid w:val="00E619A9"/>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E619A9"/>
    <w:pPr>
      <w:keepNext/>
      <w:keepLines/>
      <w:spacing w:before="240" w:after="24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nhideWhenUsed/>
    <w:qFormat/>
    <w:rsid w:val="00C17EF5"/>
    <w:pPr>
      <w:keepNext/>
      <w:keepLines/>
      <w:spacing w:before="240" w:after="120"/>
      <w:outlineLvl w:val="2"/>
    </w:pPr>
    <w:rPr>
      <w:rFonts w:ascii="Arial" w:eastAsiaTheme="majorEastAsia" w:hAnsi="Arial" w:cstheme="majorBidi"/>
      <w:b/>
      <w:bCs/>
    </w:rPr>
  </w:style>
  <w:style w:type="paragraph" w:styleId="Heading4">
    <w:name w:val="heading 4"/>
    <w:basedOn w:val="Normal"/>
    <w:next w:val="Normal"/>
    <w:link w:val="Heading4Char"/>
    <w:unhideWhenUsed/>
    <w:qFormat/>
    <w:rsid w:val="00665270"/>
    <w:pPr>
      <w:keepNext/>
      <w:keepLines/>
      <w:spacing w:before="200"/>
      <w:ind w:left="72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WGHeader">
    <w:name w:val="MLWG Header"/>
    <w:basedOn w:val="Normal"/>
    <w:rsid w:val="006255E6"/>
    <w:pPr>
      <w:pBdr>
        <w:bottom w:val="single" w:sz="8" w:space="1" w:color="FFFFFF"/>
      </w:pBdr>
      <w:shd w:val="clear" w:color="auto" w:fill="17365D" w:themeFill="text2" w:themeFillShade="BF"/>
      <w:spacing w:line="240" w:lineRule="auto"/>
      <w:jc w:val="right"/>
    </w:pPr>
    <w:rPr>
      <w:rFonts w:ascii="Calibri" w:eastAsia="Times New Roman" w:hAnsi="Calibri" w:cs="Times New Roman"/>
      <w:b/>
      <w:bCs/>
      <w:color w:val="FFFFFF"/>
      <w:szCs w:val="20"/>
      <w:lang w:eastAsia="en-AU"/>
    </w:rPr>
  </w:style>
  <w:style w:type="paragraph" w:customStyle="1" w:styleId="TopLine">
    <w:name w:val="Top Line"/>
    <w:basedOn w:val="Normal"/>
    <w:qFormat/>
    <w:rsid w:val="00BB43CB"/>
    <w:pPr>
      <w:pBdr>
        <w:bottom w:val="single" w:sz="4" w:space="1" w:color="auto"/>
      </w:pBdr>
      <w:spacing w:after="240"/>
    </w:pPr>
    <w:rPr>
      <w:b/>
      <w:sz w:val="24"/>
      <w:szCs w:val="24"/>
    </w:rPr>
  </w:style>
  <w:style w:type="paragraph" w:customStyle="1" w:styleId="Numberedpara">
    <w:name w:val="Numbered para"/>
    <w:basedOn w:val="Normal"/>
    <w:qFormat/>
    <w:rsid w:val="00BB43CB"/>
    <w:pPr>
      <w:ind w:left="567" w:hanging="567"/>
    </w:pPr>
  </w:style>
  <w:style w:type="paragraph" w:customStyle="1" w:styleId="Dots">
    <w:name w:val="Dots"/>
    <w:basedOn w:val="ListParagraph"/>
    <w:qFormat/>
    <w:rsid w:val="00BB43CB"/>
    <w:pPr>
      <w:numPr>
        <w:numId w:val="1"/>
      </w:numPr>
    </w:pPr>
  </w:style>
  <w:style w:type="paragraph" w:styleId="ListParagraph">
    <w:name w:val="List Paragraph"/>
    <w:basedOn w:val="Normal"/>
    <w:link w:val="ListParagraphChar"/>
    <w:uiPriority w:val="34"/>
    <w:qFormat/>
    <w:rsid w:val="00BB43CB"/>
    <w:pPr>
      <w:ind w:left="720"/>
      <w:contextualSpacing/>
    </w:pPr>
  </w:style>
  <w:style w:type="paragraph" w:styleId="BalloonText">
    <w:name w:val="Balloon Text"/>
    <w:basedOn w:val="Normal"/>
    <w:link w:val="BalloonTextChar"/>
    <w:unhideWhenUsed/>
    <w:rsid w:val="006255E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255E6"/>
    <w:rPr>
      <w:rFonts w:ascii="Tahoma" w:hAnsi="Tahoma" w:cs="Tahoma"/>
      <w:sz w:val="16"/>
      <w:szCs w:val="16"/>
    </w:rPr>
  </w:style>
  <w:style w:type="character" w:customStyle="1" w:styleId="Heading1Char">
    <w:name w:val="Heading 1 Char"/>
    <w:basedOn w:val="DefaultParagraphFont"/>
    <w:link w:val="Heading1"/>
    <w:rsid w:val="00E619A9"/>
    <w:rPr>
      <w:rFonts w:eastAsiaTheme="majorEastAsia" w:cstheme="majorBidi"/>
      <w:b/>
      <w:bCs/>
      <w:sz w:val="32"/>
      <w:szCs w:val="28"/>
    </w:rPr>
  </w:style>
  <w:style w:type="character" w:customStyle="1" w:styleId="Heading2Char">
    <w:name w:val="Heading 2 Char"/>
    <w:basedOn w:val="DefaultParagraphFont"/>
    <w:link w:val="Heading2"/>
    <w:rsid w:val="00E619A9"/>
    <w:rPr>
      <w:rFonts w:eastAsiaTheme="majorEastAsia" w:cstheme="majorBidi"/>
      <w:b/>
      <w:bCs/>
      <w:color w:val="000000" w:themeColor="text1"/>
      <w:sz w:val="28"/>
      <w:szCs w:val="26"/>
    </w:rPr>
  </w:style>
  <w:style w:type="paragraph" w:styleId="Header">
    <w:name w:val="header"/>
    <w:basedOn w:val="Normal"/>
    <w:link w:val="HeaderChar"/>
    <w:unhideWhenUsed/>
    <w:rsid w:val="009D48D6"/>
    <w:pPr>
      <w:pBdr>
        <w:bottom w:val="double" w:sz="6" w:space="0" w:color="004270"/>
      </w:pBdr>
      <w:tabs>
        <w:tab w:val="center" w:pos="4513"/>
        <w:tab w:val="right" w:pos="9026"/>
      </w:tabs>
      <w:spacing w:line="240" w:lineRule="auto"/>
      <w:jc w:val="right"/>
    </w:pPr>
    <w:rPr>
      <w:rFonts w:ascii="Tahoma" w:hAnsi="Tahoma" w:cs="Tahoma"/>
      <w:sz w:val="16"/>
      <w:szCs w:val="16"/>
    </w:rPr>
  </w:style>
  <w:style w:type="character" w:customStyle="1" w:styleId="HeaderChar">
    <w:name w:val="Header Char"/>
    <w:basedOn w:val="DefaultParagraphFont"/>
    <w:link w:val="Header"/>
    <w:rsid w:val="009D48D6"/>
    <w:rPr>
      <w:rFonts w:ascii="Tahoma" w:hAnsi="Tahoma" w:cs="Tahoma"/>
      <w:sz w:val="16"/>
      <w:szCs w:val="16"/>
    </w:rPr>
  </w:style>
  <w:style w:type="paragraph" w:styleId="Footer">
    <w:name w:val="footer"/>
    <w:basedOn w:val="Normal"/>
    <w:link w:val="FooterChar"/>
    <w:uiPriority w:val="99"/>
    <w:unhideWhenUsed/>
    <w:rsid w:val="009D48D6"/>
    <w:pPr>
      <w:pBdr>
        <w:top w:val="double" w:sz="6" w:space="0" w:color="004270"/>
      </w:pBdr>
      <w:tabs>
        <w:tab w:val="right" w:pos="1134"/>
      </w:tabs>
      <w:spacing w:line="240" w:lineRule="auto"/>
      <w:ind w:right="7892"/>
    </w:pPr>
    <w:rPr>
      <w:rFonts w:ascii="Tahoma" w:hAnsi="Tahoma" w:cs="Tahoma"/>
      <w:sz w:val="16"/>
      <w:szCs w:val="16"/>
    </w:rPr>
  </w:style>
  <w:style w:type="character" w:customStyle="1" w:styleId="FooterChar">
    <w:name w:val="Footer Char"/>
    <w:basedOn w:val="DefaultParagraphFont"/>
    <w:link w:val="Footer"/>
    <w:uiPriority w:val="99"/>
    <w:rsid w:val="009D48D6"/>
    <w:rPr>
      <w:rFonts w:ascii="Tahoma" w:hAnsi="Tahoma" w:cs="Tahoma"/>
      <w:sz w:val="16"/>
      <w:szCs w:val="16"/>
    </w:rPr>
  </w:style>
  <w:style w:type="paragraph" w:customStyle="1" w:styleId="Titlepage">
    <w:name w:val="Title page"/>
    <w:basedOn w:val="Normal"/>
    <w:link w:val="TitlepageChar"/>
    <w:qFormat/>
    <w:rsid w:val="009A483B"/>
    <w:pPr>
      <w:jc w:val="center"/>
    </w:pPr>
    <w:rPr>
      <w:rFonts w:ascii="Arial" w:hAnsi="Arial" w:cs="Arial"/>
      <w:b/>
      <w:color w:val="004270"/>
      <w:sz w:val="56"/>
      <w:szCs w:val="56"/>
    </w:rPr>
  </w:style>
  <w:style w:type="paragraph" w:customStyle="1" w:styleId="Default">
    <w:name w:val="Default"/>
    <w:link w:val="DefaultChar"/>
    <w:rsid w:val="009D7F6B"/>
    <w:pPr>
      <w:autoSpaceDE w:val="0"/>
      <w:autoSpaceDN w:val="0"/>
      <w:adjustRightInd w:val="0"/>
      <w:spacing w:after="0" w:line="240" w:lineRule="auto"/>
    </w:pPr>
    <w:rPr>
      <w:rFonts w:ascii="Corbel" w:hAnsi="Corbel" w:cs="Corbel"/>
      <w:color w:val="000000"/>
      <w:sz w:val="24"/>
      <w:szCs w:val="24"/>
    </w:rPr>
  </w:style>
  <w:style w:type="character" w:customStyle="1" w:styleId="TitlepageChar">
    <w:name w:val="Title page Char"/>
    <w:basedOn w:val="DefaultParagraphFont"/>
    <w:link w:val="Titlepage"/>
    <w:rsid w:val="009A483B"/>
    <w:rPr>
      <w:rFonts w:ascii="Arial" w:hAnsi="Arial" w:cs="Arial"/>
      <w:b/>
      <w:color w:val="004270"/>
      <w:sz w:val="56"/>
      <w:szCs w:val="56"/>
    </w:rPr>
  </w:style>
  <w:style w:type="paragraph" w:customStyle="1" w:styleId="FromNP">
    <w:name w:val="From NP"/>
    <w:basedOn w:val="Default"/>
    <w:link w:val="FromNPChar"/>
    <w:qFormat/>
    <w:rsid w:val="009D7F6B"/>
    <w:pPr>
      <w:spacing w:after="195"/>
    </w:pPr>
    <w:rPr>
      <w:sz w:val="23"/>
      <w:szCs w:val="23"/>
    </w:rPr>
  </w:style>
  <w:style w:type="paragraph" w:customStyle="1" w:styleId="TableColumnHeadingCentred">
    <w:name w:val="Table Column Heading Centred"/>
    <w:basedOn w:val="Normal"/>
    <w:rsid w:val="000B6578"/>
    <w:pPr>
      <w:spacing w:before="40" w:after="40" w:line="240" w:lineRule="auto"/>
      <w:jc w:val="center"/>
    </w:pPr>
    <w:rPr>
      <w:rFonts w:ascii="Consolas" w:eastAsia="Times New Roman" w:hAnsi="Consolas" w:cs="Times New Roman"/>
      <w:b/>
      <w:color w:val="3D4B67"/>
      <w:szCs w:val="20"/>
      <w:lang w:eastAsia="en-AU"/>
    </w:rPr>
  </w:style>
  <w:style w:type="character" w:customStyle="1" w:styleId="DefaultChar">
    <w:name w:val="Default Char"/>
    <w:basedOn w:val="DefaultParagraphFont"/>
    <w:link w:val="Default"/>
    <w:rsid w:val="009D7F6B"/>
    <w:rPr>
      <w:rFonts w:ascii="Corbel" w:hAnsi="Corbel" w:cs="Corbel"/>
      <w:color w:val="000000"/>
      <w:sz w:val="24"/>
      <w:szCs w:val="24"/>
    </w:rPr>
  </w:style>
  <w:style w:type="character" w:customStyle="1" w:styleId="FromNPChar">
    <w:name w:val="From NP Char"/>
    <w:basedOn w:val="DefaultChar"/>
    <w:link w:val="FromNP"/>
    <w:rsid w:val="009D7F6B"/>
    <w:rPr>
      <w:rFonts w:ascii="Corbel" w:hAnsi="Corbel" w:cs="Corbel"/>
      <w:color w:val="000000"/>
      <w:sz w:val="24"/>
      <w:szCs w:val="24"/>
    </w:rPr>
  </w:style>
  <w:style w:type="paragraph" w:customStyle="1" w:styleId="TableTextLeft">
    <w:name w:val="Table Text Left"/>
    <w:basedOn w:val="Normal"/>
    <w:rsid w:val="000B6578"/>
    <w:pPr>
      <w:spacing w:before="40" w:after="40" w:line="240" w:lineRule="auto"/>
      <w:jc w:val="both"/>
    </w:pPr>
    <w:rPr>
      <w:rFonts w:ascii="Corbel" w:eastAsia="Times New Roman" w:hAnsi="Corbel" w:cs="Times New Roman"/>
      <w:color w:val="000000"/>
      <w:sz w:val="21"/>
      <w:szCs w:val="20"/>
      <w:lang w:eastAsia="en-AU"/>
    </w:rPr>
  </w:style>
  <w:style w:type="paragraph" w:customStyle="1" w:styleId="Normalnumbered">
    <w:name w:val="Normal numbered"/>
    <w:basedOn w:val="Normal"/>
    <w:link w:val="NormalnumberedChar"/>
    <w:uiPriority w:val="99"/>
    <w:rsid w:val="000B6578"/>
    <w:pPr>
      <w:numPr>
        <w:numId w:val="2"/>
      </w:numPr>
      <w:spacing w:after="240" w:line="260" w:lineRule="exact"/>
      <w:jc w:val="both"/>
    </w:pPr>
    <w:rPr>
      <w:rFonts w:ascii="Corbel" w:eastAsia="Times New Roman" w:hAnsi="Corbel" w:cs="Times New Roman"/>
      <w:color w:val="000000"/>
      <w:sz w:val="23"/>
      <w:szCs w:val="20"/>
      <w:lang w:eastAsia="en-AU"/>
    </w:rPr>
  </w:style>
  <w:style w:type="character" w:customStyle="1" w:styleId="NormalnumberedChar">
    <w:name w:val="Normal numbered Char"/>
    <w:basedOn w:val="DefaultParagraphFont"/>
    <w:link w:val="Normalnumbered"/>
    <w:uiPriority w:val="99"/>
    <w:locked/>
    <w:rsid w:val="000B6578"/>
    <w:rPr>
      <w:rFonts w:ascii="Corbel" w:eastAsia="Times New Roman" w:hAnsi="Corbel" w:cs="Times New Roman"/>
      <w:color w:val="000000"/>
      <w:sz w:val="23"/>
      <w:szCs w:val="20"/>
      <w:lang w:eastAsia="en-AU"/>
    </w:rPr>
  </w:style>
  <w:style w:type="table" w:styleId="TableGrid">
    <w:name w:val="Table Grid"/>
    <w:basedOn w:val="TableNormal"/>
    <w:rsid w:val="00AC68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553AC"/>
    <w:pPr>
      <w:outlineLvl w:val="9"/>
    </w:pPr>
    <w:rPr>
      <w:lang w:val="en-US"/>
    </w:rPr>
  </w:style>
  <w:style w:type="paragraph" w:styleId="TOC2">
    <w:name w:val="toc 2"/>
    <w:basedOn w:val="Normal"/>
    <w:next w:val="Normal"/>
    <w:autoRedefine/>
    <w:uiPriority w:val="39"/>
    <w:unhideWhenUsed/>
    <w:qFormat/>
    <w:rsid w:val="00B553AC"/>
    <w:pPr>
      <w:tabs>
        <w:tab w:val="right" w:leader="dot" w:pos="9016"/>
      </w:tabs>
      <w:spacing w:after="100"/>
      <w:ind w:left="220"/>
    </w:pPr>
  </w:style>
  <w:style w:type="character" w:styleId="Hyperlink">
    <w:name w:val="Hyperlink"/>
    <w:basedOn w:val="DefaultParagraphFont"/>
    <w:uiPriority w:val="99"/>
    <w:unhideWhenUsed/>
    <w:rsid w:val="00B553AC"/>
    <w:rPr>
      <w:color w:val="0000FF" w:themeColor="hyperlink"/>
      <w:u w:val="single"/>
    </w:rPr>
  </w:style>
  <w:style w:type="paragraph" w:styleId="TOC1">
    <w:name w:val="toc 1"/>
    <w:basedOn w:val="Normal"/>
    <w:next w:val="Normal"/>
    <w:autoRedefine/>
    <w:uiPriority w:val="39"/>
    <w:unhideWhenUsed/>
    <w:qFormat/>
    <w:rsid w:val="00B553AC"/>
    <w:pPr>
      <w:spacing w:after="100"/>
    </w:pPr>
    <w:rPr>
      <w:rFonts w:eastAsiaTheme="minorEastAsia"/>
      <w:lang w:val="en-US"/>
    </w:rPr>
  </w:style>
  <w:style w:type="paragraph" w:styleId="TOC3">
    <w:name w:val="toc 3"/>
    <w:basedOn w:val="Normal"/>
    <w:next w:val="Normal"/>
    <w:autoRedefine/>
    <w:uiPriority w:val="39"/>
    <w:unhideWhenUsed/>
    <w:qFormat/>
    <w:rsid w:val="00605C73"/>
    <w:pPr>
      <w:tabs>
        <w:tab w:val="right" w:leader="dot" w:pos="9180"/>
      </w:tabs>
      <w:spacing w:after="100"/>
      <w:ind w:left="440"/>
    </w:pPr>
    <w:rPr>
      <w:rFonts w:eastAsiaTheme="minorEastAsia"/>
      <w:lang w:val="en-US"/>
    </w:rPr>
  </w:style>
  <w:style w:type="paragraph" w:customStyle="1" w:styleId="Itemnumber">
    <w:name w:val="Item number"/>
    <w:basedOn w:val="Normal"/>
    <w:rsid w:val="0095198F"/>
    <w:pPr>
      <w:spacing w:before="120" w:after="120" w:line="240" w:lineRule="auto"/>
      <w:ind w:left="1440" w:hanging="1440"/>
    </w:pPr>
    <w:rPr>
      <w:rFonts w:ascii="Calibri" w:eastAsia="Times New Roman" w:hAnsi="Calibri" w:cs="Times New Roman"/>
      <w:b/>
      <w:bCs/>
      <w:szCs w:val="20"/>
      <w:lang w:eastAsia="en-AU"/>
    </w:rPr>
  </w:style>
  <w:style w:type="paragraph" w:styleId="FootnoteText">
    <w:name w:val="footnote text"/>
    <w:basedOn w:val="Normal"/>
    <w:link w:val="FootnoteTextChar"/>
    <w:rsid w:val="00AE67DB"/>
    <w:pPr>
      <w:spacing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AE67DB"/>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AE67DB"/>
    <w:rPr>
      <w:vertAlign w:val="superscript"/>
    </w:rPr>
  </w:style>
  <w:style w:type="paragraph" w:customStyle="1" w:styleId="othertitle">
    <w:name w:val="other title"/>
    <w:basedOn w:val="Heading2"/>
    <w:qFormat/>
    <w:rsid w:val="00C87393"/>
    <w:pPr>
      <w:spacing w:before="120" w:after="0"/>
    </w:pPr>
  </w:style>
  <w:style w:type="character" w:customStyle="1" w:styleId="Heading3Char">
    <w:name w:val="Heading 3 Char"/>
    <w:basedOn w:val="DefaultParagraphFont"/>
    <w:link w:val="Heading3"/>
    <w:rsid w:val="00C17EF5"/>
    <w:rPr>
      <w:rFonts w:ascii="Arial" w:eastAsiaTheme="majorEastAsia" w:hAnsi="Arial" w:cstheme="majorBidi"/>
      <w:b/>
      <w:bCs/>
    </w:rPr>
  </w:style>
  <w:style w:type="character" w:styleId="Strong">
    <w:name w:val="Strong"/>
    <w:basedOn w:val="DefaultParagraphFont"/>
    <w:qFormat/>
    <w:rsid w:val="001368B0"/>
    <w:rPr>
      <w:b/>
      <w:bCs/>
    </w:rPr>
  </w:style>
  <w:style w:type="character" w:styleId="CommentReference">
    <w:name w:val="annotation reference"/>
    <w:basedOn w:val="DefaultParagraphFont"/>
    <w:unhideWhenUsed/>
    <w:rsid w:val="00F300BD"/>
    <w:rPr>
      <w:sz w:val="16"/>
      <w:szCs w:val="16"/>
    </w:rPr>
  </w:style>
  <w:style w:type="paragraph" w:styleId="CommentText">
    <w:name w:val="annotation text"/>
    <w:basedOn w:val="Normal"/>
    <w:link w:val="CommentTextChar"/>
    <w:unhideWhenUsed/>
    <w:rsid w:val="00F300BD"/>
    <w:pPr>
      <w:spacing w:line="240" w:lineRule="auto"/>
    </w:pPr>
    <w:rPr>
      <w:sz w:val="20"/>
      <w:szCs w:val="20"/>
    </w:rPr>
  </w:style>
  <w:style w:type="character" w:customStyle="1" w:styleId="CommentTextChar">
    <w:name w:val="Comment Text Char"/>
    <w:basedOn w:val="DefaultParagraphFont"/>
    <w:link w:val="CommentText"/>
    <w:rsid w:val="00F300BD"/>
    <w:rPr>
      <w:sz w:val="20"/>
      <w:szCs w:val="20"/>
    </w:rPr>
  </w:style>
  <w:style w:type="paragraph" w:styleId="CommentSubject">
    <w:name w:val="annotation subject"/>
    <w:basedOn w:val="CommentText"/>
    <w:next w:val="CommentText"/>
    <w:link w:val="CommentSubjectChar"/>
    <w:unhideWhenUsed/>
    <w:rsid w:val="00F300BD"/>
    <w:rPr>
      <w:b/>
      <w:bCs/>
    </w:rPr>
  </w:style>
  <w:style w:type="character" w:customStyle="1" w:styleId="CommentSubjectChar">
    <w:name w:val="Comment Subject Char"/>
    <w:basedOn w:val="CommentTextChar"/>
    <w:link w:val="CommentSubject"/>
    <w:rsid w:val="00F300BD"/>
    <w:rPr>
      <w:b/>
      <w:bCs/>
      <w:sz w:val="20"/>
      <w:szCs w:val="20"/>
    </w:rPr>
  </w:style>
  <w:style w:type="paragraph" w:styleId="BodyText">
    <w:name w:val="Body Text"/>
    <w:basedOn w:val="Normal"/>
    <w:link w:val="BodyTextChar"/>
    <w:unhideWhenUsed/>
    <w:rsid w:val="00646CCE"/>
    <w:pPr>
      <w:spacing w:before="100" w:after="100" w:line="240" w:lineRule="auto"/>
    </w:pPr>
    <w:rPr>
      <w:rFonts w:ascii="Times New Roman" w:hAnsi="Times New Roman" w:cs="Times New Roman"/>
      <w:sz w:val="24"/>
      <w:szCs w:val="24"/>
      <w:lang w:eastAsia="en-AU"/>
    </w:rPr>
  </w:style>
  <w:style w:type="character" w:customStyle="1" w:styleId="BodyTextChar">
    <w:name w:val="Body Text Char"/>
    <w:basedOn w:val="DefaultParagraphFont"/>
    <w:link w:val="BodyText"/>
    <w:rsid w:val="00646CCE"/>
    <w:rPr>
      <w:rFonts w:ascii="Times New Roman" w:hAnsi="Times New Roman" w:cs="Times New Roman"/>
      <w:sz w:val="24"/>
      <w:szCs w:val="24"/>
      <w:lang w:eastAsia="en-AU"/>
    </w:rPr>
  </w:style>
  <w:style w:type="character" w:customStyle="1" w:styleId="Emphasis-Underline">
    <w:name w:val="Emphasis - Underline"/>
    <w:basedOn w:val="DefaultParagraphFont"/>
    <w:rsid w:val="00646CCE"/>
    <w:rPr>
      <w:u w:val="single"/>
    </w:rPr>
  </w:style>
  <w:style w:type="paragraph" w:styleId="NormalWeb">
    <w:name w:val="Normal (Web)"/>
    <w:basedOn w:val="Normal"/>
    <w:uiPriority w:val="99"/>
    <w:semiHidden/>
    <w:unhideWhenUsed/>
    <w:rsid w:val="00B47539"/>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rsid w:val="00056F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056F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123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665270"/>
    <w:rPr>
      <w:rFonts w:asciiTheme="majorHAnsi" w:eastAsiaTheme="majorEastAsia" w:hAnsiTheme="majorHAnsi" w:cstheme="majorBidi"/>
      <w:b/>
      <w:bCs/>
      <w:i/>
      <w:iCs/>
    </w:rPr>
  </w:style>
  <w:style w:type="paragraph" w:customStyle="1" w:styleId="YATAnnualreports">
    <w:name w:val="YAT Annual reports"/>
    <w:basedOn w:val="Heading3"/>
    <w:link w:val="YATAnnualreportsChar"/>
    <w:qFormat/>
    <w:rsid w:val="00E619A9"/>
    <w:pPr>
      <w:jc w:val="both"/>
    </w:pPr>
    <w:rPr>
      <w:rFonts w:cs="Arial"/>
    </w:rPr>
  </w:style>
  <w:style w:type="character" w:customStyle="1" w:styleId="YATAnnualreportsChar">
    <w:name w:val="YAT Annual reports Char"/>
    <w:basedOn w:val="Heading3Char"/>
    <w:link w:val="YATAnnualreports"/>
    <w:rsid w:val="00E619A9"/>
    <w:rPr>
      <w:rFonts w:ascii="Arial" w:eastAsiaTheme="majorEastAsia" w:hAnsi="Arial" w:cs="Arial"/>
      <w:b/>
      <w:bCs/>
    </w:rPr>
  </w:style>
  <w:style w:type="table" w:customStyle="1" w:styleId="TableGrid3">
    <w:name w:val="Table Grid3"/>
    <w:basedOn w:val="TableNormal"/>
    <w:next w:val="TableGrid"/>
    <w:rsid w:val="008D1E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40521B"/>
    <w:rPr>
      <w:b/>
      <w:bCs/>
      <w:i w:val="0"/>
      <w:iCs w:val="0"/>
    </w:rPr>
  </w:style>
  <w:style w:type="paragraph" w:styleId="Caption">
    <w:name w:val="caption"/>
    <w:basedOn w:val="Normal"/>
    <w:next w:val="Normal"/>
    <w:unhideWhenUsed/>
    <w:qFormat/>
    <w:rsid w:val="0040521B"/>
    <w:pPr>
      <w:spacing w:after="200" w:line="240" w:lineRule="auto"/>
    </w:pPr>
    <w:rPr>
      <w:rFonts w:ascii="Calibri" w:eastAsia="Times New Roman" w:hAnsi="Calibri" w:cs="Times New Roman"/>
      <w:b/>
      <w:bCs/>
      <w:color w:val="4F81BD" w:themeColor="accent1"/>
      <w:sz w:val="18"/>
      <w:szCs w:val="18"/>
      <w:lang w:eastAsia="en-AU"/>
    </w:rPr>
  </w:style>
  <w:style w:type="numbering" w:customStyle="1" w:styleId="NoList1">
    <w:name w:val="No List1"/>
    <w:next w:val="NoList"/>
    <w:uiPriority w:val="99"/>
    <w:semiHidden/>
    <w:unhideWhenUsed/>
    <w:rsid w:val="00C17E74"/>
  </w:style>
  <w:style w:type="paragraph" w:styleId="IntenseQuote">
    <w:name w:val="Intense Quote"/>
    <w:basedOn w:val="Normal"/>
    <w:next w:val="Normal"/>
    <w:link w:val="IntenseQuoteChar"/>
    <w:uiPriority w:val="30"/>
    <w:qFormat/>
    <w:rsid w:val="00C17E74"/>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0"/>
    </w:rPr>
  </w:style>
  <w:style w:type="character" w:customStyle="1" w:styleId="IntenseQuoteChar">
    <w:name w:val="Intense Quote Char"/>
    <w:basedOn w:val="DefaultParagraphFont"/>
    <w:link w:val="IntenseQuote"/>
    <w:uiPriority w:val="30"/>
    <w:rsid w:val="00C17E74"/>
    <w:rPr>
      <w:rFonts w:ascii="Times New Roman" w:eastAsia="Times New Roman" w:hAnsi="Times New Roman" w:cs="Times New Roman"/>
      <w:b/>
      <w:bCs/>
      <w:i/>
      <w:iCs/>
      <w:color w:val="4F81BD" w:themeColor="accent1"/>
      <w:sz w:val="24"/>
      <w:szCs w:val="20"/>
    </w:rPr>
  </w:style>
  <w:style w:type="paragraph" w:customStyle="1" w:styleId="Ahead">
    <w:name w:val="Ahead"/>
    <w:basedOn w:val="Normal"/>
    <w:qFormat/>
    <w:rsid w:val="00C17E74"/>
    <w:pPr>
      <w:spacing w:after="120" w:line="240" w:lineRule="auto"/>
    </w:pPr>
    <w:rPr>
      <w:rFonts w:ascii="Times New Roman" w:hAnsi="Times New Roman"/>
      <w:b/>
      <w:sz w:val="28"/>
      <w:szCs w:val="24"/>
      <w:lang w:val="en-US"/>
    </w:rPr>
  </w:style>
  <w:style w:type="paragraph" w:customStyle="1" w:styleId="text">
    <w:name w:val="text"/>
    <w:basedOn w:val="BodyText"/>
    <w:qFormat/>
    <w:rsid w:val="00C17E74"/>
    <w:pPr>
      <w:spacing w:before="120" w:after="120"/>
      <w:ind w:right="34"/>
    </w:pPr>
    <w:rPr>
      <w:rFonts w:asciiTheme="minorHAnsi" w:eastAsia="Times New Roman" w:hAnsiTheme="minorHAnsi" w:cstheme="minorHAnsi"/>
      <w:sz w:val="22"/>
      <w:szCs w:val="22"/>
      <w:lang w:val="en-US" w:eastAsia="en-US"/>
    </w:rPr>
  </w:style>
  <w:style w:type="paragraph" w:styleId="NoSpacing">
    <w:name w:val="No Spacing"/>
    <w:uiPriority w:val="1"/>
    <w:qFormat/>
    <w:rsid w:val="00C17E74"/>
    <w:pPr>
      <w:spacing w:after="0" w:line="240" w:lineRule="auto"/>
    </w:pPr>
    <w:rPr>
      <w:rFonts w:ascii="Calibri" w:eastAsia="Calibri" w:hAnsi="Calibri" w:cs="Times New Roman"/>
    </w:rPr>
  </w:style>
  <w:style w:type="paragraph" w:customStyle="1" w:styleId="dpReclev2">
    <w:name w:val="dp Rec lev2"/>
    <w:basedOn w:val="Normal"/>
    <w:qFormat/>
    <w:rsid w:val="00C17E74"/>
    <w:pPr>
      <w:numPr>
        <w:numId w:val="44"/>
      </w:numPr>
      <w:tabs>
        <w:tab w:val="right" w:leader="dot" w:pos="9639"/>
      </w:tabs>
      <w:spacing w:after="200" w:line="252" w:lineRule="auto"/>
      <w:contextualSpacing/>
    </w:pPr>
    <w:rPr>
      <w:rFonts w:asciiTheme="majorHAnsi" w:eastAsiaTheme="majorEastAsia" w:hAnsiTheme="majorHAnsi" w:cstheme="majorBidi"/>
      <w:noProof/>
    </w:rPr>
  </w:style>
  <w:style w:type="paragraph" w:styleId="TOC4">
    <w:name w:val="toc 4"/>
    <w:basedOn w:val="Normal"/>
    <w:next w:val="Normal"/>
    <w:autoRedefine/>
    <w:rsid w:val="00C17E74"/>
    <w:pPr>
      <w:spacing w:line="240" w:lineRule="auto"/>
      <w:ind w:left="720"/>
    </w:pPr>
    <w:rPr>
      <w:rFonts w:eastAsia="Times New Roman" w:cstheme="minorHAnsi"/>
      <w:sz w:val="18"/>
      <w:szCs w:val="18"/>
    </w:rPr>
  </w:style>
  <w:style w:type="paragraph" w:styleId="TOC5">
    <w:name w:val="toc 5"/>
    <w:basedOn w:val="Normal"/>
    <w:next w:val="Normal"/>
    <w:autoRedefine/>
    <w:rsid w:val="00C17E74"/>
    <w:pPr>
      <w:spacing w:line="240" w:lineRule="auto"/>
      <w:ind w:left="960"/>
    </w:pPr>
    <w:rPr>
      <w:rFonts w:eastAsia="Times New Roman" w:cstheme="minorHAnsi"/>
      <w:sz w:val="18"/>
      <w:szCs w:val="18"/>
    </w:rPr>
  </w:style>
  <w:style w:type="paragraph" w:styleId="TOC6">
    <w:name w:val="toc 6"/>
    <w:basedOn w:val="Normal"/>
    <w:next w:val="Normal"/>
    <w:autoRedefine/>
    <w:rsid w:val="00C17E74"/>
    <w:pPr>
      <w:spacing w:line="240" w:lineRule="auto"/>
      <w:ind w:left="1200"/>
    </w:pPr>
    <w:rPr>
      <w:rFonts w:eastAsia="Times New Roman" w:cstheme="minorHAnsi"/>
      <w:sz w:val="18"/>
      <w:szCs w:val="18"/>
    </w:rPr>
  </w:style>
  <w:style w:type="paragraph" w:styleId="TOC7">
    <w:name w:val="toc 7"/>
    <w:basedOn w:val="Normal"/>
    <w:next w:val="Normal"/>
    <w:autoRedefine/>
    <w:rsid w:val="00C17E74"/>
    <w:pPr>
      <w:spacing w:line="240" w:lineRule="auto"/>
      <w:ind w:left="1440"/>
    </w:pPr>
    <w:rPr>
      <w:rFonts w:eastAsia="Times New Roman" w:cstheme="minorHAnsi"/>
      <w:sz w:val="18"/>
      <w:szCs w:val="18"/>
    </w:rPr>
  </w:style>
  <w:style w:type="paragraph" w:styleId="TOC8">
    <w:name w:val="toc 8"/>
    <w:basedOn w:val="Normal"/>
    <w:next w:val="Normal"/>
    <w:autoRedefine/>
    <w:rsid w:val="00C17E74"/>
    <w:pPr>
      <w:spacing w:line="240" w:lineRule="auto"/>
      <w:ind w:left="1680"/>
    </w:pPr>
    <w:rPr>
      <w:rFonts w:eastAsia="Times New Roman" w:cstheme="minorHAnsi"/>
      <w:sz w:val="18"/>
      <w:szCs w:val="18"/>
    </w:rPr>
  </w:style>
  <w:style w:type="paragraph" w:styleId="TOC9">
    <w:name w:val="toc 9"/>
    <w:basedOn w:val="Normal"/>
    <w:next w:val="Normal"/>
    <w:autoRedefine/>
    <w:rsid w:val="00C17E74"/>
    <w:pPr>
      <w:spacing w:line="240" w:lineRule="auto"/>
      <w:ind w:left="1920"/>
    </w:pPr>
    <w:rPr>
      <w:rFonts w:eastAsia="Times New Roman" w:cstheme="minorHAnsi"/>
      <w:sz w:val="18"/>
      <w:szCs w:val="18"/>
    </w:rPr>
  </w:style>
  <w:style w:type="table" w:customStyle="1" w:styleId="TableGrid4">
    <w:name w:val="Table Grid4"/>
    <w:basedOn w:val="TableNormal"/>
    <w:next w:val="TableGrid"/>
    <w:rsid w:val="00C17E74"/>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17E74"/>
    <w:pPr>
      <w:spacing w:after="0" w:line="240" w:lineRule="auto"/>
    </w:pPr>
    <w:rPr>
      <w:rFonts w:ascii="Times New Roman" w:eastAsia="Times New Roman" w:hAnsi="Times New Roman" w:cs="Times New Roman"/>
      <w:sz w:val="24"/>
      <w:szCs w:val="20"/>
    </w:rPr>
  </w:style>
  <w:style w:type="paragraph" w:styleId="ListBullet">
    <w:name w:val="List Bullet"/>
    <w:basedOn w:val="ListParagraph"/>
    <w:rsid w:val="00C17E74"/>
    <w:pPr>
      <w:numPr>
        <w:numId w:val="45"/>
      </w:numPr>
      <w:spacing w:line="240" w:lineRule="auto"/>
      <w:contextualSpacing w:val="0"/>
    </w:pPr>
    <w:rPr>
      <w:rFonts w:eastAsia="Times New Roman" w:cstheme="minorHAnsi"/>
    </w:rPr>
  </w:style>
  <w:style w:type="paragraph" w:styleId="ListBullet2">
    <w:name w:val="List Bullet 2"/>
    <w:basedOn w:val="ListParagraph"/>
    <w:rsid w:val="00C17E74"/>
    <w:pPr>
      <w:framePr w:hSpace="180" w:wrap="around" w:vAnchor="text" w:hAnchor="margin" w:xAlign="center" w:y="14"/>
      <w:numPr>
        <w:numId w:val="46"/>
      </w:numPr>
      <w:tabs>
        <w:tab w:val="left" w:pos="284"/>
      </w:tabs>
      <w:spacing w:line="240" w:lineRule="auto"/>
    </w:pPr>
    <w:rPr>
      <w:rFonts w:ascii="Calibri" w:eastAsia="Times New Roman" w:hAnsi="Calibri" w:cs="Calibri"/>
      <w:sz w:val="20"/>
      <w:szCs w:val="20"/>
    </w:rPr>
  </w:style>
  <w:style w:type="paragraph" w:styleId="Title">
    <w:name w:val="Title"/>
    <w:basedOn w:val="Normal"/>
    <w:next w:val="Normal"/>
    <w:link w:val="TitleChar"/>
    <w:qFormat/>
    <w:rsid w:val="00C17E74"/>
    <w:pPr>
      <w:spacing w:line="240" w:lineRule="auto"/>
      <w:jc w:val="right"/>
    </w:pPr>
    <w:rPr>
      <w:rFonts w:eastAsia="Times New Roman" w:cstheme="minorHAnsi"/>
      <w:b/>
      <w:color w:val="165788"/>
      <w:sz w:val="56"/>
      <w:szCs w:val="56"/>
    </w:rPr>
  </w:style>
  <w:style w:type="character" w:customStyle="1" w:styleId="TitleChar">
    <w:name w:val="Title Char"/>
    <w:basedOn w:val="DefaultParagraphFont"/>
    <w:link w:val="Title"/>
    <w:rsid w:val="00C17E74"/>
    <w:rPr>
      <w:rFonts w:eastAsia="Times New Roman" w:cstheme="minorHAnsi"/>
      <w:b/>
      <w:color w:val="165788"/>
      <w:sz w:val="56"/>
      <w:szCs w:val="56"/>
    </w:rPr>
  </w:style>
  <w:style w:type="paragraph" w:styleId="Subtitle">
    <w:name w:val="Subtitle"/>
    <w:basedOn w:val="Normal"/>
    <w:next w:val="Normal"/>
    <w:link w:val="SubtitleChar"/>
    <w:qFormat/>
    <w:rsid w:val="00C17E74"/>
    <w:pPr>
      <w:spacing w:line="240" w:lineRule="auto"/>
      <w:jc w:val="right"/>
    </w:pPr>
    <w:rPr>
      <w:rFonts w:eastAsia="Times New Roman" w:cstheme="minorHAnsi"/>
      <w:b/>
      <w:color w:val="165788"/>
      <w:sz w:val="52"/>
      <w:szCs w:val="52"/>
    </w:rPr>
  </w:style>
  <w:style w:type="character" w:customStyle="1" w:styleId="SubtitleChar">
    <w:name w:val="Subtitle Char"/>
    <w:basedOn w:val="DefaultParagraphFont"/>
    <w:link w:val="Subtitle"/>
    <w:rsid w:val="00C17E74"/>
    <w:rPr>
      <w:rFonts w:eastAsia="Times New Roman" w:cstheme="minorHAnsi"/>
      <w:b/>
      <w:color w:val="165788"/>
      <w:sz w:val="52"/>
      <w:szCs w:val="52"/>
    </w:rPr>
  </w:style>
  <w:style w:type="paragraph" w:styleId="BodyText2">
    <w:name w:val="Body Text 2"/>
    <w:basedOn w:val="BodyText"/>
    <w:link w:val="BodyText2Char"/>
    <w:rsid w:val="00C17E74"/>
    <w:pPr>
      <w:spacing w:before="0" w:after="120"/>
      <w:ind w:right="34"/>
    </w:pPr>
    <w:rPr>
      <w:rFonts w:asciiTheme="minorHAnsi" w:eastAsia="Times New Roman" w:hAnsiTheme="minorHAnsi" w:cstheme="minorHAnsi"/>
      <w:sz w:val="22"/>
      <w:szCs w:val="22"/>
      <w:lang w:val="en-US"/>
    </w:rPr>
  </w:style>
  <w:style w:type="character" w:customStyle="1" w:styleId="BodyText2Char">
    <w:name w:val="Body Text 2 Char"/>
    <w:basedOn w:val="DefaultParagraphFont"/>
    <w:link w:val="BodyText2"/>
    <w:rsid w:val="00C17E74"/>
    <w:rPr>
      <w:rFonts w:eastAsia="Times New Roman" w:cstheme="minorHAnsi"/>
      <w:lang w:val="en-US" w:eastAsia="en-AU"/>
    </w:rPr>
  </w:style>
  <w:style w:type="paragraph" w:customStyle="1" w:styleId="VersionControl">
    <w:name w:val="Version Control"/>
    <w:basedOn w:val="Normal"/>
    <w:qFormat/>
    <w:rsid w:val="00C17E74"/>
    <w:pPr>
      <w:spacing w:line="240" w:lineRule="auto"/>
      <w:jc w:val="center"/>
    </w:pPr>
    <w:rPr>
      <w:rFonts w:eastAsia="Times New Roman" w:cstheme="minorHAnsi"/>
      <w:b/>
      <w:sz w:val="24"/>
      <w:szCs w:val="20"/>
      <w:lang w:eastAsia="en-AU"/>
    </w:rPr>
  </w:style>
  <w:style w:type="paragraph" w:styleId="TableofFigures">
    <w:name w:val="table of figures"/>
    <w:basedOn w:val="Normal"/>
    <w:next w:val="text"/>
    <w:qFormat/>
    <w:rsid w:val="00C17E74"/>
    <w:pPr>
      <w:spacing w:line="240" w:lineRule="auto"/>
      <w:jc w:val="center"/>
    </w:pPr>
    <w:rPr>
      <w:rFonts w:ascii="Calibri" w:eastAsia="Times New Roman" w:hAnsi="Calibri" w:cs="Calibri"/>
      <w:color w:val="000000"/>
      <w:sz w:val="20"/>
      <w:szCs w:val="20"/>
    </w:rPr>
  </w:style>
  <w:style w:type="paragraph" w:styleId="PlainText">
    <w:name w:val="Plain Text"/>
    <w:basedOn w:val="Normal"/>
    <w:link w:val="PlainTextChar"/>
    <w:rsid w:val="00C17E74"/>
    <w:pPr>
      <w:framePr w:hSpace="180" w:wrap="around" w:vAnchor="text" w:hAnchor="margin" w:xAlign="center" w:y="14"/>
      <w:spacing w:line="240" w:lineRule="auto"/>
    </w:pPr>
    <w:rPr>
      <w:rFonts w:ascii="Calibri" w:eastAsia="Times New Roman" w:hAnsi="Calibri" w:cs="Calibri"/>
      <w:sz w:val="20"/>
      <w:szCs w:val="20"/>
      <w:lang w:eastAsia="en-AU"/>
    </w:rPr>
  </w:style>
  <w:style w:type="character" w:customStyle="1" w:styleId="PlainTextChar">
    <w:name w:val="Plain Text Char"/>
    <w:basedOn w:val="DefaultParagraphFont"/>
    <w:link w:val="PlainText"/>
    <w:rsid w:val="00C17E74"/>
    <w:rPr>
      <w:rFonts w:ascii="Calibri" w:eastAsia="Times New Roman" w:hAnsi="Calibri" w:cs="Calibri"/>
      <w:sz w:val="20"/>
      <w:szCs w:val="20"/>
      <w:lang w:eastAsia="en-AU"/>
    </w:rPr>
  </w:style>
  <w:style w:type="character" w:customStyle="1" w:styleId="ListParagraphChar">
    <w:name w:val="List Paragraph Char"/>
    <w:basedOn w:val="DefaultParagraphFont"/>
    <w:link w:val="ListParagraph"/>
    <w:uiPriority w:val="34"/>
    <w:locked/>
    <w:rsid w:val="00C17E74"/>
  </w:style>
  <w:style w:type="paragraph" w:customStyle="1" w:styleId="TableColumnHeading">
    <w:name w:val="Table Column Heading"/>
    <w:basedOn w:val="Normal"/>
    <w:qFormat/>
    <w:rsid w:val="00C17E74"/>
    <w:pPr>
      <w:spacing w:line="240" w:lineRule="auto"/>
      <w:jc w:val="center"/>
    </w:pPr>
    <w:rPr>
      <w:rFonts w:ascii="Calibri" w:eastAsia="Times New Roman" w:hAnsi="Calibri" w:cs="Calibri"/>
      <w:b/>
      <w:bCs/>
      <w:sz w:val="20"/>
      <w:lang w:eastAsia="en-AU"/>
    </w:rPr>
  </w:style>
  <w:style w:type="paragraph" w:customStyle="1" w:styleId="section1">
    <w:name w:val="section1"/>
    <w:basedOn w:val="Normal"/>
    <w:rsid w:val="00C17E74"/>
    <w:pPr>
      <w:spacing w:before="100" w:beforeAutospacing="1" w:after="100" w:afterAutospacing="1" w:line="240" w:lineRule="auto"/>
    </w:pPr>
    <w:rPr>
      <w:rFonts w:ascii="Times New Roman" w:hAnsi="Times New Roman" w:cs="Times New Roman"/>
      <w:sz w:val="24"/>
      <w:szCs w:val="24"/>
      <w:lang w:eastAsia="en-AU"/>
    </w:rPr>
  </w:style>
  <w:style w:type="paragraph" w:customStyle="1" w:styleId="SnapshotHeading">
    <w:name w:val="Snapshot Heading"/>
    <w:basedOn w:val="Normal"/>
    <w:qFormat/>
    <w:rsid w:val="00C17E74"/>
    <w:pPr>
      <w:tabs>
        <w:tab w:val="left" w:pos="6075"/>
      </w:tabs>
    </w:pPr>
    <w:rPr>
      <w:rFonts w:ascii="Calibri" w:eastAsia="Calibri" w:hAnsi="Calibri" w:cs="Times New Roman"/>
      <w:b/>
      <w:color w:val="1F497D" w:themeColor="text2"/>
      <w:sz w:val="28"/>
      <w:szCs w:val="28"/>
    </w:rPr>
  </w:style>
  <w:style w:type="paragraph" w:styleId="Quote">
    <w:name w:val="Quote"/>
    <w:basedOn w:val="Normal"/>
    <w:next w:val="Normal"/>
    <w:link w:val="QuoteChar"/>
    <w:uiPriority w:val="29"/>
    <w:qFormat/>
    <w:rsid w:val="00C17E74"/>
    <w:pPr>
      <w:spacing w:line="240" w:lineRule="auto"/>
    </w:pPr>
    <w:rPr>
      <w:rFonts w:ascii="Times New Roman" w:eastAsia="Times New Roman" w:hAnsi="Times New Roman" w:cs="Times New Roman"/>
      <w:i/>
      <w:iCs/>
      <w:color w:val="000000" w:themeColor="text1"/>
      <w:sz w:val="24"/>
      <w:szCs w:val="20"/>
    </w:rPr>
  </w:style>
  <w:style w:type="character" w:customStyle="1" w:styleId="QuoteChar">
    <w:name w:val="Quote Char"/>
    <w:basedOn w:val="DefaultParagraphFont"/>
    <w:link w:val="Quote"/>
    <w:uiPriority w:val="29"/>
    <w:rsid w:val="00C17E74"/>
    <w:rPr>
      <w:rFonts w:ascii="Times New Roman" w:eastAsia="Times New Roman" w:hAnsi="Times New Roman" w:cs="Times New Roman"/>
      <w:i/>
      <w:iCs/>
      <w:color w:val="000000" w:themeColor="tex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qFormat="1"/>
    <w:lsdException w:name="footnote reference" w:uiPriority="0"/>
    <w:lsdException w:name="annotation reference"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B9B"/>
    <w:pPr>
      <w:spacing w:after="0"/>
    </w:pPr>
  </w:style>
  <w:style w:type="paragraph" w:styleId="Heading1">
    <w:name w:val="heading 1"/>
    <w:basedOn w:val="Normal"/>
    <w:next w:val="Normal"/>
    <w:link w:val="Heading1Char"/>
    <w:qFormat/>
    <w:rsid w:val="00E619A9"/>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E619A9"/>
    <w:pPr>
      <w:keepNext/>
      <w:keepLines/>
      <w:spacing w:before="240" w:after="24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nhideWhenUsed/>
    <w:qFormat/>
    <w:rsid w:val="00C17EF5"/>
    <w:pPr>
      <w:keepNext/>
      <w:keepLines/>
      <w:spacing w:before="240" w:after="120"/>
      <w:outlineLvl w:val="2"/>
    </w:pPr>
    <w:rPr>
      <w:rFonts w:ascii="Arial" w:eastAsiaTheme="majorEastAsia" w:hAnsi="Arial" w:cstheme="majorBidi"/>
      <w:b/>
      <w:bCs/>
    </w:rPr>
  </w:style>
  <w:style w:type="paragraph" w:styleId="Heading4">
    <w:name w:val="heading 4"/>
    <w:basedOn w:val="Normal"/>
    <w:next w:val="Normal"/>
    <w:link w:val="Heading4Char"/>
    <w:unhideWhenUsed/>
    <w:qFormat/>
    <w:rsid w:val="00665270"/>
    <w:pPr>
      <w:keepNext/>
      <w:keepLines/>
      <w:spacing w:before="200"/>
      <w:ind w:left="72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WGHeader">
    <w:name w:val="MLWG Header"/>
    <w:basedOn w:val="Normal"/>
    <w:rsid w:val="006255E6"/>
    <w:pPr>
      <w:pBdr>
        <w:bottom w:val="single" w:sz="8" w:space="1" w:color="FFFFFF"/>
      </w:pBdr>
      <w:shd w:val="clear" w:color="auto" w:fill="17365D" w:themeFill="text2" w:themeFillShade="BF"/>
      <w:spacing w:line="240" w:lineRule="auto"/>
      <w:jc w:val="right"/>
    </w:pPr>
    <w:rPr>
      <w:rFonts w:ascii="Calibri" w:eastAsia="Times New Roman" w:hAnsi="Calibri" w:cs="Times New Roman"/>
      <w:b/>
      <w:bCs/>
      <w:color w:val="FFFFFF"/>
      <w:szCs w:val="20"/>
      <w:lang w:eastAsia="en-AU"/>
    </w:rPr>
  </w:style>
  <w:style w:type="paragraph" w:customStyle="1" w:styleId="TopLine">
    <w:name w:val="Top Line"/>
    <w:basedOn w:val="Normal"/>
    <w:qFormat/>
    <w:rsid w:val="00BB43CB"/>
    <w:pPr>
      <w:pBdr>
        <w:bottom w:val="single" w:sz="4" w:space="1" w:color="auto"/>
      </w:pBdr>
      <w:spacing w:after="240"/>
    </w:pPr>
    <w:rPr>
      <w:b/>
      <w:sz w:val="24"/>
      <w:szCs w:val="24"/>
    </w:rPr>
  </w:style>
  <w:style w:type="paragraph" w:customStyle="1" w:styleId="Numberedpara">
    <w:name w:val="Numbered para"/>
    <w:basedOn w:val="Normal"/>
    <w:qFormat/>
    <w:rsid w:val="00BB43CB"/>
    <w:pPr>
      <w:ind w:left="567" w:hanging="567"/>
    </w:pPr>
  </w:style>
  <w:style w:type="paragraph" w:customStyle="1" w:styleId="Dots">
    <w:name w:val="Dots"/>
    <w:basedOn w:val="ListParagraph"/>
    <w:qFormat/>
    <w:rsid w:val="00BB43CB"/>
    <w:pPr>
      <w:numPr>
        <w:numId w:val="1"/>
      </w:numPr>
    </w:pPr>
  </w:style>
  <w:style w:type="paragraph" w:styleId="ListParagraph">
    <w:name w:val="List Paragraph"/>
    <w:basedOn w:val="Normal"/>
    <w:link w:val="ListParagraphChar"/>
    <w:uiPriority w:val="34"/>
    <w:qFormat/>
    <w:rsid w:val="00BB43CB"/>
    <w:pPr>
      <w:ind w:left="720"/>
      <w:contextualSpacing/>
    </w:pPr>
  </w:style>
  <w:style w:type="paragraph" w:styleId="BalloonText">
    <w:name w:val="Balloon Text"/>
    <w:basedOn w:val="Normal"/>
    <w:link w:val="BalloonTextChar"/>
    <w:unhideWhenUsed/>
    <w:rsid w:val="006255E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255E6"/>
    <w:rPr>
      <w:rFonts w:ascii="Tahoma" w:hAnsi="Tahoma" w:cs="Tahoma"/>
      <w:sz w:val="16"/>
      <w:szCs w:val="16"/>
    </w:rPr>
  </w:style>
  <w:style w:type="character" w:customStyle="1" w:styleId="Heading1Char">
    <w:name w:val="Heading 1 Char"/>
    <w:basedOn w:val="DefaultParagraphFont"/>
    <w:link w:val="Heading1"/>
    <w:rsid w:val="00E619A9"/>
    <w:rPr>
      <w:rFonts w:eastAsiaTheme="majorEastAsia" w:cstheme="majorBidi"/>
      <w:b/>
      <w:bCs/>
      <w:sz w:val="32"/>
      <w:szCs w:val="28"/>
    </w:rPr>
  </w:style>
  <w:style w:type="character" w:customStyle="1" w:styleId="Heading2Char">
    <w:name w:val="Heading 2 Char"/>
    <w:basedOn w:val="DefaultParagraphFont"/>
    <w:link w:val="Heading2"/>
    <w:rsid w:val="00E619A9"/>
    <w:rPr>
      <w:rFonts w:eastAsiaTheme="majorEastAsia" w:cstheme="majorBidi"/>
      <w:b/>
      <w:bCs/>
      <w:color w:val="000000" w:themeColor="text1"/>
      <w:sz w:val="28"/>
      <w:szCs w:val="26"/>
    </w:rPr>
  </w:style>
  <w:style w:type="paragraph" w:styleId="Header">
    <w:name w:val="header"/>
    <w:basedOn w:val="Normal"/>
    <w:link w:val="HeaderChar"/>
    <w:unhideWhenUsed/>
    <w:rsid w:val="009D48D6"/>
    <w:pPr>
      <w:pBdr>
        <w:bottom w:val="double" w:sz="6" w:space="0" w:color="004270"/>
      </w:pBdr>
      <w:tabs>
        <w:tab w:val="center" w:pos="4513"/>
        <w:tab w:val="right" w:pos="9026"/>
      </w:tabs>
      <w:spacing w:line="240" w:lineRule="auto"/>
      <w:jc w:val="right"/>
    </w:pPr>
    <w:rPr>
      <w:rFonts w:ascii="Tahoma" w:hAnsi="Tahoma" w:cs="Tahoma"/>
      <w:sz w:val="16"/>
      <w:szCs w:val="16"/>
    </w:rPr>
  </w:style>
  <w:style w:type="character" w:customStyle="1" w:styleId="HeaderChar">
    <w:name w:val="Header Char"/>
    <w:basedOn w:val="DefaultParagraphFont"/>
    <w:link w:val="Header"/>
    <w:rsid w:val="009D48D6"/>
    <w:rPr>
      <w:rFonts w:ascii="Tahoma" w:hAnsi="Tahoma" w:cs="Tahoma"/>
      <w:sz w:val="16"/>
      <w:szCs w:val="16"/>
    </w:rPr>
  </w:style>
  <w:style w:type="paragraph" w:styleId="Footer">
    <w:name w:val="footer"/>
    <w:basedOn w:val="Normal"/>
    <w:link w:val="FooterChar"/>
    <w:uiPriority w:val="99"/>
    <w:unhideWhenUsed/>
    <w:rsid w:val="009D48D6"/>
    <w:pPr>
      <w:pBdr>
        <w:top w:val="double" w:sz="6" w:space="0" w:color="004270"/>
      </w:pBdr>
      <w:tabs>
        <w:tab w:val="right" w:pos="1134"/>
      </w:tabs>
      <w:spacing w:line="240" w:lineRule="auto"/>
      <w:ind w:right="7892"/>
    </w:pPr>
    <w:rPr>
      <w:rFonts w:ascii="Tahoma" w:hAnsi="Tahoma" w:cs="Tahoma"/>
      <w:sz w:val="16"/>
      <w:szCs w:val="16"/>
    </w:rPr>
  </w:style>
  <w:style w:type="character" w:customStyle="1" w:styleId="FooterChar">
    <w:name w:val="Footer Char"/>
    <w:basedOn w:val="DefaultParagraphFont"/>
    <w:link w:val="Footer"/>
    <w:uiPriority w:val="99"/>
    <w:rsid w:val="009D48D6"/>
    <w:rPr>
      <w:rFonts w:ascii="Tahoma" w:hAnsi="Tahoma" w:cs="Tahoma"/>
      <w:sz w:val="16"/>
      <w:szCs w:val="16"/>
    </w:rPr>
  </w:style>
  <w:style w:type="paragraph" w:customStyle="1" w:styleId="Titlepage">
    <w:name w:val="Title page"/>
    <w:basedOn w:val="Normal"/>
    <w:link w:val="TitlepageChar"/>
    <w:qFormat/>
    <w:rsid w:val="009A483B"/>
    <w:pPr>
      <w:jc w:val="center"/>
    </w:pPr>
    <w:rPr>
      <w:rFonts w:ascii="Arial" w:hAnsi="Arial" w:cs="Arial"/>
      <w:b/>
      <w:color w:val="004270"/>
      <w:sz w:val="56"/>
      <w:szCs w:val="56"/>
    </w:rPr>
  </w:style>
  <w:style w:type="paragraph" w:customStyle="1" w:styleId="Default">
    <w:name w:val="Default"/>
    <w:link w:val="DefaultChar"/>
    <w:rsid w:val="009D7F6B"/>
    <w:pPr>
      <w:autoSpaceDE w:val="0"/>
      <w:autoSpaceDN w:val="0"/>
      <w:adjustRightInd w:val="0"/>
      <w:spacing w:after="0" w:line="240" w:lineRule="auto"/>
    </w:pPr>
    <w:rPr>
      <w:rFonts w:ascii="Corbel" w:hAnsi="Corbel" w:cs="Corbel"/>
      <w:color w:val="000000"/>
      <w:sz w:val="24"/>
      <w:szCs w:val="24"/>
    </w:rPr>
  </w:style>
  <w:style w:type="character" w:customStyle="1" w:styleId="TitlepageChar">
    <w:name w:val="Title page Char"/>
    <w:basedOn w:val="DefaultParagraphFont"/>
    <w:link w:val="Titlepage"/>
    <w:rsid w:val="009A483B"/>
    <w:rPr>
      <w:rFonts w:ascii="Arial" w:hAnsi="Arial" w:cs="Arial"/>
      <w:b/>
      <w:color w:val="004270"/>
      <w:sz w:val="56"/>
      <w:szCs w:val="56"/>
    </w:rPr>
  </w:style>
  <w:style w:type="paragraph" w:customStyle="1" w:styleId="FromNP">
    <w:name w:val="From NP"/>
    <w:basedOn w:val="Default"/>
    <w:link w:val="FromNPChar"/>
    <w:qFormat/>
    <w:rsid w:val="009D7F6B"/>
    <w:pPr>
      <w:spacing w:after="195"/>
    </w:pPr>
    <w:rPr>
      <w:sz w:val="23"/>
      <w:szCs w:val="23"/>
    </w:rPr>
  </w:style>
  <w:style w:type="paragraph" w:customStyle="1" w:styleId="TableColumnHeadingCentred">
    <w:name w:val="Table Column Heading Centred"/>
    <w:basedOn w:val="Normal"/>
    <w:rsid w:val="000B6578"/>
    <w:pPr>
      <w:spacing w:before="40" w:after="40" w:line="240" w:lineRule="auto"/>
      <w:jc w:val="center"/>
    </w:pPr>
    <w:rPr>
      <w:rFonts w:ascii="Consolas" w:eastAsia="Times New Roman" w:hAnsi="Consolas" w:cs="Times New Roman"/>
      <w:b/>
      <w:color w:val="3D4B67"/>
      <w:szCs w:val="20"/>
      <w:lang w:eastAsia="en-AU"/>
    </w:rPr>
  </w:style>
  <w:style w:type="character" w:customStyle="1" w:styleId="DefaultChar">
    <w:name w:val="Default Char"/>
    <w:basedOn w:val="DefaultParagraphFont"/>
    <w:link w:val="Default"/>
    <w:rsid w:val="009D7F6B"/>
    <w:rPr>
      <w:rFonts w:ascii="Corbel" w:hAnsi="Corbel" w:cs="Corbel"/>
      <w:color w:val="000000"/>
      <w:sz w:val="24"/>
      <w:szCs w:val="24"/>
    </w:rPr>
  </w:style>
  <w:style w:type="character" w:customStyle="1" w:styleId="FromNPChar">
    <w:name w:val="From NP Char"/>
    <w:basedOn w:val="DefaultChar"/>
    <w:link w:val="FromNP"/>
    <w:rsid w:val="009D7F6B"/>
    <w:rPr>
      <w:rFonts w:ascii="Corbel" w:hAnsi="Corbel" w:cs="Corbel"/>
      <w:color w:val="000000"/>
      <w:sz w:val="24"/>
      <w:szCs w:val="24"/>
    </w:rPr>
  </w:style>
  <w:style w:type="paragraph" w:customStyle="1" w:styleId="TableTextLeft">
    <w:name w:val="Table Text Left"/>
    <w:basedOn w:val="Normal"/>
    <w:rsid w:val="000B6578"/>
    <w:pPr>
      <w:spacing w:before="40" w:after="40" w:line="240" w:lineRule="auto"/>
      <w:jc w:val="both"/>
    </w:pPr>
    <w:rPr>
      <w:rFonts w:ascii="Corbel" w:eastAsia="Times New Roman" w:hAnsi="Corbel" w:cs="Times New Roman"/>
      <w:color w:val="000000"/>
      <w:sz w:val="21"/>
      <w:szCs w:val="20"/>
      <w:lang w:eastAsia="en-AU"/>
    </w:rPr>
  </w:style>
  <w:style w:type="paragraph" w:customStyle="1" w:styleId="Normalnumbered">
    <w:name w:val="Normal numbered"/>
    <w:basedOn w:val="Normal"/>
    <w:link w:val="NormalnumberedChar"/>
    <w:uiPriority w:val="99"/>
    <w:rsid w:val="000B6578"/>
    <w:pPr>
      <w:numPr>
        <w:numId w:val="2"/>
      </w:numPr>
      <w:spacing w:after="240" w:line="260" w:lineRule="exact"/>
      <w:jc w:val="both"/>
    </w:pPr>
    <w:rPr>
      <w:rFonts w:ascii="Corbel" w:eastAsia="Times New Roman" w:hAnsi="Corbel" w:cs="Times New Roman"/>
      <w:color w:val="000000"/>
      <w:sz w:val="23"/>
      <w:szCs w:val="20"/>
      <w:lang w:eastAsia="en-AU"/>
    </w:rPr>
  </w:style>
  <w:style w:type="character" w:customStyle="1" w:styleId="NormalnumberedChar">
    <w:name w:val="Normal numbered Char"/>
    <w:basedOn w:val="DefaultParagraphFont"/>
    <w:link w:val="Normalnumbered"/>
    <w:uiPriority w:val="99"/>
    <w:locked/>
    <w:rsid w:val="000B6578"/>
    <w:rPr>
      <w:rFonts w:ascii="Corbel" w:eastAsia="Times New Roman" w:hAnsi="Corbel" w:cs="Times New Roman"/>
      <w:color w:val="000000"/>
      <w:sz w:val="23"/>
      <w:szCs w:val="20"/>
      <w:lang w:eastAsia="en-AU"/>
    </w:rPr>
  </w:style>
  <w:style w:type="table" w:styleId="TableGrid">
    <w:name w:val="Table Grid"/>
    <w:basedOn w:val="TableNormal"/>
    <w:rsid w:val="00AC68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553AC"/>
    <w:pPr>
      <w:outlineLvl w:val="9"/>
    </w:pPr>
    <w:rPr>
      <w:lang w:val="en-US"/>
    </w:rPr>
  </w:style>
  <w:style w:type="paragraph" w:styleId="TOC2">
    <w:name w:val="toc 2"/>
    <w:basedOn w:val="Normal"/>
    <w:next w:val="Normal"/>
    <w:autoRedefine/>
    <w:uiPriority w:val="39"/>
    <w:unhideWhenUsed/>
    <w:qFormat/>
    <w:rsid w:val="00B553AC"/>
    <w:pPr>
      <w:tabs>
        <w:tab w:val="right" w:leader="dot" w:pos="9016"/>
      </w:tabs>
      <w:spacing w:after="100"/>
      <w:ind w:left="220"/>
    </w:pPr>
  </w:style>
  <w:style w:type="character" w:styleId="Hyperlink">
    <w:name w:val="Hyperlink"/>
    <w:basedOn w:val="DefaultParagraphFont"/>
    <w:uiPriority w:val="99"/>
    <w:unhideWhenUsed/>
    <w:rsid w:val="00B553AC"/>
    <w:rPr>
      <w:color w:val="0000FF" w:themeColor="hyperlink"/>
      <w:u w:val="single"/>
    </w:rPr>
  </w:style>
  <w:style w:type="paragraph" w:styleId="TOC1">
    <w:name w:val="toc 1"/>
    <w:basedOn w:val="Normal"/>
    <w:next w:val="Normal"/>
    <w:autoRedefine/>
    <w:uiPriority w:val="39"/>
    <w:unhideWhenUsed/>
    <w:qFormat/>
    <w:rsid w:val="00B553AC"/>
    <w:pPr>
      <w:spacing w:after="100"/>
    </w:pPr>
    <w:rPr>
      <w:rFonts w:eastAsiaTheme="minorEastAsia"/>
      <w:lang w:val="en-US"/>
    </w:rPr>
  </w:style>
  <w:style w:type="paragraph" w:styleId="TOC3">
    <w:name w:val="toc 3"/>
    <w:basedOn w:val="Normal"/>
    <w:next w:val="Normal"/>
    <w:autoRedefine/>
    <w:uiPriority w:val="39"/>
    <w:unhideWhenUsed/>
    <w:qFormat/>
    <w:rsid w:val="00605C73"/>
    <w:pPr>
      <w:tabs>
        <w:tab w:val="right" w:leader="dot" w:pos="9180"/>
      </w:tabs>
      <w:spacing w:after="100"/>
      <w:ind w:left="440"/>
    </w:pPr>
    <w:rPr>
      <w:rFonts w:eastAsiaTheme="minorEastAsia"/>
      <w:lang w:val="en-US"/>
    </w:rPr>
  </w:style>
  <w:style w:type="paragraph" w:customStyle="1" w:styleId="Itemnumber">
    <w:name w:val="Item number"/>
    <w:basedOn w:val="Normal"/>
    <w:rsid w:val="0095198F"/>
    <w:pPr>
      <w:spacing w:before="120" w:after="120" w:line="240" w:lineRule="auto"/>
      <w:ind w:left="1440" w:hanging="1440"/>
    </w:pPr>
    <w:rPr>
      <w:rFonts w:ascii="Calibri" w:eastAsia="Times New Roman" w:hAnsi="Calibri" w:cs="Times New Roman"/>
      <w:b/>
      <w:bCs/>
      <w:szCs w:val="20"/>
      <w:lang w:eastAsia="en-AU"/>
    </w:rPr>
  </w:style>
  <w:style w:type="paragraph" w:styleId="FootnoteText">
    <w:name w:val="footnote text"/>
    <w:basedOn w:val="Normal"/>
    <w:link w:val="FootnoteTextChar"/>
    <w:rsid w:val="00AE67DB"/>
    <w:pPr>
      <w:spacing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AE67DB"/>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AE67DB"/>
    <w:rPr>
      <w:vertAlign w:val="superscript"/>
    </w:rPr>
  </w:style>
  <w:style w:type="paragraph" w:customStyle="1" w:styleId="othertitle">
    <w:name w:val="other title"/>
    <w:basedOn w:val="Heading2"/>
    <w:qFormat/>
    <w:rsid w:val="00C87393"/>
    <w:pPr>
      <w:spacing w:before="120" w:after="0"/>
    </w:pPr>
  </w:style>
  <w:style w:type="character" w:customStyle="1" w:styleId="Heading3Char">
    <w:name w:val="Heading 3 Char"/>
    <w:basedOn w:val="DefaultParagraphFont"/>
    <w:link w:val="Heading3"/>
    <w:rsid w:val="00C17EF5"/>
    <w:rPr>
      <w:rFonts w:ascii="Arial" w:eastAsiaTheme="majorEastAsia" w:hAnsi="Arial" w:cstheme="majorBidi"/>
      <w:b/>
      <w:bCs/>
    </w:rPr>
  </w:style>
  <w:style w:type="character" w:styleId="Strong">
    <w:name w:val="Strong"/>
    <w:basedOn w:val="DefaultParagraphFont"/>
    <w:qFormat/>
    <w:rsid w:val="001368B0"/>
    <w:rPr>
      <w:b/>
      <w:bCs/>
    </w:rPr>
  </w:style>
  <w:style w:type="character" w:styleId="CommentReference">
    <w:name w:val="annotation reference"/>
    <w:basedOn w:val="DefaultParagraphFont"/>
    <w:unhideWhenUsed/>
    <w:rsid w:val="00F300BD"/>
    <w:rPr>
      <w:sz w:val="16"/>
      <w:szCs w:val="16"/>
    </w:rPr>
  </w:style>
  <w:style w:type="paragraph" w:styleId="CommentText">
    <w:name w:val="annotation text"/>
    <w:basedOn w:val="Normal"/>
    <w:link w:val="CommentTextChar"/>
    <w:unhideWhenUsed/>
    <w:rsid w:val="00F300BD"/>
    <w:pPr>
      <w:spacing w:line="240" w:lineRule="auto"/>
    </w:pPr>
    <w:rPr>
      <w:sz w:val="20"/>
      <w:szCs w:val="20"/>
    </w:rPr>
  </w:style>
  <w:style w:type="character" w:customStyle="1" w:styleId="CommentTextChar">
    <w:name w:val="Comment Text Char"/>
    <w:basedOn w:val="DefaultParagraphFont"/>
    <w:link w:val="CommentText"/>
    <w:rsid w:val="00F300BD"/>
    <w:rPr>
      <w:sz w:val="20"/>
      <w:szCs w:val="20"/>
    </w:rPr>
  </w:style>
  <w:style w:type="paragraph" w:styleId="CommentSubject">
    <w:name w:val="annotation subject"/>
    <w:basedOn w:val="CommentText"/>
    <w:next w:val="CommentText"/>
    <w:link w:val="CommentSubjectChar"/>
    <w:unhideWhenUsed/>
    <w:rsid w:val="00F300BD"/>
    <w:rPr>
      <w:b/>
      <w:bCs/>
    </w:rPr>
  </w:style>
  <w:style w:type="character" w:customStyle="1" w:styleId="CommentSubjectChar">
    <w:name w:val="Comment Subject Char"/>
    <w:basedOn w:val="CommentTextChar"/>
    <w:link w:val="CommentSubject"/>
    <w:rsid w:val="00F300BD"/>
    <w:rPr>
      <w:b/>
      <w:bCs/>
      <w:sz w:val="20"/>
      <w:szCs w:val="20"/>
    </w:rPr>
  </w:style>
  <w:style w:type="paragraph" w:styleId="BodyText">
    <w:name w:val="Body Text"/>
    <w:basedOn w:val="Normal"/>
    <w:link w:val="BodyTextChar"/>
    <w:unhideWhenUsed/>
    <w:rsid w:val="00646CCE"/>
    <w:pPr>
      <w:spacing w:before="100" w:after="100" w:line="240" w:lineRule="auto"/>
    </w:pPr>
    <w:rPr>
      <w:rFonts w:ascii="Times New Roman" w:hAnsi="Times New Roman" w:cs="Times New Roman"/>
      <w:sz w:val="24"/>
      <w:szCs w:val="24"/>
      <w:lang w:eastAsia="en-AU"/>
    </w:rPr>
  </w:style>
  <w:style w:type="character" w:customStyle="1" w:styleId="BodyTextChar">
    <w:name w:val="Body Text Char"/>
    <w:basedOn w:val="DefaultParagraphFont"/>
    <w:link w:val="BodyText"/>
    <w:rsid w:val="00646CCE"/>
    <w:rPr>
      <w:rFonts w:ascii="Times New Roman" w:hAnsi="Times New Roman" w:cs="Times New Roman"/>
      <w:sz w:val="24"/>
      <w:szCs w:val="24"/>
      <w:lang w:eastAsia="en-AU"/>
    </w:rPr>
  </w:style>
  <w:style w:type="character" w:customStyle="1" w:styleId="Emphasis-Underline">
    <w:name w:val="Emphasis - Underline"/>
    <w:basedOn w:val="DefaultParagraphFont"/>
    <w:rsid w:val="00646CCE"/>
    <w:rPr>
      <w:u w:val="single"/>
    </w:rPr>
  </w:style>
  <w:style w:type="paragraph" w:styleId="NormalWeb">
    <w:name w:val="Normal (Web)"/>
    <w:basedOn w:val="Normal"/>
    <w:uiPriority w:val="99"/>
    <w:semiHidden/>
    <w:unhideWhenUsed/>
    <w:rsid w:val="00B47539"/>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rsid w:val="00056F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056F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123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665270"/>
    <w:rPr>
      <w:rFonts w:asciiTheme="majorHAnsi" w:eastAsiaTheme="majorEastAsia" w:hAnsiTheme="majorHAnsi" w:cstheme="majorBidi"/>
      <w:b/>
      <w:bCs/>
      <w:i/>
      <w:iCs/>
    </w:rPr>
  </w:style>
  <w:style w:type="paragraph" w:customStyle="1" w:styleId="YATAnnualreports">
    <w:name w:val="YAT Annual reports"/>
    <w:basedOn w:val="Heading3"/>
    <w:link w:val="YATAnnualreportsChar"/>
    <w:qFormat/>
    <w:rsid w:val="00E619A9"/>
    <w:pPr>
      <w:jc w:val="both"/>
    </w:pPr>
    <w:rPr>
      <w:rFonts w:cs="Arial"/>
    </w:rPr>
  </w:style>
  <w:style w:type="character" w:customStyle="1" w:styleId="YATAnnualreportsChar">
    <w:name w:val="YAT Annual reports Char"/>
    <w:basedOn w:val="Heading3Char"/>
    <w:link w:val="YATAnnualreports"/>
    <w:rsid w:val="00E619A9"/>
    <w:rPr>
      <w:rFonts w:ascii="Arial" w:eastAsiaTheme="majorEastAsia" w:hAnsi="Arial" w:cs="Arial"/>
      <w:b/>
      <w:bCs/>
    </w:rPr>
  </w:style>
  <w:style w:type="table" w:customStyle="1" w:styleId="TableGrid3">
    <w:name w:val="Table Grid3"/>
    <w:basedOn w:val="TableNormal"/>
    <w:next w:val="TableGrid"/>
    <w:rsid w:val="008D1E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40521B"/>
    <w:rPr>
      <w:b/>
      <w:bCs/>
      <w:i w:val="0"/>
      <w:iCs w:val="0"/>
    </w:rPr>
  </w:style>
  <w:style w:type="paragraph" w:styleId="Caption">
    <w:name w:val="caption"/>
    <w:basedOn w:val="Normal"/>
    <w:next w:val="Normal"/>
    <w:unhideWhenUsed/>
    <w:qFormat/>
    <w:rsid w:val="0040521B"/>
    <w:pPr>
      <w:spacing w:after="200" w:line="240" w:lineRule="auto"/>
    </w:pPr>
    <w:rPr>
      <w:rFonts w:ascii="Calibri" w:eastAsia="Times New Roman" w:hAnsi="Calibri" w:cs="Times New Roman"/>
      <w:b/>
      <w:bCs/>
      <w:color w:val="4F81BD" w:themeColor="accent1"/>
      <w:sz w:val="18"/>
      <w:szCs w:val="18"/>
      <w:lang w:eastAsia="en-AU"/>
    </w:rPr>
  </w:style>
  <w:style w:type="numbering" w:customStyle="1" w:styleId="NoList1">
    <w:name w:val="No List1"/>
    <w:next w:val="NoList"/>
    <w:uiPriority w:val="99"/>
    <w:semiHidden/>
    <w:unhideWhenUsed/>
    <w:rsid w:val="00C17E74"/>
  </w:style>
  <w:style w:type="paragraph" w:styleId="IntenseQuote">
    <w:name w:val="Intense Quote"/>
    <w:basedOn w:val="Normal"/>
    <w:next w:val="Normal"/>
    <w:link w:val="IntenseQuoteChar"/>
    <w:uiPriority w:val="30"/>
    <w:qFormat/>
    <w:rsid w:val="00C17E74"/>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0"/>
    </w:rPr>
  </w:style>
  <w:style w:type="character" w:customStyle="1" w:styleId="IntenseQuoteChar">
    <w:name w:val="Intense Quote Char"/>
    <w:basedOn w:val="DefaultParagraphFont"/>
    <w:link w:val="IntenseQuote"/>
    <w:uiPriority w:val="30"/>
    <w:rsid w:val="00C17E74"/>
    <w:rPr>
      <w:rFonts w:ascii="Times New Roman" w:eastAsia="Times New Roman" w:hAnsi="Times New Roman" w:cs="Times New Roman"/>
      <w:b/>
      <w:bCs/>
      <w:i/>
      <w:iCs/>
      <w:color w:val="4F81BD" w:themeColor="accent1"/>
      <w:sz w:val="24"/>
      <w:szCs w:val="20"/>
    </w:rPr>
  </w:style>
  <w:style w:type="paragraph" w:customStyle="1" w:styleId="Ahead">
    <w:name w:val="Ahead"/>
    <w:basedOn w:val="Normal"/>
    <w:qFormat/>
    <w:rsid w:val="00C17E74"/>
    <w:pPr>
      <w:spacing w:after="120" w:line="240" w:lineRule="auto"/>
    </w:pPr>
    <w:rPr>
      <w:rFonts w:ascii="Times New Roman" w:hAnsi="Times New Roman"/>
      <w:b/>
      <w:sz w:val="28"/>
      <w:szCs w:val="24"/>
      <w:lang w:val="en-US"/>
    </w:rPr>
  </w:style>
  <w:style w:type="paragraph" w:customStyle="1" w:styleId="text">
    <w:name w:val="text"/>
    <w:basedOn w:val="BodyText"/>
    <w:qFormat/>
    <w:rsid w:val="00C17E74"/>
    <w:pPr>
      <w:spacing w:before="120" w:after="120"/>
      <w:ind w:right="34"/>
    </w:pPr>
    <w:rPr>
      <w:rFonts w:asciiTheme="minorHAnsi" w:eastAsia="Times New Roman" w:hAnsiTheme="minorHAnsi" w:cstheme="minorHAnsi"/>
      <w:sz w:val="22"/>
      <w:szCs w:val="22"/>
      <w:lang w:val="en-US" w:eastAsia="en-US"/>
    </w:rPr>
  </w:style>
  <w:style w:type="paragraph" w:styleId="NoSpacing">
    <w:name w:val="No Spacing"/>
    <w:uiPriority w:val="1"/>
    <w:qFormat/>
    <w:rsid w:val="00C17E74"/>
    <w:pPr>
      <w:spacing w:after="0" w:line="240" w:lineRule="auto"/>
    </w:pPr>
    <w:rPr>
      <w:rFonts w:ascii="Calibri" w:eastAsia="Calibri" w:hAnsi="Calibri" w:cs="Times New Roman"/>
    </w:rPr>
  </w:style>
  <w:style w:type="paragraph" w:customStyle="1" w:styleId="dpReclev2">
    <w:name w:val="dp Rec lev2"/>
    <w:basedOn w:val="Normal"/>
    <w:qFormat/>
    <w:rsid w:val="00C17E74"/>
    <w:pPr>
      <w:numPr>
        <w:numId w:val="44"/>
      </w:numPr>
      <w:tabs>
        <w:tab w:val="right" w:leader="dot" w:pos="9639"/>
      </w:tabs>
      <w:spacing w:after="200" w:line="252" w:lineRule="auto"/>
      <w:contextualSpacing/>
    </w:pPr>
    <w:rPr>
      <w:rFonts w:asciiTheme="majorHAnsi" w:eastAsiaTheme="majorEastAsia" w:hAnsiTheme="majorHAnsi" w:cstheme="majorBidi"/>
      <w:noProof/>
    </w:rPr>
  </w:style>
  <w:style w:type="paragraph" w:styleId="TOC4">
    <w:name w:val="toc 4"/>
    <w:basedOn w:val="Normal"/>
    <w:next w:val="Normal"/>
    <w:autoRedefine/>
    <w:rsid w:val="00C17E74"/>
    <w:pPr>
      <w:spacing w:line="240" w:lineRule="auto"/>
      <w:ind w:left="720"/>
    </w:pPr>
    <w:rPr>
      <w:rFonts w:eastAsia="Times New Roman" w:cstheme="minorHAnsi"/>
      <w:sz w:val="18"/>
      <w:szCs w:val="18"/>
    </w:rPr>
  </w:style>
  <w:style w:type="paragraph" w:styleId="TOC5">
    <w:name w:val="toc 5"/>
    <w:basedOn w:val="Normal"/>
    <w:next w:val="Normal"/>
    <w:autoRedefine/>
    <w:rsid w:val="00C17E74"/>
    <w:pPr>
      <w:spacing w:line="240" w:lineRule="auto"/>
      <w:ind w:left="960"/>
    </w:pPr>
    <w:rPr>
      <w:rFonts w:eastAsia="Times New Roman" w:cstheme="minorHAnsi"/>
      <w:sz w:val="18"/>
      <w:szCs w:val="18"/>
    </w:rPr>
  </w:style>
  <w:style w:type="paragraph" w:styleId="TOC6">
    <w:name w:val="toc 6"/>
    <w:basedOn w:val="Normal"/>
    <w:next w:val="Normal"/>
    <w:autoRedefine/>
    <w:rsid w:val="00C17E74"/>
    <w:pPr>
      <w:spacing w:line="240" w:lineRule="auto"/>
      <w:ind w:left="1200"/>
    </w:pPr>
    <w:rPr>
      <w:rFonts w:eastAsia="Times New Roman" w:cstheme="minorHAnsi"/>
      <w:sz w:val="18"/>
      <w:szCs w:val="18"/>
    </w:rPr>
  </w:style>
  <w:style w:type="paragraph" w:styleId="TOC7">
    <w:name w:val="toc 7"/>
    <w:basedOn w:val="Normal"/>
    <w:next w:val="Normal"/>
    <w:autoRedefine/>
    <w:rsid w:val="00C17E74"/>
    <w:pPr>
      <w:spacing w:line="240" w:lineRule="auto"/>
      <w:ind w:left="1440"/>
    </w:pPr>
    <w:rPr>
      <w:rFonts w:eastAsia="Times New Roman" w:cstheme="minorHAnsi"/>
      <w:sz w:val="18"/>
      <w:szCs w:val="18"/>
    </w:rPr>
  </w:style>
  <w:style w:type="paragraph" w:styleId="TOC8">
    <w:name w:val="toc 8"/>
    <w:basedOn w:val="Normal"/>
    <w:next w:val="Normal"/>
    <w:autoRedefine/>
    <w:rsid w:val="00C17E74"/>
    <w:pPr>
      <w:spacing w:line="240" w:lineRule="auto"/>
      <w:ind w:left="1680"/>
    </w:pPr>
    <w:rPr>
      <w:rFonts w:eastAsia="Times New Roman" w:cstheme="minorHAnsi"/>
      <w:sz w:val="18"/>
      <w:szCs w:val="18"/>
    </w:rPr>
  </w:style>
  <w:style w:type="paragraph" w:styleId="TOC9">
    <w:name w:val="toc 9"/>
    <w:basedOn w:val="Normal"/>
    <w:next w:val="Normal"/>
    <w:autoRedefine/>
    <w:rsid w:val="00C17E74"/>
    <w:pPr>
      <w:spacing w:line="240" w:lineRule="auto"/>
      <w:ind w:left="1920"/>
    </w:pPr>
    <w:rPr>
      <w:rFonts w:eastAsia="Times New Roman" w:cstheme="minorHAnsi"/>
      <w:sz w:val="18"/>
      <w:szCs w:val="18"/>
    </w:rPr>
  </w:style>
  <w:style w:type="table" w:customStyle="1" w:styleId="TableGrid4">
    <w:name w:val="Table Grid4"/>
    <w:basedOn w:val="TableNormal"/>
    <w:next w:val="TableGrid"/>
    <w:rsid w:val="00C17E74"/>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17E74"/>
    <w:pPr>
      <w:spacing w:after="0" w:line="240" w:lineRule="auto"/>
    </w:pPr>
    <w:rPr>
      <w:rFonts w:ascii="Times New Roman" w:eastAsia="Times New Roman" w:hAnsi="Times New Roman" w:cs="Times New Roman"/>
      <w:sz w:val="24"/>
      <w:szCs w:val="20"/>
    </w:rPr>
  </w:style>
  <w:style w:type="paragraph" w:styleId="ListBullet">
    <w:name w:val="List Bullet"/>
    <w:basedOn w:val="ListParagraph"/>
    <w:rsid w:val="00C17E74"/>
    <w:pPr>
      <w:numPr>
        <w:numId w:val="45"/>
      </w:numPr>
      <w:spacing w:line="240" w:lineRule="auto"/>
      <w:contextualSpacing w:val="0"/>
    </w:pPr>
    <w:rPr>
      <w:rFonts w:eastAsia="Times New Roman" w:cstheme="minorHAnsi"/>
    </w:rPr>
  </w:style>
  <w:style w:type="paragraph" w:styleId="ListBullet2">
    <w:name w:val="List Bullet 2"/>
    <w:basedOn w:val="ListParagraph"/>
    <w:rsid w:val="00C17E74"/>
    <w:pPr>
      <w:framePr w:hSpace="180" w:wrap="around" w:vAnchor="text" w:hAnchor="margin" w:xAlign="center" w:y="14"/>
      <w:numPr>
        <w:numId w:val="46"/>
      </w:numPr>
      <w:tabs>
        <w:tab w:val="left" w:pos="284"/>
      </w:tabs>
      <w:spacing w:line="240" w:lineRule="auto"/>
    </w:pPr>
    <w:rPr>
      <w:rFonts w:ascii="Calibri" w:eastAsia="Times New Roman" w:hAnsi="Calibri" w:cs="Calibri"/>
      <w:sz w:val="20"/>
      <w:szCs w:val="20"/>
    </w:rPr>
  </w:style>
  <w:style w:type="paragraph" w:styleId="Title">
    <w:name w:val="Title"/>
    <w:basedOn w:val="Normal"/>
    <w:next w:val="Normal"/>
    <w:link w:val="TitleChar"/>
    <w:qFormat/>
    <w:rsid w:val="00C17E74"/>
    <w:pPr>
      <w:spacing w:line="240" w:lineRule="auto"/>
      <w:jc w:val="right"/>
    </w:pPr>
    <w:rPr>
      <w:rFonts w:eastAsia="Times New Roman" w:cstheme="minorHAnsi"/>
      <w:b/>
      <w:color w:val="165788"/>
      <w:sz w:val="56"/>
      <w:szCs w:val="56"/>
    </w:rPr>
  </w:style>
  <w:style w:type="character" w:customStyle="1" w:styleId="TitleChar">
    <w:name w:val="Title Char"/>
    <w:basedOn w:val="DefaultParagraphFont"/>
    <w:link w:val="Title"/>
    <w:rsid w:val="00C17E74"/>
    <w:rPr>
      <w:rFonts w:eastAsia="Times New Roman" w:cstheme="minorHAnsi"/>
      <w:b/>
      <w:color w:val="165788"/>
      <w:sz w:val="56"/>
      <w:szCs w:val="56"/>
    </w:rPr>
  </w:style>
  <w:style w:type="paragraph" w:styleId="Subtitle">
    <w:name w:val="Subtitle"/>
    <w:basedOn w:val="Normal"/>
    <w:next w:val="Normal"/>
    <w:link w:val="SubtitleChar"/>
    <w:qFormat/>
    <w:rsid w:val="00C17E74"/>
    <w:pPr>
      <w:spacing w:line="240" w:lineRule="auto"/>
      <w:jc w:val="right"/>
    </w:pPr>
    <w:rPr>
      <w:rFonts w:eastAsia="Times New Roman" w:cstheme="minorHAnsi"/>
      <w:b/>
      <w:color w:val="165788"/>
      <w:sz w:val="52"/>
      <w:szCs w:val="52"/>
    </w:rPr>
  </w:style>
  <w:style w:type="character" w:customStyle="1" w:styleId="SubtitleChar">
    <w:name w:val="Subtitle Char"/>
    <w:basedOn w:val="DefaultParagraphFont"/>
    <w:link w:val="Subtitle"/>
    <w:rsid w:val="00C17E74"/>
    <w:rPr>
      <w:rFonts w:eastAsia="Times New Roman" w:cstheme="minorHAnsi"/>
      <w:b/>
      <w:color w:val="165788"/>
      <w:sz w:val="52"/>
      <w:szCs w:val="52"/>
    </w:rPr>
  </w:style>
  <w:style w:type="paragraph" w:styleId="BodyText2">
    <w:name w:val="Body Text 2"/>
    <w:basedOn w:val="BodyText"/>
    <w:link w:val="BodyText2Char"/>
    <w:rsid w:val="00C17E74"/>
    <w:pPr>
      <w:spacing w:before="0" w:after="120"/>
      <w:ind w:right="34"/>
    </w:pPr>
    <w:rPr>
      <w:rFonts w:asciiTheme="minorHAnsi" w:eastAsia="Times New Roman" w:hAnsiTheme="minorHAnsi" w:cstheme="minorHAnsi"/>
      <w:sz w:val="22"/>
      <w:szCs w:val="22"/>
      <w:lang w:val="en-US"/>
    </w:rPr>
  </w:style>
  <w:style w:type="character" w:customStyle="1" w:styleId="BodyText2Char">
    <w:name w:val="Body Text 2 Char"/>
    <w:basedOn w:val="DefaultParagraphFont"/>
    <w:link w:val="BodyText2"/>
    <w:rsid w:val="00C17E74"/>
    <w:rPr>
      <w:rFonts w:eastAsia="Times New Roman" w:cstheme="minorHAnsi"/>
      <w:lang w:val="en-US" w:eastAsia="en-AU"/>
    </w:rPr>
  </w:style>
  <w:style w:type="paragraph" w:customStyle="1" w:styleId="VersionControl">
    <w:name w:val="Version Control"/>
    <w:basedOn w:val="Normal"/>
    <w:qFormat/>
    <w:rsid w:val="00C17E74"/>
    <w:pPr>
      <w:spacing w:line="240" w:lineRule="auto"/>
      <w:jc w:val="center"/>
    </w:pPr>
    <w:rPr>
      <w:rFonts w:eastAsia="Times New Roman" w:cstheme="minorHAnsi"/>
      <w:b/>
      <w:sz w:val="24"/>
      <w:szCs w:val="20"/>
      <w:lang w:eastAsia="en-AU"/>
    </w:rPr>
  </w:style>
  <w:style w:type="paragraph" w:styleId="TableofFigures">
    <w:name w:val="table of figures"/>
    <w:basedOn w:val="Normal"/>
    <w:next w:val="text"/>
    <w:qFormat/>
    <w:rsid w:val="00C17E74"/>
    <w:pPr>
      <w:spacing w:line="240" w:lineRule="auto"/>
      <w:jc w:val="center"/>
    </w:pPr>
    <w:rPr>
      <w:rFonts w:ascii="Calibri" w:eastAsia="Times New Roman" w:hAnsi="Calibri" w:cs="Calibri"/>
      <w:color w:val="000000"/>
      <w:sz w:val="20"/>
      <w:szCs w:val="20"/>
    </w:rPr>
  </w:style>
  <w:style w:type="paragraph" w:styleId="PlainText">
    <w:name w:val="Plain Text"/>
    <w:basedOn w:val="Normal"/>
    <w:link w:val="PlainTextChar"/>
    <w:rsid w:val="00C17E74"/>
    <w:pPr>
      <w:framePr w:hSpace="180" w:wrap="around" w:vAnchor="text" w:hAnchor="margin" w:xAlign="center" w:y="14"/>
      <w:spacing w:line="240" w:lineRule="auto"/>
    </w:pPr>
    <w:rPr>
      <w:rFonts w:ascii="Calibri" w:eastAsia="Times New Roman" w:hAnsi="Calibri" w:cs="Calibri"/>
      <w:sz w:val="20"/>
      <w:szCs w:val="20"/>
      <w:lang w:eastAsia="en-AU"/>
    </w:rPr>
  </w:style>
  <w:style w:type="character" w:customStyle="1" w:styleId="PlainTextChar">
    <w:name w:val="Plain Text Char"/>
    <w:basedOn w:val="DefaultParagraphFont"/>
    <w:link w:val="PlainText"/>
    <w:rsid w:val="00C17E74"/>
    <w:rPr>
      <w:rFonts w:ascii="Calibri" w:eastAsia="Times New Roman" w:hAnsi="Calibri" w:cs="Calibri"/>
      <w:sz w:val="20"/>
      <w:szCs w:val="20"/>
      <w:lang w:eastAsia="en-AU"/>
    </w:rPr>
  </w:style>
  <w:style w:type="character" w:customStyle="1" w:styleId="ListParagraphChar">
    <w:name w:val="List Paragraph Char"/>
    <w:basedOn w:val="DefaultParagraphFont"/>
    <w:link w:val="ListParagraph"/>
    <w:uiPriority w:val="34"/>
    <w:locked/>
    <w:rsid w:val="00C17E74"/>
  </w:style>
  <w:style w:type="paragraph" w:customStyle="1" w:styleId="TableColumnHeading">
    <w:name w:val="Table Column Heading"/>
    <w:basedOn w:val="Normal"/>
    <w:qFormat/>
    <w:rsid w:val="00C17E74"/>
    <w:pPr>
      <w:spacing w:line="240" w:lineRule="auto"/>
      <w:jc w:val="center"/>
    </w:pPr>
    <w:rPr>
      <w:rFonts w:ascii="Calibri" w:eastAsia="Times New Roman" w:hAnsi="Calibri" w:cs="Calibri"/>
      <w:b/>
      <w:bCs/>
      <w:sz w:val="20"/>
      <w:lang w:eastAsia="en-AU"/>
    </w:rPr>
  </w:style>
  <w:style w:type="paragraph" w:customStyle="1" w:styleId="section1">
    <w:name w:val="section1"/>
    <w:basedOn w:val="Normal"/>
    <w:rsid w:val="00C17E74"/>
    <w:pPr>
      <w:spacing w:before="100" w:beforeAutospacing="1" w:after="100" w:afterAutospacing="1" w:line="240" w:lineRule="auto"/>
    </w:pPr>
    <w:rPr>
      <w:rFonts w:ascii="Times New Roman" w:hAnsi="Times New Roman" w:cs="Times New Roman"/>
      <w:sz w:val="24"/>
      <w:szCs w:val="24"/>
      <w:lang w:eastAsia="en-AU"/>
    </w:rPr>
  </w:style>
  <w:style w:type="paragraph" w:customStyle="1" w:styleId="SnapshotHeading">
    <w:name w:val="Snapshot Heading"/>
    <w:basedOn w:val="Normal"/>
    <w:qFormat/>
    <w:rsid w:val="00C17E74"/>
    <w:pPr>
      <w:tabs>
        <w:tab w:val="left" w:pos="6075"/>
      </w:tabs>
    </w:pPr>
    <w:rPr>
      <w:rFonts w:ascii="Calibri" w:eastAsia="Calibri" w:hAnsi="Calibri" w:cs="Times New Roman"/>
      <w:b/>
      <w:color w:val="1F497D" w:themeColor="text2"/>
      <w:sz w:val="28"/>
      <w:szCs w:val="28"/>
    </w:rPr>
  </w:style>
  <w:style w:type="paragraph" w:styleId="Quote">
    <w:name w:val="Quote"/>
    <w:basedOn w:val="Normal"/>
    <w:next w:val="Normal"/>
    <w:link w:val="QuoteChar"/>
    <w:uiPriority w:val="29"/>
    <w:qFormat/>
    <w:rsid w:val="00C17E74"/>
    <w:pPr>
      <w:spacing w:line="240" w:lineRule="auto"/>
    </w:pPr>
    <w:rPr>
      <w:rFonts w:ascii="Times New Roman" w:eastAsia="Times New Roman" w:hAnsi="Times New Roman" w:cs="Times New Roman"/>
      <w:i/>
      <w:iCs/>
      <w:color w:val="000000" w:themeColor="text1"/>
      <w:sz w:val="24"/>
      <w:szCs w:val="20"/>
    </w:rPr>
  </w:style>
  <w:style w:type="character" w:customStyle="1" w:styleId="QuoteChar">
    <w:name w:val="Quote Char"/>
    <w:basedOn w:val="DefaultParagraphFont"/>
    <w:link w:val="Quote"/>
    <w:uiPriority w:val="29"/>
    <w:rsid w:val="00C17E74"/>
    <w:rPr>
      <w:rFonts w:ascii="Times New Roman" w:eastAsia="Times New Roman" w:hAnsi="Times New Roman" w:cs="Times New Roman"/>
      <w:i/>
      <w:iCs/>
      <w:color w:val="000000" w:themeColor="tex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122891450">
      <w:bodyDiv w:val="1"/>
      <w:marLeft w:val="0"/>
      <w:marRight w:val="0"/>
      <w:marTop w:val="0"/>
      <w:marBottom w:val="0"/>
      <w:divBdr>
        <w:top w:val="none" w:sz="0" w:space="0" w:color="auto"/>
        <w:left w:val="none" w:sz="0" w:space="0" w:color="auto"/>
        <w:bottom w:val="none" w:sz="0" w:space="0" w:color="auto"/>
        <w:right w:val="none" w:sz="0" w:space="0" w:color="auto"/>
      </w:divBdr>
    </w:div>
    <w:div w:id="145249436">
      <w:bodyDiv w:val="1"/>
      <w:marLeft w:val="0"/>
      <w:marRight w:val="0"/>
      <w:marTop w:val="0"/>
      <w:marBottom w:val="0"/>
      <w:divBdr>
        <w:top w:val="none" w:sz="0" w:space="0" w:color="auto"/>
        <w:left w:val="none" w:sz="0" w:space="0" w:color="auto"/>
        <w:bottom w:val="none" w:sz="0" w:space="0" w:color="auto"/>
        <w:right w:val="none" w:sz="0" w:space="0" w:color="auto"/>
      </w:divBdr>
    </w:div>
    <w:div w:id="495389875">
      <w:bodyDiv w:val="1"/>
      <w:marLeft w:val="0"/>
      <w:marRight w:val="0"/>
      <w:marTop w:val="0"/>
      <w:marBottom w:val="0"/>
      <w:divBdr>
        <w:top w:val="none" w:sz="0" w:space="0" w:color="auto"/>
        <w:left w:val="none" w:sz="0" w:space="0" w:color="auto"/>
        <w:bottom w:val="none" w:sz="0" w:space="0" w:color="auto"/>
        <w:right w:val="none" w:sz="0" w:space="0" w:color="auto"/>
      </w:divBdr>
    </w:div>
    <w:div w:id="691999519">
      <w:bodyDiv w:val="1"/>
      <w:marLeft w:val="0"/>
      <w:marRight w:val="0"/>
      <w:marTop w:val="0"/>
      <w:marBottom w:val="0"/>
      <w:divBdr>
        <w:top w:val="none" w:sz="0" w:space="0" w:color="auto"/>
        <w:left w:val="none" w:sz="0" w:space="0" w:color="auto"/>
        <w:bottom w:val="none" w:sz="0" w:space="0" w:color="auto"/>
        <w:right w:val="none" w:sz="0" w:space="0" w:color="auto"/>
      </w:divBdr>
      <w:divsChild>
        <w:div w:id="26026214">
          <w:marLeft w:val="0"/>
          <w:marRight w:val="0"/>
          <w:marTop w:val="0"/>
          <w:marBottom w:val="0"/>
          <w:divBdr>
            <w:top w:val="none" w:sz="0" w:space="0" w:color="auto"/>
            <w:left w:val="none" w:sz="0" w:space="0" w:color="auto"/>
            <w:bottom w:val="none" w:sz="0" w:space="0" w:color="auto"/>
            <w:right w:val="none" w:sz="0" w:space="0" w:color="auto"/>
          </w:divBdr>
          <w:divsChild>
            <w:div w:id="1774934900">
              <w:marLeft w:val="0"/>
              <w:marRight w:val="0"/>
              <w:marTop w:val="0"/>
              <w:marBottom w:val="0"/>
              <w:divBdr>
                <w:top w:val="none" w:sz="0" w:space="0" w:color="auto"/>
                <w:left w:val="none" w:sz="0" w:space="0" w:color="auto"/>
                <w:bottom w:val="none" w:sz="0" w:space="0" w:color="auto"/>
                <w:right w:val="none" w:sz="0" w:space="0" w:color="auto"/>
              </w:divBdr>
              <w:divsChild>
                <w:div w:id="1202018173">
                  <w:marLeft w:val="0"/>
                  <w:marRight w:val="0"/>
                  <w:marTop w:val="0"/>
                  <w:marBottom w:val="0"/>
                  <w:divBdr>
                    <w:top w:val="none" w:sz="0" w:space="0" w:color="auto"/>
                    <w:left w:val="none" w:sz="0" w:space="0" w:color="auto"/>
                    <w:bottom w:val="none" w:sz="0" w:space="0" w:color="auto"/>
                    <w:right w:val="none" w:sz="0" w:space="0" w:color="auto"/>
                  </w:divBdr>
                  <w:divsChild>
                    <w:div w:id="2096197812">
                      <w:marLeft w:val="0"/>
                      <w:marRight w:val="0"/>
                      <w:marTop w:val="0"/>
                      <w:marBottom w:val="0"/>
                      <w:divBdr>
                        <w:top w:val="none" w:sz="0" w:space="0" w:color="auto"/>
                        <w:left w:val="none" w:sz="0" w:space="0" w:color="auto"/>
                        <w:bottom w:val="none" w:sz="0" w:space="0" w:color="auto"/>
                        <w:right w:val="none" w:sz="0" w:space="0" w:color="auto"/>
                      </w:divBdr>
                      <w:divsChild>
                        <w:div w:id="10634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062499">
      <w:bodyDiv w:val="1"/>
      <w:marLeft w:val="0"/>
      <w:marRight w:val="0"/>
      <w:marTop w:val="0"/>
      <w:marBottom w:val="0"/>
      <w:divBdr>
        <w:top w:val="none" w:sz="0" w:space="0" w:color="auto"/>
        <w:left w:val="none" w:sz="0" w:space="0" w:color="auto"/>
        <w:bottom w:val="none" w:sz="0" w:space="0" w:color="auto"/>
        <w:right w:val="none" w:sz="0" w:space="0" w:color="auto"/>
      </w:divBdr>
    </w:div>
    <w:div w:id="893738520">
      <w:bodyDiv w:val="1"/>
      <w:marLeft w:val="0"/>
      <w:marRight w:val="0"/>
      <w:marTop w:val="0"/>
      <w:marBottom w:val="0"/>
      <w:divBdr>
        <w:top w:val="none" w:sz="0" w:space="0" w:color="auto"/>
        <w:left w:val="none" w:sz="0" w:space="0" w:color="auto"/>
        <w:bottom w:val="none" w:sz="0" w:space="0" w:color="auto"/>
        <w:right w:val="none" w:sz="0" w:space="0" w:color="auto"/>
      </w:divBdr>
      <w:divsChild>
        <w:div w:id="913391351">
          <w:marLeft w:val="0"/>
          <w:marRight w:val="0"/>
          <w:marTop w:val="0"/>
          <w:marBottom w:val="0"/>
          <w:divBdr>
            <w:top w:val="none" w:sz="0" w:space="0" w:color="auto"/>
            <w:left w:val="none" w:sz="0" w:space="0" w:color="auto"/>
            <w:bottom w:val="none" w:sz="0" w:space="0" w:color="auto"/>
            <w:right w:val="none" w:sz="0" w:space="0" w:color="auto"/>
          </w:divBdr>
          <w:divsChild>
            <w:div w:id="837187403">
              <w:marLeft w:val="0"/>
              <w:marRight w:val="0"/>
              <w:marTop w:val="0"/>
              <w:marBottom w:val="0"/>
              <w:divBdr>
                <w:top w:val="none" w:sz="0" w:space="0" w:color="auto"/>
                <w:left w:val="none" w:sz="0" w:space="0" w:color="auto"/>
                <w:bottom w:val="none" w:sz="0" w:space="0" w:color="auto"/>
                <w:right w:val="none" w:sz="0" w:space="0" w:color="auto"/>
              </w:divBdr>
              <w:divsChild>
                <w:div w:id="364141859">
                  <w:marLeft w:val="0"/>
                  <w:marRight w:val="0"/>
                  <w:marTop w:val="0"/>
                  <w:marBottom w:val="0"/>
                  <w:divBdr>
                    <w:top w:val="none" w:sz="0" w:space="0" w:color="auto"/>
                    <w:left w:val="none" w:sz="0" w:space="0" w:color="auto"/>
                    <w:bottom w:val="none" w:sz="0" w:space="0" w:color="auto"/>
                    <w:right w:val="none" w:sz="0" w:space="0" w:color="auto"/>
                  </w:divBdr>
                  <w:divsChild>
                    <w:div w:id="480655097">
                      <w:marLeft w:val="0"/>
                      <w:marRight w:val="0"/>
                      <w:marTop w:val="0"/>
                      <w:marBottom w:val="0"/>
                      <w:divBdr>
                        <w:top w:val="none" w:sz="0" w:space="0" w:color="auto"/>
                        <w:left w:val="none" w:sz="0" w:space="0" w:color="auto"/>
                        <w:bottom w:val="none" w:sz="0" w:space="0" w:color="auto"/>
                        <w:right w:val="none" w:sz="0" w:space="0" w:color="auto"/>
                      </w:divBdr>
                      <w:divsChild>
                        <w:div w:id="1889954894">
                          <w:marLeft w:val="0"/>
                          <w:marRight w:val="0"/>
                          <w:marTop w:val="0"/>
                          <w:marBottom w:val="0"/>
                          <w:divBdr>
                            <w:top w:val="none" w:sz="0" w:space="0" w:color="auto"/>
                            <w:left w:val="none" w:sz="0" w:space="0" w:color="auto"/>
                            <w:bottom w:val="none" w:sz="0" w:space="0" w:color="auto"/>
                            <w:right w:val="none" w:sz="0" w:space="0" w:color="auto"/>
                          </w:divBdr>
                          <w:divsChild>
                            <w:div w:id="4646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089546">
      <w:bodyDiv w:val="1"/>
      <w:marLeft w:val="0"/>
      <w:marRight w:val="0"/>
      <w:marTop w:val="0"/>
      <w:marBottom w:val="0"/>
      <w:divBdr>
        <w:top w:val="none" w:sz="0" w:space="0" w:color="auto"/>
        <w:left w:val="none" w:sz="0" w:space="0" w:color="auto"/>
        <w:bottom w:val="none" w:sz="0" w:space="0" w:color="auto"/>
        <w:right w:val="none" w:sz="0" w:space="0" w:color="auto"/>
      </w:divBdr>
    </w:div>
    <w:div w:id="1137529613">
      <w:bodyDiv w:val="1"/>
      <w:marLeft w:val="0"/>
      <w:marRight w:val="0"/>
      <w:marTop w:val="0"/>
      <w:marBottom w:val="0"/>
      <w:divBdr>
        <w:top w:val="none" w:sz="0" w:space="0" w:color="auto"/>
        <w:left w:val="none" w:sz="0" w:space="0" w:color="auto"/>
        <w:bottom w:val="none" w:sz="0" w:space="0" w:color="auto"/>
        <w:right w:val="none" w:sz="0" w:space="0" w:color="auto"/>
      </w:divBdr>
    </w:div>
    <w:div w:id="1239440675">
      <w:bodyDiv w:val="1"/>
      <w:marLeft w:val="0"/>
      <w:marRight w:val="0"/>
      <w:marTop w:val="0"/>
      <w:marBottom w:val="0"/>
      <w:divBdr>
        <w:top w:val="none" w:sz="0" w:space="0" w:color="auto"/>
        <w:left w:val="none" w:sz="0" w:space="0" w:color="auto"/>
        <w:bottom w:val="none" w:sz="0" w:space="0" w:color="auto"/>
        <w:right w:val="none" w:sz="0" w:space="0" w:color="auto"/>
      </w:divBdr>
    </w:div>
    <w:div w:id="1287159173">
      <w:bodyDiv w:val="1"/>
      <w:marLeft w:val="0"/>
      <w:marRight w:val="0"/>
      <w:marTop w:val="0"/>
      <w:marBottom w:val="0"/>
      <w:divBdr>
        <w:top w:val="none" w:sz="0" w:space="0" w:color="auto"/>
        <w:left w:val="none" w:sz="0" w:space="0" w:color="auto"/>
        <w:bottom w:val="none" w:sz="0" w:space="0" w:color="auto"/>
        <w:right w:val="none" w:sz="0" w:space="0" w:color="auto"/>
      </w:divBdr>
    </w:div>
    <w:div w:id="1389721943">
      <w:bodyDiv w:val="1"/>
      <w:marLeft w:val="0"/>
      <w:marRight w:val="0"/>
      <w:marTop w:val="0"/>
      <w:marBottom w:val="0"/>
      <w:divBdr>
        <w:top w:val="none" w:sz="0" w:space="0" w:color="auto"/>
        <w:left w:val="none" w:sz="0" w:space="0" w:color="auto"/>
        <w:bottom w:val="none" w:sz="0" w:space="0" w:color="auto"/>
        <w:right w:val="none" w:sz="0" w:space="0" w:color="auto"/>
      </w:divBdr>
    </w:div>
    <w:div w:id="1474176911">
      <w:bodyDiv w:val="1"/>
      <w:marLeft w:val="0"/>
      <w:marRight w:val="0"/>
      <w:marTop w:val="0"/>
      <w:marBottom w:val="0"/>
      <w:divBdr>
        <w:top w:val="none" w:sz="0" w:space="0" w:color="auto"/>
        <w:left w:val="none" w:sz="0" w:space="0" w:color="auto"/>
        <w:bottom w:val="none" w:sz="0" w:space="0" w:color="auto"/>
        <w:right w:val="none" w:sz="0" w:space="0" w:color="auto"/>
      </w:divBdr>
    </w:div>
    <w:div w:id="1548909871">
      <w:bodyDiv w:val="1"/>
      <w:marLeft w:val="0"/>
      <w:marRight w:val="0"/>
      <w:marTop w:val="0"/>
      <w:marBottom w:val="0"/>
      <w:divBdr>
        <w:top w:val="none" w:sz="0" w:space="0" w:color="auto"/>
        <w:left w:val="none" w:sz="0" w:space="0" w:color="auto"/>
        <w:bottom w:val="none" w:sz="0" w:space="0" w:color="auto"/>
        <w:right w:val="none" w:sz="0" w:space="0" w:color="auto"/>
      </w:divBdr>
    </w:div>
    <w:div w:id="1565215436">
      <w:bodyDiv w:val="1"/>
      <w:marLeft w:val="0"/>
      <w:marRight w:val="0"/>
      <w:marTop w:val="0"/>
      <w:marBottom w:val="0"/>
      <w:divBdr>
        <w:top w:val="none" w:sz="0" w:space="0" w:color="auto"/>
        <w:left w:val="none" w:sz="0" w:space="0" w:color="auto"/>
        <w:bottom w:val="none" w:sz="0" w:space="0" w:color="auto"/>
        <w:right w:val="none" w:sz="0" w:space="0" w:color="auto"/>
      </w:divBdr>
    </w:div>
    <w:div w:id="1831869282">
      <w:bodyDiv w:val="1"/>
      <w:marLeft w:val="0"/>
      <w:marRight w:val="0"/>
      <w:marTop w:val="0"/>
      <w:marBottom w:val="0"/>
      <w:divBdr>
        <w:top w:val="none" w:sz="0" w:space="0" w:color="auto"/>
        <w:left w:val="none" w:sz="0" w:space="0" w:color="auto"/>
        <w:bottom w:val="none" w:sz="0" w:space="0" w:color="auto"/>
        <w:right w:val="none" w:sz="0" w:space="0" w:color="auto"/>
      </w:divBdr>
    </w:div>
    <w:div w:id="1991129281">
      <w:bodyDiv w:val="1"/>
      <w:marLeft w:val="0"/>
      <w:marRight w:val="0"/>
      <w:marTop w:val="0"/>
      <w:marBottom w:val="0"/>
      <w:divBdr>
        <w:top w:val="none" w:sz="0" w:space="0" w:color="auto"/>
        <w:left w:val="none" w:sz="0" w:space="0" w:color="auto"/>
        <w:bottom w:val="none" w:sz="0" w:space="0" w:color="auto"/>
        <w:right w:val="none" w:sz="0" w:space="0" w:color="auto"/>
      </w:divBdr>
    </w:div>
    <w:div w:id="2023050433">
      <w:bodyDiv w:val="1"/>
      <w:marLeft w:val="0"/>
      <w:marRight w:val="0"/>
      <w:marTop w:val="0"/>
      <w:marBottom w:val="0"/>
      <w:divBdr>
        <w:top w:val="none" w:sz="0" w:space="0" w:color="auto"/>
        <w:left w:val="none" w:sz="0" w:space="0" w:color="auto"/>
        <w:bottom w:val="none" w:sz="0" w:space="0" w:color="auto"/>
        <w:right w:val="none" w:sz="0" w:space="0" w:color="auto"/>
      </w:divBdr>
    </w:div>
    <w:div w:id="2049840631">
      <w:bodyDiv w:val="1"/>
      <w:marLeft w:val="0"/>
      <w:marRight w:val="0"/>
      <w:marTop w:val="0"/>
      <w:marBottom w:val="0"/>
      <w:divBdr>
        <w:top w:val="none" w:sz="0" w:space="0" w:color="auto"/>
        <w:left w:val="none" w:sz="0" w:space="0" w:color="auto"/>
        <w:bottom w:val="none" w:sz="0" w:space="0" w:color="auto"/>
        <w:right w:val="none" w:sz="0" w:space="0" w:color="auto"/>
      </w:divBdr>
    </w:div>
    <w:div w:id="208784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chart" Target="charts/chart23.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chart" Target="charts/chart18.xml"/><Relationship Id="rId42" Type="http://schemas.openxmlformats.org/officeDocument/2006/relationships/hyperlink" Target="http://education.gov.au/school-business-community-partnership-brokers-programme-reports-and-research" TargetMode="External"/><Relationship Id="rId47" Type="http://schemas.openxmlformats.org/officeDocument/2006/relationships/image" Target="media/image2.jpe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chart" Target="charts/chart22.xm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transitions.youth.gov.au" TargetMode="External"/><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hyperlink" Target="http://www.transitions.you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hyperlink" Target="http://www.transitions.youth.gov.au" TargetMode="External"/><Relationship Id="rId45" Type="http://schemas.openxmlformats.org/officeDocument/2006/relationships/chart" Target="charts/chart2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49" Type="http://schemas.openxmlformats.org/officeDocument/2006/relationships/footer" Target="footer5.xml"/><Relationship Id="rId10" Type="http://schemas.openxmlformats.org/officeDocument/2006/relationships/footer" Target="footer1.xml"/><Relationship Id="rId19" Type="http://schemas.openxmlformats.org/officeDocument/2006/relationships/chart" Target="charts/chart3.xml"/><Relationship Id="rId31" Type="http://schemas.openxmlformats.org/officeDocument/2006/relationships/chart" Target="charts/chart15.xml"/><Relationship Id="rId44" Type="http://schemas.openxmlformats.org/officeDocument/2006/relationships/chart" Target="charts/chart2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43" Type="http://schemas.openxmlformats.org/officeDocument/2006/relationships/footer" Target="footer4.xml"/><Relationship Id="rId48" Type="http://schemas.openxmlformats.org/officeDocument/2006/relationships/image" Target="media/image3.jpeg"/><Relationship Id="rId8" Type="http://schemas.openxmlformats.org/officeDocument/2006/relationships/endnotes" Target="endnotes.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SA\SA%20cube%20queries%20-%202012%20-%20Draf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SA\SA%20cube%20queries%20-%202012%20-%20Draf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SA\SA%20cube%20queries%20-%202012%20-%20Draf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SA\SA%20cube%20queries%20-%202012%20-%20Draf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SA\SA%20cube%20queries%20-%202012%20-%20Draf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SA\SA%20cube%20queries%20-%202012%20-%20Draf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SA\SA%20cube%20queries%20-%202012%20-%20Draf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SA\SA%20cube%20queries%20-%202012%20-%20Draft.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SA\SA%20cube%20queries%20-%202012%20-%20Draft.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SA\SA%20cube%20queries%20-%202012%20-%20Draft.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SA\SA%20cube%20queries%20-%202012%20-%20Draf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SA\SA%20cube%20queries%20-%202012%20-%20Draft.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SA\SA%20cube%20queries%20-%202012%20-%20Draft.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SA\SA%20cube%20queries%20-%202012%20-%20Draft.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SA\SA%20cube%20queries%20-%202012%20-%20Draft.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SA\SA%20cube%20queries%20-%202012%20-%20FINAL.xlsx" TargetMode="External"/></Relationships>
</file>

<file path=word/charts/_rels/chart24.xml.rels><?xml version="1.0" encoding="UTF-8" standalone="yes"?>
<Relationships xmlns="http://schemas.openxmlformats.org/package/2006/relationships"><Relationship Id="rId2" Type="http://schemas.openxmlformats.org/officeDocument/2006/relationships/oleObject" Target="file:///\\EPNAS002\50018764\Partnership%20Brokers\9.%20National\Evaluation%20&amp;%20Reporting\Outcomes%20Reporting\6.%20April%202013\ICSEA%20Schools%20Data\Organisation_Client_Details_Partnership_Count%20-%208%20April%202013%20-%20Final%20Version.xls" TargetMode="External"/><Relationship Id="rId1" Type="http://schemas.openxmlformats.org/officeDocument/2006/relationships/themeOverride" Target="../theme/themeOverride1.xml"/></Relationships>
</file>

<file path=word/charts/_rels/chart25.xml.rels><?xml version="1.0" encoding="UTF-8" standalone="yes"?>
<Relationships xmlns="http://schemas.openxmlformats.org/package/2006/relationships"><Relationship Id="rId2" Type="http://schemas.openxmlformats.org/officeDocument/2006/relationships/oleObject" Target="file:///\\EPNAS002\50018764\Partnership%20Brokers\9.%20National\Evaluation%20&amp;%20Reporting\Outcomes%20Reporting\6.%20April%202013\MASTER_Partnerships%20(April13)%20at%202%20April.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SA\SA%20cube%20queries%20-%202012%20-%20Draf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SA\SA%20cube%20queries%20-%202012%20-%20Draf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SA\SA%20cube%20queries%20-%202012%20-%20Draf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SA\SA%20cube%20queries%20-%202012%20-%20Draf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SA\SA%20cube%20queries%20-%202012%20-%20FINA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SA\SA%20cube%20queries%20-%202012%20-%20Draf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SA\SA%20cube%20queries%20-%202012%20-%20Draf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SA - Age of Participants</a:t>
            </a:r>
          </a:p>
        </c:rich>
      </c:tx>
      <c:layout/>
      <c:overlay val="0"/>
    </c:title>
    <c:autoTitleDeleted val="0"/>
    <c:plotArea>
      <c:layout/>
      <c:barChart>
        <c:barDir val="col"/>
        <c:grouping val="clustered"/>
        <c:varyColors val="0"/>
        <c:ser>
          <c:idx val="0"/>
          <c:order val="0"/>
          <c:tx>
            <c:strRef>
              <c:f>'Age profile'!$I$1:$I$2</c:f>
              <c:strCache>
                <c:ptCount val="1"/>
                <c:pt idx="0">
                  <c:v>SA - Age of Participants % Total</c:v>
                </c:pt>
              </c:strCache>
            </c:strRef>
          </c:tx>
          <c:invertIfNegative val="0"/>
          <c:dLbls>
            <c:showLegendKey val="0"/>
            <c:showVal val="1"/>
            <c:showCatName val="0"/>
            <c:showSerName val="0"/>
            <c:showPercent val="0"/>
            <c:showBubbleSize val="0"/>
            <c:showLeaderLines val="0"/>
          </c:dLbls>
          <c:cat>
            <c:numRef>
              <c:f>'Age profile'!$A$3:$A$20</c:f>
              <c:numCache>
                <c:formatCode>General</c:formatCode>
                <c:ptCount val="18"/>
                <c:pt idx="0">
                  <c:v>8</c:v>
                </c:pt>
                <c:pt idx="1">
                  <c:v>9</c:v>
                </c:pt>
                <c:pt idx="2">
                  <c:v>10</c:v>
                </c:pt>
                <c:pt idx="3">
                  <c:v>11</c:v>
                </c:pt>
                <c:pt idx="4">
                  <c:v>12</c:v>
                </c:pt>
                <c:pt idx="5">
                  <c:v>13</c:v>
                </c:pt>
                <c:pt idx="6">
                  <c:v>14</c:v>
                </c:pt>
                <c:pt idx="7">
                  <c:v>15</c:v>
                </c:pt>
                <c:pt idx="8">
                  <c:v>16</c:v>
                </c:pt>
                <c:pt idx="9">
                  <c:v>17</c:v>
                </c:pt>
                <c:pt idx="10">
                  <c:v>18</c:v>
                </c:pt>
                <c:pt idx="11">
                  <c:v>19</c:v>
                </c:pt>
                <c:pt idx="12">
                  <c:v>20</c:v>
                </c:pt>
                <c:pt idx="13">
                  <c:v>21</c:v>
                </c:pt>
                <c:pt idx="14">
                  <c:v>22</c:v>
                </c:pt>
                <c:pt idx="15">
                  <c:v>23</c:v>
                </c:pt>
                <c:pt idx="16">
                  <c:v>24</c:v>
                </c:pt>
                <c:pt idx="17">
                  <c:v>25</c:v>
                </c:pt>
              </c:numCache>
            </c:numRef>
          </c:cat>
          <c:val>
            <c:numRef>
              <c:f>'Age profile'!$I$3:$I$20</c:f>
              <c:numCache>
                <c:formatCode>0%</c:formatCode>
                <c:ptCount val="18"/>
                <c:pt idx="0">
                  <c:v>2.9498525073746312E-4</c:v>
                </c:pt>
                <c:pt idx="1">
                  <c:v>1.1799410029498525E-3</c:v>
                </c:pt>
                <c:pt idx="2">
                  <c:v>2.359882005899705E-3</c:v>
                </c:pt>
                <c:pt idx="3">
                  <c:v>2.359882005899705E-3</c:v>
                </c:pt>
                <c:pt idx="4">
                  <c:v>6.7846607669616518E-3</c:v>
                </c:pt>
                <c:pt idx="5">
                  <c:v>4.71976401179941E-2</c:v>
                </c:pt>
                <c:pt idx="6">
                  <c:v>0.11268436578171091</c:v>
                </c:pt>
                <c:pt idx="7">
                  <c:v>0.15398230088495576</c:v>
                </c:pt>
                <c:pt idx="8">
                  <c:v>0.20707964601769913</c:v>
                </c:pt>
                <c:pt idx="9">
                  <c:v>0.22949852507374632</c:v>
                </c:pt>
                <c:pt idx="10">
                  <c:v>0.14454277286135694</c:v>
                </c:pt>
                <c:pt idx="11">
                  <c:v>7.6991150442477882E-2</c:v>
                </c:pt>
                <c:pt idx="12">
                  <c:v>1.2684365781710914E-2</c:v>
                </c:pt>
                <c:pt idx="13">
                  <c:v>1.4749262536873156E-3</c:v>
                </c:pt>
                <c:pt idx="14">
                  <c:v>2.9498525073746312E-4</c:v>
                </c:pt>
                <c:pt idx="15">
                  <c:v>2.9498525073746312E-4</c:v>
                </c:pt>
                <c:pt idx="16">
                  <c:v>0</c:v>
                </c:pt>
                <c:pt idx="17">
                  <c:v>2.9498525073746312E-4</c:v>
                </c:pt>
              </c:numCache>
            </c:numRef>
          </c:val>
        </c:ser>
        <c:dLbls>
          <c:showLegendKey val="0"/>
          <c:showVal val="0"/>
          <c:showCatName val="0"/>
          <c:showSerName val="0"/>
          <c:showPercent val="0"/>
          <c:showBubbleSize val="0"/>
        </c:dLbls>
        <c:gapWidth val="150"/>
        <c:axId val="61302656"/>
        <c:axId val="61304192"/>
      </c:barChart>
      <c:catAx>
        <c:axId val="61302656"/>
        <c:scaling>
          <c:orientation val="minMax"/>
        </c:scaling>
        <c:delete val="0"/>
        <c:axPos val="b"/>
        <c:numFmt formatCode="General" sourceLinked="1"/>
        <c:majorTickMark val="out"/>
        <c:minorTickMark val="none"/>
        <c:tickLblPos val="nextTo"/>
        <c:crossAx val="61304192"/>
        <c:crosses val="autoZero"/>
        <c:auto val="1"/>
        <c:lblAlgn val="ctr"/>
        <c:lblOffset val="100"/>
        <c:noMultiLvlLbl val="0"/>
      </c:catAx>
      <c:valAx>
        <c:axId val="61304192"/>
        <c:scaling>
          <c:orientation val="minMax"/>
        </c:scaling>
        <c:delete val="0"/>
        <c:axPos val="l"/>
        <c:majorGridlines/>
        <c:numFmt formatCode="0%" sourceLinked="1"/>
        <c:majorTickMark val="out"/>
        <c:minorTickMark val="none"/>
        <c:tickLblPos val="nextTo"/>
        <c:crossAx val="6130265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National - Number of young people achieving outcomes</a:t>
            </a:r>
          </a:p>
        </c:rich>
      </c:tx>
      <c:layout/>
      <c:overlay val="0"/>
    </c:title>
    <c:autoTitleDeleted val="0"/>
    <c:plotArea>
      <c:layout/>
      <c:barChart>
        <c:barDir val="col"/>
        <c:grouping val="clustered"/>
        <c:varyColors val="0"/>
        <c:ser>
          <c:idx val="0"/>
          <c:order val="0"/>
          <c:tx>
            <c:strRef>
              <c:f>Outcomes!$L$9</c:f>
              <c:strCache>
                <c:ptCount val="1"/>
                <c:pt idx="0">
                  <c:v>Achieved a final outcome</c:v>
                </c:pt>
              </c:strCache>
            </c:strRef>
          </c:tx>
          <c:invertIfNegative val="0"/>
          <c:dLbls>
            <c:showLegendKey val="0"/>
            <c:showVal val="1"/>
            <c:showCatName val="0"/>
            <c:showSerName val="0"/>
            <c:showPercent val="0"/>
            <c:showBubbleSize val="0"/>
            <c:showLeaderLines val="0"/>
          </c:dLbls>
          <c:cat>
            <c:strRef>
              <c:f>Outcomes!$H$10:$H$12</c:f>
              <c:strCache>
                <c:ptCount val="3"/>
                <c:pt idx="0">
                  <c:v>Level 1</c:v>
                </c:pt>
                <c:pt idx="1">
                  <c:v>Level 2a</c:v>
                </c:pt>
                <c:pt idx="2">
                  <c:v>Level 2b</c:v>
                </c:pt>
              </c:strCache>
            </c:strRef>
          </c:cat>
          <c:val>
            <c:numRef>
              <c:f>Outcomes!$L$10:$L$12</c:f>
              <c:numCache>
                <c:formatCode>0%</c:formatCode>
                <c:ptCount val="3"/>
                <c:pt idx="0">
                  <c:v>0.63735532792337368</c:v>
                </c:pt>
                <c:pt idx="1">
                  <c:v>0.60221540896053805</c:v>
                </c:pt>
                <c:pt idx="2">
                  <c:v>0.54256854256854259</c:v>
                </c:pt>
              </c:numCache>
            </c:numRef>
          </c:val>
        </c:ser>
        <c:ser>
          <c:idx val="1"/>
          <c:order val="1"/>
          <c:tx>
            <c:strRef>
              <c:f>Outcomes!$M$9</c:f>
              <c:strCache>
                <c:ptCount val="1"/>
                <c:pt idx="0">
                  <c:v>Achieved a progressive outcome</c:v>
                </c:pt>
              </c:strCache>
            </c:strRef>
          </c:tx>
          <c:invertIfNegative val="0"/>
          <c:dLbls>
            <c:showLegendKey val="0"/>
            <c:showVal val="1"/>
            <c:showCatName val="0"/>
            <c:showSerName val="0"/>
            <c:showPercent val="0"/>
            <c:showBubbleSize val="0"/>
            <c:showLeaderLines val="0"/>
          </c:dLbls>
          <c:cat>
            <c:strRef>
              <c:f>Outcomes!$H$10:$H$12</c:f>
              <c:strCache>
                <c:ptCount val="3"/>
                <c:pt idx="0">
                  <c:v>Level 1</c:v>
                </c:pt>
                <c:pt idx="1">
                  <c:v>Level 2a</c:v>
                </c:pt>
                <c:pt idx="2">
                  <c:v>Level 2b</c:v>
                </c:pt>
              </c:strCache>
            </c:strRef>
          </c:cat>
          <c:val>
            <c:numRef>
              <c:f>Outcomes!$M$10:$M$12</c:f>
              <c:numCache>
                <c:formatCode>0%</c:formatCode>
                <c:ptCount val="3"/>
                <c:pt idx="0">
                  <c:v>0.76779300252760407</c:v>
                </c:pt>
                <c:pt idx="1">
                  <c:v>0.7536346553258827</c:v>
                </c:pt>
                <c:pt idx="2">
                  <c:v>0.6978264790764791</c:v>
                </c:pt>
              </c:numCache>
            </c:numRef>
          </c:val>
        </c:ser>
        <c:dLbls>
          <c:showLegendKey val="0"/>
          <c:showVal val="0"/>
          <c:showCatName val="0"/>
          <c:showSerName val="0"/>
          <c:showPercent val="0"/>
          <c:showBubbleSize val="0"/>
        </c:dLbls>
        <c:gapWidth val="150"/>
        <c:axId val="39250560"/>
        <c:axId val="39846272"/>
      </c:barChart>
      <c:catAx>
        <c:axId val="39250560"/>
        <c:scaling>
          <c:orientation val="minMax"/>
        </c:scaling>
        <c:delete val="0"/>
        <c:axPos val="b"/>
        <c:numFmt formatCode="0%" sourceLinked="1"/>
        <c:majorTickMark val="none"/>
        <c:minorTickMark val="none"/>
        <c:tickLblPos val="nextTo"/>
        <c:crossAx val="39846272"/>
        <c:crosses val="autoZero"/>
        <c:auto val="1"/>
        <c:lblAlgn val="ctr"/>
        <c:lblOffset val="100"/>
        <c:noMultiLvlLbl val="0"/>
      </c:catAx>
      <c:valAx>
        <c:axId val="39846272"/>
        <c:scaling>
          <c:orientation val="minMax"/>
          <c:max val="1"/>
        </c:scaling>
        <c:delete val="0"/>
        <c:axPos val="l"/>
        <c:majorGridlines/>
        <c:numFmt formatCode="0%" sourceLinked="1"/>
        <c:majorTickMark val="none"/>
        <c:minorTickMark val="none"/>
        <c:tickLblPos val="nextTo"/>
        <c:crossAx val="39250560"/>
        <c:crosses val="autoZero"/>
        <c:crossBetween val="between"/>
        <c:minorUnit val="0.2"/>
      </c:valAx>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Achieving an outcome (progressive or final) by characteristic</a:t>
            </a:r>
          </a:p>
        </c:rich>
      </c:tx>
      <c:layout/>
      <c:overlay val="0"/>
    </c:title>
    <c:autoTitleDeleted val="0"/>
    <c:plotArea>
      <c:layout>
        <c:manualLayout>
          <c:layoutTarget val="inner"/>
          <c:xMode val="edge"/>
          <c:yMode val="edge"/>
          <c:x val="0.13683340487837459"/>
          <c:y val="0.13410068678776127"/>
          <c:w val="0.7061777212346273"/>
          <c:h val="0.42892806328057181"/>
        </c:manualLayout>
      </c:layout>
      <c:barChart>
        <c:barDir val="col"/>
        <c:grouping val="clustered"/>
        <c:varyColors val="0"/>
        <c:ser>
          <c:idx val="0"/>
          <c:order val="0"/>
          <c:tx>
            <c:strRef>
              <c:f>'Outcomes by Characteristic'!$B$2</c:f>
              <c:strCache>
                <c:ptCount val="1"/>
                <c:pt idx="0">
                  <c:v>SA %</c:v>
                </c:pt>
              </c:strCache>
            </c:strRef>
          </c:tx>
          <c:invertIfNegative val="0"/>
          <c:dLbls>
            <c:showLegendKey val="0"/>
            <c:showVal val="1"/>
            <c:showCatName val="0"/>
            <c:showSerName val="0"/>
            <c:showPercent val="0"/>
            <c:showBubbleSize val="0"/>
            <c:showLeaderLines val="0"/>
          </c:dLbls>
          <c:cat>
            <c:strRef>
              <c:f>'Outcomes by Characteristic'!$A$3:$A$12</c:f>
              <c:strCache>
                <c:ptCount val="10"/>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pt idx="9">
                  <c:v>All participants</c:v>
                </c:pt>
              </c:strCache>
            </c:strRef>
          </c:cat>
          <c:val>
            <c:numRef>
              <c:f>'Outcomes by Characteristic'!$B$3:$B$12</c:f>
              <c:numCache>
                <c:formatCode>0%</c:formatCode>
                <c:ptCount val="10"/>
                <c:pt idx="0">
                  <c:v>0.66666666666666663</c:v>
                </c:pt>
                <c:pt idx="1">
                  <c:v>0.75527426160337552</c:v>
                </c:pt>
                <c:pt idx="2">
                  <c:v>0.79591836734693877</c:v>
                </c:pt>
                <c:pt idx="3">
                  <c:v>0.71106557377049184</c:v>
                </c:pt>
                <c:pt idx="4">
                  <c:v>0.71276595744680848</c:v>
                </c:pt>
                <c:pt idx="5">
                  <c:v>0.69639794168096059</c:v>
                </c:pt>
                <c:pt idx="6">
                  <c:v>0.8571428571428571</c:v>
                </c:pt>
                <c:pt idx="7">
                  <c:v>0.73892988929889303</c:v>
                </c:pt>
                <c:pt idx="8">
                  <c:v>0.8</c:v>
                </c:pt>
                <c:pt idx="9">
                  <c:v>0.72389380530973446</c:v>
                </c:pt>
              </c:numCache>
            </c:numRef>
          </c:val>
        </c:ser>
        <c:ser>
          <c:idx val="1"/>
          <c:order val="1"/>
          <c:tx>
            <c:strRef>
              <c:f>'Outcomes by Characteristic'!$C$2</c:f>
              <c:strCache>
                <c:ptCount val="1"/>
                <c:pt idx="0">
                  <c:v>National %</c:v>
                </c:pt>
              </c:strCache>
            </c:strRef>
          </c:tx>
          <c:invertIfNegative val="0"/>
          <c:dLbls>
            <c:dLbl>
              <c:idx val="4"/>
              <c:layout>
                <c:manualLayout>
                  <c:x val="8.3176395193976203E-3"/>
                  <c:y val="0"/>
                </c:manualLayout>
              </c:layout>
              <c:showLegendKey val="0"/>
              <c:showVal val="1"/>
              <c:showCatName val="0"/>
              <c:showSerName val="0"/>
              <c:showPercent val="0"/>
              <c:showBubbleSize val="0"/>
            </c:dLbl>
            <c:dLbl>
              <c:idx val="5"/>
              <c:layout>
                <c:manualLayout>
                  <c:x val="1.4555869158945835E-2"/>
                  <c:y val="0"/>
                </c:manualLayout>
              </c:layout>
              <c:showLegendKey val="0"/>
              <c:showVal val="1"/>
              <c:showCatName val="0"/>
              <c:showSerName val="0"/>
              <c:showPercent val="0"/>
              <c:showBubbleSize val="0"/>
            </c:dLbl>
            <c:dLbl>
              <c:idx val="6"/>
              <c:layout>
                <c:manualLayout>
                  <c:x val="4.1588197596988102E-3"/>
                  <c:y val="1.4088249013683905E-2"/>
                </c:manualLayout>
              </c:layout>
              <c:showLegendKey val="0"/>
              <c:showVal val="1"/>
              <c:showCatName val="0"/>
              <c:showSerName val="0"/>
              <c:showPercent val="0"/>
              <c:showBubbleSize val="0"/>
            </c:dLbl>
            <c:dLbl>
              <c:idx val="8"/>
              <c:layout>
                <c:manualLayout>
                  <c:x val="5.3015127952475496E-3"/>
                  <c:y val="1.069126156941984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'Outcomes by Characteristic'!$A$3:$A$12</c:f>
              <c:strCache>
                <c:ptCount val="10"/>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pt idx="9">
                  <c:v>All participants</c:v>
                </c:pt>
              </c:strCache>
            </c:strRef>
          </c:cat>
          <c:val>
            <c:numRef>
              <c:f>'Outcomes by Characteristic'!$C$3:$C$12</c:f>
              <c:numCache>
                <c:formatCode>0%</c:formatCode>
                <c:ptCount val="10"/>
                <c:pt idx="0">
                  <c:v>0.81636271529888549</c:v>
                </c:pt>
                <c:pt idx="1">
                  <c:v>0.8041357783847054</c:v>
                </c:pt>
                <c:pt idx="2">
                  <c:v>0.8565022421524664</c:v>
                </c:pt>
                <c:pt idx="3">
                  <c:v>0.71227749885896852</c:v>
                </c:pt>
                <c:pt idx="4">
                  <c:v>0.72128514056224902</c:v>
                </c:pt>
                <c:pt idx="5">
                  <c:v>0.69987506111141284</c:v>
                </c:pt>
                <c:pt idx="6">
                  <c:v>0.83615819209039544</c:v>
                </c:pt>
                <c:pt idx="7">
                  <c:v>0.78264631843927002</c:v>
                </c:pt>
                <c:pt idx="8">
                  <c:v>0.7767857142857143</c:v>
                </c:pt>
                <c:pt idx="9">
                  <c:v>0.77371250513628265</c:v>
                </c:pt>
              </c:numCache>
            </c:numRef>
          </c:val>
        </c:ser>
        <c:dLbls>
          <c:showLegendKey val="0"/>
          <c:showVal val="0"/>
          <c:showCatName val="0"/>
          <c:showSerName val="0"/>
          <c:showPercent val="0"/>
          <c:showBubbleSize val="0"/>
        </c:dLbls>
        <c:gapWidth val="150"/>
        <c:axId val="39868288"/>
        <c:axId val="39869824"/>
      </c:barChart>
      <c:catAx>
        <c:axId val="39868288"/>
        <c:scaling>
          <c:orientation val="minMax"/>
        </c:scaling>
        <c:delete val="0"/>
        <c:axPos val="b"/>
        <c:majorTickMark val="none"/>
        <c:minorTickMark val="none"/>
        <c:tickLblPos val="nextTo"/>
        <c:crossAx val="39869824"/>
        <c:crosses val="autoZero"/>
        <c:auto val="1"/>
        <c:lblAlgn val="ctr"/>
        <c:lblOffset val="100"/>
        <c:noMultiLvlLbl val="0"/>
      </c:catAx>
      <c:valAx>
        <c:axId val="39869824"/>
        <c:scaling>
          <c:orientation val="minMax"/>
          <c:max val="1"/>
        </c:scaling>
        <c:delete val="0"/>
        <c:axPos val="l"/>
        <c:majorGridlines/>
        <c:numFmt formatCode="0%" sourceLinked="1"/>
        <c:majorTickMark val="none"/>
        <c:minorTickMark val="none"/>
        <c:tickLblPos val="nextTo"/>
        <c:crossAx val="39868288"/>
        <c:crosses val="autoZero"/>
        <c:crossBetween val="between"/>
        <c:majorUnit val="0.2"/>
      </c:valAx>
    </c:plotArea>
    <c:legend>
      <c:legendPos val="r"/>
      <c:layout>
        <c:manualLayout>
          <c:xMode val="edge"/>
          <c:yMode val="edge"/>
          <c:x val="0.87942926584387526"/>
          <c:y val="0.25022174289379556"/>
          <c:w val="0.1180213281200112"/>
          <c:h val="0.15104627435145523"/>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b="1" i="0" baseline="0">
                <a:effectLst/>
              </a:rPr>
              <a:t>% Achieving a final outcome by characteristic</a:t>
            </a:r>
            <a:endParaRPr lang="en-AU" sz="1400">
              <a:effectLst/>
            </a:endParaRPr>
          </a:p>
        </c:rich>
      </c:tx>
      <c:layout>
        <c:manualLayout>
          <c:xMode val="edge"/>
          <c:yMode val="edge"/>
          <c:x val="0.2997125017834531"/>
          <c:y val="3.529883228329625E-2"/>
        </c:manualLayout>
      </c:layout>
      <c:overlay val="0"/>
    </c:title>
    <c:autoTitleDeleted val="0"/>
    <c:plotArea>
      <c:layout>
        <c:manualLayout>
          <c:layoutTarget val="inner"/>
          <c:xMode val="edge"/>
          <c:yMode val="edge"/>
          <c:x val="0.15163712636657095"/>
          <c:y val="0.13502624545246433"/>
          <c:w val="0.6736195093517241"/>
          <c:h val="0.43590570941556561"/>
        </c:manualLayout>
      </c:layout>
      <c:barChart>
        <c:barDir val="col"/>
        <c:grouping val="clustered"/>
        <c:varyColors val="0"/>
        <c:ser>
          <c:idx val="0"/>
          <c:order val="0"/>
          <c:tx>
            <c:strRef>
              <c:f>'Outcomes by Characteristic'!$D$2</c:f>
              <c:strCache>
                <c:ptCount val="1"/>
                <c:pt idx="0">
                  <c:v>SA %</c:v>
                </c:pt>
              </c:strCache>
            </c:strRef>
          </c:tx>
          <c:invertIfNegative val="0"/>
          <c:dLbls>
            <c:showLegendKey val="0"/>
            <c:showVal val="1"/>
            <c:showCatName val="0"/>
            <c:showSerName val="0"/>
            <c:showPercent val="0"/>
            <c:showBubbleSize val="0"/>
            <c:showLeaderLines val="0"/>
          </c:dLbls>
          <c:cat>
            <c:strRef>
              <c:f>'Outcomes by Characteristic'!$A$3:$A$12</c:f>
              <c:strCache>
                <c:ptCount val="10"/>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pt idx="9">
                  <c:v>All participants</c:v>
                </c:pt>
              </c:strCache>
            </c:strRef>
          </c:cat>
          <c:val>
            <c:numRef>
              <c:f>'Outcomes by Characteristic'!$D$3:$D$12</c:f>
              <c:numCache>
                <c:formatCode>0%</c:formatCode>
                <c:ptCount val="10"/>
                <c:pt idx="0">
                  <c:v>0.48717948717948717</c:v>
                </c:pt>
                <c:pt idx="1">
                  <c:v>0.54852320675105481</c:v>
                </c:pt>
                <c:pt idx="2">
                  <c:v>0.2857142857142857</c:v>
                </c:pt>
                <c:pt idx="3">
                  <c:v>0.4651639344262295</c:v>
                </c:pt>
                <c:pt idx="4">
                  <c:v>0.36170212765957449</c:v>
                </c:pt>
                <c:pt idx="5">
                  <c:v>0.46769582618639222</c:v>
                </c:pt>
                <c:pt idx="6">
                  <c:v>0.14285714285714285</c:v>
                </c:pt>
                <c:pt idx="7">
                  <c:v>0.49261992619926198</c:v>
                </c:pt>
                <c:pt idx="8">
                  <c:v>0.53333333333333333</c:v>
                </c:pt>
                <c:pt idx="9">
                  <c:v>0.49439528023598822</c:v>
                </c:pt>
              </c:numCache>
            </c:numRef>
          </c:val>
        </c:ser>
        <c:ser>
          <c:idx val="1"/>
          <c:order val="1"/>
          <c:tx>
            <c:strRef>
              <c:f>'Outcomes by Characteristic'!$E$2</c:f>
              <c:strCache>
                <c:ptCount val="1"/>
                <c:pt idx="0">
                  <c:v>National %</c:v>
                </c:pt>
              </c:strCache>
            </c:strRef>
          </c:tx>
          <c:invertIfNegative val="0"/>
          <c:dLbls>
            <c:showLegendKey val="0"/>
            <c:showVal val="1"/>
            <c:showCatName val="0"/>
            <c:showSerName val="0"/>
            <c:showPercent val="0"/>
            <c:showBubbleSize val="0"/>
            <c:showLeaderLines val="0"/>
          </c:dLbls>
          <c:cat>
            <c:strRef>
              <c:f>'Outcomes by Characteristic'!$A$3:$A$12</c:f>
              <c:strCache>
                <c:ptCount val="10"/>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pt idx="9">
                  <c:v>All participants</c:v>
                </c:pt>
              </c:strCache>
            </c:strRef>
          </c:cat>
          <c:val>
            <c:numRef>
              <c:f>'Outcomes by Characteristic'!$E$3:$E$12</c:f>
              <c:numCache>
                <c:formatCode>0%</c:formatCode>
                <c:ptCount val="10"/>
                <c:pt idx="0">
                  <c:v>0.66717325227963531</c:v>
                </c:pt>
                <c:pt idx="1">
                  <c:v>0.61880608661724545</c:v>
                </c:pt>
                <c:pt idx="2">
                  <c:v>0.69730941704035876</c:v>
                </c:pt>
                <c:pt idx="3">
                  <c:v>0.49621177544500228</c:v>
                </c:pt>
                <c:pt idx="4">
                  <c:v>0.46827309236947789</c:v>
                </c:pt>
                <c:pt idx="5">
                  <c:v>0.49959259058069422</c:v>
                </c:pt>
                <c:pt idx="6">
                  <c:v>0.59887005649717517</c:v>
                </c:pt>
                <c:pt idx="7">
                  <c:v>0.59164568911264948</c:v>
                </c:pt>
                <c:pt idx="8">
                  <c:v>0.59496753246753242</c:v>
                </c:pt>
                <c:pt idx="9">
                  <c:v>0.59568894671962747</c:v>
                </c:pt>
              </c:numCache>
            </c:numRef>
          </c:val>
        </c:ser>
        <c:dLbls>
          <c:showLegendKey val="0"/>
          <c:showVal val="0"/>
          <c:showCatName val="0"/>
          <c:showSerName val="0"/>
          <c:showPercent val="0"/>
          <c:showBubbleSize val="0"/>
        </c:dLbls>
        <c:gapWidth val="150"/>
        <c:axId val="39986304"/>
        <c:axId val="39987840"/>
      </c:barChart>
      <c:catAx>
        <c:axId val="39986304"/>
        <c:scaling>
          <c:orientation val="minMax"/>
        </c:scaling>
        <c:delete val="0"/>
        <c:axPos val="b"/>
        <c:majorTickMark val="none"/>
        <c:minorTickMark val="none"/>
        <c:tickLblPos val="nextTo"/>
        <c:crossAx val="39987840"/>
        <c:crosses val="autoZero"/>
        <c:auto val="1"/>
        <c:lblAlgn val="ctr"/>
        <c:lblOffset val="100"/>
        <c:noMultiLvlLbl val="0"/>
      </c:catAx>
      <c:valAx>
        <c:axId val="39987840"/>
        <c:scaling>
          <c:orientation val="minMax"/>
          <c:max val="1"/>
        </c:scaling>
        <c:delete val="0"/>
        <c:axPos val="l"/>
        <c:majorGridlines/>
        <c:numFmt formatCode="0%" sourceLinked="1"/>
        <c:majorTickMark val="none"/>
        <c:minorTickMark val="none"/>
        <c:tickLblPos val="nextTo"/>
        <c:crossAx val="39986304"/>
        <c:crosses val="autoZero"/>
        <c:crossBetween val="between"/>
        <c:majorUnit val="0.2"/>
      </c:valAx>
    </c:plotArea>
    <c:legend>
      <c:legendPos val="r"/>
      <c:layout>
        <c:manualLayout>
          <c:xMode val="edge"/>
          <c:yMode val="edge"/>
          <c:x val="0.86208548062535051"/>
          <c:y val="0.25741540787712269"/>
          <c:w val="0.13687494494475808"/>
          <c:h val="0.13704312052792667"/>
        </c:manualLayou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SA - Final Outcomes Achieved</a:t>
            </a:r>
          </a:p>
        </c:rich>
      </c:tx>
      <c:layout>
        <c:manualLayout>
          <c:xMode val="edge"/>
          <c:yMode val="edge"/>
          <c:x val="0.3727940921175979"/>
          <c:y val="2.9477556728339363E-2"/>
        </c:manualLayout>
      </c:layout>
      <c:overlay val="0"/>
    </c:title>
    <c:autoTitleDeleted val="0"/>
    <c:plotArea>
      <c:layout/>
      <c:barChart>
        <c:barDir val="col"/>
        <c:grouping val="clustered"/>
        <c:varyColors val="0"/>
        <c:ser>
          <c:idx val="0"/>
          <c:order val="0"/>
          <c:tx>
            <c:strRef>
              <c:f>'Final outcomes achieved'!$E$2</c:f>
              <c:strCache>
                <c:ptCount val="1"/>
                <c:pt idx="0">
                  <c:v>Total</c:v>
                </c:pt>
              </c:strCache>
            </c:strRef>
          </c:tx>
          <c:invertIfNegative val="0"/>
          <c:dLbls>
            <c:showLegendKey val="0"/>
            <c:showVal val="1"/>
            <c:showCatName val="0"/>
            <c:showSerName val="0"/>
            <c:showPercent val="0"/>
            <c:showBubbleSize val="0"/>
            <c:showLeaderLines val="0"/>
          </c:dLbls>
          <c:cat>
            <c:strRef>
              <c:f>'Final outcomes achieved'!$A$26:$A$32</c:f>
              <c:strCache>
                <c:ptCount val="7"/>
                <c:pt idx="0">
                  <c:v>Attendance</c:v>
                </c:pt>
                <c:pt idx="1">
                  <c:v>Behaviour</c:v>
                </c:pt>
                <c:pt idx="2">
                  <c:v>Educational performance</c:v>
                </c:pt>
                <c:pt idx="3">
                  <c:v>Strengthened engagement</c:v>
                </c:pt>
                <c:pt idx="4">
                  <c:v>Engaged in employment</c:v>
                </c:pt>
                <c:pt idx="5">
                  <c:v>Re-engaged in education</c:v>
                </c:pt>
                <c:pt idx="6">
                  <c:v>Commenced in education</c:v>
                </c:pt>
              </c:strCache>
            </c:strRef>
          </c:cat>
          <c:val>
            <c:numRef>
              <c:f>'Final outcomes achieved'!$E$3:$E$9</c:f>
              <c:numCache>
                <c:formatCode>General</c:formatCode>
                <c:ptCount val="7"/>
                <c:pt idx="0">
                  <c:v>275</c:v>
                </c:pt>
                <c:pt idx="1">
                  <c:v>185</c:v>
                </c:pt>
                <c:pt idx="2">
                  <c:v>196</c:v>
                </c:pt>
                <c:pt idx="3">
                  <c:v>314</c:v>
                </c:pt>
                <c:pt idx="4">
                  <c:v>248</c:v>
                </c:pt>
                <c:pt idx="5">
                  <c:v>524</c:v>
                </c:pt>
                <c:pt idx="6">
                  <c:v>757</c:v>
                </c:pt>
              </c:numCache>
            </c:numRef>
          </c:val>
        </c:ser>
        <c:dLbls>
          <c:showLegendKey val="0"/>
          <c:showVal val="0"/>
          <c:showCatName val="0"/>
          <c:showSerName val="0"/>
          <c:showPercent val="0"/>
          <c:showBubbleSize val="0"/>
        </c:dLbls>
        <c:gapWidth val="150"/>
        <c:axId val="40000512"/>
        <c:axId val="40014592"/>
      </c:barChart>
      <c:catAx>
        <c:axId val="40000512"/>
        <c:scaling>
          <c:orientation val="minMax"/>
        </c:scaling>
        <c:delete val="0"/>
        <c:axPos val="b"/>
        <c:majorTickMark val="none"/>
        <c:minorTickMark val="none"/>
        <c:tickLblPos val="nextTo"/>
        <c:crossAx val="40014592"/>
        <c:crosses val="autoZero"/>
        <c:auto val="1"/>
        <c:lblAlgn val="ctr"/>
        <c:lblOffset val="100"/>
        <c:noMultiLvlLbl val="0"/>
      </c:catAx>
      <c:valAx>
        <c:axId val="40014592"/>
        <c:scaling>
          <c:orientation val="minMax"/>
        </c:scaling>
        <c:delete val="0"/>
        <c:axPos val="l"/>
        <c:majorGridlines/>
        <c:numFmt formatCode="General" sourceLinked="1"/>
        <c:majorTickMark val="none"/>
        <c:minorTickMark val="none"/>
        <c:tickLblPos val="nextTo"/>
        <c:crossAx val="40000512"/>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National - Final Outcomes</a:t>
            </a:r>
            <a:r>
              <a:rPr lang="en-US" sz="1400" baseline="0"/>
              <a:t> Achieved</a:t>
            </a:r>
            <a:endParaRPr lang="en-US" sz="1400"/>
          </a:p>
        </c:rich>
      </c:tx>
      <c:layout/>
      <c:overlay val="0"/>
    </c:title>
    <c:autoTitleDeleted val="0"/>
    <c:plotArea>
      <c:layout/>
      <c:barChart>
        <c:barDir val="col"/>
        <c:grouping val="clustered"/>
        <c:varyColors val="0"/>
        <c:ser>
          <c:idx val="0"/>
          <c:order val="0"/>
          <c:tx>
            <c:strRef>
              <c:f>'Final outcomes achieved'!$E$12</c:f>
              <c:strCache>
                <c:ptCount val="1"/>
                <c:pt idx="0">
                  <c:v>Total</c:v>
                </c:pt>
              </c:strCache>
            </c:strRef>
          </c:tx>
          <c:invertIfNegative val="0"/>
          <c:dLbls>
            <c:dLbl>
              <c:idx val="6"/>
              <c:layout/>
              <c:tx>
                <c:rich>
                  <a:bodyPr/>
                  <a:lstStyle/>
                  <a:p>
                    <a:r>
                      <a:rPr lang="en-US"/>
                      <a:t>11,460</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'Final outcomes achieved'!$A$26:$A$32</c:f>
              <c:strCache>
                <c:ptCount val="7"/>
                <c:pt idx="0">
                  <c:v>Attendance</c:v>
                </c:pt>
                <c:pt idx="1">
                  <c:v>Behaviour</c:v>
                </c:pt>
                <c:pt idx="2">
                  <c:v>Educational performance</c:v>
                </c:pt>
                <c:pt idx="3">
                  <c:v>Strengthened engagement</c:v>
                </c:pt>
                <c:pt idx="4">
                  <c:v>Engaged in employment</c:v>
                </c:pt>
                <c:pt idx="5">
                  <c:v>Re-engaged in education</c:v>
                </c:pt>
                <c:pt idx="6">
                  <c:v>Commenced in education</c:v>
                </c:pt>
              </c:strCache>
            </c:strRef>
          </c:cat>
          <c:val>
            <c:numRef>
              <c:f>'Final outcomes achieved'!$E$13:$E$19</c:f>
              <c:numCache>
                <c:formatCode>General</c:formatCode>
                <c:ptCount val="7"/>
                <c:pt idx="0">
                  <c:v>8484</c:v>
                </c:pt>
                <c:pt idx="1">
                  <c:v>9604</c:v>
                </c:pt>
                <c:pt idx="2">
                  <c:v>7648</c:v>
                </c:pt>
                <c:pt idx="3">
                  <c:v>9380</c:v>
                </c:pt>
                <c:pt idx="4">
                  <c:v>2888</c:v>
                </c:pt>
                <c:pt idx="5">
                  <c:v>8143</c:v>
                </c:pt>
                <c:pt idx="6">
                  <c:v>11460</c:v>
                </c:pt>
              </c:numCache>
            </c:numRef>
          </c:val>
        </c:ser>
        <c:dLbls>
          <c:showLegendKey val="0"/>
          <c:showVal val="0"/>
          <c:showCatName val="0"/>
          <c:showSerName val="0"/>
          <c:showPercent val="0"/>
          <c:showBubbleSize val="0"/>
        </c:dLbls>
        <c:gapWidth val="150"/>
        <c:axId val="39322368"/>
        <c:axId val="39323904"/>
      </c:barChart>
      <c:catAx>
        <c:axId val="39322368"/>
        <c:scaling>
          <c:orientation val="minMax"/>
        </c:scaling>
        <c:delete val="0"/>
        <c:axPos val="b"/>
        <c:majorTickMark val="out"/>
        <c:minorTickMark val="none"/>
        <c:tickLblPos val="nextTo"/>
        <c:crossAx val="39323904"/>
        <c:crosses val="autoZero"/>
        <c:auto val="1"/>
        <c:lblAlgn val="ctr"/>
        <c:lblOffset val="100"/>
        <c:noMultiLvlLbl val="0"/>
      </c:catAx>
      <c:valAx>
        <c:axId val="39323904"/>
        <c:scaling>
          <c:orientation val="minMax"/>
        </c:scaling>
        <c:delete val="0"/>
        <c:axPos val="l"/>
        <c:majorGridlines/>
        <c:numFmt formatCode="General" sourceLinked="1"/>
        <c:majorTickMark val="out"/>
        <c:minorTickMark val="none"/>
        <c:tickLblPos val="nextTo"/>
        <c:crossAx val="39322368"/>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SA  - Final outcomes acheived by connection level</a:t>
            </a:r>
          </a:p>
        </c:rich>
      </c:tx>
      <c:layout/>
      <c:overlay val="0"/>
    </c:title>
    <c:autoTitleDeleted val="0"/>
    <c:plotArea>
      <c:layout/>
      <c:barChart>
        <c:barDir val="col"/>
        <c:grouping val="clustered"/>
        <c:varyColors val="0"/>
        <c:ser>
          <c:idx val="0"/>
          <c:order val="0"/>
          <c:tx>
            <c:strRef>
              <c:f>'Final outcomes achieved'!$B$2</c:f>
              <c:strCache>
                <c:ptCount val="1"/>
                <c:pt idx="0">
                  <c:v>Level 1</c:v>
                </c:pt>
              </c:strCache>
            </c:strRef>
          </c:tx>
          <c:invertIfNegative val="0"/>
          <c:dLbls>
            <c:showLegendKey val="0"/>
            <c:showVal val="1"/>
            <c:showCatName val="0"/>
            <c:showSerName val="0"/>
            <c:showPercent val="0"/>
            <c:showBubbleSize val="0"/>
            <c:showLeaderLines val="0"/>
          </c:dLbls>
          <c:cat>
            <c:strRef>
              <c:f>'Final outcomes achieved'!$A$3:$A$9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achieved'!$B$3:$B$9</c:f>
              <c:numCache>
                <c:formatCode>General</c:formatCode>
                <c:ptCount val="7"/>
                <c:pt idx="0">
                  <c:v>93</c:v>
                </c:pt>
                <c:pt idx="1">
                  <c:v>80</c:v>
                </c:pt>
                <c:pt idx="2">
                  <c:v>105</c:v>
                </c:pt>
                <c:pt idx="3">
                  <c:v>91</c:v>
                </c:pt>
                <c:pt idx="4">
                  <c:v>6</c:v>
                </c:pt>
                <c:pt idx="5">
                  <c:v>24</c:v>
                </c:pt>
                <c:pt idx="6">
                  <c:v>4</c:v>
                </c:pt>
              </c:numCache>
            </c:numRef>
          </c:val>
        </c:ser>
        <c:ser>
          <c:idx val="1"/>
          <c:order val="1"/>
          <c:tx>
            <c:strRef>
              <c:f>'Final outcomes achieved'!$C$2</c:f>
              <c:strCache>
                <c:ptCount val="1"/>
                <c:pt idx="0">
                  <c:v>Level 2a</c:v>
                </c:pt>
              </c:strCache>
            </c:strRef>
          </c:tx>
          <c:invertIfNegative val="0"/>
          <c:dLbls>
            <c:showLegendKey val="0"/>
            <c:showVal val="1"/>
            <c:showCatName val="0"/>
            <c:showSerName val="0"/>
            <c:showPercent val="0"/>
            <c:showBubbleSize val="0"/>
            <c:showLeaderLines val="0"/>
          </c:dLbls>
          <c:cat>
            <c:strRef>
              <c:f>'Final outcomes achieved'!$A$3:$A$9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achieved'!$C$3:$C$9</c:f>
              <c:numCache>
                <c:formatCode>General</c:formatCode>
                <c:ptCount val="7"/>
                <c:pt idx="0">
                  <c:v>162</c:v>
                </c:pt>
                <c:pt idx="1">
                  <c:v>89</c:v>
                </c:pt>
                <c:pt idx="2">
                  <c:v>73</c:v>
                </c:pt>
                <c:pt idx="3">
                  <c:v>202</c:v>
                </c:pt>
                <c:pt idx="4">
                  <c:v>83</c:v>
                </c:pt>
                <c:pt idx="5">
                  <c:v>185</c:v>
                </c:pt>
                <c:pt idx="6">
                  <c:v>141</c:v>
                </c:pt>
              </c:numCache>
            </c:numRef>
          </c:val>
        </c:ser>
        <c:ser>
          <c:idx val="2"/>
          <c:order val="2"/>
          <c:tx>
            <c:strRef>
              <c:f>'Final outcomes achieved'!$D$2</c:f>
              <c:strCache>
                <c:ptCount val="1"/>
                <c:pt idx="0">
                  <c:v>Level 2b</c:v>
                </c:pt>
              </c:strCache>
            </c:strRef>
          </c:tx>
          <c:invertIfNegative val="0"/>
          <c:dLbls>
            <c:showLegendKey val="0"/>
            <c:showVal val="1"/>
            <c:showCatName val="0"/>
            <c:showSerName val="0"/>
            <c:showPercent val="0"/>
            <c:showBubbleSize val="0"/>
            <c:showLeaderLines val="0"/>
          </c:dLbls>
          <c:cat>
            <c:strRef>
              <c:f>'Final outcomes achieved'!$A$3:$A$9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achieved'!$D$3:$D$9</c:f>
              <c:numCache>
                <c:formatCode>General</c:formatCode>
                <c:ptCount val="7"/>
                <c:pt idx="0">
                  <c:v>34</c:v>
                </c:pt>
                <c:pt idx="1">
                  <c:v>22</c:v>
                </c:pt>
                <c:pt idx="2">
                  <c:v>24</c:v>
                </c:pt>
                <c:pt idx="3">
                  <c:v>31</c:v>
                </c:pt>
                <c:pt idx="4">
                  <c:v>168</c:v>
                </c:pt>
                <c:pt idx="5">
                  <c:v>331</c:v>
                </c:pt>
                <c:pt idx="6">
                  <c:v>639</c:v>
                </c:pt>
              </c:numCache>
            </c:numRef>
          </c:val>
        </c:ser>
        <c:dLbls>
          <c:showLegendKey val="0"/>
          <c:showVal val="0"/>
          <c:showCatName val="0"/>
          <c:showSerName val="0"/>
          <c:showPercent val="0"/>
          <c:showBubbleSize val="0"/>
        </c:dLbls>
        <c:gapWidth val="150"/>
        <c:axId val="39371520"/>
        <c:axId val="39373056"/>
      </c:barChart>
      <c:catAx>
        <c:axId val="39371520"/>
        <c:scaling>
          <c:orientation val="minMax"/>
        </c:scaling>
        <c:delete val="0"/>
        <c:axPos val="b"/>
        <c:majorTickMark val="none"/>
        <c:minorTickMark val="none"/>
        <c:tickLblPos val="nextTo"/>
        <c:txPr>
          <a:bodyPr/>
          <a:lstStyle/>
          <a:p>
            <a:pPr>
              <a:defRPr sz="800"/>
            </a:pPr>
            <a:endParaRPr lang="en-US"/>
          </a:p>
        </c:txPr>
        <c:crossAx val="39373056"/>
        <c:crosses val="autoZero"/>
        <c:auto val="1"/>
        <c:lblAlgn val="ctr"/>
        <c:lblOffset val="100"/>
        <c:noMultiLvlLbl val="0"/>
      </c:catAx>
      <c:valAx>
        <c:axId val="39373056"/>
        <c:scaling>
          <c:orientation val="minMax"/>
        </c:scaling>
        <c:delete val="0"/>
        <c:axPos val="l"/>
        <c:majorGridlines/>
        <c:numFmt formatCode="General" sourceLinked="1"/>
        <c:majorTickMark val="none"/>
        <c:minorTickMark val="none"/>
        <c:tickLblPos val="nextTo"/>
        <c:crossAx val="3937152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National - Final outcomes achieved by Connection Level</a:t>
            </a:r>
          </a:p>
        </c:rich>
      </c:tx>
      <c:layout>
        <c:manualLayout>
          <c:xMode val="edge"/>
          <c:yMode val="edge"/>
          <c:x val="0.27564197054420553"/>
          <c:y val="2.5898943139584088E-2"/>
        </c:manualLayout>
      </c:layout>
      <c:overlay val="0"/>
    </c:title>
    <c:autoTitleDeleted val="0"/>
    <c:plotArea>
      <c:layout/>
      <c:barChart>
        <c:barDir val="col"/>
        <c:grouping val="clustered"/>
        <c:varyColors val="0"/>
        <c:ser>
          <c:idx val="0"/>
          <c:order val="0"/>
          <c:tx>
            <c:strRef>
              <c:f>'Final outcomes achieved'!$B$12</c:f>
              <c:strCache>
                <c:ptCount val="1"/>
                <c:pt idx="0">
                  <c:v>Level 1</c:v>
                </c:pt>
              </c:strCache>
            </c:strRef>
          </c:tx>
          <c:invertIfNegative val="0"/>
          <c:dLbls>
            <c:showLegendKey val="0"/>
            <c:showVal val="1"/>
            <c:showCatName val="0"/>
            <c:showSerName val="0"/>
            <c:showPercent val="0"/>
            <c:showBubbleSize val="0"/>
            <c:showLeaderLines val="0"/>
          </c:dLbls>
          <c:cat>
            <c:strRef>
              <c:f>'Final outcomes achieved'!$A$13:$A$19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achieved'!$B$13:$B$19</c:f>
              <c:numCache>
                <c:formatCode>General</c:formatCode>
                <c:ptCount val="7"/>
                <c:pt idx="0">
                  <c:v>3730</c:v>
                </c:pt>
                <c:pt idx="1">
                  <c:v>5352</c:v>
                </c:pt>
                <c:pt idx="2">
                  <c:v>4335</c:v>
                </c:pt>
                <c:pt idx="3">
                  <c:v>3180</c:v>
                </c:pt>
                <c:pt idx="4">
                  <c:v>54</c:v>
                </c:pt>
                <c:pt idx="5">
                  <c:v>576</c:v>
                </c:pt>
                <c:pt idx="6">
                  <c:v>69</c:v>
                </c:pt>
              </c:numCache>
            </c:numRef>
          </c:val>
        </c:ser>
        <c:ser>
          <c:idx val="1"/>
          <c:order val="1"/>
          <c:tx>
            <c:strRef>
              <c:f>'Final outcomes achieved'!$C$12</c:f>
              <c:strCache>
                <c:ptCount val="1"/>
                <c:pt idx="0">
                  <c:v>Level 2a</c:v>
                </c:pt>
              </c:strCache>
            </c:strRef>
          </c:tx>
          <c:invertIfNegative val="0"/>
          <c:dLbls>
            <c:showLegendKey val="0"/>
            <c:showVal val="1"/>
            <c:showCatName val="0"/>
            <c:showSerName val="0"/>
            <c:showPercent val="0"/>
            <c:showBubbleSize val="0"/>
            <c:showLeaderLines val="0"/>
          </c:dLbls>
          <c:cat>
            <c:strRef>
              <c:f>'Final outcomes achieved'!$A$13:$A$19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achieved'!$C$13:$C$19</c:f>
              <c:numCache>
                <c:formatCode>General</c:formatCode>
                <c:ptCount val="7"/>
                <c:pt idx="0">
                  <c:v>4412</c:v>
                </c:pt>
                <c:pt idx="1">
                  <c:v>4123</c:v>
                </c:pt>
                <c:pt idx="2">
                  <c:v>3153</c:v>
                </c:pt>
                <c:pt idx="3">
                  <c:v>5817</c:v>
                </c:pt>
                <c:pt idx="4">
                  <c:v>1031</c:v>
                </c:pt>
                <c:pt idx="5">
                  <c:v>3566</c:v>
                </c:pt>
                <c:pt idx="6">
                  <c:v>2201</c:v>
                </c:pt>
              </c:numCache>
            </c:numRef>
          </c:val>
        </c:ser>
        <c:ser>
          <c:idx val="2"/>
          <c:order val="2"/>
          <c:tx>
            <c:strRef>
              <c:f>'Final outcomes achieved'!$D$12</c:f>
              <c:strCache>
                <c:ptCount val="1"/>
                <c:pt idx="0">
                  <c:v>Level 2b</c:v>
                </c:pt>
              </c:strCache>
            </c:strRef>
          </c:tx>
          <c:invertIfNegative val="0"/>
          <c:dLbls>
            <c:showLegendKey val="0"/>
            <c:showVal val="1"/>
            <c:showCatName val="0"/>
            <c:showSerName val="0"/>
            <c:showPercent val="0"/>
            <c:showBubbleSize val="0"/>
            <c:showLeaderLines val="0"/>
          </c:dLbls>
          <c:cat>
            <c:strRef>
              <c:f>'Final outcomes achieved'!$A$13:$A$19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achieved'!$D$13:$D$19</c:f>
              <c:numCache>
                <c:formatCode>General</c:formatCode>
                <c:ptCount val="7"/>
                <c:pt idx="0">
                  <c:v>611</c:v>
                </c:pt>
                <c:pt idx="1">
                  <c:v>392</c:v>
                </c:pt>
                <c:pt idx="2">
                  <c:v>405</c:v>
                </c:pt>
                <c:pt idx="3">
                  <c:v>687</c:v>
                </c:pt>
                <c:pt idx="4">
                  <c:v>1903</c:v>
                </c:pt>
                <c:pt idx="5">
                  <c:v>4298</c:v>
                </c:pt>
                <c:pt idx="6">
                  <c:v>9554</c:v>
                </c:pt>
              </c:numCache>
            </c:numRef>
          </c:val>
        </c:ser>
        <c:dLbls>
          <c:showLegendKey val="0"/>
          <c:showVal val="0"/>
          <c:showCatName val="0"/>
          <c:showSerName val="0"/>
          <c:showPercent val="0"/>
          <c:showBubbleSize val="0"/>
        </c:dLbls>
        <c:gapWidth val="150"/>
        <c:axId val="39601280"/>
        <c:axId val="39602816"/>
      </c:barChart>
      <c:catAx>
        <c:axId val="39601280"/>
        <c:scaling>
          <c:orientation val="minMax"/>
        </c:scaling>
        <c:delete val="0"/>
        <c:axPos val="b"/>
        <c:majorTickMark val="none"/>
        <c:minorTickMark val="none"/>
        <c:tickLblPos val="nextTo"/>
        <c:txPr>
          <a:bodyPr/>
          <a:lstStyle/>
          <a:p>
            <a:pPr>
              <a:defRPr sz="800"/>
            </a:pPr>
            <a:endParaRPr lang="en-US"/>
          </a:p>
        </c:txPr>
        <c:crossAx val="39602816"/>
        <c:crosses val="autoZero"/>
        <c:auto val="1"/>
        <c:lblAlgn val="ctr"/>
        <c:lblOffset val="100"/>
        <c:noMultiLvlLbl val="0"/>
      </c:catAx>
      <c:valAx>
        <c:axId val="39602816"/>
        <c:scaling>
          <c:orientation val="minMax"/>
        </c:scaling>
        <c:delete val="0"/>
        <c:axPos val="l"/>
        <c:majorGridlines/>
        <c:numFmt formatCode="General" sourceLinked="1"/>
        <c:majorTickMark val="none"/>
        <c:minorTickMark val="none"/>
        <c:tickLblPos val="nextTo"/>
        <c:crossAx val="396012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total Indigenous participants by state</a:t>
            </a:r>
          </a:p>
        </c:rich>
      </c:tx>
      <c:layout/>
      <c:overlay val="0"/>
    </c:title>
    <c:autoTitleDeleted val="0"/>
    <c:plotArea>
      <c:layout/>
      <c:pieChart>
        <c:varyColors val="1"/>
        <c:ser>
          <c:idx val="0"/>
          <c:order val="0"/>
          <c:dPt>
            <c:idx val="0"/>
            <c:bubble3D val="0"/>
          </c:dPt>
          <c:dPt>
            <c:idx val="2"/>
            <c:bubble3D val="0"/>
          </c:dPt>
          <c:dPt>
            <c:idx val="3"/>
            <c:bubble3D val="0"/>
          </c:dPt>
          <c:dPt>
            <c:idx val="4"/>
            <c:bubble3D val="0"/>
            <c:explosion val="17"/>
          </c:dPt>
          <c:dLbls>
            <c:dLbl>
              <c:idx val="0"/>
              <c:layout>
                <c:manualLayout>
                  <c:x val="1.9497594050743656E-2"/>
                  <c:y val="2.5753864100320795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Indigenous!$A$3:$A$11</c:f>
              <c:strCache>
                <c:ptCount val="9"/>
                <c:pt idx="0">
                  <c:v>ACT</c:v>
                </c:pt>
                <c:pt idx="1">
                  <c:v>NSW</c:v>
                </c:pt>
                <c:pt idx="2">
                  <c:v>NT</c:v>
                </c:pt>
                <c:pt idx="3">
                  <c:v>QLD</c:v>
                </c:pt>
                <c:pt idx="4">
                  <c:v>SA</c:v>
                </c:pt>
                <c:pt idx="5">
                  <c:v>TAS</c:v>
                </c:pt>
                <c:pt idx="6">
                  <c:v>VIC</c:v>
                </c:pt>
                <c:pt idx="7">
                  <c:v>WA</c:v>
                </c:pt>
                <c:pt idx="8">
                  <c:v>National</c:v>
                </c:pt>
              </c:strCache>
            </c:strRef>
          </c:cat>
          <c:val>
            <c:numRef>
              <c:f>Indigenous!$E$3:$E$10</c:f>
              <c:numCache>
                <c:formatCode>0%</c:formatCode>
                <c:ptCount val="8"/>
                <c:pt idx="0">
                  <c:v>8.8544043815609319E-3</c:v>
                </c:pt>
                <c:pt idx="1">
                  <c:v>0.43952533089913282</c:v>
                </c:pt>
                <c:pt idx="2">
                  <c:v>8.0967594705613877E-2</c:v>
                </c:pt>
                <c:pt idx="3">
                  <c:v>0.2084892743039708</c:v>
                </c:pt>
                <c:pt idx="4">
                  <c:v>4.4545869465997263E-2</c:v>
                </c:pt>
                <c:pt idx="5">
                  <c:v>1.7891373801916934E-2</c:v>
                </c:pt>
                <c:pt idx="6">
                  <c:v>6.8005476951163851E-2</c:v>
                </c:pt>
                <c:pt idx="7">
                  <c:v>0.13172067549064354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caseload that is Indigenous by state</a:t>
            </a:r>
          </a:p>
        </c:rich>
      </c:tx>
      <c:layout/>
      <c:overlay val="0"/>
    </c:title>
    <c:autoTitleDeleted val="0"/>
    <c:plotArea>
      <c:layout/>
      <c:barChart>
        <c:barDir val="bar"/>
        <c:grouping val="clustered"/>
        <c:varyColors val="0"/>
        <c:ser>
          <c:idx val="0"/>
          <c:order val="0"/>
          <c:tx>
            <c:strRef>
              <c:f>Indigenous!$C$2</c:f>
              <c:strCache>
                <c:ptCount val="1"/>
                <c:pt idx="0">
                  <c:v>% of caseload that is Indigenous</c:v>
                </c:pt>
              </c:strCache>
            </c:strRef>
          </c:tx>
          <c:invertIfNegative val="0"/>
          <c:dLbls>
            <c:dLbl>
              <c:idx val="1"/>
              <c:layout/>
              <c:tx>
                <c:rich>
                  <a:bodyPr/>
                  <a:lstStyle/>
                  <a:p>
                    <a:r>
                      <a:rPr lang="en-US"/>
                      <a:t>22%</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Indigenous!$A$3:$A$11</c:f>
              <c:strCache>
                <c:ptCount val="9"/>
                <c:pt idx="0">
                  <c:v>ACT</c:v>
                </c:pt>
                <c:pt idx="1">
                  <c:v>NSW</c:v>
                </c:pt>
                <c:pt idx="2">
                  <c:v>NT</c:v>
                </c:pt>
                <c:pt idx="3">
                  <c:v>QLD</c:v>
                </c:pt>
                <c:pt idx="4">
                  <c:v>SA</c:v>
                </c:pt>
                <c:pt idx="5">
                  <c:v>TAS</c:v>
                </c:pt>
                <c:pt idx="6">
                  <c:v>VIC</c:v>
                </c:pt>
                <c:pt idx="7">
                  <c:v>WA</c:v>
                </c:pt>
                <c:pt idx="8">
                  <c:v>National</c:v>
                </c:pt>
              </c:strCache>
            </c:strRef>
          </c:cat>
          <c:val>
            <c:numRef>
              <c:f>Indigenous!$C$3:$C$11</c:f>
              <c:numCache>
                <c:formatCode>0%</c:formatCode>
                <c:ptCount val="9"/>
                <c:pt idx="0">
                  <c:v>0.11200923787528869</c:v>
                </c:pt>
                <c:pt idx="1">
                  <c:v>0.22505605381165919</c:v>
                </c:pt>
                <c:pt idx="2">
                  <c:v>0.77130434782608692</c:v>
                </c:pt>
                <c:pt idx="3">
                  <c:v>0.2115544856957689</c:v>
                </c:pt>
                <c:pt idx="4">
                  <c:v>0.14386792452830188</c:v>
                </c:pt>
                <c:pt idx="5">
                  <c:v>0.11951219512195121</c:v>
                </c:pt>
                <c:pt idx="6">
                  <c:v>5.7000765110941085E-2</c:v>
                </c:pt>
                <c:pt idx="7">
                  <c:v>0.23675143560295325</c:v>
                </c:pt>
                <c:pt idx="8">
                  <c:v>0.18758344459279039</c:v>
                </c:pt>
              </c:numCache>
            </c:numRef>
          </c:val>
        </c:ser>
        <c:dLbls>
          <c:showLegendKey val="0"/>
          <c:showVal val="0"/>
          <c:showCatName val="0"/>
          <c:showSerName val="0"/>
          <c:showPercent val="0"/>
          <c:showBubbleSize val="0"/>
        </c:dLbls>
        <c:gapWidth val="150"/>
        <c:axId val="39797888"/>
        <c:axId val="39799424"/>
      </c:barChart>
      <c:catAx>
        <c:axId val="39797888"/>
        <c:scaling>
          <c:orientation val="minMax"/>
        </c:scaling>
        <c:delete val="0"/>
        <c:axPos val="l"/>
        <c:majorTickMark val="out"/>
        <c:minorTickMark val="none"/>
        <c:tickLblPos val="nextTo"/>
        <c:crossAx val="39799424"/>
        <c:crosses val="autoZero"/>
        <c:auto val="1"/>
        <c:lblAlgn val="ctr"/>
        <c:lblOffset val="100"/>
        <c:noMultiLvlLbl val="0"/>
      </c:catAx>
      <c:valAx>
        <c:axId val="39799424"/>
        <c:scaling>
          <c:orientation val="minMax"/>
        </c:scaling>
        <c:delete val="0"/>
        <c:axPos val="b"/>
        <c:majorGridlines/>
        <c:numFmt formatCode="0%" sourceLinked="1"/>
        <c:majorTickMark val="out"/>
        <c:minorTickMark val="none"/>
        <c:tickLblPos val="nextTo"/>
        <c:crossAx val="39797888"/>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a:t>
            </a:r>
            <a:r>
              <a:rPr lang="en-AU" sz="1400" b="1" i="0" u="none" strike="noStrike" baseline="0">
                <a:effectLst/>
              </a:rPr>
              <a:t>Humanitarian Refugee </a:t>
            </a:r>
            <a:r>
              <a:rPr lang="en-AU" sz="1400"/>
              <a:t> participants by state</a:t>
            </a:r>
          </a:p>
        </c:rich>
      </c:tx>
      <c:layout/>
      <c:overlay val="0"/>
    </c:title>
    <c:autoTitleDeleted val="0"/>
    <c:plotArea>
      <c:layout/>
      <c:pieChart>
        <c:varyColors val="1"/>
        <c:ser>
          <c:idx val="0"/>
          <c:order val="0"/>
          <c:dPt>
            <c:idx val="0"/>
            <c:bubble3D val="0"/>
          </c:dPt>
          <c:dPt>
            <c:idx val="2"/>
            <c:bubble3D val="0"/>
          </c:dPt>
          <c:dPt>
            <c:idx val="3"/>
            <c:bubble3D val="0"/>
          </c:dPt>
          <c:dPt>
            <c:idx val="4"/>
            <c:bubble3D val="0"/>
            <c:explosion val="23"/>
          </c:dPt>
          <c:dLbls>
            <c:dLbl>
              <c:idx val="0"/>
              <c:layout>
                <c:manualLayout>
                  <c:x val="2.5739215395130487E-2"/>
                  <c:y val="1.6494604841061512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'Humanitarian Refugee'!$A$3:$A$11</c:f>
              <c:strCache>
                <c:ptCount val="9"/>
                <c:pt idx="0">
                  <c:v>ACT</c:v>
                </c:pt>
                <c:pt idx="1">
                  <c:v>NSW</c:v>
                </c:pt>
                <c:pt idx="2">
                  <c:v>NT</c:v>
                </c:pt>
                <c:pt idx="3">
                  <c:v>QLD</c:v>
                </c:pt>
                <c:pt idx="4">
                  <c:v>SA</c:v>
                </c:pt>
                <c:pt idx="5">
                  <c:v>TAS</c:v>
                </c:pt>
                <c:pt idx="6">
                  <c:v>VIC</c:v>
                </c:pt>
                <c:pt idx="7">
                  <c:v>WA</c:v>
                </c:pt>
                <c:pt idx="8">
                  <c:v>National</c:v>
                </c:pt>
              </c:strCache>
            </c:strRef>
          </c:cat>
          <c:val>
            <c:numRef>
              <c:f>'Humanitarian Refugee'!$E$3:$E$10</c:f>
              <c:numCache>
                <c:formatCode>0%</c:formatCode>
                <c:ptCount val="8"/>
                <c:pt idx="0">
                  <c:v>3.6995515695067267E-2</c:v>
                </c:pt>
                <c:pt idx="1">
                  <c:v>0.27690582959641258</c:v>
                </c:pt>
                <c:pt idx="2">
                  <c:v>4.4843049327354259E-3</c:v>
                </c:pt>
                <c:pt idx="3">
                  <c:v>9.417040358744394E-2</c:v>
                </c:pt>
                <c:pt idx="4">
                  <c:v>5.4932735426008968E-2</c:v>
                </c:pt>
                <c:pt idx="5">
                  <c:v>3.2511210762331835E-2</c:v>
                </c:pt>
                <c:pt idx="6">
                  <c:v>0.4282511210762332</c:v>
                </c:pt>
                <c:pt idx="7">
                  <c:v>7.1748878923766815E-2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National - Age of Participants</a:t>
            </a:r>
          </a:p>
        </c:rich>
      </c:tx>
      <c:layout/>
      <c:overlay val="0"/>
    </c:title>
    <c:autoTitleDeleted val="0"/>
    <c:plotArea>
      <c:layout/>
      <c:barChart>
        <c:barDir val="col"/>
        <c:grouping val="clustered"/>
        <c:varyColors val="0"/>
        <c:ser>
          <c:idx val="0"/>
          <c:order val="0"/>
          <c:tx>
            <c:strRef>
              <c:f>'Age profile'!$I$24:$I$25</c:f>
              <c:strCache>
                <c:ptCount val="1"/>
                <c:pt idx="0">
                  <c:v>National - Age of Participants % Total</c:v>
                </c:pt>
              </c:strCache>
            </c:strRef>
          </c:tx>
          <c:invertIfNegative val="0"/>
          <c:dLbls>
            <c:showLegendKey val="0"/>
            <c:showVal val="1"/>
            <c:showCatName val="0"/>
            <c:showSerName val="0"/>
            <c:showPercent val="0"/>
            <c:showBubbleSize val="0"/>
            <c:showLeaderLines val="0"/>
          </c:dLbls>
          <c:cat>
            <c:strRef>
              <c:f>'Age profile'!$A$26:$A$43</c:f>
              <c:strCache>
                <c:ptCount val="18"/>
                <c:pt idx="0">
                  <c:v>8</c:v>
                </c:pt>
                <c:pt idx="1">
                  <c:v>9</c:v>
                </c:pt>
                <c:pt idx="2">
                  <c:v>10</c:v>
                </c:pt>
                <c:pt idx="3">
                  <c:v>11</c:v>
                </c:pt>
                <c:pt idx="4">
                  <c:v>12</c:v>
                </c:pt>
                <c:pt idx="5">
                  <c:v>13</c:v>
                </c:pt>
                <c:pt idx="6">
                  <c:v>14</c:v>
                </c:pt>
                <c:pt idx="7">
                  <c:v>15</c:v>
                </c:pt>
                <c:pt idx="8">
                  <c:v>16</c:v>
                </c:pt>
                <c:pt idx="9">
                  <c:v>17</c:v>
                </c:pt>
                <c:pt idx="10">
                  <c:v>18</c:v>
                </c:pt>
                <c:pt idx="11">
                  <c:v>19</c:v>
                </c:pt>
                <c:pt idx="12">
                  <c:v>20</c:v>
                </c:pt>
                <c:pt idx="13">
                  <c:v>21</c:v>
                </c:pt>
                <c:pt idx="14">
                  <c:v>22</c:v>
                </c:pt>
                <c:pt idx="15">
                  <c:v>23</c:v>
                </c:pt>
                <c:pt idx="16">
                  <c:v>24</c:v>
                </c:pt>
                <c:pt idx="17">
                  <c:v>25</c:v>
                </c:pt>
              </c:strCache>
            </c:strRef>
          </c:cat>
          <c:val>
            <c:numRef>
              <c:f>'Age profile'!$I$26:$I$43</c:f>
              <c:numCache>
                <c:formatCode>0%</c:formatCode>
                <c:ptCount val="18"/>
                <c:pt idx="0">
                  <c:v>2.8787851526655749E-4</c:v>
                </c:pt>
                <c:pt idx="1">
                  <c:v>1.1335216538620701E-3</c:v>
                </c:pt>
                <c:pt idx="2">
                  <c:v>5.4516993828604325E-3</c:v>
                </c:pt>
                <c:pt idx="3">
                  <c:v>1.6822900735889455E-2</c:v>
                </c:pt>
                <c:pt idx="4">
                  <c:v>3.1612659457708844E-2</c:v>
                </c:pt>
                <c:pt idx="5">
                  <c:v>8.2495187031072892E-2</c:v>
                </c:pt>
                <c:pt idx="6">
                  <c:v>0.17001025567210637</c:v>
                </c:pt>
                <c:pt idx="7">
                  <c:v>0.22458122672232317</c:v>
                </c:pt>
                <c:pt idx="8">
                  <c:v>0.21419960776552294</c:v>
                </c:pt>
                <c:pt idx="9">
                  <c:v>0.14863527591356449</c:v>
                </c:pt>
                <c:pt idx="10">
                  <c:v>6.8065276453336696E-2</c:v>
                </c:pt>
                <c:pt idx="11">
                  <c:v>2.9273646521168067E-2</c:v>
                </c:pt>
                <c:pt idx="12">
                  <c:v>5.7215854909228306E-3</c:v>
                </c:pt>
                <c:pt idx="13">
                  <c:v>9.8958239622879145E-4</c:v>
                </c:pt>
                <c:pt idx="14">
                  <c:v>4.1382536569567642E-4</c:v>
                </c:pt>
                <c:pt idx="15">
                  <c:v>1.4393925763327874E-4</c:v>
                </c:pt>
                <c:pt idx="16">
                  <c:v>7.1969628816639372E-5</c:v>
                </c:pt>
                <c:pt idx="17">
                  <c:v>8.9962036020799221E-5</c:v>
                </c:pt>
              </c:numCache>
            </c:numRef>
          </c:val>
        </c:ser>
        <c:dLbls>
          <c:showLegendKey val="0"/>
          <c:showVal val="0"/>
          <c:showCatName val="0"/>
          <c:showSerName val="0"/>
          <c:showPercent val="0"/>
          <c:showBubbleSize val="0"/>
        </c:dLbls>
        <c:gapWidth val="150"/>
        <c:axId val="61328768"/>
        <c:axId val="61338752"/>
      </c:barChart>
      <c:catAx>
        <c:axId val="61328768"/>
        <c:scaling>
          <c:orientation val="minMax"/>
        </c:scaling>
        <c:delete val="0"/>
        <c:axPos val="b"/>
        <c:majorTickMark val="out"/>
        <c:minorTickMark val="none"/>
        <c:tickLblPos val="nextTo"/>
        <c:crossAx val="61338752"/>
        <c:crosses val="autoZero"/>
        <c:auto val="1"/>
        <c:lblAlgn val="ctr"/>
        <c:lblOffset val="100"/>
        <c:noMultiLvlLbl val="0"/>
      </c:catAx>
      <c:valAx>
        <c:axId val="61338752"/>
        <c:scaling>
          <c:orientation val="minMax"/>
        </c:scaling>
        <c:delete val="0"/>
        <c:axPos val="l"/>
        <c:majorGridlines/>
        <c:numFmt formatCode="0%" sourceLinked="1"/>
        <c:majorTickMark val="out"/>
        <c:minorTickMark val="none"/>
        <c:tickLblPos val="nextTo"/>
        <c:crossAx val="61328768"/>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caseload that is Humanitarian</a:t>
            </a:r>
            <a:r>
              <a:rPr lang="en-AU" sz="1400" baseline="0"/>
              <a:t> Refugee </a:t>
            </a:r>
            <a:r>
              <a:rPr lang="en-AU" sz="1400"/>
              <a:t>by state</a:t>
            </a:r>
          </a:p>
        </c:rich>
      </c:tx>
      <c:layout/>
      <c:overlay val="0"/>
    </c:title>
    <c:autoTitleDeleted val="0"/>
    <c:plotArea>
      <c:layout/>
      <c:barChart>
        <c:barDir val="bar"/>
        <c:grouping val="clustered"/>
        <c:varyColors val="0"/>
        <c:ser>
          <c:idx val="0"/>
          <c:order val="0"/>
          <c:tx>
            <c:strRef>
              <c:f>'Humanitarian Refugee'!$C$2</c:f>
              <c:strCache>
                <c:ptCount val="1"/>
                <c:pt idx="0">
                  <c:v>% of caseload that is Indigenous</c:v>
                </c:pt>
              </c:strCache>
            </c:strRef>
          </c:tx>
          <c:invertIfNegative val="0"/>
          <c:dLbls>
            <c:showLegendKey val="0"/>
            <c:showVal val="1"/>
            <c:showCatName val="0"/>
            <c:showSerName val="0"/>
            <c:showPercent val="0"/>
            <c:showBubbleSize val="0"/>
            <c:showLeaderLines val="0"/>
          </c:dLbls>
          <c:cat>
            <c:strRef>
              <c:f>'Humanitarian Refugee'!$A$3:$A$11</c:f>
              <c:strCache>
                <c:ptCount val="9"/>
                <c:pt idx="0">
                  <c:v>ACT</c:v>
                </c:pt>
                <c:pt idx="1">
                  <c:v>NSW</c:v>
                </c:pt>
                <c:pt idx="2">
                  <c:v>NT</c:v>
                </c:pt>
                <c:pt idx="3">
                  <c:v>QLD</c:v>
                </c:pt>
                <c:pt idx="4">
                  <c:v>SA</c:v>
                </c:pt>
                <c:pt idx="5">
                  <c:v>TAS</c:v>
                </c:pt>
                <c:pt idx="6">
                  <c:v>VIC</c:v>
                </c:pt>
                <c:pt idx="7">
                  <c:v>WA</c:v>
                </c:pt>
                <c:pt idx="8">
                  <c:v>National</c:v>
                </c:pt>
              </c:strCache>
            </c:strRef>
          </c:cat>
          <c:val>
            <c:numRef>
              <c:f>'Humanitarian Refugee'!$C$3:$C$11</c:f>
              <c:numCache>
                <c:formatCode>0%</c:formatCode>
                <c:ptCount val="9"/>
                <c:pt idx="0">
                  <c:v>3.8106235565819858E-2</c:v>
                </c:pt>
                <c:pt idx="1">
                  <c:v>1.1540438256319207E-2</c:v>
                </c:pt>
                <c:pt idx="2">
                  <c:v>3.4782608695652175E-3</c:v>
                </c:pt>
                <c:pt idx="3">
                  <c:v>7.7806595035198219E-3</c:v>
                </c:pt>
                <c:pt idx="4">
                  <c:v>1.4454277286135693E-2</c:v>
                </c:pt>
                <c:pt idx="5">
                  <c:v>1.7682926829268291E-2</c:v>
                </c:pt>
                <c:pt idx="6">
                  <c:v>2.9231711049892868E-2</c:v>
                </c:pt>
                <c:pt idx="7">
                  <c:v>1.0500410172272354E-2</c:v>
                </c:pt>
                <c:pt idx="8">
                  <c:v>1.527188056430626E-2</c:v>
                </c:pt>
              </c:numCache>
            </c:numRef>
          </c:val>
        </c:ser>
        <c:dLbls>
          <c:showLegendKey val="0"/>
          <c:showVal val="0"/>
          <c:showCatName val="0"/>
          <c:showSerName val="0"/>
          <c:showPercent val="0"/>
          <c:showBubbleSize val="0"/>
        </c:dLbls>
        <c:gapWidth val="150"/>
        <c:axId val="40195584"/>
        <c:axId val="40197120"/>
      </c:barChart>
      <c:catAx>
        <c:axId val="40195584"/>
        <c:scaling>
          <c:orientation val="minMax"/>
        </c:scaling>
        <c:delete val="0"/>
        <c:axPos val="l"/>
        <c:majorTickMark val="out"/>
        <c:minorTickMark val="none"/>
        <c:tickLblPos val="nextTo"/>
        <c:crossAx val="40197120"/>
        <c:crosses val="autoZero"/>
        <c:auto val="1"/>
        <c:lblAlgn val="ctr"/>
        <c:lblOffset val="100"/>
        <c:noMultiLvlLbl val="0"/>
      </c:catAx>
      <c:valAx>
        <c:axId val="40197120"/>
        <c:scaling>
          <c:orientation val="minMax"/>
        </c:scaling>
        <c:delete val="0"/>
        <c:axPos val="b"/>
        <c:majorGridlines/>
        <c:numFmt formatCode="0%" sourceLinked="1"/>
        <c:majorTickMark val="out"/>
        <c:minorTickMark val="none"/>
        <c:tickLblPos val="nextTo"/>
        <c:crossAx val="40195584"/>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Participants who have been identified as having a characteristic</a:t>
            </a:r>
          </a:p>
        </c:rich>
      </c:tx>
      <c:layout/>
      <c:overlay val="0"/>
    </c:title>
    <c:autoTitleDeleted val="0"/>
    <c:plotArea>
      <c:layout/>
      <c:barChart>
        <c:barDir val="bar"/>
        <c:grouping val="clustered"/>
        <c:varyColors val="0"/>
        <c:ser>
          <c:idx val="0"/>
          <c:order val="0"/>
          <c:tx>
            <c:strRef>
              <c:f>'SA13 - Characteristics'!$B$2</c:f>
              <c:strCache>
                <c:ptCount val="1"/>
                <c:pt idx="0">
                  <c:v>% Specialised Services</c:v>
                </c:pt>
              </c:strCache>
            </c:strRef>
          </c:tx>
          <c:invertIfNegative val="0"/>
          <c:dLbls>
            <c:showLegendKey val="0"/>
            <c:showVal val="1"/>
            <c:showCatName val="0"/>
            <c:showSerName val="0"/>
            <c:showPercent val="0"/>
            <c:showBubbleSize val="0"/>
            <c:showLeaderLines val="0"/>
          </c:dLbls>
          <c:cat>
            <c:strRef>
              <c:f>'SA13 - Characteristics'!$A$3:$A$11</c:f>
              <c:strCache>
                <c:ptCount val="9"/>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strCache>
            </c:strRef>
          </c:cat>
          <c:val>
            <c:numRef>
              <c:f>'SA13 - Characteristics'!$B$3:$B$11</c:f>
              <c:numCache>
                <c:formatCode>0%</c:formatCode>
                <c:ptCount val="9"/>
                <c:pt idx="0">
                  <c:v>0.11428571428571428</c:v>
                </c:pt>
                <c:pt idx="1">
                  <c:v>2.8571428571428571E-2</c:v>
                </c:pt>
                <c:pt idx="2">
                  <c:v>5.7142857142857141E-2</c:v>
                </c:pt>
                <c:pt idx="3">
                  <c:v>0.35238095238095241</c:v>
                </c:pt>
                <c:pt idx="4">
                  <c:v>4.7619047619047616E-2</c:v>
                </c:pt>
                <c:pt idx="5">
                  <c:v>0.61904761904761907</c:v>
                </c:pt>
                <c:pt idx="6">
                  <c:v>9.5238095238095247E-3</c:v>
                </c:pt>
                <c:pt idx="7">
                  <c:v>0.23809523809523808</c:v>
                </c:pt>
                <c:pt idx="8">
                  <c:v>2.8571428571428571E-2</c:v>
                </c:pt>
              </c:numCache>
            </c:numRef>
          </c:val>
        </c:ser>
        <c:ser>
          <c:idx val="1"/>
          <c:order val="1"/>
          <c:tx>
            <c:strRef>
              <c:f>'SA13 - Characteristics'!$C$2</c:f>
              <c:strCache>
                <c:ptCount val="1"/>
                <c:pt idx="0">
                  <c:v>% SA</c:v>
                </c:pt>
              </c:strCache>
            </c:strRef>
          </c:tx>
          <c:invertIfNegative val="0"/>
          <c:dLbls>
            <c:showLegendKey val="0"/>
            <c:showVal val="1"/>
            <c:showCatName val="0"/>
            <c:showSerName val="0"/>
            <c:showPercent val="0"/>
            <c:showBubbleSize val="0"/>
            <c:showLeaderLines val="0"/>
          </c:dLbls>
          <c:cat>
            <c:strRef>
              <c:f>'SA13 - Characteristics'!$A$3:$A$11</c:f>
              <c:strCache>
                <c:ptCount val="9"/>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strCache>
            </c:strRef>
          </c:cat>
          <c:val>
            <c:numRef>
              <c:f>'SA13 - Characteristics'!$C$3:$C$11</c:f>
              <c:numCache>
                <c:formatCode>0%</c:formatCode>
                <c:ptCount val="9"/>
                <c:pt idx="0">
                  <c:v>2.2995283018867923E-2</c:v>
                </c:pt>
                <c:pt idx="1">
                  <c:v>6.9870283018867926E-2</c:v>
                </c:pt>
                <c:pt idx="2">
                  <c:v>1.4445754716981132E-2</c:v>
                </c:pt>
                <c:pt idx="3">
                  <c:v>0.14386792452830188</c:v>
                </c:pt>
                <c:pt idx="4">
                  <c:v>2.7712264150943397E-2</c:v>
                </c:pt>
                <c:pt idx="5">
                  <c:v>0.51591981132075471</c:v>
                </c:pt>
                <c:pt idx="6">
                  <c:v>8.2547169811320754E-3</c:v>
                </c:pt>
                <c:pt idx="7">
                  <c:v>0.32016509433962265</c:v>
                </c:pt>
                <c:pt idx="8">
                  <c:v>2.6533018867924529E-2</c:v>
                </c:pt>
              </c:numCache>
            </c:numRef>
          </c:val>
        </c:ser>
        <c:ser>
          <c:idx val="2"/>
          <c:order val="2"/>
          <c:tx>
            <c:strRef>
              <c:f>'SA13 - Characteristics'!$D$2</c:f>
              <c:strCache>
                <c:ptCount val="1"/>
                <c:pt idx="0">
                  <c:v>% National</c:v>
                </c:pt>
              </c:strCache>
            </c:strRef>
          </c:tx>
          <c:invertIfNegative val="0"/>
          <c:dLbls>
            <c:showLegendKey val="0"/>
            <c:showVal val="1"/>
            <c:showCatName val="0"/>
            <c:showSerName val="0"/>
            <c:showPercent val="0"/>
            <c:showBubbleSize val="0"/>
            <c:showLeaderLines val="0"/>
          </c:dLbls>
          <c:cat>
            <c:strRef>
              <c:f>'SA13 - Characteristics'!$A$3:$A$11</c:f>
              <c:strCache>
                <c:ptCount val="9"/>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strCache>
            </c:strRef>
          </c:cat>
          <c:val>
            <c:numRef>
              <c:f>'SA13 - Characteristics'!$D$3:$D$11</c:f>
              <c:numCache>
                <c:formatCode>0%</c:formatCode>
                <c:ptCount val="9"/>
                <c:pt idx="0">
                  <c:v>6.7993306824520053E-2</c:v>
                </c:pt>
                <c:pt idx="1">
                  <c:v>4.4099390057395778E-2</c:v>
                </c:pt>
                <c:pt idx="2">
                  <c:v>1.4843735943431871E-2</c:v>
                </c:pt>
                <c:pt idx="3">
                  <c:v>0.18748088306734559</c:v>
                </c:pt>
                <c:pt idx="4">
                  <c:v>2.0439374583925585E-2</c:v>
                </c:pt>
                <c:pt idx="5">
                  <c:v>0.31233019665701073</c:v>
                </c:pt>
                <c:pt idx="6">
                  <c:v>5.7395778981269904E-3</c:v>
                </c:pt>
                <c:pt idx="7">
                  <c:v>0.21414563054391048</c:v>
                </c:pt>
                <c:pt idx="8">
                  <c:v>2.1069108836071177E-2</c:v>
                </c:pt>
              </c:numCache>
            </c:numRef>
          </c:val>
        </c:ser>
        <c:dLbls>
          <c:showLegendKey val="0"/>
          <c:showVal val="0"/>
          <c:showCatName val="0"/>
          <c:showSerName val="0"/>
          <c:showPercent val="0"/>
          <c:showBubbleSize val="0"/>
        </c:dLbls>
        <c:gapWidth val="150"/>
        <c:axId val="40306560"/>
        <c:axId val="40308096"/>
      </c:barChart>
      <c:catAx>
        <c:axId val="40306560"/>
        <c:scaling>
          <c:orientation val="maxMin"/>
        </c:scaling>
        <c:delete val="0"/>
        <c:axPos val="l"/>
        <c:majorTickMark val="none"/>
        <c:minorTickMark val="none"/>
        <c:tickLblPos val="nextTo"/>
        <c:crossAx val="40308096"/>
        <c:crosses val="autoZero"/>
        <c:auto val="1"/>
        <c:lblAlgn val="ctr"/>
        <c:lblOffset val="100"/>
        <c:noMultiLvlLbl val="0"/>
      </c:catAx>
      <c:valAx>
        <c:axId val="40308096"/>
        <c:scaling>
          <c:orientation val="minMax"/>
        </c:scaling>
        <c:delete val="0"/>
        <c:axPos val="t"/>
        <c:majorGridlines/>
        <c:numFmt formatCode="0%" sourceLinked="1"/>
        <c:majorTickMark val="none"/>
        <c:minorTickMark val="none"/>
        <c:tickLblPos val="nextTo"/>
        <c:crossAx val="4030656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participants who have been identified as having</a:t>
            </a:r>
            <a:r>
              <a:rPr lang="en-AU" sz="1400" baseline="0"/>
              <a:t> a barrier</a:t>
            </a:r>
            <a:endParaRPr lang="en-AU" sz="1400"/>
          </a:p>
        </c:rich>
      </c:tx>
      <c:layout/>
      <c:overlay val="0"/>
    </c:title>
    <c:autoTitleDeleted val="0"/>
    <c:plotArea>
      <c:layout/>
      <c:barChart>
        <c:barDir val="bar"/>
        <c:grouping val="clustered"/>
        <c:varyColors val="0"/>
        <c:ser>
          <c:idx val="0"/>
          <c:order val="0"/>
          <c:tx>
            <c:strRef>
              <c:f>'SA13 - Barriers'!$B$2</c:f>
              <c:strCache>
                <c:ptCount val="1"/>
                <c:pt idx="0">
                  <c:v>Specialised Services</c:v>
                </c:pt>
              </c:strCache>
            </c:strRef>
          </c:tx>
          <c:invertIfNegative val="0"/>
          <c:dLbls>
            <c:showLegendKey val="0"/>
            <c:showVal val="1"/>
            <c:showCatName val="0"/>
            <c:showSerName val="0"/>
            <c:showPercent val="0"/>
            <c:showBubbleSize val="0"/>
            <c:showLeaderLines val="0"/>
          </c:dLbls>
          <c:cat>
            <c:strRef>
              <c:f>'SA13 - Barriers'!$A$3:$A$29</c:f>
              <c:strCache>
                <c:ptCount val="27"/>
                <c:pt idx="0">
                  <c:v>Abuse/Domestic Violence issue</c:v>
                </c:pt>
                <c:pt idx="1">
                  <c:v>Alcohol and/or drug misuse</c:v>
                </c:pt>
                <c:pt idx="2">
                  <c:v>Anger management issues</c:v>
                </c:pt>
                <c:pt idx="3">
                  <c:v>Behavioural problems</c:v>
                </c:pt>
                <c:pt idx="4">
                  <c:v>Bullying</c:v>
                </c:pt>
                <c:pt idx="5">
                  <c:v>Critical life event</c:v>
                </c:pt>
                <c:pt idx="6">
                  <c:v>Current or previous Juvenile Justice Orders</c:v>
                </c:pt>
                <c:pt idx="7">
                  <c:v>Disability</c:v>
                </c:pt>
                <c:pt idx="8">
                  <c:v>Disconnection from cultural heritage</c:v>
                </c:pt>
                <c:pt idx="9">
                  <c:v>Financial distress</c:v>
                </c:pt>
                <c:pt idx="10">
                  <c:v>Gifted</c:v>
                </c:pt>
                <c:pt idx="11">
                  <c:v>Homelessness</c:v>
                </c:pt>
                <c:pt idx="12">
                  <c:v>In detention/previously in detention</c:v>
                </c:pt>
                <c:pt idx="13">
                  <c:v>Inadequate family support</c:v>
                </c:pt>
                <c:pt idx="14">
                  <c:v>Learning Difficulty</c:v>
                </c:pt>
                <c:pt idx="15">
                  <c:v>Low literacy and/or numeracy</c:v>
                </c:pt>
                <c:pt idx="16">
                  <c:v>Low Self Esteem</c:v>
                </c:pt>
                <c:pt idx="17">
                  <c:v>Medical or other health issue</c:v>
                </c:pt>
                <c:pt idx="18">
                  <c:v>Negative experience(s) with education and training</c:v>
                </c:pt>
                <c:pt idx="19">
                  <c:v>Out of home care</c:v>
                </c:pt>
                <c:pt idx="20">
                  <c:v>Parent/Pregnancy</c:v>
                </c:pt>
                <c:pt idx="21">
                  <c:v>Petrol sniffing</c:v>
                </c:pt>
                <c:pt idx="22">
                  <c:v>Socialisation issues</c:v>
                </c:pt>
                <c:pt idx="23">
                  <c:v>Suspected or diagnosed mental health issue</c:v>
                </c:pt>
                <c:pt idx="24">
                  <c:v>Unstable living arrangements</c:v>
                </c:pt>
                <c:pt idx="25">
                  <c:v>Volatile substance misuse</c:v>
                </c:pt>
                <c:pt idx="26">
                  <c:v>Young Carer responsibilities</c:v>
                </c:pt>
              </c:strCache>
            </c:strRef>
          </c:cat>
          <c:val>
            <c:numRef>
              <c:f>'SA13 - Barriers'!$B$3:$B$29</c:f>
              <c:numCache>
                <c:formatCode>0%</c:formatCode>
                <c:ptCount val="27"/>
                <c:pt idx="0">
                  <c:v>9.5238095238095233E-2</c:v>
                </c:pt>
                <c:pt idx="1">
                  <c:v>0.44761904761904764</c:v>
                </c:pt>
                <c:pt idx="2">
                  <c:v>0.22857142857142856</c:v>
                </c:pt>
                <c:pt idx="3">
                  <c:v>0.26666666666666666</c:v>
                </c:pt>
                <c:pt idx="4">
                  <c:v>6.6666666666666666E-2</c:v>
                </c:pt>
                <c:pt idx="5">
                  <c:v>9.5238095238095233E-2</c:v>
                </c:pt>
                <c:pt idx="6">
                  <c:v>0.82857142857142863</c:v>
                </c:pt>
                <c:pt idx="7">
                  <c:v>1.9047619047619049E-2</c:v>
                </c:pt>
                <c:pt idx="8">
                  <c:v>7.6190476190476197E-2</c:v>
                </c:pt>
                <c:pt idx="9">
                  <c:v>0.10476190476190476</c:v>
                </c:pt>
                <c:pt idx="10">
                  <c:v>9.5238095238095247E-3</c:v>
                </c:pt>
                <c:pt idx="11">
                  <c:v>0.12380952380952381</c:v>
                </c:pt>
                <c:pt idx="12">
                  <c:v>0.76190476190476186</c:v>
                </c:pt>
                <c:pt idx="13">
                  <c:v>0.4</c:v>
                </c:pt>
                <c:pt idx="14">
                  <c:v>0</c:v>
                </c:pt>
                <c:pt idx="15">
                  <c:v>0.45714285714285713</c:v>
                </c:pt>
                <c:pt idx="16">
                  <c:v>0.2</c:v>
                </c:pt>
                <c:pt idx="17">
                  <c:v>2.8571428571428571E-2</c:v>
                </c:pt>
                <c:pt idx="18">
                  <c:v>0</c:v>
                </c:pt>
                <c:pt idx="19">
                  <c:v>2.8571428571428571E-2</c:v>
                </c:pt>
                <c:pt idx="20">
                  <c:v>6.6666666666666666E-2</c:v>
                </c:pt>
                <c:pt idx="21">
                  <c:v>0</c:v>
                </c:pt>
                <c:pt idx="22">
                  <c:v>0.23809523809523808</c:v>
                </c:pt>
                <c:pt idx="23">
                  <c:v>0.23809523809523808</c:v>
                </c:pt>
                <c:pt idx="24">
                  <c:v>0.4</c:v>
                </c:pt>
                <c:pt idx="25">
                  <c:v>1.9047619047619049E-2</c:v>
                </c:pt>
                <c:pt idx="26">
                  <c:v>2.8571428571428571E-2</c:v>
                </c:pt>
              </c:numCache>
            </c:numRef>
          </c:val>
        </c:ser>
        <c:ser>
          <c:idx val="1"/>
          <c:order val="1"/>
          <c:tx>
            <c:strRef>
              <c:f>'SA13 - Barriers'!$C$2</c:f>
              <c:strCache>
                <c:ptCount val="1"/>
                <c:pt idx="0">
                  <c:v>South Australia</c:v>
                </c:pt>
              </c:strCache>
            </c:strRef>
          </c:tx>
          <c:invertIfNegative val="0"/>
          <c:dLbls>
            <c:showLegendKey val="0"/>
            <c:showVal val="1"/>
            <c:showCatName val="0"/>
            <c:showSerName val="0"/>
            <c:showPercent val="0"/>
            <c:showBubbleSize val="0"/>
            <c:showLeaderLines val="0"/>
          </c:dLbls>
          <c:cat>
            <c:strRef>
              <c:f>'SA13 - Barriers'!$A$3:$A$29</c:f>
              <c:strCache>
                <c:ptCount val="27"/>
                <c:pt idx="0">
                  <c:v>Abuse/Domestic Violence issue</c:v>
                </c:pt>
                <c:pt idx="1">
                  <c:v>Alcohol and/or drug misuse</c:v>
                </c:pt>
                <c:pt idx="2">
                  <c:v>Anger management issues</c:v>
                </c:pt>
                <c:pt idx="3">
                  <c:v>Behavioural problems</c:v>
                </c:pt>
                <c:pt idx="4">
                  <c:v>Bullying</c:v>
                </c:pt>
                <c:pt idx="5">
                  <c:v>Critical life event</c:v>
                </c:pt>
                <c:pt idx="6">
                  <c:v>Current or previous Juvenile Justice Orders</c:v>
                </c:pt>
                <c:pt idx="7">
                  <c:v>Disability</c:v>
                </c:pt>
                <c:pt idx="8">
                  <c:v>Disconnection from cultural heritage</c:v>
                </c:pt>
                <c:pt idx="9">
                  <c:v>Financial distress</c:v>
                </c:pt>
                <c:pt idx="10">
                  <c:v>Gifted</c:v>
                </c:pt>
                <c:pt idx="11">
                  <c:v>Homelessness</c:v>
                </c:pt>
                <c:pt idx="12">
                  <c:v>In detention/previously in detention</c:v>
                </c:pt>
                <c:pt idx="13">
                  <c:v>Inadequate family support</c:v>
                </c:pt>
                <c:pt idx="14">
                  <c:v>Learning Difficulty</c:v>
                </c:pt>
                <c:pt idx="15">
                  <c:v>Low literacy and/or numeracy</c:v>
                </c:pt>
                <c:pt idx="16">
                  <c:v>Low Self Esteem</c:v>
                </c:pt>
                <c:pt idx="17">
                  <c:v>Medical or other health issue</c:v>
                </c:pt>
                <c:pt idx="18">
                  <c:v>Negative experience(s) with education and training</c:v>
                </c:pt>
                <c:pt idx="19">
                  <c:v>Out of home care</c:v>
                </c:pt>
                <c:pt idx="20">
                  <c:v>Parent/Pregnancy</c:v>
                </c:pt>
                <c:pt idx="21">
                  <c:v>Petrol sniffing</c:v>
                </c:pt>
                <c:pt idx="22">
                  <c:v>Socialisation issues</c:v>
                </c:pt>
                <c:pt idx="23">
                  <c:v>Suspected or diagnosed mental health issue</c:v>
                </c:pt>
                <c:pt idx="24">
                  <c:v>Unstable living arrangements</c:v>
                </c:pt>
                <c:pt idx="25">
                  <c:v>Volatile substance misuse</c:v>
                </c:pt>
                <c:pt idx="26">
                  <c:v>Young Carer responsibilities</c:v>
                </c:pt>
              </c:strCache>
            </c:strRef>
          </c:cat>
          <c:val>
            <c:numRef>
              <c:f>'SA13 - Barriers'!$C$3:$C$29</c:f>
              <c:numCache>
                <c:formatCode>0%</c:formatCode>
                <c:ptCount val="27"/>
                <c:pt idx="0">
                  <c:v>0.16067216981132076</c:v>
                </c:pt>
                <c:pt idx="1">
                  <c:v>0.25825471698113206</c:v>
                </c:pt>
                <c:pt idx="2">
                  <c:v>0.32340801886792453</c:v>
                </c:pt>
                <c:pt idx="3">
                  <c:v>0.41863207547169812</c:v>
                </c:pt>
                <c:pt idx="4">
                  <c:v>0.25972877358490565</c:v>
                </c:pt>
                <c:pt idx="5">
                  <c:v>0.21845518867924529</c:v>
                </c:pt>
                <c:pt idx="6">
                  <c:v>0.16332547169811321</c:v>
                </c:pt>
                <c:pt idx="7">
                  <c:v>6.4268867924528308E-2</c:v>
                </c:pt>
                <c:pt idx="8">
                  <c:v>2.8891509433962265E-2</c:v>
                </c:pt>
                <c:pt idx="9">
                  <c:v>0.43808962264150941</c:v>
                </c:pt>
                <c:pt idx="10">
                  <c:v>1.3561320754716982E-2</c:v>
                </c:pt>
                <c:pt idx="11">
                  <c:v>6.9870283018867926E-2</c:v>
                </c:pt>
                <c:pt idx="12">
                  <c:v>4.8938679245283022E-2</c:v>
                </c:pt>
                <c:pt idx="13">
                  <c:v>0.36527122641509435</c:v>
                </c:pt>
                <c:pt idx="14">
                  <c:v>0.10112028301886793</c:v>
                </c:pt>
                <c:pt idx="15">
                  <c:v>0.50235849056603776</c:v>
                </c:pt>
                <c:pt idx="16">
                  <c:v>0.56957547169811318</c:v>
                </c:pt>
                <c:pt idx="17">
                  <c:v>0.13472877358490565</c:v>
                </c:pt>
                <c:pt idx="18">
                  <c:v>0.1630306603773585</c:v>
                </c:pt>
                <c:pt idx="19">
                  <c:v>3.0660377358490566E-2</c:v>
                </c:pt>
                <c:pt idx="20">
                  <c:v>5.0412735849056603E-2</c:v>
                </c:pt>
                <c:pt idx="21">
                  <c:v>1.1792452830188679E-3</c:v>
                </c:pt>
                <c:pt idx="22">
                  <c:v>0.46167452830188677</c:v>
                </c:pt>
                <c:pt idx="23">
                  <c:v>0.38354952830188677</c:v>
                </c:pt>
                <c:pt idx="24">
                  <c:v>0.26208726415094341</c:v>
                </c:pt>
                <c:pt idx="25">
                  <c:v>8.2547169811320754E-3</c:v>
                </c:pt>
                <c:pt idx="26">
                  <c:v>4.7759433962264154E-2</c:v>
                </c:pt>
              </c:numCache>
            </c:numRef>
          </c:val>
        </c:ser>
        <c:ser>
          <c:idx val="2"/>
          <c:order val="2"/>
          <c:tx>
            <c:strRef>
              <c:f>'SA13 - Barriers'!$D$2</c:f>
              <c:strCache>
                <c:ptCount val="1"/>
                <c:pt idx="0">
                  <c:v>National</c:v>
                </c:pt>
              </c:strCache>
            </c:strRef>
          </c:tx>
          <c:invertIfNegative val="0"/>
          <c:cat>
            <c:strRef>
              <c:f>'SA13 - Barriers'!$A$3:$A$29</c:f>
              <c:strCache>
                <c:ptCount val="27"/>
                <c:pt idx="0">
                  <c:v>Abuse/Domestic Violence issue</c:v>
                </c:pt>
                <c:pt idx="1">
                  <c:v>Alcohol and/or drug misuse</c:v>
                </c:pt>
                <c:pt idx="2">
                  <c:v>Anger management issues</c:v>
                </c:pt>
                <c:pt idx="3">
                  <c:v>Behavioural problems</c:v>
                </c:pt>
                <c:pt idx="4">
                  <c:v>Bullying</c:v>
                </c:pt>
                <c:pt idx="5">
                  <c:v>Critical life event</c:v>
                </c:pt>
                <c:pt idx="6">
                  <c:v>Current or previous Juvenile Justice Orders</c:v>
                </c:pt>
                <c:pt idx="7">
                  <c:v>Disability</c:v>
                </c:pt>
                <c:pt idx="8">
                  <c:v>Disconnection from cultural heritage</c:v>
                </c:pt>
                <c:pt idx="9">
                  <c:v>Financial distress</c:v>
                </c:pt>
                <c:pt idx="10">
                  <c:v>Gifted</c:v>
                </c:pt>
                <c:pt idx="11">
                  <c:v>Homelessness</c:v>
                </c:pt>
                <c:pt idx="12">
                  <c:v>In detention/previously in detention</c:v>
                </c:pt>
                <c:pt idx="13">
                  <c:v>Inadequate family support</c:v>
                </c:pt>
                <c:pt idx="14">
                  <c:v>Learning Difficulty</c:v>
                </c:pt>
                <c:pt idx="15">
                  <c:v>Low literacy and/or numeracy</c:v>
                </c:pt>
                <c:pt idx="16">
                  <c:v>Low Self Esteem</c:v>
                </c:pt>
                <c:pt idx="17">
                  <c:v>Medical or other health issue</c:v>
                </c:pt>
                <c:pt idx="18">
                  <c:v>Negative experience(s) with education and training</c:v>
                </c:pt>
                <c:pt idx="19">
                  <c:v>Out of home care</c:v>
                </c:pt>
                <c:pt idx="20">
                  <c:v>Parent/Pregnancy</c:v>
                </c:pt>
                <c:pt idx="21">
                  <c:v>Petrol sniffing</c:v>
                </c:pt>
                <c:pt idx="22">
                  <c:v>Socialisation issues</c:v>
                </c:pt>
                <c:pt idx="23">
                  <c:v>Suspected or diagnosed mental health issue</c:v>
                </c:pt>
                <c:pt idx="24">
                  <c:v>Unstable living arrangements</c:v>
                </c:pt>
                <c:pt idx="25">
                  <c:v>Volatile substance misuse</c:v>
                </c:pt>
                <c:pt idx="26">
                  <c:v>Young Carer responsibilities</c:v>
                </c:pt>
              </c:strCache>
            </c:strRef>
          </c:cat>
          <c:val>
            <c:numRef>
              <c:f>'SA13 - Barriers'!$D$3:$D$29</c:f>
              <c:numCache>
                <c:formatCode>0%</c:formatCode>
                <c:ptCount val="27"/>
                <c:pt idx="0">
                  <c:v>9.8507411591523736E-2</c:v>
                </c:pt>
                <c:pt idx="1">
                  <c:v>0.18498168498168499</c:v>
                </c:pt>
                <c:pt idx="2">
                  <c:v>0.30055458560131459</c:v>
                </c:pt>
                <c:pt idx="3">
                  <c:v>0.49924685905994315</c:v>
                </c:pt>
                <c:pt idx="4">
                  <c:v>0.24877614597240766</c:v>
                </c:pt>
                <c:pt idx="5">
                  <c:v>0.16202800314949847</c:v>
                </c:pt>
                <c:pt idx="6">
                  <c:v>9.7411933860531985E-2</c:v>
                </c:pt>
                <c:pt idx="7">
                  <c:v>4.5325391119783641E-2</c:v>
                </c:pt>
                <c:pt idx="8">
                  <c:v>4.9279381055081992E-2</c:v>
                </c:pt>
                <c:pt idx="9">
                  <c:v>0.28292424086816609</c:v>
                </c:pt>
                <c:pt idx="10">
                  <c:v>1.116017938447845E-2</c:v>
                </c:pt>
                <c:pt idx="11">
                  <c:v>4.5137105884769435E-2</c:v>
                </c:pt>
                <c:pt idx="12">
                  <c:v>2.932114614357605E-2</c:v>
                </c:pt>
                <c:pt idx="13">
                  <c:v>0.27506761151620962</c:v>
                </c:pt>
                <c:pt idx="14">
                  <c:v>8.5122043065968295E-2</c:v>
                </c:pt>
                <c:pt idx="15">
                  <c:v>0.48940467632056417</c:v>
                </c:pt>
                <c:pt idx="16">
                  <c:v>0.55552702748964433</c:v>
                </c:pt>
                <c:pt idx="17">
                  <c:v>9.8815514703365165E-2</c:v>
                </c:pt>
                <c:pt idx="18">
                  <c:v>0.13672931429940777</c:v>
                </c:pt>
                <c:pt idx="19">
                  <c:v>3.6612919790489883E-2</c:v>
                </c:pt>
                <c:pt idx="20">
                  <c:v>3.5397624182670909E-2</c:v>
                </c:pt>
                <c:pt idx="21">
                  <c:v>7.5314094005682786E-4</c:v>
                </c:pt>
                <c:pt idx="22">
                  <c:v>0.41701756187737499</c:v>
                </c:pt>
                <c:pt idx="23">
                  <c:v>0.26816952517887099</c:v>
                </c:pt>
                <c:pt idx="24">
                  <c:v>0.17628633049193798</c:v>
                </c:pt>
                <c:pt idx="25">
                  <c:v>4.5873129985279518E-3</c:v>
                </c:pt>
                <c:pt idx="26">
                  <c:v>3.5534558899044881E-2</c:v>
                </c:pt>
              </c:numCache>
            </c:numRef>
          </c:val>
        </c:ser>
        <c:dLbls>
          <c:showLegendKey val="0"/>
          <c:showVal val="0"/>
          <c:showCatName val="0"/>
          <c:showSerName val="0"/>
          <c:showPercent val="0"/>
          <c:showBubbleSize val="0"/>
        </c:dLbls>
        <c:gapWidth val="150"/>
        <c:axId val="40353152"/>
        <c:axId val="40359040"/>
      </c:barChart>
      <c:catAx>
        <c:axId val="40353152"/>
        <c:scaling>
          <c:orientation val="maxMin"/>
        </c:scaling>
        <c:delete val="0"/>
        <c:axPos val="l"/>
        <c:majorTickMark val="none"/>
        <c:minorTickMark val="none"/>
        <c:tickLblPos val="nextTo"/>
        <c:crossAx val="40359040"/>
        <c:crosses val="autoZero"/>
        <c:auto val="1"/>
        <c:lblAlgn val="ctr"/>
        <c:lblOffset val="100"/>
        <c:noMultiLvlLbl val="0"/>
      </c:catAx>
      <c:valAx>
        <c:axId val="40359040"/>
        <c:scaling>
          <c:orientation val="minMax"/>
        </c:scaling>
        <c:delete val="0"/>
        <c:axPos val="t"/>
        <c:majorGridlines/>
        <c:numFmt formatCode="0%" sourceLinked="1"/>
        <c:majorTickMark val="none"/>
        <c:minorTickMark val="none"/>
        <c:tickLblPos val="nextTo"/>
        <c:crossAx val="4035315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Specialised Services - Final Outcomes</a:t>
            </a:r>
            <a:r>
              <a:rPr lang="en-US" sz="1400" baseline="0"/>
              <a:t> Achieved</a:t>
            </a:r>
            <a:endParaRPr lang="en-US" sz="1400"/>
          </a:p>
        </c:rich>
      </c:tx>
      <c:layout/>
      <c:overlay val="0"/>
    </c:title>
    <c:autoTitleDeleted val="0"/>
    <c:plotArea>
      <c:layout/>
      <c:barChart>
        <c:barDir val="col"/>
        <c:grouping val="clustered"/>
        <c:varyColors val="0"/>
        <c:ser>
          <c:idx val="0"/>
          <c:order val="0"/>
          <c:tx>
            <c:strRef>
              <c:f>'SA13 Final outcomes achieved'!$B$3</c:f>
              <c:strCache>
                <c:ptCount val="1"/>
                <c:pt idx="0">
                  <c:v>Total</c:v>
                </c:pt>
              </c:strCache>
            </c:strRef>
          </c:tx>
          <c:invertIfNegative val="0"/>
          <c:dLbls>
            <c:showLegendKey val="0"/>
            <c:showVal val="1"/>
            <c:showCatName val="0"/>
            <c:showSerName val="0"/>
            <c:showPercent val="0"/>
            <c:showBubbleSize val="0"/>
            <c:showLeaderLines val="0"/>
          </c:dLbls>
          <c:cat>
            <c:strRef>
              <c:f>'SA13 Final outcomes achieved'!$A$14:$A$17</c:f>
              <c:strCache>
                <c:ptCount val="4"/>
                <c:pt idx="0">
                  <c:v>Strengthened engagement</c:v>
                </c:pt>
                <c:pt idx="1">
                  <c:v>Engaged in employment</c:v>
                </c:pt>
                <c:pt idx="2">
                  <c:v>Re-engaged in education</c:v>
                </c:pt>
                <c:pt idx="3">
                  <c:v>Commenced in education</c:v>
                </c:pt>
              </c:strCache>
            </c:strRef>
          </c:cat>
          <c:val>
            <c:numRef>
              <c:f>'SA13 Final outcomes achieved'!$B$4:$B$7</c:f>
              <c:numCache>
                <c:formatCode>General</c:formatCode>
                <c:ptCount val="4"/>
                <c:pt idx="0">
                  <c:v>1</c:v>
                </c:pt>
                <c:pt idx="1">
                  <c:v>1</c:v>
                </c:pt>
                <c:pt idx="2">
                  <c:v>57</c:v>
                </c:pt>
                <c:pt idx="3">
                  <c:v>10</c:v>
                </c:pt>
              </c:numCache>
            </c:numRef>
          </c:val>
        </c:ser>
        <c:dLbls>
          <c:showLegendKey val="0"/>
          <c:showVal val="0"/>
          <c:showCatName val="0"/>
          <c:showSerName val="0"/>
          <c:showPercent val="0"/>
          <c:showBubbleSize val="0"/>
        </c:dLbls>
        <c:gapWidth val="150"/>
        <c:axId val="40386944"/>
        <c:axId val="40388480"/>
      </c:barChart>
      <c:catAx>
        <c:axId val="40386944"/>
        <c:scaling>
          <c:orientation val="minMax"/>
        </c:scaling>
        <c:delete val="0"/>
        <c:axPos val="b"/>
        <c:majorTickMark val="out"/>
        <c:minorTickMark val="none"/>
        <c:tickLblPos val="nextTo"/>
        <c:crossAx val="40388480"/>
        <c:crosses val="autoZero"/>
        <c:auto val="1"/>
        <c:lblAlgn val="ctr"/>
        <c:lblOffset val="100"/>
        <c:noMultiLvlLbl val="0"/>
      </c:catAx>
      <c:valAx>
        <c:axId val="40388480"/>
        <c:scaling>
          <c:orientation val="minMax"/>
        </c:scaling>
        <c:delete val="0"/>
        <c:axPos val="l"/>
        <c:majorGridlines/>
        <c:numFmt formatCode="General" sourceLinked="1"/>
        <c:majorTickMark val="out"/>
        <c:minorTickMark val="none"/>
        <c:tickLblPos val="nextTo"/>
        <c:crossAx val="40386944"/>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A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'SA Tables'!$M$21</c:f>
          <c:strCache>
            <c:ptCount val="1"/>
            <c:pt idx="0">
              <c:v>Distribution of SA Schools by ICSEA Value</c:v>
            </c:pt>
          </c:strCache>
        </c:strRef>
      </c:tx>
      <c:layout/>
      <c:overlay val="1"/>
      <c:txPr>
        <a:bodyPr/>
        <a:lstStyle/>
        <a:p>
          <a:pPr>
            <a:defRPr/>
          </a:pPr>
          <a:endParaRPr lang="en-US"/>
        </a:p>
      </c:txPr>
    </c:title>
    <c:autoTitleDeleted val="0"/>
    <c:plotArea>
      <c:layout>
        <c:manualLayout>
          <c:layoutTarget val="inner"/>
          <c:xMode val="edge"/>
          <c:yMode val="edge"/>
          <c:x val="8.4672562955056749E-2"/>
          <c:y val="0.13208623613406348"/>
          <c:w val="0.59786248932243913"/>
          <c:h val="0.70690985956807917"/>
        </c:manualLayout>
      </c:layout>
      <c:barChart>
        <c:barDir val="col"/>
        <c:grouping val="clustered"/>
        <c:varyColors val="0"/>
        <c:ser>
          <c:idx val="0"/>
          <c:order val="0"/>
          <c:tx>
            <c:v>Schools in partnerships</c:v>
          </c:tx>
          <c:spPr>
            <a:solidFill>
              <a:srgbClr val="0070C0"/>
            </a:solidFill>
            <a:effectLst>
              <a:outerShdw blurRad="50800" dist="50800" dir="2880000" algn="ctr" rotWithShape="0">
                <a:schemeClr val="tx1">
                  <a:alpha val="63000"/>
                </a:schemeClr>
              </a:outerShdw>
            </a:effectLst>
          </c:spPr>
          <c:invertIfNegative val="0"/>
          <c:dLbls>
            <c:showLegendKey val="0"/>
            <c:showVal val="1"/>
            <c:showCatName val="0"/>
            <c:showSerName val="0"/>
            <c:showPercent val="0"/>
            <c:showBubbleSize val="0"/>
            <c:showLeaderLines val="0"/>
          </c:dLbls>
          <c:cat>
            <c:strRef>
              <c:f>'SA Tables'!$M$15:$P$15</c:f>
              <c:strCache>
                <c:ptCount val="4"/>
                <c:pt idx="0">
                  <c:v>Quarter 1
Disadvantaged</c:v>
                </c:pt>
                <c:pt idx="1">
                  <c:v>Quarter 2</c:v>
                </c:pt>
                <c:pt idx="2">
                  <c:v>Quarter 3</c:v>
                </c:pt>
                <c:pt idx="3">
                  <c:v>Quarter 4
Advantaged</c:v>
                </c:pt>
              </c:strCache>
            </c:strRef>
          </c:cat>
          <c:val>
            <c:numRef>
              <c:f>'SA Tables'!$M$18:$P$18</c:f>
              <c:numCache>
                <c:formatCode>0%</c:formatCode>
                <c:ptCount val="4"/>
                <c:pt idx="0">
                  <c:v>0.4838709677419355</c:v>
                </c:pt>
                <c:pt idx="1">
                  <c:v>0.25806451612903225</c:v>
                </c:pt>
                <c:pt idx="2">
                  <c:v>0.22580645161290322</c:v>
                </c:pt>
                <c:pt idx="3">
                  <c:v>3.2258064516129031E-2</c:v>
                </c:pt>
              </c:numCache>
            </c:numRef>
          </c:val>
        </c:ser>
        <c:ser>
          <c:idx val="1"/>
          <c:order val="1"/>
          <c:tx>
            <c:v>Total schools</c:v>
          </c:tx>
          <c:spPr>
            <a:effectLst>
              <a:outerShdw blurRad="50800" dist="50800" dir="2880000" algn="ctr" rotWithShape="0">
                <a:schemeClr val="tx1">
                  <a:alpha val="63000"/>
                </a:schemeClr>
              </a:outerShdw>
            </a:effectLst>
          </c:spPr>
          <c:invertIfNegative val="0"/>
          <c:dLbls>
            <c:showLegendKey val="0"/>
            <c:showVal val="1"/>
            <c:showCatName val="0"/>
            <c:showSerName val="0"/>
            <c:showPercent val="0"/>
            <c:showBubbleSize val="0"/>
            <c:showLeaderLines val="0"/>
          </c:dLbls>
          <c:cat>
            <c:strRef>
              <c:f>'SA Tables'!$M$15:$P$15</c:f>
              <c:strCache>
                <c:ptCount val="4"/>
                <c:pt idx="0">
                  <c:v>Quarter 1
Disadvantaged</c:v>
                </c:pt>
                <c:pt idx="1">
                  <c:v>Quarter 2</c:v>
                </c:pt>
                <c:pt idx="2">
                  <c:v>Quarter 3</c:v>
                </c:pt>
                <c:pt idx="3">
                  <c:v>Quarter 4
Advantaged</c:v>
                </c:pt>
              </c:strCache>
            </c:strRef>
          </c:cat>
          <c:val>
            <c:numRef>
              <c:f>'SA Tables'!$M$19:$P$19</c:f>
              <c:numCache>
                <c:formatCode>0%</c:formatCode>
                <c:ptCount val="4"/>
                <c:pt idx="0">
                  <c:v>0.22833562585969738</c:v>
                </c:pt>
                <c:pt idx="1">
                  <c:v>0.26960110041265473</c:v>
                </c:pt>
                <c:pt idx="2">
                  <c:v>0.28610729023383769</c:v>
                </c:pt>
                <c:pt idx="3">
                  <c:v>0.21595598349381018</c:v>
                </c:pt>
              </c:numCache>
            </c:numRef>
          </c:val>
        </c:ser>
        <c:dLbls>
          <c:showLegendKey val="0"/>
          <c:showVal val="0"/>
          <c:showCatName val="0"/>
          <c:showSerName val="0"/>
          <c:showPercent val="0"/>
          <c:showBubbleSize val="0"/>
        </c:dLbls>
        <c:gapWidth val="150"/>
        <c:axId val="40422784"/>
        <c:axId val="39257216"/>
      </c:barChart>
      <c:catAx>
        <c:axId val="40422784"/>
        <c:scaling>
          <c:orientation val="minMax"/>
        </c:scaling>
        <c:delete val="0"/>
        <c:axPos val="b"/>
        <c:numFmt formatCode="General" sourceLinked="1"/>
        <c:majorTickMark val="out"/>
        <c:minorTickMark val="none"/>
        <c:tickLblPos val="nextTo"/>
        <c:crossAx val="39257216"/>
        <c:crosses val="autoZero"/>
        <c:auto val="1"/>
        <c:lblAlgn val="ctr"/>
        <c:lblOffset val="100"/>
        <c:noMultiLvlLbl val="0"/>
      </c:catAx>
      <c:valAx>
        <c:axId val="39257216"/>
        <c:scaling>
          <c:orientation val="minMax"/>
        </c:scaling>
        <c:delete val="0"/>
        <c:axPos val="l"/>
        <c:majorGridlines/>
        <c:numFmt formatCode="0%" sourceLinked="1"/>
        <c:majorTickMark val="out"/>
        <c:minorTickMark val="none"/>
        <c:tickLblPos val="nextTo"/>
        <c:crossAx val="40422784"/>
        <c:crosses val="autoZero"/>
        <c:crossBetween val="between"/>
      </c:valAx>
    </c:plotArea>
    <c:legend>
      <c:legendPos val="r"/>
      <c:layout>
        <c:manualLayout>
          <c:xMode val="edge"/>
          <c:yMode val="edge"/>
          <c:x val="0.72106554942009149"/>
          <c:y val="0.25826710077662579"/>
          <c:w val="0.21167314412419569"/>
          <c:h val="0.43162893700787403"/>
        </c:manualLayout>
      </c:layout>
      <c:overlay val="0"/>
      <c:txPr>
        <a:bodyPr/>
        <a:lstStyle/>
        <a:p>
          <a:pPr>
            <a:defRPr sz="1200" baseline="0"/>
          </a:pPr>
          <a:endParaRPr lang="en-US"/>
        </a:p>
      </c:txPr>
    </c:legend>
    <c:plotVisOnly val="1"/>
    <c:dispBlanksAs val="gap"/>
    <c:showDLblsOverMax val="0"/>
  </c:chart>
  <c:spPr>
    <a:ln cap="rnd"/>
  </c:sp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A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121484814398201"/>
          <c:y val="0.19657673441669424"/>
          <c:w val="0.50370663667041626"/>
          <c:h val="0.72172774076317381"/>
        </c:manualLayout>
      </c:layout>
      <c:barChart>
        <c:barDir val="bar"/>
        <c:grouping val="percentStacked"/>
        <c:varyColors val="0"/>
        <c:ser>
          <c:idx val="0"/>
          <c:order val="0"/>
          <c:tx>
            <c:strRef>
              <c:f>National!$Z$14</c:f>
              <c:strCache>
                <c:ptCount val="1"/>
                <c:pt idx="0">
                  <c:v>Active</c:v>
                </c:pt>
              </c:strCache>
            </c:strRef>
          </c:tx>
          <c:spPr>
            <a:solidFill>
              <a:schemeClr val="accent2"/>
            </a:solidFill>
            <a:effectLst>
              <a:outerShdw blurRad="50800" dist="38100" dir="2700000" algn="tl" rotWithShape="0">
                <a:prstClr val="black">
                  <a:alpha val="40000"/>
                </a:prstClr>
              </a:outerShdw>
            </a:effectLst>
          </c:spPr>
          <c:invertIfNegative val="0"/>
          <c:cat>
            <c:strRef>
              <c:f>National!$M$15:$M$19</c:f>
              <c:strCache>
                <c:ptCount val="5"/>
                <c:pt idx="0">
                  <c:v>2011 (Apr)</c:v>
                </c:pt>
                <c:pt idx="1">
                  <c:v>2011 (Sept)</c:v>
                </c:pt>
                <c:pt idx="2">
                  <c:v>2012 (Apr)</c:v>
                </c:pt>
                <c:pt idx="3">
                  <c:v>2012 (Sept)</c:v>
                </c:pt>
                <c:pt idx="4">
                  <c:v>2013 (Apr)</c:v>
                </c:pt>
              </c:strCache>
            </c:strRef>
          </c:cat>
          <c:val>
            <c:numRef>
              <c:f>National!$Z$15:$Z$19</c:f>
              <c:numCache>
                <c:formatCode>0%</c:formatCode>
                <c:ptCount val="5"/>
                <c:pt idx="0">
                  <c:v>1</c:v>
                </c:pt>
                <c:pt idx="1">
                  <c:v>0.98947368421052628</c:v>
                </c:pt>
                <c:pt idx="2">
                  <c:v>0.95238095238095233</c:v>
                </c:pt>
                <c:pt idx="3">
                  <c:v>0.87962962962962965</c:v>
                </c:pt>
                <c:pt idx="4">
                  <c:v>0.80327868852459017</c:v>
                </c:pt>
              </c:numCache>
            </c:numRef>
          </c:val>
        </c:ser>
        <c:ser>
          <c:idx val="1"/>
          <c:order val="1"/>
          <c:tx>
            <c:strRef>
              <c:f>National!$AA$14</c:f>
              <c:strCache>
                <c:ptCount val="1"/>
                <c:pt idx="0">
                  <c:v>Self-sustaining</c:v>
                </c:pt>
              </c:strCache>
            </c:strRef>
          </c:tx>
          <c:spPr>
            <a:solidFill>
              <a:schemeClr val="accent1"/>
            </a:solidFill>
            <a:effectLst>
              <a:outerShdw blurRad="50800" dist="38100" dir="2700000" algn="tl" rotWithShape="0">
                <a:prstClr val="black">
                  <a:alpha val="40000"/>
                </a:prstClr>
              </a:outerShdw>
            </a:effectLst>
          </c:spPr>
          <c:invertIfNegative val="0"/>
          <c:cat>
            <c:strRef>
              <c:f>National!$M$15:$M$19</c:f>
              <c:strCache>
                <c:ptCount val="5"/>
                <c:pt idx="0">
                  <c:v>2011 (Apr)</c:v>
                </c:pt>
                <c:pt idx="1">
                  <c:v>2011 (Sept)</c:v>
                </c:pt>
                <c:pt idx="2">
                  <c:v>2012 (Apr)</c:v>
                </c:pt>
                <c:pt idx="3">
                  <c:v>2012 (Sept)</c:v>
                </c:pt>
                <c:pt idx="4">
                  <c:v>2013 (Apr)</c:v>
                </c:pt>
              </c:strCache>
            </c:strRef>
          </c:cat>
          <c:val>
            <c:numRef>
              <c:f>National!$AA$15:$AA$19</c:f>
              <c:numCache>
                <c:formatCode>0%</c:formatCode>
                <c:ptCount val="5"/>
                <c:pt idx="0">
                  <c:v>0</c:v>
                </c:pt>
                <c:pt idx="1">
                  <c:v>1.0526315789473684E-2</c:v>
                </c:pt>
                <c:pt idx="2">
                  <c:v>4.7619047619047616E-2</c:v>
                </c:pt>
                <c:pt idx="3">
                  <c:v>0.12037037037037036</c:v>
                </c:pt>
                <c:pt idx="4">
                  <c:v>0.19672131147540983</c:v>
                </c:pt>
              </c:numCache>
            </c:numRef>
          </c:val>
        </c:ser>
        <c:dLbls>
          <c:showLegendKey val="0"/>
          <c:showVal val="0"/>
          <c:showCatName val="0"/>
          <c:showSerName val="0"/>
          <c:showPercent val="0"/>
          <c:showBubbleSize val="0"/>
        </c:dLbls>
        <c:gapWidth val="150"/>
        <c:overlap val="100"/>
        <c:axId val="39294848"/>
        <c:axId val="39296384"/>
      </c:barChart>
      <c:catAx>
        <c:axId val="39294848"/>
        <c:scaling>
          <c:orientation val="maxMin"/>
        </c:scaling>
        <c:delete val="0"/>
        <c:axPos val="l"/>
        <c:numFmt formatCode="General" sourceLinked="1"/>
        <c:majorTickMark val="out"/>
        <c:minorTickMark val="none"/>
        <c:tickLblPos val="nextTo"/>
        <c:txPr>
          <a:bodyPr/>
          <a:lstStyle/>
          <a:p>
            <a:pPr>
              <a:defRPr sz="900"/>
            </a:pPr>
            <a:endParaRPr lang="en-US"/>
          </a:p>
        </c:txPr>
        <c:crossAx val="39296384"/>
        <c:crosses val="autoZero"/>
        <c:auto val="1"/>
        <c:lblAlgn val="ctr"/>
        <c:lblOffset val="100"/>
        <c:noMultiLvlLbl val="0"/>
      </c:catAx>
      <c:valAx>
        <c:axId val="39296384"/>
        <c:scaling>
          <c:orientation val="minMax"/>
          <c:min val="0"/>
        </c:scaling>
        <c:delete val="0"/>
        <c:axPos val="t"/>
        <c:majorGridlines/>
        <c:numFmt formatCode="0%" sourceLinked="1"/>
        <c:majorTickMark val="out"/>
        <c:minorTickMark val="none"/>
        <c:tickLblPos val="nextTo"/>
        <c:txPr>
          <a:bodyPr/>
          <a:lstStyle/>
          <a:p>
            <a:pPr>
              <a:defRPr sz="900"/>
            </a:pPr>
            <a:endParaRPr lang="en-US"/>
          </a:p>
        </c:txPr>
        <c:crossAx val="39294848"/>
        <c:crosses val="autoZero"/>
        <c:crossBetween val="between"/>
      </c:valAx>
    </c:plotArea>
    <c:legend>
      <c:legendPos val="r"/>
      <c:legendEntry>
        <c:idx val="1"/>
        <c:txPr>
          <a:bodyPr/>
          <a:lstStyle/>
          <a:p>
            <a:pPr>
              <a:defRPr sz="1000"/>
            </a:pPr>
            <a:endParaRPr lang="en-US"/>
          </a:p>
        </c:txPr>
      </c:legendEntry>
      <c:layout>
        <c:manualLayout>
          <c:xMode val="edge"/>
          <c:yMode val="edge"/>
          <c:x val="0.75319534569579449"/>
          <c:y val="0.38091782580040934"/>
          <c:w val="0.24519688457653452"/>
          <c:h val="0.30899765282643626"/>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SA - Age profile by Connection Level</a:t>
            </a:r>
          </a:p>
        </c:rich>
      </c:tx>
      <c:layout/>
      <c:overlay val="0"/>
    </c:title>
    <c:autoTitleDeleted val="0"/>
    <c:plotArea>
      <c:layout/>
      <c:barChart>
        <c:barDir val="col"/>
        <c:grouping val="clustered"/>
        <c:varyColors val="0"/>
        <c:ser>
          <c:idx val="0"/>
          <c:order val="0"/>
          <c:tx>
            <c:strRef>
              <c:f>'Age profile'!$A$3</c:f>
              <c:strCache>
                <c:ptCount val="1"/>
                <c:pt idx="0">
                  <c:v>8</c:v>
                </c:pt>
              </c:strCache>
            </c:strRef>
          </c:tx>
          <c:invertIfNegative val="0"/>
          <c:cat>
            <c:strRef>
              <c:f>'Age profile'!$B$2:$D$2</c:f>
              <c:strCache>
                <c:ptCount val="3"/>
                <c:pt idx="0">
                  <c:v>% Level 1</c:v>
                </c:pt>
                <c:pt idx="1">
                  <c:v>% Level 2a</c:v>
                </c:pt>
                <c:pt idx="2">
                  <c:v>% Level 2b</c:v>
                </c:pt>
              </c:strCache>
            </c:strRef>
          </c:cat>
          <c:val>
            <c:numRef>
              <c:f>'Age profile'!$B$3:$D$3</c:f>
              <c:numCache>
                <c:formatCode>0%</c:formatCode>
                <c:ptCount val="3"/>
                <c:pt idx="0">
                  <c:v>2.0533880903490761E-3</c:v>
                </c:pt>
                <c:pt idx="1">
                  <c:v>0</c:v>
                </c:pt>
                <c:pt idx="2">
                  <c:v>0</c:v>
                </c:pt>
              </c:numCache>
            </c:numRef>
          </c:val>
        </c:ser>
        <c:ser>
          <c:idx val="1"/>
          <c:order val="1"/>
          <c:tx>
            <c:strRef>
              <c:f>'Age profile'!$A$4</c:f>
              <c:strCache>
                <c:ptCount val="1"/>
                <c:pt idx="0">
                  <c:v>9</c:v>
                </c:pt>
              </c:strCache>
            </c:strRef>
          </c:tx>
          <c:invertIfNegative val="0"/>
          <c:dLbls>
            <c:dLbl>
              <c:idx val="0"/>
              <c:layout/>
              <c:showLegendKey val="0"/>
              <c:showVal val="1"/>
              <c:showCatName val="0"/>
              <c:showSerName val="0"/>
              <c:showPercent val="0"/>
              <c:showBubbleSize val="0"/>
            </c:dLbl>
            <c:showLegendKey val="0"/>
            <c:showVal val="0"/>
            <c:showCatName val="0"/>
            <c:showSerName val="0"/>
            <c:showPercent val="0"/>
            <c:showBubbleSize val="0"/>
          </c:dLbls>
          <c:cat>
            <c:strRef>
              <c:f>'Age profile'!$B$2:$D$2</c:f>
              <c:strCache>
                <c:ptCount val="3"/>
                <c:pt idx="0">
                  <c:v>% Level 1</c:v>
                </c:pt>
                <c:pt idx="1">
                  <c:v>% Level 2a</c:v>
                </c:pt>
                <c:pt idx="2">
                  <c:v>% Level 2b</c:v>
                </c:pt>
              </c:strCache>
            </c:strRef>
          </c:cat>
          <c:val>
            <c:numRef>
              <c:f>'Age profile'!$B$4:$D$4</c:f>
              <c:numCache>
                <c:formatCode>0%</c:formatCode>
                <c:ptCount val="3"/>
                <c:pt idx="0">
                  <c:v>6.1601642710472282E-3</c:v>
                </c:pt>
                <c:pt idx="1">
                  <c:v>0</c:v>
                </c:pt>
                <c:pt idx="2">
                  <c:v>5.5463117027176932E-4</c:v>
                </c:pt>
              </c:numCache>
            </c:numRef>
          </c:val>
        </c:ser>
        <c:ser>
          <c:idx val="2"/>
          <c:order val="2"/>
          <c:tx>
            <c:strRef>
              <c:f>'Age profile'!$A$5</c:f>
              <c:strCache>
                <c:ptCount val="1"/>
                <c:pt idx="0">
                  <c:v>10</c:v>
                </c:pt>
              </c:strCache>
            </c:strRef>
          </c:tx>
          <c:invertIfNegative val="0"/>
          <c:dLbls>
            <c:showLegendKey val="0"/>
            <c:showVal val="1"/>
            <c:showCatName val="0"/>
            <c:showSerName val="0"/>
            <c:showPercent val="0"/>
            <c:showBubbleSize val="0"/>
            <c:showLeaderLines val="0"/>
          </c:dLbls>
          <c:cat>
            <c:strRef>
              <c:f>'Age profile'!$B$2:$D$2</c:f>
              <c:strCache>
                <c:ptCount val="3"/>
                <c:pt idx="0">
                  <c:v>% Level 1</c:v>
                </c:pt>
                <c:pt idx="1">
                  <c:v>% Level 2a</c:v>
                </c:pt>
                <c:pt idx="2">
                  <c:v>% Level 2b</c:v>
                </c:pt>
              </c:strCache>
            </c:strRef>
          </c:cat>
          <c:val>
            <c:numRef>
              <c:f>'Age profile'!$B$5:$D$5</c:f>
              <c:numCache>
                <c:formatCode>0%</c:formatCode>
                <c:ptCount val="3"/>
                <c:pt idx="0">
                  <c:v>1.2320328542094456E-2</c:v>
                </c:pt>
                <c:pt idx="1">
                  <c:v>1.7730496453900709E-3</c:v>
                </c:pt>
                <c:pt idx="2">
                  <c:v>0</c:v>
                </c:pt>
              </c:numCache>
            </c:numRef>
          </c:val>
        </c:ser>
        <c:ser>
          <c:idx val="3"/>
          <c:order val="3"/>
          <c:tx>
            <c:strRef>
              <c:f>'Age profile'!$A$6</c:f>
              <c:strCache>
                <c:ptCount val="1"/>
                <c:pt idx="0">
                  <c:v>11</c:v>
                </c:pt>
              </c:strCache>
            </c:strRef>
          </c:tx>
          <c:invertIfNegative val="0"/>
          <c:dLbls>
            <c:showLegendKey val="0"/>
            <c:showVal val="1"/>
            <c:showCatName val="0"/>
            <c:showSerName val="0"/>
            <c:showPercent val="0"/>
            <c:showBubbleSize val="0"/>
            <c:showLeaderLines val="0"/>
          </c:dLbls>
          <c:cat>
            <c:strRef>
              <c:f>'Age profile'!$B$2:$D$2</c:f>
              <c:strCache>
                <c:ptCount val="3"/>
                <c:pt idx="0">
                  <c:v>% Level 1</c:v>
                </c:pt>
                <c:pt idx="1">
                  <c:v>% Level 2a</c:v>
                </c:pt>
                <c:pt idx="2">
                  <c:v>% Level 2b</c:v>
                </c:pt>
              </c:strCache>
            </c:strRef>
          </c:cat>
          <c:val>
            <c:numRef>
              <c:f>'Age profile'!$B$6:$D$6</c:f>
              <c:numCache>
                <c:formatCode>0%</c:formatCode>
                <c:ptCount val="3"/>
                <c:pt idx="0">
                  <c:v>8.2135523613963042E-3</c:v>
                </c:pt>
                <c:pt idx="1">
                  <c:v>3.5460992907801418E-3</c:v>
                </c:pt>
                <c:pt idx="2">
                  <c:v>5.5463117027176932E-4</c:v>
                </c:pt>
              </c:numCache>
            </c:numRef>
          </c:val>
        </c:ser>
        <c:ser>
          <c:idx val="4"/>
          <c:order val="4"/>
          <c:tx>
            <c:strRef>
              <c:f>'Age profile'!$A$7</c:f>
              <c:strCache>
                <c:ptCount val="1"/>
                <c:pt idx="0">
                  <c:v>12</c:v>
                </c:pt>
              </c:strCache>
            </c:strRef>
          </c:tx>
          <c:invertIfNegative val="0"/>
          <c:dLbls>
            <c:showLegendKey val="0"/>
            <c:showVal val="1"/>
            <c:showCatName val="0"/>
            <c:showSerName val="0"/>
            <c:showPercent val="0"/>
            <c:showBubbleSize val="0"/>
            <c:showLeaderLines val="0"/>
          </c:dLbls>
          <c:cat>
            <c:strRef>
              <c:f>'Age profile'!$B$2:$D$2</c:f>
              <c:strCache>
                <c:ptCount val="3"/>
                <c:pt idx="0">
                  <c:v>% Level 1</c:v>
                </c:pt>
                <c:pt idx="1">
                  <c:v>% Level 2a</c:v>
                </c:pt>
                <c:pt idx="2">
                  <c:v>% Level 2b</c:v>
                </c:pt>
              </c:strCache>
            </c:strRef>
          </c:cat>
          <c:val>
            <c:numRef>
              <c:f>'Age profile'!$B$7:$D$7</c:f>
              <c:numCache>
                <c:formatCode>0%</c:formatCode>
                <c:ptCount val="3"/>
                <c:pt idx="0">
                  <c:v>2.4640657084188913E-2</c:v>
                </c:pt>
                <c:pt idx="1">
                  <c:v>7.9787234042553185E-3</c:v>
                </c:pt>
                <c:pt idx="2">
                  <c:v>2.7731558513588465E-3</c:v>
                </c:pt>
              </c:numCache>
            </c:numRef>
          </c:val>
        </c:ser>
        <c:ser>
          <c:idx val="5"/>
          <c:order val="5"/>
          <c:tx>
            <c:strRef>
              <c:f>'Age profile'!$A$8</c:f>
              <c:strCache>
                <c:ptCount val="1"/>
                <c:pt idx="0">
                  <c:v>13</c:v>
                </c:pt>
              </c:strCache>
            </c:strRef>
          </c:tx>
          <c:invertIfNegative val="0"/>
          <c:dLbls>
            <c:showLegendKey val="0"/>
            <c:showVal val="1"/>
            <c:showCatName val="0"/>
            <c:showSerName val="0"/>
            <c:showPercent val="0"/>
            <c:showBubbleSize val="0"/>
            <c:showLeaderLines val="0"/>
          </c:dLbls>
          <c:cat>
            <c:strRef>
              <c:f>'Age profile'!$B$2:$D$2</c:f>
              <c:strCache>
                <c:ptCount val="3"/>
                <c:pt idx="0">
                  <c:v>% Level 1</c:v>
                </c:pt>
                <c:pt idx="1">
                  <c:v>% Level 2a</c:v>
                </c:pt>
                <c:pt idx="2">
                  <c:v>% Level 2b</c:v>
                </c:pt>
              </c:strCache>
            </c:strRef>
          </c:cat>
          <c:val>
            <c:numRef>
              <c:f>'Age profile'!$B$8:$D$8</c:f>
              <c:numCache>
                <c:formatCode>0%</c:formatCode>
                <c:ptCount val="3"/>
                <c:pt idx="0">
                  <c:v>0.14373716632443531</c:v>
                </c:pt>
                <c:pt idx="1">
                  <c:v>6.8262411347517732E-2</c:v>
                </c:pt>
                <c:pt idx="2">
                  <c:v>1.0537992235163616E-2</c:v>
                </c:pt>
              </c:numCache>
            </c:numRef>
          </c:val>
        </c:ser>
        <c:ser>
          <c:idx val="6"/>
          <c:order val="6"/>
          <c:tx>
            <c:strRef>
              <c:f>'Age profile'!$A$9</c:f>
              <c:strCache>
                <c:ptCount val="1"/>
                <c:pt idx="0">
                  <c:v>14</c:v>
                </c:pt>
              </c:strCache>
            </c:strRef>
          </c:tx>
          <c:invertIfNegative val="0"/>
          <c:dLbls>
            <c:showLegendKey val="0"/>
            <c:showVal val="1"/>
            <c:showCatName val="0"/>
            <c:showSerName val="0"/>
            <c:showPercent val="0"/>
            <c:showBubbleSize val="0"/>
            <c:showLeaderLines val="0"/>
          </c:dLbls>
          <c:cat>
            <c:strRef>
              <c:f>'Age profile'!$B$2:$D$2</c:f>
              <c:strCache>
                <c:ptCount val="3"/>
                <c:pt idx="0">
                  <c:v>% Level 1</c:v>
                </c:pt>
                <c:pt idx="1">
                  <c:v>% Level 2a</c:v>
                </c:pt>
                <c:pt idx="2">
                  <c:v>% Level 2b</c:v>
                </c:pt>
              </c:strCache>
            </c:strRef>
          </c:cat>
          <c:val>
            <c:numRef>
              <c:f>'Age profile'!$B$9:$D$9</c:f>
              <c:numCache>
                <c:formatCode>0%</c:formatCode>
                <c:ptCount val="3"/>
                <c:pt idx="0">
                  <c:v>0.24229979466119098</c:v>
                </c:pt>
                <c:pt idx="1">
                  <c:v>0.16578014184397163</c:v>
                </c:pt>
                <c:pt idx="2">
                  <c:v>4.8252911813643926E-2</c:v>
                </c:pt>
              </c:numCache>
            </c:numRef>
          </c:val>
        </c:ser>
        <c:ser>
          <c:idx val="7"/>
          <c:order val="7"/>
          <c:tx>
            <c:strRef>
              <c:f>'Age profile'!$A$10</c:f>
              <c:strCache>
                <c:ptCount val="1"/>
                <c:pt idx="0">
                  <c:v>15</c:v>
                </c:pt>
              </c:strCache>
            </c:strRef>
          </c:tx>
          <c:invertIfNegative val="0"/>
          <c:dLbls>
            <c:showLegendKey val="0"/>
            <c:showVal val="1"/>
            <c:showCatName val="0"/>
            <c:showSerName val="0"/>
            <c:showPercent val="0"/>
            <c:showBubbleSize val="0"/>
            <c:showLeaderLines val="0"/>
          </c:dLbls>
          <c:cat>
            <c:strRef>
              <c:f>'Age profile'!$B$2:$D$2</c:f>
              <c:strCache>
                <c:ptCount val="3"/>
                <c:pt idx="0">
                  <c:v>% Level 1</c:v>
                </c:pt>
                <c:pt idx="1">
                  <c:v>% Level 2a</c:v>
                </c:pt>
                <c:pt idx="2">
                  <c:v>% Level 2b</c:v>
                </c:pt>
              </c:strCache>
            </c:strRef>
          </c:cat>
          <c:val>
            <c:numRef>
              <c:f>'Age profile'!$B$10:$D$10</c:f>
              <c:numCache>
                <c:formatCode>0%</c:formatCode>
                <c:ptCount val="3"/>
                <c:pt idx="0">
                  <c:v>0.21765913757700206</c:v>
                </c:pt>
                <c:pt idx="1">
                  <c:v>0.23492907801418439</c:v>
                </c:pt>
                <c:pt idx="2">
                  <c:v>9.4287298946200776E-2</c:v>
                </c:pt>
              </c:numCache>
            </c:numRef>
          </c:val>
        </c:ser>
        <c:ser>
          <c:idx val="8"/>
          <c:order val="8"/>
          <c:tx>
            <c:strRef>
              <c:f>'Age profile'!$A$11</c:f>
              <c:strCache>
                <c:ptCount val="1"/>
                <c:pt idx="0">
                  <c:v>16</c:v>
                </c:pt>
              </c:strCache>
            </c:strRef>
          </c:tx>
          <c:invertIfNegative val="0"/>
          <c:dLbls>
            <c:showLegendKey val="0"/>
            <c:showVal val="1"/>
            <c:showCatName val="0"/>
            <c:showSerName val="0"/>
            <c:showPercent val="0"/>
            <c:showBubbleSize val="0"/>
            <c:showLeaderLines val="0"/>
          </c:dLbls>
          <c:cat>
            <c:strRef>
              <c:f>'Age profile'!$B$2:$D$2</c:f>
              <c:strCache>
                <c:ptCount val="3"/>
                <c:pt idx="0">
                  <c:v>% Level 1</c:v>
                </c:pt>
                <c:pt idx="1">
                  <c:v>% Level 2a</c:v>
                </c:pt>
                <c:pt idx="2">
                  <c:v>% Level 2b</c:v>
                </c:pt>
              </c:strCache>
            </c:strRef>
          </c:cat>
          <c:val>
            <c:numRef>
              <c:f>'Age profile'!$B$11:$D$11</c:f>
              <c:numCache>
                <c:formatCode>0%</c:formatCode>
                <c:ptCount val="3"/>
                <c:pt idx="0">
                  <c:v>0.19917864476386038</c:v>
                </c:pt>
                <c:pt idx="1">
                  <c:v>0.24822695035460993</c:v>
                </c:pt>
                <c:pt idx="2">
                  <c:v>0.18968386023294509</c:v>
                </c:pt>
              </c:numCache>
            </c:numRef>
          </c:val>
        </c:ser>
        <c:ser>
          <c:idx val="9"/>
          <c:order val="9"/>
          <c:tx>
            <c:strRef>
              <c:f>'Age profile'!$A$12</c:f>
              <c:strCache>
                <c:ptCount val="1"/>
                <c:pt idx="0">
                  <c:v>17</c:v>
                </c:pt>
              </c:strCache>
            </c:strRef>
          </c:tx>
          <c:invertIfNegative val="0"/>
          <c:dLbls>
            <c:showLegendKey val="0"/>
            <c:showVal val="1"/>
            <c:showCatName val="0"/>
            <c:showSerName val="0"/>
            <c:showPercent val="0"/>
            <c:showBubbleSize val="0"/>
            <c:showLeaderLines val="0"/>
          </c:dLbls>
          <c:cat>
            <c:strRef>
              <c:f>'Age profile'!$B$2:$D$2</c:f>
              <c:strCache>
                <c:ptCount val="3"/>
                <c:pt idx="0">
                  <c:v>% Level 1</c:v>
                </c:pt>
                <c:pt idx="1">
                  <c:v>% Level 2a</c:v>
                </c:pt>
                <c:pt idx="2">
                  <c:v>% Level 2b</c:v>
                </c:pt>
              </c:strCache>
            </c:strRef>
          </c:cat>
          <c:val>
            <c:numRef>
              <c:f>'Age profile'!$B$12:$D$12</c:f>
              <c:numCache>
                <c:formatCode>0%</c:formatCode>
                <c:ptCount val="3"/>
                <c:pt idx="0">
                  <c:v>0.10882956878850103</c:v>
                </c:pt>
                <c:pt idx="1">
                  <c:v>0.16755319148936171</c:v>
                </c:pt>
                <c:pt idx="2">
                  <c:v>0.29118136439267889</c:v>
                </c:pt>
              </c:numCache>
            </c:numRef>
          </c:val>
        </c:ser>
        <c:ser>
          <c:idx val="10"/>
          <c:order val="10"/>
          <c:tx>
            <c:strRef>
              <c:f>'Age profile'!$A$13</c:f>
              <c:strCache>
                <c:ptCount val="1"/>
                <c:pt idx="0">
                  <c:v>18</c:v>
                </c:pt>
              </c:strCache>
            </c:strRef>
          </c:tx>
          <c:invertIfNegative val="0"/>
          <c:dLbls>
            <c:showLegendKey val="0"/>
            <c:showVal val="1"/>
            <c:showCatName val="0"/>
            <c:showSerName val="0"/>
            <c:showPercent val="0"/>
            <c:showBubbleSize val="0"/>
            <c:showLeaderLines val="0"/>
          </c:dLbls>
          <c:cat>
            <c:strRef>
              <c:f>'Age profile'!$B$2:$D$2</c:f>
              <c:strCache>
                <c:ptCount val="3"/>
                <c:pt idx="0">
                  <c:v>% Level 1</c:v>
                </c:pt>
                <c:pt idx="1">
                  <c:v>% Level 2a</c:v>
                </c:pt>
                <c:pt idx="2">
                  <c:v>% Level 2b</c:v>
                </c:pt>
              </c:strCache>
            </c:strRef>
          </c:cat>
          <c:val>
            <c:numRef>
              <c:f>'Age profile'!$B$13:$D$13</c:f>
              <c:numCache>
                <c:formatCode>0%</c:formatCode>
                <c:ptCount val="3"/>
                <c:pt idx="0">
                  <c:v>3.0800821355236138E-2</c:v>
                </c:pt>
                <c:pt idx="1">
                  <c:v>7.0035460992907805E-2</c:v>
                </c:pt>
                <c:pt idx="2">
                  <c:v>0.21297836938435941</c:v>
                </c:pt>
              </c:numCache>
            </c:numRef>
          </c:val>
        </c:ser>
        <c:ser>
          <c:idx val="11"/>
          <c:order val="11"/>
          <c:tx>
            <c:strRef>
              <c:f>'Age profile'!$A$14</c:f>
              <c:strCache>
                <c:ptCount val="1"/>
                <c:pt idx="0">
                  <c:v>19</c:v>
                </c:pt>
              </c:strCache>
            </c:strRef>
          </c:tx>
          <c:invertIfNegative val="0"/>
          <c:dLbls>
            <c:showLegendKey val="0"/>
            <c:showVal val="1"/>
            <c:showCatName val="0"/>
            <c:showSerName val="0"/>
            <c:showPercent val="0"/>
            <c:showBubbleSize val="0"/>
            <c:showLeaderLines val="0"/>
          </c:dLbls>
          <c:cat>
            <c:strRef>
              <c:f>'Age profile'!$B$2:$D$2</c:f>
              <c:strCache>
                <c:ptCount val="3"/>
                <c:pt idx="0">
                  <c:v>% Level 1</c:v>
                </c:pt>
                <c:pt idx="1">
                  <c:v>% Level 2a</c:v>
                </c:pt>
                <c:pt idx="2">
                  <c:v>% Level 2b</c:v>
                </c:pt>
              </c:strCache>
            </c:strRef>
          </c:cat>
          <c:val>
            <c:numRef>
              <c:f>'Age profile'!$B$14:$D$14</c:f>
              <c:numCache>
                <c:formatCode>0%</c:formatCode>
                <c:ptCount val="3"/>
                <c:pt idx="0">
                  <c:v>2.0533880903490761E-3</c:v>
                </c:pt>
                <c:pt idx="1">
                  <c:v>2.4822695035460994E-2</c:v>
                </c:pt>
                <c:pt idx="2">
                  <c:v>0.12645590682196339</c:v>
                </c:pt>
              </c:numCache>
            </c:numRef>
          </c:val>
        </c:ser>
        <c:ser>
          <c:idx val="12"/>
          <c:order val="12"/>
          <c:tx>
            <c:strRef>
              <c:f>'Age profile'!$A$15</c:f>
              <c:strCache>
                <c:ptCount val="1"/>
                <c:pt idx="0">
                  <c:v>20</c:v>
                </c:pt>
              </c:strCache>
            </c:strRef>
          </c:tx>
          <c:invertIfNegative val="0"/>
          <c:cat>
            <c:strRef>
              <c:f>'Age profile'!$B$2:$D$2</c:f>
              <c:strCache>
                <c:ptCount val="3"/>
                <c:pt idx="0">
                  <c:v>% Level 1</c:v>
                </c:pt>
                <c:pt idx="1">
                  <c:v>% Level 2a</c:v>
                </c:pt>
                <c:pt idx="2">
                  <c:v>% Level 2b</c:v>
                </c:pt>
              </c:strCache>
            </c:strRef>
          </c:cat>
          <c:val>
            <c:numRef>
              <c:f>'Age profile'!$B$15:$D$15</c:f>
              <c:numCache>
                <c:formatCode>0%</c:formatCode>
                <c:ptCount val="3"/>
                <c:pt idx="0">
                  <c:v>2.0533880903490761E-3</c:v>
                </c:pt>
                <c:pt idx="1">
                  <c:v>7.0921985815602835E-3</c:v>
                </c:pt>
                <c:pt idx="2">
                  <c:v>1.8302828618968387E-2</c:v>
                </c:pt>
              </c:numCache>
            </c:numRef>
          </c:val>
        </c:ser>
        <c:ser>
          <c:idx val="13"/>
          <c:order val="13"/>
          <c:tx>
            <c:strRef>
              <c:f>'Age profile'!$A$16</c:f>
              <c:strCache>
                <c:ptCount val="1"/>
                <c:pt idx="0">
                  <c:v>21</c:v>
                </c:pt>
              </c:strCache>
            </c:strRef>
          </c:tx>
          <c:invertIfNegative val="0"/>
          <c:cat>
            <c:strRef>
              <c:f>'Age profile'!$B$2:$D$2</c:f>
              <c:strCache>
                <c:ptCount val="3"/>
                <c:pt idx="0">
                  <c:v>% Level 1</c:v>
                </c:pt>
                <c:pt idx="1">
                  <c:v>% Level 2a</c:v>
                </c:pt>
                <c:pt idx="2">
                  <c:v>% Level 2b</c:v>
                </c:pt>
              </c:strCache>
            </c:strRef>
          </c:cat>
          <c:val>
            <c:numRef>
              <c:f>'Age profile'!$B$16:$D$16</c:f>
              <c:numCache>
                <c:formatCode>0%</c:formatCode>
                <c:ptCount val="3"/>
                <c:pt idx="0">
                  <c:v>0</c:v>
                </c:pt>
                <c:pt idx="1">
                  <c:v>0</c:v>
                </c:pt>
                <c:pt idx="2">
                  <c:v>2.7731558513588465E-3</c:v>
                </c:pt>
              </c:numCache>
            </c:numRef>
          </c:val>
        </c:ser>
        <c:ser>
          <c:idx val="14"/>
          <c:order val="14"/>
          <c:tx>
            <c:strRef>
              <c:f>'Age profile'!$A$17</c:f>
              <c:strCache>
                <c:ptCount val="1"/>
                <c:pt idx="0">
                  <c:v>22</c:v>
                </c:pt>
              </c:strCache>
            </c:strRef>
          </c:tx>
          <c:invertIfNegative val="0"/>
          <c:cat>
            <c:strRef>
              <c:f>'Age profile'!$B$2:$D$2</c:f>
              <c:strCache>
                <c:ptCount val="3"/>
                <c:pt idx="0">
                  <c:v>% Level 1</c:v>
                </c:pt>
                <c:pt idx="1">
                  <c:v>% Level 2a</c:v>
                </c:pt>
                <c:pt idx="2">
                  <c:v>% Level 2b</c:v>
                </c:pt>
              </c:strCache>
            </c:strRef>
          </c:cat>
          <c:val>
            <c:numRef>
              <c:f>'Age profile'!$B$17:$D$17</c:f>
              <c:numCache>
                <c:formatCode>0%</c:formatCode>
                <c:ptCount val="3"/>
                <c:pt idx="0">
                  <c:v>0</c:v>
                </c:pt>
                <c:pt idx="1">
                  <c:v>0</c:v>
                </c:pt>
                <c:pt idx="2">
                  <c:v>5.5463117027176932E-4</c:v>
                </c:pt>
              </c:numCache>
            </c:numRef>
          </c:val>
        </c:ser>
        <c:ser>
          <c:idx val="15"/>
          <c:order val="15"/>
          <c:tx>
            <c:strRef>
              <c:f>'Age profile'!$A$18</c:f>
              <c:strCache>
                <c:ptCount val="1"/>
                <c:pt idx="0">
                  <c:v>23</c:v>
                </c:pt>
              </c:strCache>
            </c:strRef>
          </c:tx>
          <c:invertIfNegative val="0"/>
          <c:cat>
            <c:strRef>
              <c:f>'Age profile'!$B$2:$D$2</c:f>
              <c:strCache>
                <c:ptCount val="3"/>
                <c:pt idx="0">
                  <c:v>% Level 1</c:v>
                </c:pt>
                <c:pt idx="1">
                  <c:v>% Level 2a</c:v>
                </c:pt>
                <c:pt idx="2">
                  <c:v>% Level 2b</c:v>
                </c:pt>
              </c:strCache>
            </c:strRef>
          </c:cat>
          <c:val>
            <c:numRef>
              <c:f>'Age profile'!$B$18:$D$18</c:f>
              <c:numCache>
                <c:formatCode>0%</c:formatCode>
                <c:ptCount val="3"/>
                <c:pt idx="0">
                  <c:v>0</c:v>
                </c:pt>
                <c:pt idx="1">
                  <c:v>0</c:v>
                </c:pt>
                <c:pt idx="2">
                  <c:v>5.5463117027176932E-4</c:v>
                </c:pt>
              </c:numCache>
            </c:numRef>
          </c:val>
        </c:ser>
        <c:ser>
          <c:idx val="16"/>
          <c:order val="16"/>
          <c:tx>
            <c:strRef>
              <c:f>'Age profile'!$A$19</c:f>
              <c:strCache>
                <c:ptCount val="1"/>
                <c:pt idx="0">
                  <c:v>24</c:v>
                </c:pt>
              </c:strCache>
            </c:strRef>
          </c:tx>
          <c:invertIfNegative val="0"/>
          <c:cat>
            <c:strRef>
              <c:f>'Age profile'!$B$2:$D$2</c:f>
              <c:strCache>
                <c:ptCount val="3"/>
                <c:pt idx="0">
                  <c:v>% Level 1</c:v>
                </c:pt>
                <c:pt idx="1">
                  <c:v>% Level 2a</c:v>
                </c:pt>
                <c:pt idx="2">
                  <c:v>% Level 2b</c:v>
                </c:pt>
              </c:strCache>
            </c:strRef>
          </c:cat>
          <c:val>
            <c:numRef>
              <c:f>'Age profile'!$B$19:$D$19</c:f>
              <c:numCache>
                <c:formatCode>0%</c:formatCode>
                <c:ptCount val="3"/>
                <c:pt idx="0">
                  <c:v>0</c:v>
                </c:pt>
                <c:pt idx="1">
                  <c:v>0</c:v>
                </c:pt>
                <c:pt idx="2">
                  <c:v>0</c:v>
                </c:pt>
              </c:numCache>
            </c:numRef>
          </c:val>
        </c:ser>
        <c:ser>
          <c:idx val="17"/>
          <c:order val="17"/>
          <c:tx>
            <c:strRef>
              <c:f>'Age profile'!$A$20</c:f>
              <c:strCache>
                <c:ptCount val="1"/>
                <c:pt idx="0">
                  <c:v>25</c:v>
                </c:pt>
              </c:strCache>
            </c:strRef>
          </c:tx>
          <c:invertIfNegative val="0"/>
          <c:cat>
            <c:strRef>
              <c:f>'Age profile'!$B$2:$D$2</c:f>
              <c:strCache>
                <c:ptCount val="3"/>
                <c:pt idx="0">
                  <c:v>% Level 1</c:v>
                </c:pt>
                <c:pt idx="1">
                  <c:v>% Level 2a</c:v>
                </c:pt>
                <c:pt idx="2">
                  <c:v>% Level 2b</c:v>
                </c:pt>
              </c:strCache>
            </c:strRef>
          </c:cat>
          <c:val>
            <c:numRef>
              <c:f>'Age profile'!$B$20:$D$20</c:f>
              <c:numCache>
                <c:formatCode>0%</c:formatCode>
                <c:ptCount val="3"/>
                <c:pt idx="0">
                  <c:v>0</c:v>
                </c:pt>
                <c:pt idx="1">
                  <c:v>0</c:v>
                </c:pt>
                <c:pt idx="2">
                  <c:v>5.5463117027176932E-4</c:v>
                </c:pt>
              </c:numCache>
            </c:numRef>
          </c:val>
        </c:ser>
        <c:dLbls>
          <c:showLegendKey val="0"/>
          <c:showVal val="0"/>
          <c:showCatName val="0"/>
          <c:showSerName val="0"/>
          <c:showPercent val="0"/>
          <c:showBubbleSize val="0"/>
        </c:dLbls>
        <c:gapWidth val="55"/>
        <c:axId val="38664832"/>
        <c:axId val="93733248"/>
      </c:barChart>
      <c:catAx>
        <c:axId val="38664832"/>
        <c:scaling>
          <c:orientation val="minMax"/>
        </c:scaling>
        <c:delete val="0"/>
        <c:axPos val="b"/>
        <c:numFmt formatCode="General" sourceLinked="1"/>
        <c:majorTickMark val="none"/>
        <c:minorTickMark val="none"/>
        <c:tickLblPos val="nextTo"/>
        <c:crossAx val="93733248"/>
        <c:crosses val="autoZero"/>
        <c:auto val="1"/>
        <c:lblAlgn val="ctr"/>
        <c:lblOffset val="100"/>
        <c:noMultiLvlLbl val="0"/>
      </c:catAx>
      <c:valAx>
        <c:axId val="93733248"/>
        <c:scaling>
          <c:orientation val="minMax"/>
        </c:scaling>
        <c:delete val="0"/>
        <c:axPos val="l"/>
        <c:majorGridlines/>
        <c:numFmt formatCode="0%" sourceLinked="1"/>
        <c:majorTickMark val="none"/>
        <c:minorTickMark val="none"/>
        <c:tickLblPos val="nextTo"/>
        <c:crossAx val="386648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AU" sz="1400"/>
              <a:t>National - Age profile by Connection Level</a:t>
            </a:r>
          </a:p>
        </c:rich>
      </c:tx>
      <c:layout/>
      <c:overlay val="0"/>
    </c:title>
    <c:autoTitleDeleted val="0"/>
    <c:plotArea>
      <c:layout/>
      <c:barChart>
        <c:barDir val="col"/>
        <c:grouping val="clustered"/>
        <c:varyColors val="0"/>
        <c:ser>
          <c:idx val="0"/>
          <c:order val="0"/>
          <c:tx>
            <c:strRef>
              <c:f>'Age profile'!$A$26</c:f>
              <c:strCache>
                <c:ptCount val="1"/>
                <c:pt idx="0">
                  <c:v>8</c:v>
                </c:pt>
              </c:strCache>
            </c:strRef>
          </c:tx>
          <c:invertIfNegative val="0"/>
          <c:cat>
            <c:strRef>
              <c:f>'Age profile'!$B$25:$D$25</c:f>
              <c:strCache>
                <c:ptCount val="3"/>
                <c:pt idx="0">
                  <c:v>% Level 1</c:v>
                </c:pt>
                <c:pt idx="1">
                  <c:v>% Level 2a</c:v>
                </c:pt>
                <c:pt idx="2">
                  <c:v>% Level 2b</c:v>
                </c:pt>
              </c:strCache>
            </c:strRef>
          </c:cat>
          <c:val>
            <c:numRef>
              <c:f>'Age profile'!$B$26:$D$26</c:f>
              <c:numCache>
                <c:formatCode>0%</c:formatCode>
                <c:ptCount val="3"/>
                <c:pt idx="0">
                  <c:v>8.6470666489290942E-4</c:v>
                </c:pt>
                <c:pt idx="1">
                  <c:v>4.9451092869152409E-5</c:v>
                </c:pt>
                <c:pt idx="2">
                  <c:v>4.5093795093795094E-5</c:v>
                </c:pt>
              </c:numCache>
            </c:numRef>
          </c:val>
        </c:ser>
        <c:ser>
          <c:idx val="1"/>
          <c:order val="1"/>
          <c:tx>
            <c:strRef>
              <c:f>'Age profile'!$A$27</c:f>
              <c:strCache>
                <c:ptCount val="1"/>
                <c:pt idx="0">
                  <c:v>9</c:v>
                </c:pt>
              </c:strCache>
            </c:strRef>
          </c:tx>
          <c:invertIfNegative val="0"/>
          <c:cat>
            <c:strRef>
              <c:f>'Age profile'!$B$25:$D$25</c:f>
              <c:strCache>
                <c:ptCount val="3"/>
                <c:pt idx="0">
                  <c:v>% Level 1</c:v>
                </c:pt>
                <c:pt idx="1">
                  <c:v>% Level 2a</c:v>
                </c:pt>
                <c:pt idx="2">
                  <c:v>% Level 2b</c:v>
                </c:pt>
              </c:strCache>
            </c:strRef>
          </c:cat>
          <c:val>
            <c:numRef>
              <c:f>'Age profile'!$B$27:$D$27</c:f>
              <c:numCache>
                <c:formatCode>0%</c:formatCode>
                <c:ptCount val="3"/>
                <c:pt idx="0">
                  <c:v>3.3923107622721833E-3</c:v>
                </c:pt>
                <c:pt idx="1">
                  <c:v>4.4505983582237169E-4</c:v>
                </c:pt>
                <c:pt idx="2">
                  <c:v>1.3528138528138528E-4</c:v>
                </c:pt>
              </c:numCache>
            </c:numRef>
          </c:val>
        </c:ser>
        <c:ser>
          <c:idx val="2"/>
          <c:order val="2"/>
          <c:tx>
            <c:strRef>
              <c:f>'Age profile'!$A$28</c:f>
              <c:strCache>
                <c:ptCount val="1"/>
                <c:pt idx="0">
                  <c:v>10</c:v>
                </c:pt>
              </c:strCache>
            </c:strRef>
          </c:tx>
          <c:invertIfNegative val="0"/>
          <c:cat>
            <c:strRef>
              <c:f>'Age profile'!$B$25:$D$25</c:f>
              <c:strCache>
                <c:ptCount val="3"/>
                <c:pt idx="0">
                  <c:v>% Level 1</c:v>
                </c:pt>
                <c:pt idx="1">
                  <c:v>% Level 2a</c:v>
                </c:pt>
                <c:pt idx="2">
                  <c:v>% Level 2b</c:v>
                </c:pt>
              </c:strCache>
            </c:strRef>
          </c:cat>
          <c:val>
            <c:numRef>
              <c:f>'Age profile'!$B$28:$D$28</c:f>
              <c:numCache>
                <c:formatCode>0%</c:formatCode>
                <c:ptCount val="3"/>
                <c:pt idx="0">
                  <c:v>1.543168817347346E-2</c:v>
                </c:pt>
                <c:pt idx="1">
                  <c:v>3.4615765008406685E-3</c:v>
                </c:pt>
                <c:pt idx="2">
                  <c:v>5.8621933621933625E-4</c:v>
                </c:pt>
              </c:numCache>
            </c:numRef>
          </c:val>
        </c:ser>
        <c:ser>
          <c:idx val="3"/>
          <c:order val="3"/>
          <c:tx>
            <c:strRef>
              <c:f>'Age profile'!$A$29</c:f>
              <c:strCache>
                <c:ptCount val="1"/>
                <c:pt idx="0">
                  <c:v>11</c:v>
                </c:pt>
              </c:strCache>
            </c:strRef>
          </c:tx>
          <c:invertIfNegative val="0"/>
          <c:dLbls>
            <c:dLbl>
              <c:idx val="0"/>
              <c:layout/>
              <c:showLegendKey val="0"/>
              <c:showVal val="1"/>
              <c:showCatName val="0"/>
              <c:showSerName val="0"/>
              <c:showPercent val="0"/>
              <c:showBubbleSize val="0"/>
            </c:dLbl>
            <c:showLegendKey val="0"/>
            <c:showVal val="0"/>
            <c:showCatName val="0"/>
            <c:showSerName val="0"/>
            <c:showPercent val="0"/>
            <c:showBubbleSize val="0"/>
          </c:dLbls>
          <c:cat>
            <c:strRef>
              <c:f>'Age profile'!$B$25:$D$25</c:f>
              <c:strCache>
                <c:ptCount val="3"/>
                <c:pt idx="0">
                  <c:v>% Level 1</c:v>
                </c:pt>
                <c:pt idx="1">
                  <c:v>% Level 2a</c:v>
                </c:pt>
                <c:pt idx="2">
                  <c:v>% Level 2b</c:v>
                </c:pt>
              </c:strCache>
            </c:strRef>
          </c:cat>
          <c:val>
            <c:numRef>
              <c:f>'Age profile'!$B$29:$D$29</c:f>
              <c:numCache>
                <c:formatCode>0%</c:formatCode>
                <c:ptCount val="3"/>
                <c:pt idx="0">
                  <c:v>4.7758414261008381E-2</c:v>
                </c:pt>
                <c:pt idx="1">
                  <c:v>1.1027593709820987E-2</c:v>
                </c:pt>
                <c:pt idx="2">
                  <c:v>1.7586580086580087E-3</c:v>
                </c:pt>
              </c:numCache>
            </c:numRef>
          </c:val>
        </c:ser>
        <c:ser>
          <c:idx val="4"/>
          <c:order val="4"/>
          <c:tx>
            <c:strRef>
              <c:f>'Age profile'!$A$30</c:f>
              <c:strCache>
                <c:ptCount val="1"/>
                <c:pt idx="0">
                  <c:v>12</c:v>
                </c:pt>
              </c:strCache>
            </c:strRef>
          </c:tx>
          <c:invertIfNegative val="0"/>
          <c:dLbls>
            <c:showLegendKey val="0"/>
            <c:showVal val="1"/>
            <c:showCatName val="0"/>
            <c:showSerName val="0"/>
            <c:showPercent val="0"/>
            <c:showBubbleSize val="0"/>
            <c:showLeaderLines val="0"/>
          </c:dLbls>
          <c:cat>
            <c:strRef>
              <c:f>'Age profile'!$B$25:$D$25</c:f>
              <c:strCache>
                <c:ptCount val="3"/>
                <c:pt idx="0">
                  <c:v>% Level 1</c:v>
                </c:pt>
                <c:pt idx="1">
                  <c:v>% Level 2a</c:v>
                </c:pt>
                <c:pt idx="2">
                  <c:v>% Level 2b</c:v>
                </c:pt>
              </c:strCache>
            </c:strRef>
          </c:cat>
          <c:val>
            <c:numRef>
              <c:f>'Age profile'!$B$30:$D$30</c:f>
              <c:numCache>
                <c:formatCode>0%</c:formatCode>
                <c:ptCount val="3"/>
                <c:pt idx="0">
                  <c:v>7.35000665158973E-2</c:v>
                </c:pt>
                <c:pt idx="1">
                  <c:v>3.0511324300267036E-2</c:v>
                </c:pt>
                <c:pt idx="2">
                  <c:v>6.403318903318903E-3</c:v>
                </c:pt>
              </c:numCache>
            </c:numRef>
          </c:val>
        </c:ser>
        <c:ser>
          <c:idx val="5"/>
          <c:order val="5"/>
          <c:tx>
            <c:strRef>
              <c:f>'Age profile'!$A$31</c:f>
              <c:strCache>
                <c:ptCount val="1"/>
                <c:pt idx="0">
                  <c:v>13</c:v>
                </c:pt>
              </c:strCache>
            </c:strRef>
          </c:tx>
          <c:invertIfNegative val="0"/>
          <c:dLbls>
            <c:showLegendKey val="0"/>
            <c:showVal val="1"/>
            <c:showCatName val="0"/>
            <c:showSerName val="0"/>
            <c:showPercent val="0"/>
            <c:showBubbleSize val="0"/>
            <c:showLeaderLines val="0"/>
          </c:dLbls>
          <c:cat>
            <c:strRef>
              <c:f>'Age profile'!$B$25:$D$25</c:f>
              <c:strCache>
                <c:ptCount val="3"/>
                <c:pt idx="0">
                  <c:v>% Level 1</c:v>
                </c:pt>
                <c:pt idx="1">
                  <c:v>% Level 2a</c:v>
                </c:pt>
                <c:pt idx="2">
                  <c:v>% Level 2b</c:v>
                </c:pt>
              </c:strCache>
            </c:strRef>
          </c:cat>
          <c:val>
            <c:numRef>
              <c:f>'Age profile'!$B$31:$D$31</c:f>
              <c:numCache>
                <c:formatCode>0%</c:formatCode>
                <c:ptCount val="3"/>
                <c:pt idx="0">
                  <c:v>0.15484900891313025</c:v>
                </c:pt>
                <c:pt idx="1">
                  <c:v>9.3165858965483142E-2</c:v>
                </c:pt>
                <c:pt idx="2">
                  <c:v>3.0303030303030304E-2</c:v>
                </c:pt>
              </c:numCache>
            </c:numRef>
          </c:val>
        </c:ser>
        <c:ser>
          <c:idx val="6"/>
          <c:order val="6"/>
          <c:tx>
            <c:strRef>
              <c:f>'Age profile'!$A$32</c:f>
              <c:strCache>
                <c:ptCount val="1"/>
                <c:pt idx="0">
                  <c:v>14</c:v>
                </c:pt>
              </c:strCache>
            </c:strRef>
          </c:tx>
          <c:invertIfNegative val="0"/>
          <c:dLbls>
            <c:showLegendKey val="0"/>
            <c:showVal val="1"/>
            <c:showCatName val="0"/>
            <c:showSerName val="0"/>
            <c:showPercent val="0"/>
            <c:showBubbleSize val="0"/>
            <c:showLeaderLines val="0"/>
          </c:dLbls>
          <c:cat>
            <c:strRef>
              <c:f>'Age profile'!$B$25:$D$25</c:f>
              <c:strCache>
                <c:ptCount val="3"/>
                <c:pt idx="0">
                  <c:v>% Level 1</c:v>
                </c:pt>
                <c:pt idx="1">
                  <c:v>% Level 2a</c:v>
                </c:pt>
                <c:pt idx="2">
                  <c:v>% Level 2b</c:v>
                </c:pt>
              </c:strCache>
            </c:strRef>
          </c:cat>
          <c:val>
            <c:numRef>
              <c:f>'Age profile'!$B$32:$D$32</c:f>
              <c:numCache>
                <c:formatCode>0%</c:formatCode>
                <c:ptCount val="3"/>
                <c:pt idx="0">
                  <c:v>0.24072103232672609</c:v>
                </c:pt>
                <c:pt idx="1">
                  <c:v>0.21976065671051331</c:v>
                </c:pt>
                <c:pt idx="2">
                  <c:v>9.1765873015873009E-2</c:v>
                </c:pt>
              </c:numCache>
            </c:numRef>
          </c:val>
        </c:ser>
        <c:ser>
          <c:idx val="7"/>
          <c:order val="7"/>
          <c:tx>
            <c:strRef>
              <c:f>'Age profile'!$A$33</c:f>
              <c:strCache>
                <c:ptCount val="1"/>
                <c:pt idx="0">
                  <c:v>15</c:v>
                </c:pt>
              </c:strCache>
            </c:strRef>
          </c:tx>
          <c:invertIfNegative val="0"/>
          <c:dLbls>
            <c:showLegendKey val="0"/>
            <c:showVal val="1"/>
            <c:showCatName val="0"/>
            <c:showSerName val="0"/>
            <c:showPercent val="0"/>
            <c:showBubbleSize val="0"/>
            <c:showLeaderLines val="0"/>
          </c:dLbls>
          <c:cat>
            <c:strRef>
              <c:f>'Age profile'!$B$25:$D$25</c:f>
              <c:strCache>
                <c:ptCount val="3"/>
                <c:pt idx="0">
                  <c:v>% Level 1</c:v>
                </c:pt>
                <c:pt idx="1">
                  <c:v>% Level 2a</c:v>
                </c:pt>
                <c:pt idx="2">
                  <c:v>% Level 2b</c:v>
                </c:pt>
              </c:strCache>
            </c:strRef>
          </c:cat>
          <c:val>
            <c:numRef>
              <c:f>'Age profile'!$B$33:$D$33</c:f>
              <c:numCache>
                <c:formatCode>0%</c:formatCode>
                <c:ptCount val="3"/>
                <c:pt idx="0">
                  <c:v>0.24404682719169882</c:v>
                </c:pt>
                <c:pt idx="1">
                  <c:v>0.287805360498467</c:v>
                </c:pt>
                <c:pt idx="2">
                  <c:v>0.16707251082251082</c:v>
                </c:pt>
              </c:numCache>
            </c:numRef>
          </c:val>
        </c:ser>
        <c:ser>
          <c:idx val="8"/>
          <c:order val="8"/>
          <c:tx>
            <c:strRef>
              <c:f>'Age profile'!$A$34</c:f>
              <c:strCache>
                <c:ptCount val="1"/>
                <c:pt idx="0">
                  <c:v>16</c:v>
                </c:pt>
              </c:strCache>
            </c:strRef>
          </c:tx>
          <c:invertIfNegative val="0"/>
          <c:dLbls>
            <c:showLegendKey val="0"/>
            <c:showVal val="1"/>
            <c:showCatName val="0"/>
            <c:showSerName val="0"/>
            <c:showPercent val="0"/>
            <c:showBubbleSize val="0"/>
            <c:showLeaderLines val="0"/>
          </c:dLbls>
          <c:cat>
            <c:strRef>
              <c:f>'Age profile'!$B$25:$D$25</c:f>
              <c:strCache>
                <c:ptCount val="3"/>
                <c:pt idx="0">
                  <c:v>% Level 1</c:v>
                </c:pt>
                <c:pt idx="1">
                  <c:v>% Level 2a</c:v>
                </c:pt>
                <c:pt idx="2">
                  <c:v>% Level 2b</c:v>
                </c:pt>
              </c:strCache>
            </c:strRef>
          </c:cat>
          <c:val>
            <c:numRef>
              <c:f>'Age profile'!$B$34:$D$34</c:f>
              <c:numCache>
                <c:formatCode>0%</c:formatCode>
                <c:ptCount val="3"/>
                <c:pt idx="0">
                  <c:v>0.13715578023147532</c:v>
                </c:pt>
                <c:pt idx="1">
                  <c:v>0.20878251409356147</c:v>
                </c:pt>
                <c:pt idx="2">
                  <c:v>0.26343795093795092</c:v>
                </c:pt>
              </c:numCache>
            </c:numRef>
          </c:val>
        </c:ser>
        <c:ser>
          <c:idx val="9"/>
          <c:order val="9"/>
          <c:tx>
            <c:strRef>
              <c:f>'Age profile'!$A$35</c:f>
              <c:strCache>
                <c:ptCount val="1"/>
                <c:pt idx="0">
                  <c:v>17</c:v>
                </c:pt>
              </c:strCache>
            </c:strRef>
          </c:tx>
          <c:invertIfNegative val="0"/>
          <c:dLbls>
            <c:showLegendKey val="0"/>
            <c:showVal val="1"/>
            <c:showCatName val="0"/>
            <c:showSerName val="0"/>
            <c:showPercent val="0"/>
            <c:showBubbleSize val="0"/>
            <c:showLeaderLines val="0"/>
          </c:dLbls>
          <c:cat>
            <c:strRef>
              <c:f>'Age profile'!$B$25:$D$25</c:f>
              <c:strCache>
                <c:ptCount val="3"/>
                <c:pt idx="0">
                  <c:v>% Level 1</c:v>
                </c:pt>
                <c:pt idx="1">
                  <c:v>% Level 2a</c:v>
                </c:pt>
                <c:pt idx="2">
                  <c:v>% Level 2b</c:v>
                </c:pt>
              </c:strCache>
            </c:strRef>
          </c:cat>
          <c:val>
            <c:numRef>
              <c:f>'Age profile'!$B$35:$D$35</c:f>
              <c:numCache>
                <c:formatCode>0%</c:formatCode>
                <c:ptCount val="3"/>
                <c:pt idx="0">
                  <c:v>6.199281628309166E-2</c:v>
                </c:pt>
                <c:pt idx="1">
                  <c:v>0.10409455048956581</c:v>
                </c:pt>
                <c:pt idx="2">
                  <c:v>0.23381132756132755</c:v>
                </c:pt>
              </c:numCache>
            </c:numRef>
          </c:val>
        </c:ser>
        <c:ser>
          <c:idx val="10"/>
          <c:order val="10"/>
          <c:tx>
            <c:strRef>
              <c:f>'Age profile'!$A$36</c:f>
              <c:strCache>
                <c:ptCount val="1"/>
                <c:pt idx="0">
                  <c:v>18</c:v>
                </c:pt>
              </c:strCache>
            </c:strRef>
          </c:tx>
          <c:invertIfNegative val="0"/>
          <c:dLbls>
            <c:showLegendKey val="0"/>
            <c:showVal val="1"/>
            <c:showCatName val="0"/>
            <c:showSerName val="0"/>
            <c:showPercent val="0"/>
            <c:showBubbleSize val="0"/>
            <c:showLeaderLines val="0"/>
          </c:dLbls>
          <c:cat>
            <c:strRef>
              <c:f>'Age profile'!$B$25:$D$25</c:f>
              <c:strCache>
                <c:ptCount val="3"/>
                <c:pt idx="0">
                  <c:v>% Level 1</c:v>
                </c:pt>
                <c:pt idx="1">
                  <c:v>% Level 2a</c:v>
                </c:pt>
                <c:pt idx="2">
                  <c:v>% Level 2b</c:v>
                </c:pt>
              </c:strCache>
            </c:strRef>
          </c:cat>
          <c:val>
            <c:numRef>
              <c:f>'Age profile'!$B$36:$D$36</c:f>
              <c:numCache>
                <c:formatCode>0%</c:formatCode>
                <c:ptCount val="3"/>
                <c:pt idx="0">
                  <c:v>1.5099108686976188E-2</c:v>
                </c:pt>
                <c:pt idx="1">
                  <c:v>2.9967362278706361E-2</c:v>
                </c:pt>
                <c:pt idx="2">
                  <c:v>0.12865259740259741</c:v>
                </c:pt>
              </c:numCache>
            </c:numRef>
          </c:val>
        </c:ser>
        <c:ser>
          <c:idx val="11"/>
          <c:order val="11"/>
          <c:tx>
            <c:strRef>
              <c:f>'Age profile'!$A$37</c:f>
              <c:strCache>
                <c:ptCount val="1"/>
                <c:pt idx="0">
                  <c:v>19</c:v>
                </c:pt>
              </c:strCache>
            </c:strRef>
          </c:tx>
          <c:invertIfNegative val="0"/>
          <c:dLbls>
            <c:dLbl>
              <c:idx val="2"/>
              <c:layout/>
              <c:showLegendKey val="0"/>
              <c:showVal val="1"/>
              <c:showCatName val="0"/>
              <c:showSerName val="0"/>
              <c:showPercent val="0"/>
              <c:showBubbleSize val="0"/>
            </c:dLbl>
            <c:showLegendKey val="0"/>
            <c:showVal val="0"/>
            <c:showCatName val="0"/>
            <c:showSerName val="0"/>
            <c:showPercent val="0"/>
            <c:showBubbleSize val="0"/>
          </c:dLbls>
          <c:cat>
            <c:strRef>
              <c:f>'Age profile'!$B$25:$D$25</c:f>
              <c:strCache>
                <c:ptCount val="3"/>
                <c:pt idx="0">
                  <c:v>% Level 1</c:v>
                </c:pt>
                <c:pt idx="1">
                  <c:v>% Level 2a</c:v>
                </c:pt>
                <c:pt idx="2">
                  <c:v>% Level 2b</c:v>
                </c:pt>
              </c:strCache>
            </c:strRef>
          </c:cat>
          <c:val>
            <c:numRef>
              <c:f>'Age profile'!$B$37:$D$37</c:f>
              <c:numCache>
                <c:formatCode>0%</c:formatCode>
                <c:ptCount val="3"/>
                <c:pt idx="0">
                  <c:v>3.9244379406678199E-3</c:v>
                </c:pt>
                <c:pt idx="1">
                  <c:v>8.3572346948867574E-3</c:v>
                </c:pt>
                <c:pt idx="2">
                  <c:v>6.105699855699856E-2</c:v>
                </c:pt>
              </c:numCache>
            </c:numRef>
          </c:val>
        </c:ser>
        <c:ser>
          <c:idx val="12"/>
          <c:order val="12"/>
          <c:tx>
            <c:strRef>
              <c:f>'Age profile'!$A$38</c:f>
              <c:strCache>
                <c:ptCount val="1"/>
                <c:pt idx="0">
                  <c:v>20</c:v>
                </c:pt>
              </c:strCache>
            </c:strRef>
          </c:tx>
          <c:invertIfNegative val="0"/>
          <c:cat>
            <c:strRef>
              <c:f>'Age profile'!$B$25:$D$25</c:f>
              <c:strCache>
                <c:ptCount val="3"/>
                <c:pt idx="0">
                  <c:v>% Level 1</c:v>
                </c:pt>
                <c:pt idx="1">
                  <c:v>% Level 2a</c:v>
                </c:pt>
                <c:pt idx="2">
                  <c:v>% Level 2b</c:v>
                </c:pt>
              </c:strCache>
            </c:strRef>
          </c:cat>
          <c:val>
            <c:numRef>
              <c:f>'Age profile'!$B$38:$D$38</c:f>
              <c:numCache>
                <c:formatCode>0%</c:formatCode>
                <c:ptCount val="3"/>
                <c:pt idx="0">
                  <c:v>9.9773845949181848E-4</c:v>
                </c:pt>
                <c:pt idx="1">
                  <c:v>1.6813371575511819E-3</c:v>
                </c:pt>
                <c:pt idx="2">
                  <c:v>1.185966810966811E-2</c:v>
                </c:pt>
              </c:numCache>
            </c:numRef>
          </c:val>
        </c:ser>
        <c:ser>
          <c:idx val="13"/>
          <c:order val="13"/>
          <c:tx>
            <c:strRef>
              <c:f>'Age profile'!$A$39</c:f>
              <c:strCache>
                <c:ptCount val="1"/>
                <c:pt idx="0">
                  <c:v>21</c:v>
                </c:pt>
              </c:strCache>
            </c:strRef>
          </c:tx>
          <c:invertIfNegative val="0"/>
          <c:cat>
            <c:strRef>
              <c:f>'Age profile'!$B$25:$D$25</c:f>
              <c:strCache>
                <c:ptCount val="3"/>
                <c:pt idx="0">
                  <c:v>% Level 1</c:v>
                </c:pt>
                <c:pt idx="1">
                  <c:v>% Level 2a</c:v>
                </c:pt>
                <c:pt idx="2">
                  <c:v>% Level 2b</c:v>
                </c:pt>
              </c:strCache>
            </c:strRef>
          </c:cat>
          <c:val>
            <c:numRef>
              <c:f>'Age profile'!$B$39:$D$39</c:f>
              <c:numCache>
                <c:formatCode>0%</c:formatCode>
                <c:ptCount val="3"/>
                <c:pt idx="0">
                  <c:v>1.3303179459890914E-4</c:v>
                </c:pt>
                <c:pt idx="1">
                  <c:v>4.4505983582237169E-4</c:v>
                </c:pt>
                <c:pt idx="2">
                  <c:v>1.893939393939394E-3</c:v>
                </c:pt>
              </c:numCache>
            </c:numRef>
          </c:val>
        </c:ser>
        <c:ser>
          <c:idx val="14"/>
          <c:order val="14"/>
          <c:tx>
            <c:strRef>
              <c:f>'Age profile'!$A$40</c:f>
              <c:strCache>
                <c:ptCount val="1"/>
                <c:pt idx="0">
                  <c:v>22</c:v>
                </c:pt>
              </c:strCache>
            </c:strRef>
          </c:tx>
          <c:invertIfNegative val="0"/>
          <c:cat>
            <c:strRef>
              <c:f>'Age profile'!$B$25:$D$25</c:f>
              <c:strCache>
                <c:ptCount val="3"/>
                <c:pt idx="0">
                  <c:v>% Level 1</c:v>
                </c:pt>
                <c:pt idx="1">
                  <c:v>% Level 2a</c:v>
                </c:pt>
                <c:pt idx="2">
                  <c:v>% Level 2b</c:v>
                </c:pt>
              </c:strCache>
            </c:strRef>
          </c:cat>
          <c:val>
            <c:numRef>
              <c:f>'Age profile'!$B$40:$D$40</c:f>
              <c:numCache>
                <c:formatCode>0%</c:formatCode>
                <c:ptCount val="3"/>
                <c:pt idx="0">
                  <c:v>6.651589729945457E-5</c:v>
                </c:pt>
                <c:pt idx="1">
                  <c:v>2.9670655721491444E-4</c:v>
                </c:pt>
                <c:pt idx="2">
                  <c:v>6.7640692640692638E-4</c:v>
                </c:pt>
              </c:numCache>
            </c:numRef>
          </c:val>
        </c:ser>
        <c:ser>
          <c:idx val="15"/>
          <c:order val="15"/>
          <c:tx>
            <c:strRef>
              <c:f>'Age profile'!$A$41</c:f>
              <c:strCache>
                <c:ptCount val="1"/>
                <c:pt idx="0">
                  <c:v>23</c:v>
                </c:pt>
              </c:strCache>
            </c:strRef>
          </c:tx>
          <c:invertIfNegative val="0"/>
          <c:cat>
            <c:strRef>
              <c:f>'Age profile'!$B$25:$D$25</c:f>
              <c:strCache>
                <c:ptCount val="3"/>
                <c:pt idx="0">
                  <c:v>% Level 1</c:v>
                </c:pt>
                <c:pt idx="1">
                  <c:v>% Level 2a</c:v>
                </c:pt>
                <c:pt idx="2">
                  <c:v>% Level 2b</c:v>
                </c:pt>
              </c:strCache>
            </c:strRef>
          </c:cat>
          <c:val>
            <c:numRef>
              <c:f>'Age profile'!$B$41:$D$41</c:f>
              <c:numCache>
                <c:formatCode>0%</c:formatCode>
                <c:ptCount val="3"/>
                <c:pt idx="0">
                  <c:v>0</c:v>
                </c:pt>
                <c:pt idx="1">
                  <c:v>4.9451092869152409E-5</c:v>
                </c:pt>
                <c:pt idx="2">
                  <c:v>3.1565656565656568E-4</c:v>
                </c:pt>
              </c:numCache>
            </c:numRef>
          </c:val>
        </c:ser>
        <c:ser>
          <c:idx val="16"/>
          <c:order val="16"/>
          <c:tx>
            <c:strRef>
              <c:f>'Age profile'!$A$42</c:f>
              <c:strCache>
                <c:ptCount val="1"/>
                <c:pt idx="0">
                  <c:v>24</c:v>
                </c:pt>
              </c:strCache>
            </c:strRef>
          </c:tx>
          <c:invertIfNegative val="0"/>
          <c:cat>
            <c:strRef>
              <c:f>'Age profile'!$B$25:$D$25</c:f>
              <c:strCache>
                <c:ptCount val="3"/>
                <c:pt idx="0">
                  <c:v>% Level 1</c:v>
                </c:pt>
                <c:pt idx="1">
                  <c:v>% Level 2a</c:v>
                </c:pt>
                <c:pt idx="2">
                  <c:v>% Level 2b</c:v>
                </c:pt>
              </c:strCache>
            </c:strRef>
          </c:cat>
          <c:val>
            <c:numRef>
              <c:f>'Age profile'!$B$42:$D$42</c:f>
              <c:numCache>
                <c:formatCode>0%</c:formatCode>
                <c:ptCount val="3"/>
                <c:pt idx="0">
                  <c:v>0</c:v>
                </c:pt>
                <c:pt idx="1">
                  <c:v>4.9451092869152409E-5</c:v>
                </c:pt>
                <c:pt idx="2">
                  <c:v>9.0187590187590188E-5</c:v>
                </c:pt>
              </c:numCache>
            </c:numRef>
          </c:val>
        </c:ser>
        <c:ser>
          <c:idx val="17"/>
          <c:order val="17"/>
          <c:tx>
            <c:strRef>
              <c:f>'Age profile'!$A$43</c:f>
              <c:strCache>
                <c:ptCount val="1"/>
                <c:pt idx="0">
                  <c:v>25</c:v>
                </c:pt>
              </c:strCache>
            </c:strRef>
          </c:tx>
          <c:invertIfNegative val="0"/>
          <c:cat>
            <c:strRef>
              <c:f>'Age profile'!$B$25:$D$25</c:f>
              <c:strCache>
                <c:ptCount val="3"/>
                <c:pt idx="0">
                  <c:v>% Level 1</c:v>
                </c:pt>
                <c:pt idx="1">
                  <c:v>% Level 2a</c:v>
                </c:pt>
                <c:pt idx="2">
                  <c:v>% Level 2b</c:v>
                </c:pt>
              </c:strCache>
            </c:strRef>
          </c:cat>
          <c:val>
            <c:numRef>
              <c:f>'Age profile'!$B$43:$D$43</c:f>
              <c:numCache>
                <c:formatCode>0%</c:formatCode>
                <c:ptCount val="3"/>
                <c:pt idx="0">
                  <c:v>6.651589729945457E-5</c:v>
                </c:pt>
                <c:pt idx="1">
                  <c:v>4.9451092869152409E-5</c:v>
                </c:pt>
                <c:pt idx="2">
                  <c:v>1.3528138528138528E-4</c:v>
                </c:pt>
              </c:numCache>
            </c:numRef>
          </c:val>
        </c:ser>
        <c:dLbls>
          <c:showLegendKey val="0"/>
          <c:showVal val="0"/>
          <c:showCatName val="0"/>
          <c:showSerName val="0"/>
          <c:showPercent val="0"/>
          <c:showBubbleSize val="0"/>
        </c:dLbls>
        <c:gapWidth val="55"/>
        <c:axId val="39043456"/>
        <c:axId val="39044992"/>
      </c:barChart>
      <c:catAx>
        <c:axId val="39043456"/>
        <c:scaling>
          <c:orientation val="minMax"/>
        </c:scaling>
        <c:delete val="0"/>
        <c:axPos val="b"/>
        <c:majorTickMark val="none"/>
        <c:minorTickMark val="none"/>
        <c:tickLblPos val="nextTo"/>
        <c:crossAx val="39044992"/>
        <c:crosses val="autoZero"/>
        <c:auto val="1"/>
        <c:lblAlgn val="ctr"/>
        <c:lblOffset val="100"/>
        <c:noMultiLvlLbl val="0"/>
      </c:catAx>
      <c:valAx>
        <c:axId val="39044992"/>
        <c:scaling>
          <c:orientation val="minMax"/>
        </c:scaling>
        <c:delete val="0"/>
        <c:axPos val="l"/>
        <c:majorGridlines/>
        <c:numFmt formatCode="0%" sourceLinked="1"/>
        <c:majorTickMark val="none"/>
        <c:minorTickMark val="none"/>
        <c:tickLblPos val="nextTo"/>
        <c:crossAx val="3904345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Participants who have been identified as having a characteristic</a:t>
            </a:r>
          </a:p>
        </c:rich>
      </c:tx>
      <c:layout/>
      <c:overlay val="0"/>
    </c:title>
    <c:autoTitleDeleted val="0"/>
    <c:plotArea>
      <c:layout/>
      <c:barChart>
        <c:barDir val="bar"/>
        <c:grouping val="clustered"/>
        <c:varyColors val="0"/>
        <c:ser>
          <c:idx val="0"/>
          <c:order val="0"/>
          <c:tx>
            <c:strRef>
              <c:f>Characteristics!$B$2</c:f>
              <c:strCache>
                <c:ptCount val="1"/>
                <c:pt idx="0">
                  <c:v>% SA</c:v>
                </c:pt>
              </c:strCache>
            </c:strRef>
          </c:tx>
          <c:invertIfNegative val="0"/>
          <c:dLbls>
            <c:showLegendKey val="0"/>
            <c:showVal val="1"/>
            <c:showCatName val="0"/>
            <c:showSerName val="0"/>
            <c:showPercent val="0"/>
            <c:showBubbleSize val="0"/>
            <c:showLeaderLines val="0"/>
          </c:dLbls>
          <c:cat>
            <c:strRef>
              <c:f>Characteristics!$A$3:$A$11</c:f>
              <c:strCache>
                <c:ptCount val="9"/>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strCache>
            </c:strRef>
          </c:cat>
          <c:val>
            <c:numRef>
              <c:f>Characteristics!$B$3:$B$11</c:f>
              <c:numCache>
                <c:formatCode>0%</c:formatCode>
                <c:ptCount val="9"/>
                <c:pt idx="0">
                  <c:v>2.3008849557522124E-2</c:v>
                </c:pt>
                <c:pt idx="1">
                  <c:v>6.9911504424778767E-2</c:v>
                </c:pt>
                <c:pt idx="2">
                  <c:v>1.4454277286135693E-2</c:v>
                </c:pt>
                <c:pt idx="3">
                  <c:v>0.143952802359882</c:v>
                </c:pt>
                <c:pt idx="4">
                  <c:v>2.7728613569321534E-2</c:v>
                </c:pt>
                <c:pt idx="5">
                  <c:v>0.51592920353982297</c:v>
                </c:pt>
                <c:pt idx="6">
                  <c:v>8.2595870206489674E-3</c:v>
                </c:pt>
                <c:pt idx="7">
                  <c:v>0.31976401179941005</c:v>
                </c:pt>
                <c:pt idx="8">
                  <c:v>2.6548672566371681E-2</c:v>
                </c:pt>
              </c:numCache>
            </c:numRef>
          </c:val>
        </c:ser>
        <c:ser>
          <c:idx val="1"/>
          <c:order val="1"/>
          <c:tx>
            <c:strRef>
              <c:f>Characteristics!$C$2</c:f>
              <c:strCache>
                <c:ptCount val="1"/>
                <c:pt idx="0">
                  <c:v>% National</c:v>
                </c:pt>
              </c:strCache>
            </c:strRef>
          </c:tx>
          <c:invertIfNegative val="0"/>
          <c:dLbls>
            <c:showLegendKey val="0"/>
            <c:showVal val="1"/>
            <c:showCatName val="0"/>
            <c:showSerName val="0"/>
            <c:showPercent val="0"/>
            <c:showBubbleSize val="0"/>
            <c:showLeaderLines val="0"/>
          </c:dLbls>
          <c:cat>
            <c:strRef>
              <c:f>Characteristics!$A$3:$A$11</c:f>
              <c:strCache>
                <c:ptCount val="9"/>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strCache>
            </c:strRef>
          </c:cat>
          <c:val>
            <c:numRef>
              <c:f>Characteristics!$C$3:$C$11</c:f>
              <c:numCache>
                <c:formatCode>0%</c:formatCode>
                <c:ptCount val="9"/>
                <c:pt idx="0">
                  <c:v>6.7993306824520053E-2</c:v>
                </c:pt>
                <c:pt idx="1">
                  <c:v>4.4099390057395778E-2</c:v>
                </c:pt>
                <c:pt idx="2">
                  <c:v>1.4843735943431871E-2</c:v>
                </c:pt>
                <c:pt idx="3">
                  <c:v>0.18748088306734559</c:v>
                </c:pt>
                <c:pt idx="4">
                  <c:v>2.0439374583925585E-2</c:v>
                </c:pt>
                <c:pt idx="5">
                  <c:v>0.31233019665701073</c:v>
                </c:pt>
                <c:pt idx="6">
                  <c:v>5.7395778981269904E-3</c:v>
                </c:pt>
                <c:pt idx="7">
                  <c:v>0.21414563054391048</c:v>
                </c:pt>
                <c:pt idx="8">
                  <c:v>2.1069108836071177E-2</c:v>
                </c:pt>
              </c:numCache>
            </c:numRef>
          </c:val>
        </c:ser>
        <c:dLbls>
          <c:showLegendKey val="0"/>
          <c:showVal val="0"/>
          <c:showCatName val="0"/>
          <c:showSerName val="0"/>
          <c:showPercent val="0"/>
          <c:showBubbleSize val="0"/>
        </c:dLbls>
        <c:gapWidth val="150"/>
        <c:axId val="39390592"/>
        <c:axId val="39396480"/>
      </c:barChart>
      <c:catAx>
        <c:axId val="39390592"/>
        <c:scaling>
          <c:orientation val="maxMin"/>
        </c:scaling>
        <c:delete val="0"/>
        <c:axPos val="l"/>
        <c:majorTickMark val="none"/>
        <c:minorTickMark val="none"/>
        <c:tickLblPos val="nextTo"/>
        <c:crossAx val="39396480"/>
        <c:crosses val="autoZero"/>
        <c:auto val="1"/>
        <c:lblAlgn val="ctr"/>
        <c:lblOffset val="100"/>
        <c:noMultiLvlLbl val="0"/>
      </c:catAx>
      <c:valAx>
        <c:axId val="39396480"/>
        <c:scaling>
          <c:orientation val="minMax"/>
        </c:scaling>
        <c:delete val="0"/>
        <c:axPos val="t"/>
        <c:majorGridlines/>
        <c:numFmt formatCode="0%" sourceLinked="1"/>
        <c:majorTickMark val="none"/>
        <c:minorTickMark val="none"/>
        <c:tickLblPos val="nextTo"/>
        <c:crossAx val="393905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bar"/>
        <c:grouping val="clustered"/>
        <c:varyColors val="0"/>
        <c:ser>
          <c:idx val="0"/>
          <c:order val="0"/>
          <c:tx>
            <c:strRef>
              <c:f>Barriers!$T$2</c:f>
              <c:strCache>
                <c:ptCount val="1"/>
                <c:pt idx="0">
                  <c:v>SA</c:v>
                </c:pt>
              </c:strCache>
            </c:strRef>
          </c:tx>
          <c:invertIfNegative val="0"/>
          <c:dLbls>
            <c:showLegendKey val="0"/>
            <c:showVal val="1"/>
            <c:showCatName val="0"/>
            <c:showSerName val="0"/>
            <c:showPercent val="0"/>
            <c:showBubbleSize val="0"/>
            <c:showLeaderLines val="0"/>
          </c:dLbls>
          <c:cat>
            <c:strRef>
              <c:f>Barriers!$S$3:$S$29</c:f>
              <c:strCache>
                <c:ptCount val="27"/>
                <c:pt idx="0">
                  <c:v>Abuse/Domestic Violence issue</c:v>
                </c:pt>
                <c:pt idx="1">
                  <c:v>Alcohol and/or drug misuse</c:v>
                </c:pt>
                <c:pt idx="2">
                  <c:v>Anger management issues</c:v>
                </c:pt>
                <c:pt idx="3">
                  <c:v>Behavioural problems</c:v>
                </c:pt>
                <c:pt idx="4">
                  <c:v>Bullying</c:v>
                </c:pt>
                <c:pt idx="5">
                  <c:v>Critical life event</c:v>
                </c:pt>
                <c:pt idx="6">
                  <c:v>Current or previous Juvenile Justice Orders</c:v>
                </c:pt>
                <c:pt idx="7">
                  <c:v>Disability</c:v>
                </c:pt>
                <c:pt idx="8">
                  <c:v>Disconnection from cultural heritage</c:v>
                </c:pt>
                <c:pt idx="9">
                  <c:v>Financial distress</c:v>
                </c:pt>
                <c:pt idx="10">
                  <c:v>Gifted</c:v>
                </c:pt>
                <c:pt idx="11">
                  <c:v>Homelessness</c:v>
                </c:pt>
                <c:pt idx="12">
                  <c:v>In detention/previously in detention</c:v>
                </c:pt>
                <c:pt idx="13">
                  <c:v>Inadequate family support</c:v>
                </c:pt>
                <c:pt idx="14">
                  <c:v>Learning Difficulty</c:v>
                </c:pt>
                <c:pt idx="15">
                  <c:v>Low literacy and/or numeracy</c:v>
                </c:pt>
                <c:pt idx="16">
                  <c:v>Low Self Esteem</c:v>
                </c:pt>
                <c:pt idx="17">
                  <c:v>Medical or other health issue</c:v>
                </c:pt>
                <c:pt idx="18">
                  <c:v>Negative experience(s) with education and training</c:v>
                </c:pt>
                <c:pt idx="19">
                  <c:v>Out of home care</c:v>
                </c:pt>
                <c:pt idx="20">
                  <c:v>Parent/Pregnancy</c:v>
                </c:pt>
                <c:pt idx="21">
                  <c:v>Petrol sniffing</c:v>
                </c:pt>
                <c:pt idx="22">
                  <c:v>Socialisation issues</c:v>
                </c:pt>
                <c:pt idx="23">
                  <c:v>Suspected or diagnosed mental health issue</c:v>
                </c:pt>
                <c:pt idx="24">
                  <c:v>Unstable living arrangements</c:v>
                </c:pt>
                <c:pt idx="25">
                  <c:v>Volatile substance misuse</c:v>
                </c:pt>
                <c:pt idx="26">
                  <c:v>Young Carer responsibilities</c:v>
                </c:pt>
              </c:strCache>
            </c:strRef>
          </c:cat>
          <c:val>
            <c:numRef>
              <c:f>Barriers!$T$3:$T$29</c:f>
              <c:numCache>
                <c:formatCode>0%</c:formatCode>
                <c:ptCount val="27"/>
                <c:pt idx="0">
                  <c:v>0.16076696165191739</c:v>
                </c:pt>
                <c:pt idx="1">
                  <c:v>0.25840707964601772</c:v>
                </c:pt>
                <c:pt idx="2">
                  <c:v>0.32359882005899704</c:v>
                </c:pt>
                <c:pt idx="3">
                  <c:v>0.41887905604719766</c:v>
                </c:pt>
                <c:pt idx="4">
                  <c:v>0.259882005899705</c:v>
                </c:pt>
                <c:pt idx="5">
                  <c:v>0.21858407079646017</c:v>
                </c:pt>
                <c:pt idx="6">
                  <c:v>0.16342182890855458</c:v>
                </c:pt>
                <c:pt idx="7">
                  <c:v>6.4306784660766961E-2</c:v>
                </c:pt>
                <c:pt idx="8">
                  <c:v>2.8908554572271386E-2</c:v>
                </c:pt>
                <c:pt idx="9">
                  <c:v>0.43834808259587021</c:v>
                </c:pt>
                <c:pt idx="10">
                  <c:v>1.3569321533923304E-2</c:v>
                </c:pt>
                <c:pt idx="11">
                  <c:v>6.9911504424778767E-2</c:v>
                </c:pt>
                <c:pt idx="12">
                  <c:v>4.8967551622418878E-2</c:v>
                </c:pt>
                <c:pt idx="13">
                  <c:v>0.36519174041297936</c:v>
                </c:pt>
                <c:pt idx="14">
                  <c:v>0.10117994100294986</c:v>
                </c:pt>
                <c:pt idx="15">
                  <c:v>0.50265486725663722</c:v>
                </c:pt>
                <c:pt idx="16">
                  <c:v>0.56961651917404132</c:v>
                </c:pt>
                <c:pt idx="17">
                  <c:v>0.13480825958702064</c:v>
                </c:pt>
                <c:pt idx="18">
                  <c:v>0.16283185840707964</c:v>
                </c:pt>
                <c:pt idx="19">
                  <c:v>3.0678466076696165E-2</c:v>
                </c:pt>
                <c:pt idx="20">
                  <c:v>5.0442477876106194E-2</c:v>
                </c:pt>
                <c:pt idx="21">
                  <c:v>1.1799410029498525E-3</c:v>
                </c:pt>
                <c:pt idx="22">
                  <c:v>0.46165191740412981</c:v>
                </c:pt>
                <c:pt idx="23">
                  <c:v>0.38348082595870209</c:v>
                </c:pt>
                <c:pt idx="24">
                  <c:v>0.26194690265486725</c:v>
                </c:pt>
                <c:pt idx="25">
                  <c:v>8.2595870206489674E-3</c:v>
                </c:pt>
                <c:pt idx="26">
                  <c:v>4.7787610619469026E-2</c:v>
                </c:pt>
              </c:numCache>
            </c:numRef>
          </c:val>
        </c:ser>
        <c:ser>
          <c:idx val="1"/>
          <c:order val="1"/>
          <c:tx>
            <c:strRef>
              <c:f>Barriers!$U$2</c:f>
              <c:strCache>
                <c:ptCount val="1"/>
                <c:pt idx="0">
                  <c:v>National</c:v>
                </c:pt>
              </c:strCache>
            </c:strRef>
          </c:tx>
          <c:invertIfNegative val="0"/>
          <c:dLbls>
            <c:showLegendKey val="0"/>
            <c:showVal val="1"/>
            <c:showCatName val="0"/>
            <c:showSerName val="0"/>
            <c:showPercent val="0"/>
            <c:showBubbleSize val="0"/>
            <c:showLeaderLines val="0"/>
          </c:dLbls>
          <c:cat>
            <c:strRef>
              <c:f>Barriers!$S$3:$S$29</c:f>
              <c:strCache>
                <c:ptCount val="27"/>
                <c:pt idx="0">
                  <c:v>Abuse/Domestic Violence issue</c:v>
                </c:pt>
                <c:pt idx="1">
                  <c:v>Alcohol and/or drug misuse</c:v>
                </c:pt>
                <c:pt idx="2">
                  <c:v>Anger management issues</c:v>
                </c:pt>
                <c:pt idx="3">
                  <c:v>Behavioural problems</c:v>
                </c:pt>
                <c:pt idx="4">
                  <c:v>Bullying</c:v>
                </c:pt>
                <c:pt idx="5">
                  <c:v>Critical life event</c:v>
                </c:pt>
                <c:pt idx="6">
                  <c:v>Current or previous Juvenile Justice Orders</c:v>
                </c:pt>
                <c:pt idx="7">
                  <c:v>Disability</c:v>
                </c:pt>
                <c:pt idx="8">
                  <c:v>Disconnection from cultural heritage</c:v>
                </c:pt>
                <c:pt idx="9">
                  <c:v>Financial distress</c:v>
                </c:pt>
                <c:pt idx="10">
                  <c:v>Gifted</c:v>
                </c:pt>
                <c:pt idx="11">
                  <c:v>Homelessness</c:v>
                </c:pt>
                <c:pt idx="12">
                  <c:v>In detention/previously in detention</c:v>
                </c:pt>
                <c:pt idx="13">
                  <c:v>Inadequate family support</c:v>
                </c:pt>
                <c:pt idx="14">
                  <c:v>Learning Difficulty</c:v>
                </c:pt>
                <c:pt idx="15">
                  <c:v>Low literacy and/or numeracy</c:v>
                </c:pt>
                <c:pt idx="16">
                  <c:v>Low Self Esteem</c:v>
                </c:pt>
                <c:pt idx="17">
                  <c:v>Medical or other health issue</c:v>
                </c:pt>
                <c:pt idx="18">
                  <c:v>Negative experience(s) with education and training</c:v>
                </c:pt>
                <c:pt idx="19">
                  <c:v>Out of home care</c:v>
                </c:pt>
                <c:pt idx="20">
                  <c:v>Parent/Pregnancy</c:v>
                </c:pt>
                <c:pt idx="21">
                  <c:v>Petrol sniffing</c:v>
                </c:pt>
                <c:pt idx="22">
                  <c:v>Socialisation issues</c:v>
                </c:pt>
                <c:pt idx="23">
                  <c:v>Suspected or diagnosed mental health issue</c:v>
                </c:pt>
                <c:pt idx="24">
                  <c:v>Unstable living arrangements</c:v>
                </c:pt>
                <c:pt idx="25">
                  <c:v>Volatile substance misuse</c:v>
                </c:pt>
                <c:pt idx="26">
                  <c:v>Young Carer responsibilities</c:v>
                </c:pt>
              </c:strCache>
            </c:strRef>
          </c:cat>
          <c:val>
            <c:numRef>
              <c:f>Barriers!$U$3:$U$29</c:f>
              <c:numCache>
                <c:formatCode>0%</c:formatCode>
                <c:ptCount val="27"/>
                <c:pt idx="0">
                  <c:v>9.8508429442775144E-2</c:v>
                </c:pt>
                <c:pt idx="1">
                  <c:v>0.186401338635096</c:v>
                </c:pt>
                <c:pt idx="2">
                  <c:v>0.30232641825149786</c:v>
                </c:pt>
                <c:pt idx="3">
                  <c:v>0.50259990284100109</c:v>
                </c:pt>
                <c:pt idx="4">
                  <c:v>0.24703575091311467</c:v>
                </c:pt>
                <c:pt idx="5">
                  <c:v>0.16126594577088468</c:v>
                </c:pt>
                <c:pt idx="6">
                  <c:v>9.7806725561812913E-2</c:v>
                </c:pt>
                <c:pt idx="7">
                  <c:v>4.5286888932870327E-2</c:v>
                </c:pt>
                <c:pt idx="8">
                  <c:v>4.8741431116069017E-2</c:v>
                </c:pt>
                <c:pt idx="9">
                  <c:v>0.27908022814372335</c:v>
                </c:pt>
                <c:pt idx="10">
                  <c:v>1.0957375987333345E-2</c:v>
                </c:pt>
                <c:pt idx="11">
                  <c:v>4.480109393835801E-2</c:v>
                </c:pt>
                <c:pt idx="12">
                  <c:v>2.9795426330088703E-2</c:v>
                </c:pt>
                <c:pt idx="13">
                  <c:v>0.27326868061677972</c:v>
                </c:pt>
                <c:pt idx="14">
                  <c:v>8.0390075388186183E-2</c:v>
                </c:pt>
                <c:pt idx="15">
                  <c:v>0.49367566886773784</c:v>
                </c:pt>
                <c:pt idx="16">
                  <c:v>0.55303262023426114</c:v>
                </c:pt>
                <c:pt idx="17">
                  <c:v>9.8742330736429226E-2</c:v>
                </c:pt>
                <c:pt idx="18">
                  <c:v>0.11398189963835262</c:v>
                </c:pt>
                <c:pt idx="19">
                  <c:v>3.6488601810036166E-2</c:v>
                </c:pt>
                <c:pt idx="20">
                  <c:v>3.4311520538332821E-2</c:v>
                </c:pt>
                <c:pt idx="21">
                  <c:v>7.3768869537055358E-4</c:v>
                </c:pt>
                <c:pt idx="22">
                  <c:v>0.41510282660717179</c:v>
                </c:pt>
                <c:pt idx="23">
                  <c:v>0.26531603663254105</c:v>
                </c:pt>
                <c:pt idx="24">
                  <c:v>0.17621763615754152</c:v>
                </c:pt>
                <c:pt idx="25">
                  <c:v>4.4261321722233217E-3</c:v>
                </c:pt>
                <c:pt idx="26">
                  <c:v>3.5301102934561616E-2</c:v>
                </c:pt>
              </c:numCache>
            </c:numRef>
          </c:val>
        </c:ser>
        <c:dLbls>
          <c:showLegendKey val="0"/>
          <c:showVal val="0"/>
          <c:showCatName val="0"/>
          <c:showSerName val="0"/>
          <c:showPercent val="0"/>
          <c:showBubbleSize val="0"/>
        </c:dLbls>
        <c:gapWidth val="150"/>
        <c:axId val="39424000"/>
        <c:axId val="39425536"/>
      </c:barChart>
      <c:catAx>
        <c:axId val="39424000"/>
        <c:scaling>
          <c:orientation val="maxMin"/>
        </c:scaling>
        <c:delete val="0"/>
        <c:axPos val="l"/>
        <c:majorTickMark val="none"/>
        <c:minorTickMark val="none"/>
        <c:tickLblPos val="nextTo"/>
        <c:crossAx val="39425536"/>
        <c:crosses val="autoZero"/>
        <c:auto val="1"/>
        <c:lblAlgn val="ctr"/>
        <c:lblOffset val="100"/>
        <c:noMultiLvlLbl val="0"/>
      </c:catAx>
      <c:valAx>
        <c:axId val="39425536"/>
        <c:scaling>
          <c:orientation val="minMax"/>
        </c:scaling>
        <c:delete val="0"/>
        <c:axPos val="t"/>
        <c:majorGridlines/>
        <c:numFmt formatCode="0%" sourceLinked="1"/>
        <c:majorTickMark val="none"/>
        <c:minorTickMark val="none"/>
        <c:tickLblPos val="nextTo"/>
        <c:crossAx val="394240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AU"/>
              <a:t>SA Participant Barriers</a:t>
            </a:r>
          </a:p>
        </c:rich>
      </c:tx>
      <c:layout>
        <c:manualLayout>
          <c:xMode val="edge"/>
          <c:yMode val="edge"/>
          <c:x val="0.14255271749567888"/>
          <c:y val="1.2537428728851573E-2"/>
        </c:manualLayout>
      </c:layout>
      <c:overlay val="0"/>
    </c:title>
    <c:autoTitleDeleted val="0"/>
    <c:plotArea>
      <c:layout/>
      <c:barChart>
        <c:barDir val="col"/>
        <c:grouping val="percentStacked"/>
        <c:varyColors val="0"/>
        <c:ser>
          <c:idx val="0"/>
          <c:order val="0"/>
          <c:tx>
            <c:strRef>
              <c:f>Barriers!$A$3</c:f>
              <c:strCache>
                <c:ptCount val="1"/>
                <c:pt idx="0">
                  <c:v>Abuse/Domestic Violence issue</c:v>
                </c:pt>
              </c:strCache>
            </c:strRef>
          </c:tx>
          <c:invertIfNegative val="0"/>
          <c:cat>
            <c:strRef>
              <c:f>Barriers!$E$2:$G$2</c:f>
              <c:strCache>
                <c:ptCount val="3"/>
                <c:pt idx="0">
                  <c:v>Level 1</c:v>
                </c:pt>
                <c:pt idx="1">
                  <c:v>Level 2a</c:v>
                </c:pt>
                <c:pt idx="2">
                  <c:v>Level 2b</c:v>
                </c:pt>
              </c:strCache>
            </c:strRef>
          </c:cat>
          <c:val>
            <c:numRef>
              <c:f>Barriers!$E$3:$G$3</c:f>
              <c:numCache>
                <c:formatCode>0%</c:formatCode>
                <c:ptCount val="3"/>
                <c:pt idx="0">
                  <c:v>0.11909650924024641</c:v>
                </c:pt>
                <c:pt idx="1">
                  <c:v>0.17907801418439717</c:v>
                </c:pt>
                <c:pt idx="2">
                  <c:v>0.1641708264004437</c:v>
                </c:pt>
              </c:numCache>
            </c:numRef>
          </c:val>
        </c:ser>
        <c:ser>
          <c:idx val="1"/>
          <c:order val="1"/>
          <c:tx>
            <c:strRef>
              <c:f>Barriers!$A$4</c:f>
              <c:strCache>
                <c:ptCount val="1"/>
                <c:pt idx="0">
                  <c:v>Alcohol and/or drug misuse</c:v>
                </c:pt>
              </c:strCache>
            </c:strRef>
          </c:tx>
          <c:invertIfNegative val="0"/>
          <c:cat>
            <c:strRef>
              <c:f>Barriers!$E$2:$G$2</c:f>
              <c:strCache>
                <c:ptCount val="3"/>
                <c:pt idx="0">
                  <c:v>Level 1</c:v>
                </c:pt>
                <c:pt idx="1">
                  <c:v>Level 2a</c:v>
                </c:pt>
                <c:pt idx="2">
                  <c:v>Level 2b</c:v>
                </c:pt>
              </c:strCache>
            </c:strRef>
          </c:cat>
          <c:val>
            <c:numRef>
              <c:f>Barriers!$E$4:$G$4</c:f>
              <c:numCache>
                <c:formatCode>0%</c:formatCode>
                <c:ptCount val="3"/>
                <c:pt idx="0">
                  <c:v>0.12320328542094455</c:v>
                </c:pt>
                <c:pt idx="1">
                  <c:v>0.22606382978723405</c:v>
                </c:pt>
                <c:pt idx="2">
                  <c:v>0.31891292290626733</c:v>
                </c:pt>
              </c:numCache>
            </c:numRef>
          </c:val>
        </c:ser>
        <c:ser>
          <c:idx val="2"/>
          <c:order val="2"/>
          <c:tx>
            <c:strRef>
              <c:f>Barriers!$A$5</c:f>
              <c:strCache>
                <c:ptCount val="1"/>
                <c:pt idx="0">
                  <c:v>Anger management issues</c:v>
                </c:pt>
              </c:strCache>
            </c:strRef>
          </c:tx>
          <c:invertIfNegative val="0"/>
          <c:cat>
            <c:strRef>
              <c:f>Barriers!$E$2:$G$2</c:f>
              <c:strCache>
                <c:ptCount val="3"/>
                <c:pt idx="0">
                  <c:v>Level 1</c:v>
                </c:pt>
                <c:pt idx="1">
                  <c:v>Level 2a</c:v>
                </c:pt>
                <c:pt idx="2">
                  <c:v>Level 2b</c:v>
                </c:pt>
              </c:strCache>
            </c:strRef>
          </c:cat>
          <c:val>
            <c:numRef>
              <c:f>Barriers!$E$5:$G$5</c:f>
              <c:numCache>
                <c:formatCode>0%</c:formatCode>
                <c:ptCount val="3"/>
                <c:pt idx="0">
                  <c:v>0.33675564681724846</c:v>
                </c:pt>
                <c:pt idx="1">
                  <c:v>0.35106382978723405</c:v>
                </c:pt>
                <c:pt idx="2">
                  <c:v>0.31336661120354964</c:v>
                </c:pt>
              </c:numCache>
            </c:numRef>
          </c:val>
        </c:ser>
        <c:ser>
          <c:idx val="3"/>
          <c:order val="3"/>
          <c:tx>
            <c:strRef>
              <c:f>Barriers!$A$6</c:f>
              <c:strCache>
                <c:ptCount val="1"/>
                <c:pt idx="0">
                  <c:v>Behavioural problems</c:v>
                </c:pt>
              </c:strCache>
            </c:strRef>
          </c:tx>
          <c:invertIfNegative val="0"/>
          <c:cat>
            <c:strRef>
              <c:f>Barriers!$E$2:$G$2</c:f>
              <c:strCache>
                <c:ptCount val="3"/>
                <c:pt idx="0">
                  <c:v>Level 1</c:v>
                </c:pt>
                <c:pt idx="1">
                  <c:v>Level 2a</c:v>
                </c:pt>
                <c:pt idx="2">
                  <c:v>Level 2b</c:v>
                </c:pt>
              </c:strCache>
            </c:strRef>
          </c:cat>
          <c:val>
            <c:numRef>
              <c:f>Barriers!$E$6:$G$6</c:f>
              <c:numCache>
                <c:formatCode>0%</c:formatCode>
                <c:ptCount val="3"/>
                <c:pt idx="0">
                  <c:v>0.5420944558521561</c:v>
                </c:pt>
                <c:pt idx="1">
                  <c:v>0.49556737588652483</c:v>
                </c:pt>
                <c:pt idx="2">
                  <c:v>0.35607321131447589</c:v>
                </c:pt>
              </c:numCache>
            </c:numRef>
          </c:val>
        </c:ser>
        <c:ser>
          <c:idx val="4"/>
          <c:order val="4"/>
          <c:tx>
            <c:strRef>
              <c:f>Barriers!$A$7</c:f>
              <c:strCache>
                <c:ptCount val="1"/>
                <c:pt idx="0">
                  <c:v>Bullying</c:v>
                </c:pt>
              </c:strCache>
            </c:strRef>
          </c:tx>
          <c:invertIfNegative val="0"/>
          <c:cat>
            <c:strRef>
              <c:f>Barriers!$E$2:$G$2</c:f>
              <c:strCache>
                <c:ptCount val="3"/>
                <c:pt idx="0">
                  <c:v>Level 1</c:v>
                </c:pt>
                <c:pt idx="1">
                  <c:v>Level 2a</c:v>
                </c:pt>
                <c:pt idx="2">
                  <c:v>Level 2b</c:v>
                </c:pt>
              </c:strCache>
            </c:strRef>
          </c:cat>
          <c:val>
            <c:numRef>
              <c:f>Barriers!$E$7:$G$7</c:f>
              <c:numCache>
                <c:formatCode>0%</c:formatCode>
                <c:ptCount val="3"/>
                <c:pt idx="0">
                  <c:v>0.35318275154004108</c:v>
                </c:pt>
                <c:pt idx="1">
                  <c:v>0.30851063829787234</c:v>
                </c:pt>
                <c:pt idx="2">
                  <c:v>0.21242373821408764</c:v>
                </c:pt>
              </c:numCache>
            </c:numRef>
          </c:val>
        </c:ser>
        <c:ser>
          <c:idx val="5"/>
          <c:order val="5"/>
          <c:tx>
            <c:strRef>
              <c:f>Barriers!$A$8</c:f>
              <c:strCache>
                <c:ptCount val="1"/>
                <c:pt idx="0">
                  <c:v>Critical life event</c:v>
                </c:pt>
              </c:strCache>
            </c:strRef>
          </c:tx>
          <c:invertIfNegative val="0"/>
          <c:cat>
            <c:strRef>
              <c:f>Barriers!$E$2:$G$2</c:f>
              <c:strCache>
                <c:ptCount val="3"/>
                <c:pt idx="0">
                  <c:v>Level 1</c:v>
                </c:pt>
                <c:pt idx="1">
                  <c:v>Level 2a</c:v>
                </c:pt>
                <c:pt idx="2">
                  <c:v>Level 2b</c:v>
                </c:pt>
              </c:strCache>
            </c:strRef>
          </c:cat>
          <c:val>
            <c:numRef>
              <c:f>Barriers!$E$8:$G$8</c:f>
              <c:numCache>
                <c:formatCode>0%</c:formatCode>
                <c:ptCount val="3"/>
                <c:pt idx="0">
                  <c:v>0.1971252566735113</c:v>
                </c:pt>
                <c:pt idx="1">
                  <c:v>0.23581560283687944</c:v>
                </c:pt>
                <c:pt idx="2">
                  <c:v>0.21575152523571825</c:v>
                </c:pt>
              </c:numCache>
            </c:numRef>
          </c:val>
        </c:ser>
        <c:ser>
          <c:idx val="6"/>
          <c:order val="6"/>
          <c:tx>
            <c:strRef>
              <c:f>Barriers!$A$9</c:f>
              <c:strCache>
                <c:ptCount val="1"/>
                <c:pt idx="0">
                  <c:v>Current or previous Juvenile Justice Orders</c:v>
                </c:pt>
              </c:strCache>
            </c:strRef>
          </c:tx>
          <c:invertIfNegative val="0"/>
          <c:cat>
            <c:strRef>
              <c:f>Barriers!$E$2:$G$2</c:f>
              <c:strCache>
                <c:ptCount val="3"/>
                <c:pt idx="0">
                  <c:v>Level 1</c:v>
                </c:pt>
                <c:pt idx="1">
                  <c:v>Level 2a</c:v>
                </c:pt>
                <c:pt idx="2">
                  <c:v>Level 2b</c:v>
                </c:pt>
              </c:strCache>
            </c:strRef>
          </c:cat>
          <c:val>
            <c:numRef>
              <c:f>Barriers!$E$9:$G$9</c:f>
              <c:numCache>
                <c:formatCode>0%</c:formatCode>
                <c:ptCount val="3"/>
                <c:pt idx="0">
                  <c:v>5.7494866529774126E-2</c:v>
                </c:pt>
                <c:pt idx="1">
                  <c:v>0.10638297872340426</c:v>
                </c:pt>
                <c:pt idx="2">
                  <c:v>0.23516361619523019</c:v>
                </c:pt>
              </c:numCache>
            </c:numRef>
          </c:val>
        </c:ser>
        <c:ser>
          <c:idx val="7"/>
          <c:order val="7"/>
          <c:tx>
            <c:strRef>
              <c:f>Barriers!$A$10</c:f>
              <c:strCache>
                <c:ptCount val="1"/>
                <c:pt idx="0">
                  <c:v>Disability</c:v>
                </c:pt>
              </c:strCache>
            </c:strRef>
          </c:tx>
          <c:invertIfNegative val="0"/>
          <c:cat>
            <c:strRef>
              <c:f>Barriers!$E$2:$G$2</c:f>
              <c:strCache>
                <c:ptCount val="3"/>
                <c:pt idx="0">
                  <c:v>Level 1</c:v>
                </c:pt>
                <c:pt idx="1">
                  <c:v>Level 2a</c:v>
                </c:pt>
                <c:pt idx="2">
                  <c:v>Level 2b</c:v>
                </c:pt>
              </c:strCache>
            </c:strRef>
          </c:cat>
          <c:val>
            <c:numRef>
              <c:f>Barriers!$E$10:$G$10</c:f>
              <c:numCache>
                <c:formatCode>0%</c:formatCode>
                <c:ptCount val="3"/>
                <c:pt idx="0">
                  <c:v>8.8295687885010271E-2</c:v>
                </c:pt>
                <c:pt idx="1">
                  <c:v>6.0283687943262408E-2</c:v>
                </c:pt>
                <c:pt idx="2">
                  <c:v>6.1009428729894621E-2</c:v>
                </c:pt>
              </c:numCache>
            </c:numRef>
          </c:val>
        </c:ser>
        <c:ser>
          <c:idx val="8"/>
          <c:order val="8"/>
          <c:tx>
            <c:strRef>
              <c:f>Barriers!$A$11</c:f>
              <c:strCache>
                <c:ptCount val="1"/>
                <c:pt idx="0">
                  <c:v>Disconnection from cultural heritage</c:v>
                </c:pt>
              </c:strCache>
            </c:strRef>
          </c:tx>
          <c:invertIfNegative val="0"/>
          <c:cat>
            <c:strRef>
              <c:f>Barriers!$E$2:$G$2</c:f>
              <c:strCache>
                <c:ptCount val="3"/>
                <c:pt idx="0">
                  <c:v>Level 1</c:v>
                </c:pt>
                <c:pt idx="1">
                  <c:v>Level 2a</c:v>
                </c:pt>
                <c:pt idx="2">
                  <c:v>Level 2b</c:v>
                </c:pt>
              </c:strCache>
            </c:strRef>
          </c:cat>
          <c:val>
            <c:numRef>
              <c:f>Barriers!$E$11:$G$11</c:f>
              <c:numCache>
                <c:formatCode>0%</c:formatCode>
                <c:ptCount val="3"/>
                <c:pt idx="0">
                  <c:v>3.0800821355236138E-2</c:v>
                </c:pt>
                <c:pt idx="1">
                  <c:v>3.1028368794326241E-2</c:v>
                </c:pt>
                <c:pt idx="2">
                  <c:v>2.7731558513588463E-2</c:v>
                </c:pt>
              </c:numCache>
            </c:numRef>
          </c:val>
        </c:ser>
        <c:ser>
          <c:idx val="9"/>
          <c:order val="9"/>
          <c:tx>
            <c:strRef>
              <c:f>Barriers!$A$12</c:f>
              <c:strCache>
                <c:ptCount val="1"/>
                <c:pt idx="0">
                  <c:v>Financial distress</c:v>
                </c:pt>
              </c:strCache>
            </c:strRef>
          </c:tx>
          <c:invertIfNegative val="0"/>
          <c:cat>
            <c:strRef>
              <c:f>Barriers!$E$2:$G$2</c:f>
              <c:strCache>
                <c:ptCount val="3"/>
                <c:pt idx="0">
                  <c:v>Level 1</c:v>
                </c:pt>
                <c:pt idx="1">
                  <c:v>Level 2a</c:v>
                </c:pt>
                <c:pt idx="2">
                  <c:v>Level 2b</c:v>
                </c:pt>
              </c:strCache>
            </c:strRef>
          </c:cat>
          <c:val>
            <c:numRef>
              <c:f>Barriers!$E$12:$G$12</c:f>
              <c:numCache>
                <c:formatCode>0%</c:formatCode>
                <c:ptCount val="3"/>
                <c:pt idx="0">
                  <c:v>0.20739219712525667</c:v>
                </c:pt>
                <c:pt idx="1">
                  <c:v>0.40070921985815605</c:v>
                </c:pt>
                <c:pt idx="2">
                  <c:v>0.5391014975041597</c:v>
                </c:pt>
              </c:numCache>
            </c:numRef>
          </c:val>
        </c:ser>
        <c:ser>
          <c:idx val="10"/>
          <c:order val="10"/>
          <c:tx>
            <c:strRef>
              <c:f>Barriers!$A$13</c:f>
              <c:strCache>
                <c:ptCount val="1"/>
                <c:pt idx="0">
                  <c:v>Gifted</c:v>
                </c:pt>
              </c:strCache>
            </c:strRef>
          </c:tx>
          <c:invertIfNegative val="0"/>
          <c:cat>
            <c:strRef>
              <c:f>Barriers!$E$2:$G$2</c:f>
              <c:strCache>
                <c:ptCount val="3"/>
                <c:pt idx="0">
                  <c:v>Level 1</c:v>
                </c:pt>
                <c:pt idx="1">
                  <c:v>Level 2a</c:v>
                </c:pt>
                <c:pt idx="2">
                  <c:v>Level 2b</c:v>
                </c:pt>
              </c:strCache>
            </c:strRef>
          </c:cat>
          <c:val>
            <c:numRef>
              <c:f>Barriers!$E$13:$G$13</c:f>
              <c:numCache>
                <c:formatCode>0%</c:formatCode>
                <c:ptCount val="3"/>
                <c:pt idx="0">
                  <c:v>6.1601642710472282E-3</c:v>
                </c:pt>
                <c:pt idx="1">
                  <c:v>1.7730496453900711E-2</c:v>
                </c:pt>
                <c:pt idx="2">
                  <c:v>1.2756516916250694E-2</c:v>
                </c:pt>
              </c:numCache>
            </c:numRef>
          </c:val>
        </c:ser>
        <c:ser>
          <c:idx val="11"/>
          <c:order val="11"/>
          <c:tx>
            <c:strRef>
              <c:f>Barriers!$A$14</c:f>
              <c:strCache>
                <c:ptCount val="1"/>
                <c:pt idx="0">
                  <c:v>Homelessness</c:v>
                </c:pt>
              </c:strCache>
            </c:strRef>
          </c:tx>
          <c:invertIfNegative val="0"/>
          <c:cat>
            <c:strRef>
              <c:f>Barriers!$E$2:$G$2</c:f>
              <c:strCache>
                <c:ptCount val="3"/>
                <c:pt idx="0">
                  <c:v>Level 1</c:v>
                </c:pt>
                <c:pt idx="1">
                  <c:v>Level 2a</c:v>
                </c:pt>
                <c:pt idx="2">
                  <c:v>Level 2b</c:v>
                </c:pt>
              </c:strCache>
            </c:strRef>
          </c:cat>
          <c:val>
            <c:numRef>
              <c:f>Barriers!$E$14:$G$14</c:f>
              <c:numCache>
                <c:formatCode>0%</c:formatCode>
                <c:ptCount val="3"/>
                <c:pt idx="0">
                  <c:v>3.2854209445585217E-2</c:v>
                </c:pt>
                <c:pt idx="1">
                  <c:v>5.1418439716312055E-2</c:v>
                </c:pt>
                <c:pt idx="2">
                  <c:v>9.262340543538547E-2</c:v>
                </c:pt>
              </c:numCache>
            </c:numRef>
          </c:val>
        </c:ser>
        <c:ser>
          <c:idx val="12"/>
          <c:order val="12"/>
          <c:tx>
            <c:strRef>
              <c:f>Barriers!$A$15</c:f>
              <c:strCache>
                <c:ptCount val="1"/>
                <c:pt idx="0">
                  <c:v>In detention/previously in detention</c:v>
                </c:pt>
              </c:strCache>
            </c:strRef>
          </c:tx>
          <c:invertIfNegative val="0"/>
          <c:cat>
            <c:strRef>
              <c:f>Barriers!$E$2:$G$2</c:f>
              <c:strCache>
                <c:ptCount val="3"/>
                <c:pt idx="0">
                  <c:v>Level 1</c:v>
                </c:pt>
                <c:pt idx="1">
                  <c:v>Level 2a</c:v>
                </c:pt>
                <c:pt idx="2">
                  <c:v>Level 2b</c:v>
                </c:pt>
              </c:strCache>
            </c:strRef>
          </c:cat>
          <c:val>
            <c:numRef>
              <c:f>Barriers!$E$15:$G$15</c:f>
              <c:numCache>
                <c:formatCode>0%</c:formatCode>
                <c:ptCount val="3"/>
                <c:pt idx="0">
                  <c:v>6.1601642710472282E-3</c:v>
                </c:pt>
                <c:pt idx="1">
                  <c:v>6.2056737588652485E-3</c:v>
                </c:pt>
                <c:pt idx="2">
                  <c:v>8.7631724902939551E-2</c:v>
                </c:pt>
              </c:numCache>
            </c:numRef>
          </c:val>
        </c:ser>
        <c:ser>
          <c:idx val="13"/>
          <c:order val="13"/>
          <c:tx>
            <c:strRef>
              <c:f>Barriers!$A$16</c:f>
              <c:strCache>
                <c:ptCount val="1"/>
                <c:pt idx="0">
                  <c:v>Inadequate family support</c:v>
                </c:pt>
              </c:strCache>
            </c:strRef>
          </c:tx>
          <c:invertIfNegative val="0"/>
          <c:cat>
            <c:strRef>
              <c:f>Barriers!$E$2:$G$2</c:f>
              <c:strCache>
                <c:ptCount val="3"/>
                <c:pt idx="0">
                  <c:v>Level 1</c:v>
                </c:pt>
                <c:pt idx="1">
                  <c:v>Level 2a</c:v>
                </c:pt>
                <c:pt idx="2">
                  <c:v>Level 2b</c:v>
                </c:pt>
              </c:strCache>
            </c:strRef>
          </c:cat>
          <c:val>
            <c:numRef>
              <c:f>Barriers!$E$16:$G$16</c:f>
              <c:numCache>
                <c:formatCode>0%</c:formatCode>
                <c:ptCount val="3"/>
                <c:pt idx="0">
                  <c:v>0.23613963039014374</c:v>
                </c:pt>
                <c:pt idx="1">
                  <c:v>0.34042553191489361</c:v>
                </c:pt>
                <c:pt idx="2">
                  <c:v>0.4315030504714365</c:v>
                </c:pt>
              </c:numCache>
            </c:numRef>
          </c:val>
        </c:ser>
        <c:ser>
          <c:idx val="14"/>
          <c:order val="14"/>
          <c:tx>
            <c:strRef>
              <c:f>Barriers!$A$17</c:f>
              <c:strCache>
                <c:ptCount val="1"/>
                <c:pt idx="0">
                  <c:v>Learning Difficulty</c:v>
                </c:pt>
              </c:strCache>
            </c:strRef>
          </c:tx>
          <c:invertIfNegative val="0"/>
          <c:cat>
            <c:strRef>
              <c:f>Barriers!$E$2:$G$2</c:f>
              <c:strCache>
                <c:ptCount val="3"/>
                <c:pt idx="0">
                  <c:v>Level 1</c:v>
                </c:pt>
                <c:pt idx="1">
                  <c:v>Level 2a</c:v>
                </c:pt>
                <c:pt idx="2">
                  <c:v>Level 2b</c:v>
                </c:pt>
              </c:strCache>
            </c:strRef>
          </c:cat>
          <c:val>
            <c:numRef>
              <c:f>Barriers!$E$17:$G$17</c:f>
              <c:numCache>
                <c:formatCode>0%</c:formatCode>
                <c:ptCount val="3"/>
                <c:pt idx="0">
                  <c:v>0.13963039014373715</c:v>
                </c:pt>
                <c:pt idx="1">
                  <c:v>0.11702127659574468</c:v>
                </c:pt>
                <c:pt idx="2">
                  <c:v>8.4303937881308924E-2</c:v>
                </c:pt>
              </c:numCache>
            </c:numRef>
          </c:val>
        </c:ser>
        <c:ser>
          <c:idx val="15"/>
          <c:order val="15"/>
          <c:tx>
            <c:strRef>
              <c:f>Barriers!$A$18</c:f>
              <c:strCache>
                <c:ptCount val="1"/>
                <c:pt idx="0">
                  <c:v>Low literacy and/or numeracy</c:v>
                </c:pt>
              </c:strCache>
            </c:strRef>
          </c:tx>
          <c:invertIfNegative val="0"/>
          <c:cat>
            <c:strRef>
              <c:f>Barriers!$E$2:$G$2</c:f>
              <c:strCache>
                <c:ptCount val="3"/>
                <c:pt idx="0">
                  <c:v>Level 1</c:v>
                </c:pt>
                <c:pt idx="1">
                  <c:v>Level 2a</c:v>
                </c:pt>
                <c:pt idx="2">
                  <c:v>Level 2b</c:v>
                </c:pt>
              </c:strCache>
            </c:strRef>
          </c:cat>
          <c:val>
            <c:numRef>
              <c:f>Barriers!$E$18:$G$18</c:f>
              <c:numCache>
                <c:formatCode>0%</c:formatCode>
                <c:ptCount val="3"/>
                <c:pt idx="0">
                  <c:v>0.486652977412731</c:v>
                </c:pt>
                <c:pt idx="1">
                  <c:v>0.48758865248226951</c:v>
                </c:pt>
                <c:pt idx="2">
                  <c:v>0.53965612867443147</c:v>
                </c:pt>
              </c:numCache>
            </c:numRef>
          </c:val>
        </c:ser>
        <c:ser>
          <c:idx val="16"/>
          <c:order val="16"/>
          <c:tx>
            <c:strRef>
              <c:f>Barriers!$A$19</c:f>
              <c:strCache>
                <c:ptCount val="1"/>
                <c:pt idx="0">
                  <c:v>Low Self Esteem</c:v>
                </c:pt>
              </c:strCache>
            </c:strRef>
          </c:tx>
          <c:invertIfNegative val="0"/>
          <c:cat>
            <c:strRef>
              <c:f>Barriers!$E$2:$G$2</c:f>
              <c:strCache>
                <c:ptCount val="3"/>
                <c:pt idx="0">
                  <c:v>Level 1</c:v>
                </c:pt>
                <c:pt idx="1">
                  <c:v>Level 2a</c:v>
                </c:pt>
                <c:pt idx="2">
                  <c:v>Level 2b</c:v>
                </c:pt>
              </c:strCache>
            </c:strRef>
          </c:cat>
          <c:val>
            <c:numRef>
              <c:f>Barriers!$E$19:$G$19</c:f>
              <c:numCache>
                <c:formatCode>0%</c:formatCode>
                <c:ptCount val="3"/>
                <c:pt idx="0">
                  <c:v>0.59548254620123209</c:v>
                </c:pt>
                <c:pt idx="1">
                  <c:v>0.61081560283687941</c:v>
                </c:pt>
                <c:pt idx="2">
                  <c:v>0.56572379367720471</c:v>
                </c:pt>
              </c:numCache>
            </c:numRef>
          </c:val>
        </c:ser>
        <c:ser>
          <c:idx val="17"/>
          <c:order val="17"/>
          <c:tx>
            <c:strRef>
              <c:f>Barriers!$A$20</c:f>
              <c:strCache>
                <c:ptCount val="1"/>
                <c:pt idx="0">
                  <c:v>Medical or other health issue</c:v>
                </c:pt>
              </c:strCache>
            </c:strRef>
          </c:tx>
          <c:invertIfNegative val="0"/>
          <c:cat>
            <c:strRef>
              <c:f>Barriers!$E$2:$G$2</c:f>
              <c:strCache>
                <c:ptCount val="3"/>
                <c:pt idx="0">
                  <c:v>Level 1</c:v>
                </c:pt>
                <c:pt idx="1">
                  <c:v>Level 2a</c:v>
                </c:pt>
                <c:pt idx="2">
                  <c:v>Level 2b</c:v>
                </c:pt>
              </c:strCache>
            </c:strRef>
          </c:cat>
          <c:val>
            <c:numRef>
              <c:f>Barriers!$E$20:$G$20</c:f>
              <c:numCache>
                <c:formatCode>0%</c:formatCode>
                <c:ptCount val="3"/>
                <c:pt idx="0">
                  <c:v>0.12731006160164271</c:v>
                </c:pt>
                <c:pt idx="1">
                  <c:v>0.13120567375886524</c:v>
                </c:pt>
                <c:pt idx="2">
                  <c:v>0.13921242373821408</c:v>
                </c:pt>
              </c:numCache>
            </c:numRef>
          </c:val>
        </c:ser>
        <c:ser>
          <c:idx val="18"/>
          <c:order val="18"/>
          <c:tx>
            <c:strRef>
              <c:f>Barriers!$A$21</c:f>
              <c:strCache>
                <c:ptCount val="1"/>
                <c:pt idx="0">
                  <c:v>Negative experience(s) with education and training</c:v>
                </c:pt>
              </c:strCache>
            </c:strRef>
          </c:tx>
          <c:invertIfNegative val="0"/>
          <c:cat>
            <c:strRef>
              <c:f>Barriers!$E$2:$G$2</c:f>
              <c:strCache>
                <c:ptCount val="3"/>
                <c:pt idx="0">
                  <c:v>Level 1</c:v>
                </c:pt>
                <c:pt idx="1">
                  <c:v>Level 2a</c:v>
                </c:pt>
                <c:pt idx="2">
                  <c:v>Level 2b</c:v>
                </c:pt>
              </c:strCache>
            </c:strRef>
          </c:cat>
          <c:val>
            <c:numRef>
              <c:f>Barriers!$E$21:$G$21</c:f>
              <c:numCache>
                <c:formatCode>0%</c:formatCode>
                <c:ptCount val="3"/>
                <c:pt idx="0">
                  <c:v>0.16016427104722791</c:v>
                </c:pt>
                <c:pt idx="1">
                  <c:v>0.17287234042553193</c:v>
                </c:pt>
                <c:pt idx="2">
                  <c:v>0.1552967276760954</c:v>
                </c:pt>
              </c:numCache>
            </c:numRef>
          </c:val>
        </c:ser>
        <c:ser>
          <c:idx val="19"/>
          <c:order val="19"/>
          <c:tx>
            <c:strRef>
              <c:f>Barriers!$A$22</c:f>
              <c:strCache>
                <c:ptCount val="1"/>
                <c:pt idx="0">
                  <c:v>Out of home care</c:v>
                </c:pt>
              </c:strCache>
            </c:strRef>
          </c:tx>
          <c:invertIfNegative val="0"/>
          <c:cat>
            <c:strRef>
              <c:f>Barriers!$E$2:$G$2</c:f>
              <c:strCache>
                <c:ptCount val="3"/>
                <c:pt idx="0">
                  <c:v>Level 1</c:v>
                </c:pt>
                <c:pt idx="1">
                  <c:v>Level 2a</c:v>
                </c:pt>
                <c:pt idx="2">
                  <c:v>Level 2b</c:v>
                </c:pt>
              </c:strCache>
            </c:strRef>
          </c:cat>
          <c:val>
            <c:numRef>
              <c:f>Barriers!$E$22:$G$22</c:f>
              <c:numCache>
                <c:formatCode>0%</c:formatCode>
                <c:ptCount val="3"/>
                <c:pt idx="0">
                  <c:v>1.0266940451745379E-2</c:v>
                </c:pt>
                <c:pt idx="1">
                  <c:v>2.5709219858156027E-2</c:v>
                </c:pt>
                <c:pt idx="2">
                  <c:v>3.8824181919023849E-2</c:v>
                </c:pt>
              </c:numCache>
            </c:numRef>
          </c:val>
        </c:ser>
        <c:ser>
          <c:idx val="20"/>
          <c:order val="20"/>
          <c:tx>
            <c:strRef>
              <c:f>Barriers!$A$23</c:f>
              <c:strCache>
                <c:ptCount val="1"/>
                <c:pt idx="0">
                  <c:v>Parent/Pregnancy</c:v>
                </c:pt>
              </c:strCache>
            </c:strRef>
          </c:tx>
          <c:invertIfNegative val="0"/>
          <c:cat>
            <c:strRef>
              <c:f>Barriers!$E$2:$G$2</c:f>
              <c:strCache>
                <c:ptCount val="3"/>
                <c:pt idx="0">
                  <c:v>Level 1</c:v>
                </c:pt>
                <c:pt idx="1">
                  <c:v>Level 2a</c:v>
                </c:pt>
                <c:pt idx="2">
                  <c:v>Level 2b</c:v>
                </c:pt>
              </c:strCache>
            </c:strRef>
          </c:cat>
          <c:val>
            <c:numRef>
              <c:f>Barriers!$E$23:$G$23</c:f>
              <c:numCache>
                <c:formatCode>0%</c:formatCode>
                <c:ptCount val="3"/>
                <c:pt idx="0">
                  <c:v>8.2135523613963042E-3</c:v>
                </c:pt>
                <c:pt idx="1">
                  <c:v>2.5709219858156027E-2</c:v>
                </c:pt>
                <c:pt idx="2">
                  <c:v>7.8202995008319467E-2</c:v>
                </c:pt>
              </c:numCache>
            </c:numRef>
          </c:val>
        </c:ser>
        <c:ser>
          <c:idx val="21"/>
          <c:order val="21"/>
          <c:tx>
            <c:strRef>
              <c:f>Barriers!$A$24</c:f>
              <c:strCache>
                <c:ptCount val="1"/>
                <c:pt idx="0">
                  <c:v>Petrol sniffing</c:v>
                </c:pt>
              </c:strCache>
            </c:strRef>
          </c:tx>
          <c:invertIfNegative val="0"/>
          <c:cat>
            <c:strRef>
              <c:f>Barriers!$E$2:$G$2</c:f>
              <c:strCache>
                <c:ptCount val="3"/>
                <c:pt idx="0">
                  <c:v>Level 1</c:v>
                </c:pt>
                <c:pt idx="1">
                  <c:v>Level 2a</c:v>
                </c:pt>
                <c:pt idx="2">
                  <c:v>Level 2b</c:v>
                </c:pt>
              </c:strCache>
            </c:strRef>
          </c:cat>
          <c:val>
            <c:numRef>
              <c:f>Barriers!$E$24:$G$24</c:f>
              <c:numCache>
                <c:formatCode>0%</c:formatCode>
                <c:ptCount val="3"/>
                <c:pt idx="0">
                  <c:v>0</c:v>
                </c:pt>
                <c:pt idx="1">
                  <c:v>8.8652482269503544E-4</c:v>
                </c:pt>
                <c:pt idx="2">
                  <c:v>1.6638935108153079E-3</c:v>
                </c:pt>
              </c:numCache>
            </c:numRef>
          </c:val>
        </c:ser>
        <c:ser>
          <c:idx val="22"/>
          <c:order val="22"/>
          <c:tx>
            <c:strRef>
              <c:f>Barriers!$A$25</c:f>
              <c:strCache>
                <c:ptCount val="1"/>
                <c:pt idx="0">
                  <c:v>Socialisation issues</c:v>
                </c:pt>
              </c:strCache>
            </c:strRef>
          </c:tx>
          <c:invertIfNegative val="0"/>
          <c:cat>
            <c:strRef>
              <c:f>Barriers!$E$2:$G$2</c:f>
              <c:strCache>
                <c:ptCount val="3"/>
                <c:pt idx="0">
                  <c:v>Level 1</c:v>
                </c:pt>
                <c:pt idx="1">
                  <c:v>Level 2a</c:v>
                </c:pt>
                <c:pt idx="2">
                  <c:v>Level 2b</c:v>
                </c:pt>
              </c:strCache>
            </c:strRef>
          </c:cat>
          <c:val>
            <c:numRef>
              <c:f>Barriers!$E$25:$G$25</c:f>
              <c:numCache>
                <c:formatCode>0%</c:formatCode>
                <c:ptCount val="3"/>
                <c:pt idx="0">
                  <c:v>0.48049281314168379</c:v>
                </c:pt>
                <c:pt idx="1">
                  <c:v>0.45478723404255317</c:v>
                </c:pt>
                <c:pt idx="2">
                  <c:v>0.48141985579589575</c:v>
                </c:pt>
              </c:numCache>
            </c:numRef>
          </c:val>
        </c:ser>
        <c:ser>
          <c:idx val="23"/>
          <c:order val="23"/>
          <c:tx>
            <c:strRef>
              <c:f>Barriers!$A$26</c:f>
              <c:strCache>
                <c:ptCount val="1"/>
                <c:pt idx="0">
                  <c:v>Suspected or diagnosed mental health issue</c:v>
                </c:pt>
              </c:strCache>
            </c:strRef>
          </c:tx>
          <c:invertIfNegative val="0"/>
          <c:cat>
            <c:strRef>
              <c:f>Barriers!$E$2:$G$2</c:f>
              <c:strCache>
                <c:ptCount val="3"/>
                <c:pt idx="0">
                  <c:v>Level 1</c:v>
                </c:pt>
                <c:pt idx="1">
                  <c:v>Level 2a</c:v>
                </c:pt>
                <c:pt idx="2">
                  <c:v>Level 2b</c:v>
                </c:pt>
              </c:strCache>
            </c:strRef>
          </c:cat>
          <c:val>
            <c:numRef>
              <c:f>Barriers!$E$26:$G$26</c:f>
              <c:numCache>
                <c:formatCode>0%</c:formatCode>
                <c:ptCount val="3"/>
                <c:pt idx="0">
                  <c:v>0.26078028747433263</c:v>
                </c:pt>
                <c:pt idx="1">
                  <c:v>0.42021276595744683</c:v>
                </c:pt>
                <c:pt idx="2">
                  <c:v>0.40321686078757624</c:v>
                </c:pt>
              </c:numCache>
            </c:numRef>
          </c:val>
        </c:ser>
        <c:ser>
          <c:idx val="24"/>
          <c:order val="24"/>
          <c:tx>
            <c:strRef>
              <c:f>Barriers!$A$27</c:f>
              <c:strCache>
                <c:ptCount val="1"/>
                <c:pt idx="0">
                  <c:v>Unstable living arrangements</c:v>
                </c:pt>
              </c:strCache>
            </c:strRef>
          </c:tx>
          <c:invertIfNegative val="0"/>
          <c:cat>
            <c:strRef>
              <c:f>Barriers!$E$2:$G$2</c:f>
              <c:strCache>
                <c:ptCount val="3"/>
                <c:pt idx="0">
                  <c:v>Level 1</c:v>
                </c:pt>
                <c:pt idx="1">
                  <c:v>Level 2a</c:v>
                </c:pt>
                <c:pt idx="2">
                  <c:v>Level 2b</c:v>
                </c:pt>
              </c:strCache>
            </c:strRef>
          </c:cat>
          <c:val>
            <c:numRef>
              <c:f>Barriers!$E$27:$G$27</c:f>
              <c:numCache>
                <c:formatCode>0%</c:formatCode>
                <c:ptCount val="3"/>
                <c:pt idx="0">
                  <c:v>0.11088295687885011</c:v>
                </c:pt>
                <c:pt idx="1">
                  <c:v>0.23315602836879432</c:v>
                </c:pt>
                <c:pt idx="2">
                  <c:v>0.32889628397115916</c:v>
                </c:pt>
              </c:numCache>
            </c:numRef>
          </c:val>
        </c:ser>
        <c:ser>
          <c:idx val="25"/>
          <c:order val="25"/>
          <c:tx>
            <c:strRef>
              <c:f>Barriers!$A$28</c:f>
              <c:strCache>
                <c:ptCount val="1"/>
                <c:pt idx="0">
                  <c:v>Volatile substance misuse</c:v>
                </c:pt>
              </c:strCache>
            </c:strRef>
          </c:tx>
          <c:invertIfNegative val="0"/>
          <c:cat>
            <c:strRef>
              <c:f>Barriers!$E$2:$G$2</c:f>
              <c:strCache>
                <c:ptCount val="3"/>
                <c:pt idx="0">
                  <c:v>Level 1</c:v>
                </c:pt>
                <c:pt idx="1">
                  <c:v>Level 2a</c:v>
                </c:pt>
                <c:pt idx="2">
                  <c:v>Level 2b</c:v>
                </c:pt>
              </c:strCache>
            </c:strRef>
          </c:cat>
          <c:val>
            <c:numRef>
              <c:f>Barriers!$E$28:$G$28</c:f>
              <c:numCache>
                <c:formatCode>0%</c:formatCode>
                <c:ptCount val="3"/>
                <c:pt idx="0">
                  <c:v>4.1067761806981521E-3</c:v>
                </c:pt>
                <c:pt idx="1">
                  <c:v>5.3191489361702126E-3</c:v>
                </c:pt>
                <c:pt idx="2">
                  <c:v>1.1092623405435386E-2</c:v>
                </c:pt>
              </c:numCache>
            </c:numRef>
          </c:val>
        </c:ser>
        <c:ser>
          <c:idx val="26"/>
          <c:order val="26"/>
          <c:tx>
            <c:strRef>
              <c:f>Barriers!$A$29</c:f>
              <c:strCache>
                <c:ptCount val="1"/>
                <c:pt idx="0">
                  <c:v>Young Carer responsibilities</c:v>
                </c:pt>
              </c:strCache>
            </c:strRef>
          </c:tx>
          <c:invertIfNegative val="0"/>
          <c:cat>
            <c:strRef>
              <c:f>Barriers!$E$2:$G$2</c:f>
              <c:strCache>
                <c:ptCount val="3"/>
                <c:pt idx="0">
                  <c:v>Level 1</c:v>
                </c:pt>
                <c:pt idx="1">
                  <c:v>Level 2a</c:v>
                </c:pt>
                <c:pt idx="2">
                  <c:v>Level 2b</c:v>
                </c:pt>
              </c:strCache>
            </c:strRef>
          </c:cat>
          <c:val>
            <c:numRef>
              <c:f>Barriers!$E$29:$G$29</c:f>
              <c:numCache>
                <c:formatCode>0%</c:formatCode>
                <c:ptCount val="3"/>
                <c:pt idx="0">
                  <c:v>5.9548254620123205E-2</c:v>
                </c:pt>
                <c:pt idx="1">
                  <c:v>5.2304964539007091E-2</c:v>
                </c:pt>
                <c:pt idx="2">
                  <c:v>4.1597337770382693E-2</c:v>
                </c:pt>
              </c:numCache>
            </c:numRef>
          </c:val>
        </c:ser>
        <c:dLbls>
          <c:showLegendKey val="0"/>
          <c:showVal val="0"/>
          <c:showCatName val="0"/>
          <c:showSerName val="0"/>
          <c:showPercent val="0"/>
          <c:showBubbleSize val="0"/>
        </c:dLbls>
        <c:gapWidth val="55"/>
        <c:overlap val="100"/>
        <c:axId val="39498880"/>
        <c:axId val="39500416"/>
      </c:barChart>
      <c:catAx>
        <c:axId val="39498880"/>
        <c:scaling>
          <c:orientation val="minMax"/>
        </c:scaling>
        <c:delete val="0"/>
        <c:axPos val="b"/>
        <c:majorTickMark val="none"/>
        <c:minorTickMark val="none"/>
        <c:tickLblPos val="nextTo"/>
        <c:crossAx val="39500416"/>
        <c:crosses val="autoZero"/>
        <c:auto val="1"/>
        <c:lblAlgn val="ctr"/>
        <c:lblOffset val="100"/>
        <c:noMultiLvlLbl val="0"/>
      </c:catAx>
      <c:valAx>
        <c:axId val="39500416"/>
        <c:scaling>
          <c:orientation val="minMax"/>
        </c:scaling>
        <c:delete val="0"/>
        <c:axPos val="l"/>
        <c:majorGridlines/>
        <c:numFmt formatCode="0%" sourceLinked="1"/>
        <c:majorTickMark val="none"/>
        <c:minorTickMark val="none"/>
        <c:tickLblPos val="nextTo"/>
        <c:crossAx val="39498880"/>
        <c:crosses val="autoZero"/>
        <c:crossBetween val="between"/>
      </c:valAx>
    </c:plotArea>
    <c:legend>
      <c:legendPos val="r"/>
      <c:layout>
        <c:manualLayout>
          <c:xMode val="edge"/>
          <c:yMode val="edge"/>
          <c:x val="0.6690614876098796"/>
          <c:y val="6.2456003864451944E-2"/>
          <c:w val="0.31776204017440668"/>
          <c:h val="0.88280687831398863"/>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AU"/>
              <a:t>National Participant Barriers</a:t>
            </a:r>
          </a:p>
        </c:rich>
      </c:tx>
      <c:layout/>
      <c:overlay val="0"/>
    </c:title>
    <c:autoTitleDeleted val="0"/>
    <c:plotArea>
      <c:layout>
        <c:manualLayout>
          <c:layoutTarget val="inner"/>
          <c:xMode val="edge"/>
          <c:yMode val="edge"/>
          <c:x val="0.10593285214348207"/>
          <c:y val="6.5749842387888696E-2"/>
          <c:w val="0.47269356955380576"/>
          <c:h val="0.89510477206655681"/>
        </c:manualLayout>
      </c:layout>
      <c:barChart>
        <c:barDir val="col"/>
        <c:grouping val="percentStacked"/>
        <c:varyColors val="0"/>
        <c:ser>
          <c:idx val="0"/>
          <c:order val="0"/>
          <c:tx>
            <c:strRef>
              <c:f>Barriers!$J$3</c:f>
              <c:strCache>
                <c:ptCount val="1"/>
                <c:pt idx="0">
                  <c:v>Abuse/Domestic Violence issue</c:v>
                </c:pt>
              </c:strCache>
            </c:strRef>
          </c:tx>
          <c:invertIfNegative val="0"/>
          <c:cat>
            <c:strRef>
              <c:f>Barriers!$K$2:$M$2</c:f>
              <c:strCache>
                <c:ptCount val="3"/>
                <c:pt idx="0">
                  <c:v>Level 1</c:v>
                </c:pt>
                <c:pt idx="1">
                  <c:v>Level 2a</c:v>
                </c:pt>
                <c:pt idx="2">
                  <c:v>Level 2b</c:v>
                </c:pt>
              </c:strCache>
            </c:strRef>
          </c:cat>
          <c:val>
            <c:numRef>
              <c:f>Barriers!$K$3:$M$3</c:f>
              <c:numCache>
                <c:formatCode>General</c:formatCode>
                <c:ptCount val="3"/>
                <c:pt idx="0">
                  <c:v>880</c:v>
                </c:pt>
                <c:pt idx="1">
                  <c:v>2075</c:v>
                </c:pt>
                <c:pt idx="2">
                  <c:v>2663</c:v>
                </c:pt>
              </c:numCache>
            </c:numRef>
          </c:val>
        </c:ser>
        <c:ser>
          <c:idx val="1"/>
          <c:order val="1"/>
          <c:tx>
            <c:strRef>
              <c:f>Barriers!$J$4</c:f>
              <c:strCache>
                <c:ptCount val="1"/>
                <c:pt idx="0">
                  <c:v>Alcohol and/or drug misuse</c:v>
                </c:pt>
              </c:strCache>
            </c:strRef>
          </c:tx>
          <c:invertIfNegative val="0"/>
          <c:cat>
            <c:strRef>
              <c:f>Barriers!$K$2:$M$2</c:f>
              <c:strCache>
                <c:ptCount val="3"/>
                <c:pt idx="0">
                  <c:v>Level 1</c:v>
                </c:pt>
                <c:pt idx="1">
                  <c:v>Level 2a</c:v>
                </c:pt>
                <c:pt idx="2">
                  <c:v>Level 2b</c:v>
                </c:pt>
              </c:strCache>
            </c:strRef>
          </c:cat>
          <c:val>
            <c:numRef>
              <c:f>Barriers!$K$4:$M$4</c:f>
              <c:numCache>
                <c:formatCode>General</c:formatCode>
                <c:ptCount val="3"/>
                <c:pt idx="0">
                  <c:v>1300</c:v>
                </c:pt>
                <c:pt idx="1">
                  <c:v>3622</c:v>
                </c:pt>
                <c:pt idx="2">
                  <c:v>5782</c:v>
                </c:pt>
              </c:numCache>
            </c:numRef>
          </c:val>
        </c:ser>
        <c:ser>
          <c:idx val="2"/>
          <c:order val="2"/>
          <c:tx>
            <c:strRef>
              <c:f>Barriers!$J$5</c:f>
              <c:strCache>
                <c:ptCount val="1"/>
                <c:pt idx="0">
                  <c:v>Anger management issues</c:v>
                </c:pt>
              </c:strCache>
            </c:strRef>
          </c:tx>
          <c:invertIfNegative val="0"/>
          <c:cat>
            <c:strRef>
              <c:f>Barriers!$K$2:$M$2</c:f>
              <c:strCache>
                <c:ptCount val="3"/>
                <c:pt idx="0">
                  <c:v>Level 1</c:v>
                </c:pt>
                <c:pt idx="1">
                  <c:v>Level 2a</c:v>
                </c:pt>
                <c:pt idx="2">
                  <c:v>Level 2b</c:v>
                </c:pt>
              </c:strCache>
            </c:strRef>
          </c:cat>
          <c:val>
            <c:numRef>
              <c:f>Barriers!$K$5:$M$5</c:f>
              <c:numCache>
                <c:formatCode>General</c:formatCode>
                <c:ptCount val="3"/>
                <c:pt idx="0">
                  <c:v>4050</c:v>
                </c:pt>
                <c:pt idx="1">
                  <c:v>7133</c:v>
                </c:pt>
                <c:pt idx="2">
                  <c:v>6272</c:v>
                </c:pt>
              </c:numCache>
            </c:numRef>
          </c:val>
        </c:ser>
        <c:ser>
          <c:idx val="3"/>
          <c:order val="3"/>
          <c:tx>
            <c:strRef>
              <c:f>Barriers!$J$6</c:f>
              <c:strCache>
                <c:ptCount val="1"/>
                <c:pt idx="0">
                  <c:v>Behavioural problems</c:v>
                </c:pt>
              </c:strCache>
            </c:strRef>
          </c:tx>
          <c:invertIfNegative val="0"/>
          <c:cat>
            <c:strRef>
              <c:f>Barriers!$K$2:$M$2</c:f>
              <c:strCache>
                <c:ptCount val="3"/>
                <c:pt idx="0">
                  <c:v>Level 1</c:v>
                </c:pt>
                <c:pt idx="1">
                  <c:v>Level 2a</c:v>
                </c:pt>
                <c:pt idx="2">
                  <c:v>Level 2b</c:v>
                </c:pt>
              </c:strCache>
            </c:strRef>
          </c:cat>
          <c:val>
            <c:numRef>
              <c:f>Barriers!$K$6:$M$6</c:f>
              <c:numCache>
                <c:formatCode>General</c:formatCode>
                <c:ptCount val="3"/>
                <c:pt idx="0">
                  <c:v>8100</c:v>
                </c:pt>
                <c:pt idx="1">
                  <c:v>11984</c:v>
                </c:pt>
                <c:pt idx="2">
                  <c:v>9156</c:v>
                </c:pt>
              </c:numCache>
            </c:numRef>
          </c:val>
        </c:ser>
        <c:ser>
          <c:idx val="4"/>
          <c:order val="4"/>
          <c:tx>
            <c:strRef>
              <c:f>Barriers!$J$7</c:f>
              <c:strCache>
                <c:ptCount val="1"/>
                <c:pt idx="0">
                  <c:v>Bullying</c:v>
                </c:pt>
              </c:strCache>
            </c:strRef>
          </c:tx>
          <c:invertIfNegative val="0"/>
          <c:cat>
            <c:strRef>
              <c:f>Barriers!$K$2:$M$2</c:f>
              <c:strCache>
                <c:ptCount val="3"/>
                <c:pt idx="0">
                  <c:v>Level 1</c:v>
                </c:pt>
                <c:pt idx="1">
                  <c:v>Level 2a</c:v>
                </c:pt>
                <c:pt idx="2">
                  <c:v>Level 2b</c:v>
                </c:pt>
              </c:strCache>
            </c:strRef>
          </c:cat>
          <c:val>
            <c:numRef>
              <c:f>Barriers!$K$7:$M$7</c:f>
              <c:numCache>
                <c:formatCode>General</c:formatCode>
                <c:ptCount val="3"/>
                <c:pt idx="0">
                  <c:v>4113</c:v>
                </c:pt>
                <c:pt idx="1">
                  <c:v>5382</c:v>
                </c:pt>
                <c:pt idx="2">
                  <c:v>4652</c:v>
                </c:pt>
              </c:numCache>
            </c:numRef>
          </c:val>
        </c:ser>
        <c:ser>
          <c:idx val="5"/>
          <c:order val="5"/>
          <c:tx>
            <c:strRef>
              <c:f>Barriers!$J$8</c:f>
              <c:strCache>
                <c:ptCount val="1"/>
                <c:pt idx="0">
                  <c:v>Critical life event</c:v>
                </c:pt>
              </c:strCache>
            </c:strRef>
          </c:tx>
          <c:invertIfNegative val="0"/>
          <c:cat>
            <c:strRef>
              <c:f>Barriers!$K$2:$M$2</c:f>
              <c:strCache>
                <c:ptCount val="3"/>
                <c:pt idx="0">
                  <c:v>Level 1</c:v>
                </c:pt>
                <c:pt idx="1">
                  <c:v>Level 2a</c:v>
                </c:pt>
                <c:pt idx="2">
                  <c:v>Level 2b</c:v>
                </c:pt>
              </c:strCache>
            </c:strRef>
          </c:cat>
          <c:val>
            <c:numRef>
              <c:f>Barriers!$K$8:$M$8</c:f>
              <c:numCache>
                <c:formatCode>General</c:formatCode>
                <c:ptCount val="3"/>
                <c:pt idx="0">
                  <c:v>1827</c:v>
                </c:pt>
                <c:pt idx="1">
                  <c:v>3340</c:v>
                </c:pt>
                <c:pt idx="2">
                  <c:v>4003</c:v>
                </c:pt>
              </c:numCache>
            </c:numRef>
          </c:val>
        </c:ser>
        <c:ser>
          <c:idx val="6"/>
          <c:order val="6"/>
          <c:tx>
            <c:strRef>
              <c:f>Barriers!$J$9</c:f>
              <c:strCache>
                <c:ptCount val="1"/>
                <c:pt idx="0">
                  <c:v>Current or previous Juvenile Justice Orders</c:v>
                </c:pt>
              </c:strCache>
            </c:strRef>
          </c:tx>
          <c:invertIfNegative val="0"/>
          <c:cat>
            <c:strRef>
              <c:f>Barriers!$K$2:$M$2</c:f>
              <c:strCache>
                <c:ptCount val="3"/>
                <c:pt idx="0">
                  <c:v>Level 1</c:v>
                </c:pt>
                <c:pt idx="1">
                  <c:v>Level 2a</c:v>
                </c:pt>
                <c:pt idx="2">
                  <c:v>Level 2b</c:v>
                </c:pt>
              </c:strCache>
            </c:strRef>
          </c:cat>
          <c:val>
            <c:numRef>
              <c:f>Barriers!$K$9:$M$9</c:f>
              <c:numCache>
                <c:formatCode>General</c:formatCode>
                <c:ptCount val="3"/>
                <c:pt idx="0">
                  <c:v>377</c:v>
                </c:pt>
                <c:pt idx="1">
                  <c:v>1474</c:v>
                </c:pt>
                <c:pt idx="2">
                  <c:v>3754</c:v>
                </c:pt>
              </c:numCache>
            </c:numRef>
          </c:val>
        </c:ser>
        <c:ser>
          <c:idx val="7"/>
          <c:order val="7"/>
          <c:tx>
            <c:strRef>
              <c:f>Barriers!$J$10</c:f>
              <c:strCache>
                <c:ptCount val="1"/>
                <c:pt idx="0">
                  <c:v>Disability</c:v>
                </c:pt>
              </c:strCache>
            </c:strRef>
          </c:tx>
          <c:invertIfNegative val="0"/>
          <c:cat>
            <c:strRef>
              <c:f>Barriers!$K$2:$M$2</c:f>
              <c:strCache>
                <c:ptCount val="3"/>
                <c:pt idx="0">
                  <c:v>Level 1</c:v>
                </c:pt>
                <c:pt idx="1">
                  <c:v>Level 2a</c:v>
                </c:pt>
                <c:pt idx="2">
                  <c:v>Level 2b</c:v>
                </c:pt>
              </c:strCache>
            </c:strRef>
          </c:cat>
          <c:val>
            <c:numRef>
              <c:f>Barriers!$K$10:$M$10</c:f>
              <c:numCache>
                <c:formatCode>General</c:formatCode>
                <c:ptCount val="3"/>
                <c:pt idx="0">
                  <c:v>535</c:v>
                </c:pt>
                <c:pt idx="1">
                  <c:v>963</c:v>
                </c:pt>
                <c:pt idx="2">
                  <c:v>1068</c:v>
                </c:pt>
              </c:numCache>
            </c:numRef>
          </c:val>
        </c:ser>
        <c:ser>
          <c:idx val="8"/>
          <c:order val="8"/>
          <c:tx>
            <c:strRef>
              <c:f>Barriers!$J$11</c:f>
              <c:strCache>
                <c:ptCount val="1"/>
                <c:pt idx="0">
                  <c:v>Disconnection from cultural heritage</c:v>
                </c:pt>
              </c:strCache>
            </c:strRef>
          </c:tx>
          <c:invertIfNegative val="0"/>
          <c:cat>
            <c:strRef>
              <c:f>Barriers!$K$2:$M$2</c:f>
              <c:strCache>
                <c:ptCount val="3"/>
                <c:pt idx="0">
                  <c:v>Level 1</c:v>
                </c:pt>
                <c:pt idx="1">
                  <c:v>Level 2a</c:v>
                </c:pt>
                <c:pt idx="2">
                  <c:v>Level 2b</c:v>
                </c:pt>
              </c:strCache>
            </c:strRef>
          </c:cat>
          <c:val>
            <c:numRef>
              <c:f>Barriers!$K$11:$M$11</c:f>
              <c:numCache>
                <c:formatCode>General</c:formatCode>
                <c:ptCount val="3"/>
                <c:pt idx="0">
                  <c:v>781</c:v>
                </c:pt>
                <c:pt idx="1">
                  <c:v>854</c:v>
                </c:pt>
                <c:pt idx="2">
                  <c:v>1128</c:v>
                </c:pt>
              </c:numCache>
            </c:numRef>
          </c:val>
        </c:ser>
        <c:ser>
          <c:idx val="9"/>
          <c:order val="9"/>
          <c:tx>
            <c:strRef>
              <c:f>Barriers!$J$12</c:f>
              <c:strCache>
                <c:ptCount val="1"/>
                <c:pt idx="0">
                  <c:v>Financial distress</c:v>
                </c:pt>
              </c:strCache>
            </c:strRef>
          </c:tx>
          <c:invertIfNegative val="0"/>
          <c:cat>
            <c:strRef>
              <c:f>Barriers!$K$2:$M$2</c:f>
              <c:strCache>
                <c:ptCount val="3"/>
                <c:pt idx="0">
                  <c:v>Level 1</c:v>
                </c:pt>
                <c:pt idx="1">
                  <c:v>Level 2a</c:v>
                </c:pt>
                <c:pt idx="2">
                  <c:v>Level 2b</c:v>
                </c:pt>
              </c:strCache>
            </c:strRef>
          </c:cat>
          <c:val>
            <c:numRef>
              <c:f>Barriers!$K$12:$M$12</c:f>
              <c:numCache>
                <c:formatCode>General</c:formatCode>
                <c:ptCount val="3"/>
                <c:pt idx="0">
                  <c:v>2140</c:v>
                </c:pt>
                <c:pt idx="1">
                  <c:v>4576</c:v>
                </c:pt>
                <c:pt idx="2">
                  <c:v>9263</c:v>
                </c:pt>
              </c:numCache>
            </c:numRef>
          </c:val>
        </c:ser>
        <c:ser>
          <c:idx val="10"/>
          <c:order val="10"/>
          <c:tx>
            <c:strRef>
              <c:f>Barriers!$J$13</c:f>
              <c:strCache>
                <c:ptCount val="1"/>
                <c:pt idx="0">
                  <c:v>Gifted</c:v>
                </c:pt>
              </c:strCache>
            </c:strRef>
          </c:tx>
          <c:invertIfNegative val="0"/>
          <c:cat>
            <c:strRef>
              <c:f>Barriers!$K$2:$M$2</c:f>
              <c:strCache>
                <c:ptCount val="3"/>
                <c:pt idx="0">
                  <c:v>Level 1</c:v>
                </c:pt>
                <c:pt idx="1">
                  <c:v>Level 2a</c:v>
                </c:pt>
                <c:pt idx="2">
                  <c:v>Level 2b</c:v>
                </c:pt>
              </c:strCache>
            </c:strRef>
          </c:cat>
          <c:val>
            <c:numRef>
              <c:f>Barriers!$K$13:$M$13</c:f>
              <c:numCache>
                <c:formatCode>General</c:formatCode>
                <c:ptCount val="3"/>
                <c:pt idx="0">
                  <c:v>185</c:v>
                </c:pt>
                <c:pt idx="1">
                  <c:v>224</c:v>
                </c:pt>
                <c:pt idx="2">
                  <c:v>208</c:v>
                </c:pt>
              </c:numCache>
            </c:numRef>
          </c:val>
        </c:ser>
        <c:ser>
          <c:idx val="11"/>
          <c:order val="11"/>
          <c:tx>
            <c:strRef>
              <c:f>Barriers!$J$14</c:f>
              <c:strCache>
                <c:ptCount val="1"/>
                <c:pt idx="0">
                  <c:v>Homelessness</c:v>
                </c:pt>
              </c:strCache>
            </c:strRef>
          </c:tx>
          <c:invertIfNegative val="0"/>
          <c:cat>
            <c:strRef>
              <c:f>Barriers!$K$2:$M$2</c:f>
              <c:strCache>
                <c:ptCount val="3"/>
                <c:pt idx="0">
                  <c:v>Level 1</c:v>
                </c:pt>
                <c:pt idx="1">
                  <c:v>Level 2a</c:v>
                </c:pt>
                <c:pt idx="2">
                  <c:v>Level 2b</c:v>
                </c:pt>
              </c:strCache>
            </c:strRef>
          </c:cat>
          <c:val>
            <c:numRef>
              <c:f>Barriers!$K$14:$M$14</c:f>
              <c:numCache>
                <c:formatCode>General</c:formatCode>
                <c:ptCount val="3"/>
                <c:pt idx="0">
                  <c:v>176</c:v>
                </c:pt>
                <c:pt idx="1">
                  <c:v>624</c:v>
                </c:pt>
                <c:pt idx="2">
                  <c:v>1731</c:v>
                </c:pt>
              </c:numCache>
            </c:numRef>
          </c:val>
        </c:ser>
        <c:ser>
          <c:idx val="12"/>
          <c:order val="12"/>
          <c:tx>
            <c:strRef>
              <c:f>Barriers!$J$15</c:f>
              <c:strCache>
                <c:ptCount val="1"/>
                <c:pt idx="0">
                  <c:v>In detention/previously in detention</c:v>
                </c:pt>
              </c:strCache>
            </c:strRef>
          </c:tx>
          <c:invertIfNegative val="0"/>
          <c:cat>
            <c:strRef>
              <c:f>Barriers!$K$2:$M$2</c:f>
              <c:strCache>
                <c:ptCount val="3"/>
                <c:pt idx="0">
                  <c:v>Level 1</c:v>
                </c:pt>
                <c:pt idx="1">
                  <c:v>Level 2a</c:v>
                </c:pt>
                <c:pt idx="2">
                  <c:v>Level 2b</c:v>
                </c:pt>
              </c:strCache>
            </c:strRef>
          </c:cat>
          <c:val>
            <c:numRef>
              <c:f>Barriers!$K$15:$M$15</c:f>
              <c:numCache>
                <c:formatCode>General</c:formatCode>
                <c:ptCount val="3"/>
                <c:pt idx="0">
                  <c:v>173</c:v>
                </c:pt>
                <c:pt idx="1">
                  <c:v>415</c:v>
                </c:pt>
                <c:pt idx="2">
                  <c:v>1091</c:v>
                </c:pt>
              </c:numCache>
            </c:numRef>
          </c:val>
        </c:ser>
        <c:ser>
          <c:idx val="13"/>
          <c:order val="13"/>
          <c:tx>
            <c:strRef>
              <c:f>Barriers!$J$16</c:f>
              <c:strCache>
                <c:ptCount val="1"/>
                <c:pt idx="0">
                  <c:v>Inadequate family support</c:v>
                </c:pt>
              </c:strCache>
            </c:strRef>
          </c:tx>
          <c:invertIfNegative val="0"/>
          <c:cat>
            <c:strRef>
              <c:f>Barriers!$K$2:$M$2</c:f>
              <c:strCache>
                <c:ptCount val="3"/>
                <c:pt idx="0">
                  <c:v>Level 1</c:v>
                </c:pt>
                <c:pt idx="1">
                  <c:v>Level 2a</c:v>
                </c:pt>
                <c:pt idx="2">
                  <c:v>Level 2b</c:v>
                </c:pt>
              </c:strCache>
            </c:strRef>
          </c:cat>
          <c:val>
            <c:numRef>
              <c:f>Barriers!$K$16:$M$16</c:f>
              <c:numCache>
                <c:formatCode>General</c:formatCode>
                <c:ptCount val="3"/>
                <c:pt idx="0">
                  <c:v>2498</c:v>
                </c:pt>
                <c:pt idx="1">
                  <c:v>5142</c:v>
                </c:pt>
                <c:pt idx="2">
                  <c:v>8071</c:v>
                </c:pt>
              </c:numCache>
            </c:numRef>
          </c:val>
        </c:ser>
        <c:ser>
          <c:idx val="14"/>
          <c:order val="14"/>
          <c:tx>
            <c:strRef>
              <c:f>Barriers!$J$17</c:f>
              <c:strCache>
                <c:ptCount val="1"/>
                <c:pt idx="0">
                  <c:v>Learning Difficulty</c:v>
                </c:pt>
              </c:strCache>
            </c:strRef>
          </c:tx>
          <c:invertIfNegative val="0"/>
          <c:cat>
            <c:strRef>
              <c:f>Barriers!$K$2:$M$2</c:f>
              <c:strCache>
                <c:ptCount val="3"/>
                <c:pt idx="0">
                  <c:v>Level 1</c:v>
                </c:pt>
                <c:pt idx="1">
                  <c:v>Level 2a</c:v>
                </c:pt>
                <c:pt idx="2">
                  <c:v>Level 2b</c:v>
                </c:pt>
              </c:strCache>
            </c:strRef>
          </c:cat>
          <c:val>
            <c:numRef>
              <c:f>Barriers!$K$17:$M$17</c:f>
              <c:numCache>
                <c:formatCode>General</c:formatCode>
                <c:ptCount val="3"/>
                <c:pt idx="0">
                  <c:v>1011</c:v>
                </c:pt>
                <c:pt idx="1">
                  <c:v>1698</c:v>
                </c:pt>
                <c:pt idx="2">
                  <c:v>1846</c:v>
                </c:pt>
              </c:numCache>
            </c:numRef>
          </c:val>
        </c:ser>
        <c:ser>
          <c:idx val="15"/>
          <c:order val="15"/>
          <c:tx>
            <c:strRef>
              <c:f>Barriers!$J$18</c:f>
              <c:strCache>
                <c:ptCount val="1"/>
                <c:pt idx="0">
                  <c:v>Low literacy and/or numeracy</c:v>
                </c:pt>
              </c:strCache>
            </c:strRef>
          </c:tx>
          <c:invertIfNegative val="0"/>
          <c:cat>
            <c:strRef>
              <c:f>Barriers!$K$2:$M$2</c:f>
              <c:strCache>
                <c:ptCount val="3"/>
                <c:pt idx="0">
                  <c:v>Level 1</c:v>
                </c:pt>
                <c:pt idx="1">
                  <c:v>Level 2a</c:v>
                </c:pt>
                <c:pt idx="2">
                  <c:v>Level 2b</c:v>
                </c:pt>
              </c:strCache>
            </c:strRef>
          </c:cat>
          <c:val>
            <c:numRef>
              <c:f>Barriers!$K$18:$M$18</c:f>
              <c:numCache>
                <c:formatCode>General</c:formatCode>
                <c:ptCount val="3"/>
                <c:pt idx="0">
                  <c:v>6571</c:v>
                </c:pt>
                <c:pt idx="1">
                  <c:v>10406</c:v>
                </c:pt>
                <c:pt idx="2">
                  <c:v>11617</c:v>
                </c:pt>
              </c:numCache>
            </c:numRef>
          </c:val>
        </c:ser>
        <c:ser>
          <c:idx val="16"/>
          <c:order val="16"/>
          <c:tx>
            <c:strRef>
              <c:f>Barriers!$J$19</c:f>
              <c:strCache>
                <c:ptCount val="1"/>
                <c:pt idx="0">
                  <c:v>Low Self Esteem</c:v>
                </c:pt>
              </c:strCache>
            </c:strRef>
          </c:tx>
          <c:invertIfNegative val="0"/>
          <c:cat>
            <c:strRef>
              <c:f>Barriers!$K$2:$M$2</c:f>
              <c:strCache>
                <c:ptCount val="3"/>
                <c:pt idx="0">
                  <c:v>Level 1</c:v>
                </c:pt>
                <c:pt idx="1">
                  <c:v>Level 2a</c:v>
                </c:pt>
                <c:pt idx="2">
                  <c:v>Level 2b</c:v>
                </c:pt>
              </c:strCache>
            </c:strRef>
          </c:cat>
          <c:val>
            <c:numRef>
              <c:f>Barriers!$K$19:$M$19</c:f>
              <c:numCache>
                <c:formatCode>General</c:formatCode>
                <c:ptCount val="3"/>
                <c:pt idx="0">
                  <c:v>8053</c:v>
                </c:pt>
                <c:pt idx="1">
                  <c:v>11508</c:v>
                </c:pt>
                <c:pt idx="2">
                  <c:v>12391</c:v>
                </c:pt>
              </c:numCache>
            </c:numRef>
          </c:val>
        </c:ser>
        <c:ser>
          <c:idx val="17"/>
          <c:order val="17"/>
          <c:tx>
            <c:strRef>
              <c:f>Barriers!$J$20</c:f>
              <c:strCache>
                <c:ptCount val="1"/>
                <c:pt idx="0">
                  <c:v>Medical or other health issue</c:v>
                </c:pt>
              </c:strCache>
            </c:strRef>
          </c:tx>
          <c:invertIfNegative val="0"/>
          <c:cat>
            <c:strRef>
              <c:f>Barriers!$K$2:$M$2</c:f>
              <c:strCache>
                <c:ptCount val="3"/>
                <c:pt idx="0">
                  <c:v>Level 1</c:v>
                </c:pt>
                <c:pt idx="1">
                  <c:v>Level 2a</c:v>
                </c:pt>
                <c:pt idx="2">
                  <c:v>Level 2b</c:v>
                </c:pt>
              </c:strCache>
            </c:strRef>
          </c:cat>
          <c:val>
            <c:numRef>
              <c:f>Barriers!$K$20:$M$20</c:f>
              <c:numCache>
                <c:formatCode>General</c:formatCode>
                <c:ptCount val="3"/>
                <c:pt idx="0">
                  <c:v>1050</c:v>
                </c:pt>
                <c:pt idx="1">
                  <c:v>1979</c:v>
                </c:pt>
                <c:pt idx="2">
                  <c:v>2570</c:v>
                </c:pt>
              </c:numCache>
            </c:numRef>
          </c:val>
        </c:ser>
        <c:ser>
          <c:idx val="18"/>
          <c:order val="18"/>
          <c:tx>
            <c:strRef>
              <c:f>Barriers!$J$21</c:f>
              <c:strCache>
                <c:ptCount val="1"/>
                <c:pt idx="0">
                  <c:v>Negative experience(s) with education and training</c:v>
                </c:pt>
              </c:strCache>
            </c:strRef>
          </c:tx>
          <c:invertIfNegative val="0"/>
          <c:cat>
            <c:strRef>
              <c:f>Barriers!$K$2:$M$2</c:f>
              <c:strCache>
                <c:ptCount val="3"/>
                <c:pt idx="0">
                  <c:v>Level 1</c:v>
                </c:pt>
                <c:pt idx="1">
                  <c:v>Level 2a</c:v>
                </c:pt>
                <c:pt idx="2">
                  <c:v>Level 2b</c:v>
                </c:pt>
              </c:strCache>
            </c:strRef>
          </c:cat>
          <c:val>
            <c:numRef>
              <c:f>Barriers!$K$21:$M$21</c:f>
              <c:numCache>
                <c:formatCode>General</c:formatCode>
                <c:ptCount val="3"/>
                <c:pt idx="0">
                  <c:v>1321</c:v>
                </c:pt>
                <c:pt idx="1">
                  <c:v>2363</c:v>
                </c:pt>
                <c:pt idx="2">
                  <c:v>2692</c:v>
                </c:pt>
              </c:numCache>
            </c:numRef>
          </c:val>
        </c:ser>
        <c:ser>
          <c:idx val="19"/>
          <c:order val="19"/>
          <c:tx>
            <c:strRef>
              <c:f>Barriers!$J$22</c:f>
              <c:strCache>
                <c:ptCount val="1"/>
                <c:pt idx="0">
                  <c:v>Out of home care</c:v>
                </c:pt>
              </c:strCache>
            </c:strRef>
          </c:tx>
          <c:invertIfNegative val="0"/>
          <c:cat>
            <c:strRef>
              <c:f>Barriers!$K$2:$M$2</c:f>
              <c:strCache>
                <c:ptCount val="3"/>
                <c:pt idx="0">
                  <c:v>Level 1</c:v>
                </c:pt>
                <c:pt idx="1">
                  <c:v>Level 2a</c:v>
                </c:pt>
                <c:pt idx="2">
                  <c:v>Level 2b</c:v>
                </c:pt>
              </c:strCache>
            </c:strRef>
          </c:cat>
          <c:val>
            <c:numRef>
              <c:f>Barriers!$K$22:$M$22</c:f>
              <c:numCache>
                <c:formatCode>General</c:formatCode>
                <c:ptCount val="3"/>
                <c:pt idx="0">
                  <c:v>323</c:v>
                </c:pt>
                <c:pt idx="1">
                  <c:v>629</c:v>
                </c:pt>
                <c:pt idx="2">
                  <c:v>1106</c:v>
                </c:pt>
              </c:numCache>
            </c:numRef>
          </c:val>
        </c:ser>
        <c:ser>
          <c:idx val="20"/>
          <c:order val="20"/>
          <c:tx>
            <c:strRef>
              <c:f>Barriers!$J$23</c:f>
              <c:strCache>
                <c:ptCount val="1"/>
                <c:pt idx="0">
                  <c:v>Parent/Pregnancy</c:v>
                </c:pt>
              </c:strCache>
            </c:strRef>
          </c:tx>
          <c:invertIfNegative val="0"/>
          <c:cat>
            <c:strRef>
              <c:f>Barriers!$K$2:$M$2</c:f>
              <c:strCache>
                <c:ptCount val="3"/>
                <c:pt idx="0">
                  <c:v>Level 1</c:v>
                </c:pt>
                <c:pt idx="1">
                  <c:v>Level 2a</c:v>
                </c:pt>
                <c:pt idx="2">
                  <c:v>Level 2b</c:v>
                </c:pt>
              </c:strCache>
            </c:strRef>
          </c:cat>
          <c:val>
            <c:numRef>
              <c:f>Barriers!$K$23:$M$23</c:f>
              <c:numCache>
                <c:formatCode>General</c:formatCode>
                <c:ptCount val="3"/>
                <c:pt idx="0">
                  <c:v>83</c:v>
                </c:pt>
                <c:pt idx="1">
                  <c:v>310</c:v>
                </c:pt>
                <c:pt idx="2">
                  <c:v>1555</c:v>
                </c:pt>
              </c:numCache>
            </c:numRef>
          </c:val>
        </c:ser>
        <c:ser>
          <c:idx val="21"/>
          <c:order val="21"/>
          <c:tx>
            <c:strRef>
              <c:f>Barriers!$J$24</c:f>
              <c:strCache>
                <c:ptCount val="1"/>
                <c:pt idx="0">
                  <c:v>Petrol sniffing</c:v>
                </c:pt>
              </c:strCache>
            </c:strRef>
          </c:tx>
          <c:invertIfNegative val="0"/>
          <c:cat>
            <c:strRef>
              <c:f>Barriers!$K$2:$M$2</c:f>
              <c:strCache>
                <c:ptCount val="3"/>
                <c:pt idx="0">
                  <c:v>Level 1</c:v>
                </c:pt>
                <c:pt idx="1">
                  <c:v>Level 2a</c:v>
                </c:pt>
                <c:pt idx="2">
                  <c:v>Level 2b</c:v>
                </c:pt>
              </c:strCache>
            </c:strRef>
          </c:cat>
          <c:val>
            <c:numRef>
              <c:f>Barriers!$K$24:$M$24</c:f>
              <c:numCache>
                <c:formatCode>General</c:formatCode>
                <c:ptCount val="3"/>
                <c:pt idx="0">
                  <c:v>2</c:v>
                </c:pt>
                <c:pt idx="1">
                  <c:v>8</c:v>
                </c:pt>
                <c:pt idx="2">
                  <c:v>31</c:v>
                </c:pt>
              </c:numCache>
            </c:numRef>
          </c:val>
        </c:ser>
        <c:ser>
          <c:idx val="22"/>
          <c:order val="22"/>
          <c:tx>
            <c:strRef>
              <c:f>Barriers!$J$25</c:f>
              <c:strCache>
                <c:ptCount val="1"/>
                <c:pt idx="0">
                  <c:v>Socialisation issues</c:v>
                </c:pt>
              </c:strCache>
            </c:strRef>
          </c:tx>
          <c:invertIfNegative val="0"/>
          <c:cat>
            <c:strRef>
              <c:f>Barriers!$K$2:$M$2</c:f>
              <c:strCache>
                <c:ptCount val="3"/>
                <c:pt idx="0">
                  <c:v>Level 1</c:v>
                </c:pt>
                <c:pt idx="1">
                  <c:v>Level 2a</c:v>
                </c:pt>
                <c:pt idx="2">
                  <c:v>Level 2b</c:v>
                </c:pt>
              </c:strCache>
            </c:strRef>
          </c:cat>
          <c:val>
            <c:numRef>
              <c:f>Barriers!$K$25:$M$25</c:f>
              <c:numCache>
                <c:formatCode>General</c:formatCode>
                <c:ptCount val="3"/>
                <c:pt idx="0">
                  <c:v>5698</c:v>
                </c:pt>
                <c:pt idx="1">
                  <c:v>8450</c:v>
                </c:pt>
                <c:pt idx="2">
                  <c:v>9756</c:v>
                </c:pt>
              </c:numCache>
            </c:numRef>
          </c:val>
        </c:ser>
        <c:ser>
          <c:idx val="23"/>
          <c:order val="23"/>
          <c:tx>
            <c:strRef>
              <c:f>Barriers!$J$26</c:f>
              <c:strCache>
                <c:ptCount val="1"/>
                <c:pt idx="0">
                  <c:v>Suspected or diagnosed mental health issue</c:v>
                </c:pt>
              </c:strCache>
            </c:strRef>
          </c:tx>
          <c:invertIfNegative val="0"/>
          <c:cat>
            <c:strRef>
              <c:f>Barriers!$K$2:$M$2</c:f>
              <c:strCache>
                <c:ptCount val="3"/>
                <c:pt idx="0">
                  <c:v>Level 1</c:v>
                </c:pt>
                <c:pt idx="1">
                  <c:v>Level 2a</c:v>
                </c:pt>
                <c:pt idx="2">
                  <c:v>Level 2b</c:v>
                </c:pt>
              </c:strCache>
            </c:strRef>
          </c:cat>
          <c:val>
            <c:numRef>
              <c:f>Barriers!$K$26:$M$26</c:f>
              <c:numCache>
                <c:formatCode>General</c:formatCode>
                <c:ptCount val="3"/>
                <c:pt idx="0">
                  <c:v>2408</c:v>
                </c:pt>
                <c:pt idx="1">
                  <c:v>5856</c:v>
                </c:pt>
                <c:pt idx="2">
                  <c:v>6993</c:v>
                </c:pt>
              </c:numCache>
            </c:numRef>
          </c:val>
        </c:ser>
        <c:ser>
          <c:idx val="24"/>
          <c:order val="24"/>
          <c:tx>
            <c:strRef>
              <c:f>Barriers!$J$27</c:f>
              <c:strCache>
                <c:ptCount val="1"/>
                <c:pt idx="0">
                  <c:v>Unstable living arrangements</c:v>
                </c:pt>
              </c:strCache>
            </c:strRef>
          </c:tx>
          <c:invertIfNegative val="0"/>
          <c:cat>
            <c:strRef>
              <c:f>Barriers!$K$2:$M$2</c:f>
              <c:strCache>
                <c:ptCount val="3"/>
                <c:pt idx="0">
                  <c:v>Level 1</c:v>
                </c:pt>
                <c:pt idx="1">
                  <c:v>Level 2a</c:v>
                </c:pt>
                <c:pt idx="2">
                  <c:v>Level 2b</c:v>
                </c:pt>
              </c:strCache>
            </c:strRef>
          </c:cat>
          <c:val>
            <c:numRef>
              <c:f>Barriers!$K$27:$M$27</c:f>
              <c:numCache>
                <c:formatCode>General</c:formatCode>
                <c:ptCount val="3"/>
                <c:pt idx="0">
                  <c:v>1124</c:v>
                </c:pt>
                <c:pt idx="1">
                  <c:v>3110</c:v>
                </c:pt>
                <c:pt idx="2">
                  <c:v>5852</c:v>
                </c:pt>
              </c:numCache>
            </c:numRef>
          </c:val>
        </c:ser>
        <c:ser>
          <c:idx val="25"/>
          <c:order val="25"/>
          <c:tx>
            <c:strRef>
              <c:f>Barriers!$J$28</c:f>
              <c:strCache>
                <c:ptCount val="1"/>
                <c:pt idx="0">
                  <c:v>Volatile substance misuse</c:v>
                </c:pt>
              </c:strCache>
            </c:strRef>
          </c:tx>
          <c:invertIfNegative val="0"/>
          <c:cat>
            <c:strRef>
              <c:f>Barriers!$K$2:$M$2</c:f>
              <c:strCache>
                <c:ptCount val="3"/>
                <c:pt idx="0">
                  <c:v>Level 1</c:v>
                </c:pt>
                <c:pt idx="1">
                  <c:v>Level 2a</c:v>
                </c:pt>
                <c:pt idx="2">
                  <c:v>Level 2b</c:v>
                </c:pt>
              </c:strCache>
            </c:strRef>
          </c:cat>
          <c:val>
            <c:numRef>
              <c:f>Barriers!$K$28:$M$28</c:f>
              <c:numCache>
                <c:formatCode>General</c:formatCode>
                <c:ptCount val="3"/>
                <c:pt idx="0">
                  <c:v>21</c:v>
                </c:pt>
                <c:pt idx="1">
                  <c:v>67</c:v>
                </c:pt>
                <c:pt idx="2">
                  <c:v>159</c:v>
                </c:pt>
              </c:numCache>
            </c:numRef>
          </c:val>
        </c:ser>
        <c:ser>
          <c:idx val="26"/>
          <c:order val="26"/>
          <c:tx>
            <c:strRef>
              <c:f>Barriers!$J$29</c:f>
              <c:strCache>
                <c:ptCount val="1"/>
                <c:pt idx="0">
                  <c:v>Young Carer responsibilities</c:v>
                </c:pt>
              </c:strCache>
            </c:strRef>
          </c:tx>
          <c:invertIfNegative val="0"/>
          <c:cat>
            <c:strRef>
              <c:f>Barriers!$K$2:$M$2</c:f>
              <c:strCache>
                <c:ptCount val="3"/>
                <c:pt idx="0">
                  <c:v>Level 1</c:v>
                </c:pt>
                <c:pt idx="1">
                  <c:v>Level 2a</c:v>
                </c:pt>
                <c:pt idx="2">
                  <c:v>Level 2b</c:v>
                </c:pt>
              </c:strCache>
            </c:strRef>
          </c:cat>
          <c:val>
            <c:numRef>
              <c:f>Barriers!$K$29:$M$29</c:f>
              <c:numCache>
                <c:formatCode>General</c:formatCode>
                <c:ptCount val="3"/>
                <c:pt idx="0">
                  <c:v>450</c:v>
                </c:pt>
                <c:pt idx="1">
                  <c:v>701</c:v>
                </c:pt>
                <c:pt idx="2">
                  <c:v>868</c:v>
                </c:pt>
              </c:numCache>
            </c:numRef>
          </c:val>
        </c:ser>
        <c:dLbls>
          <c:showLegendKey val="0"/>
          <c:showVal val="0"/>
          <c:showCatName val="0"/>
          <c:showSerName val="0"/>
          <c:showPercent val="0"/>
          <c:showBubbleSize val="0"/>
        </c:dLbls>
        <c:gapWidth val="55"/>
        <c:overlap val="100"/>
        <c:axId val="39193984"/>
        <c:axId val="39199872"/>
      </c:barChart>
      <c:catAx>
        <c:axId val="39193984"/>
        <c:scaling>
          <c:orientation val="minMax"/>
        </c:scaling>
        <c:delete val="0"/>
        <c:axPos val="b"/>
        <c:majorTickMark val="none"/>
        <c:minorTickMark val="none"/>
        <c:tickLblPos val="nextTo"/>
        <c:crossAx val="39199872"/>
        <c:crosses val="autoZero"/>
        <c:auto val="1"/>
        <c:lblAlgn val="ctr"/>
        <c:lblOffset val="100"/>
        <c:noMultiLvlLbl val="0"/>
      </c:catAx>
      <c:valAx>
        <c:axId val="39199872"/>
        <c:scaling>
          <c:orientation val="minMax"/>
        </c:scaling>
        <c:delete val="0"/>
        <c:axPos val="l"/>
        <c:majorGridlines/>
        <c:numFmt formatCode="0%" sourceLinked="1"/>
        <c:majorTickMark val="none"/>
        <c:minorTickMark val="none"/>
        <c:tickLblPos val="nextTo"/>
        <c:crossAx val="39193984"/>
        <c:crosses val="autoZero"/>
        <c:crossBetween val="between"/>
      </c:valAx>
    </c:plotArea>
    <c:legend>
      <c:legendPos val="r"/>
      <c:layout>
        <c:manualLayout>
          <c:xMode val="edge"/>
          <c:yMode val="edge"/>
          <c:x val="0.59251531058617668"/>
          <c:y val="4.996722258668912E-2"/>
          <c:w val="0.35748468941382328"/>
          <c:h val="0.91721488448914723"/>
        </c:manualLayout>
      </c:layout>
      <c:overlay val="0"/>
      <c:txPr>
        <a:bodyPr/>
        <a:lstStyle/>
        <a:p>
          <a:pPr>
            <a:defRPr spc="-100" baseline="0"/>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b="1" i="0" baseline="0">
                <a:effectLst/>
              </a:rPr>
              <a:t> SA - Number of young people achieving outcomes</a:t>
            </a:r>
            <a:endParaRPr lang="en-AU" sz="1400">
              <a:effectLst/>
            </a:endParaRPr>
          </a:p>
        </c:rich>
      </c:tx>
      <c:layout/>
      <c:overlay val="0"/>
    </c:title>
    <c:autoTitleDeleted val="0"/>
    <c:plotArea>
      <c:layout/>
      <c:barChart>
        <c:barDir val="col"/>
        <c:grouping val="clustered"/>
        <c:varyColors val="0"/>
        <c:ser>
          <c:idx val="0"/>
          <c:order val="0"/>
          <c:tx>
            <c:strRef>
              <c:f>Outcomes!$L$2</c:f>
              <c:strCache>
                <c:ptCount val="1"/>
                <c:pt idx="0">
                  <c:v>Achieved a final outcome</c:v>
                </c:pt>
              </c:strCache>
            </c:strRef>
          </c:tx>
          <c:invertIfNegative val="0"/>
          <c:dLbls>
            <c:showLegendKey val="0"/>
            <c:showVal val="1"/>
            <c:showCatName val="0"/>
            <c:showSerName val="0"/>
            <c:showPercent val="0"/>
            <c:showBubbleSize val="0"/>
            <c:showLeaderLines val="0"/>
          </c:dLbls>
          <c:cat>
            <c:strRef>
              <c:f>Outcomes!$H$3:$H$5</c:f>
              <c:strCache>
                <c:ptCount val="3"/>
                <c:pt idx="0">
                  <c:v>Level 1</c:v>
                </c:pt>
                <c:pt idx="1">
                  <c:v>Level 2a</c:v>
                </c:pt>
                <c:pt idx="2">
                  <c:v>Level 2b</c:v>
                </c:pt>
              </c:strCache>
            </c:strRef>
          </c:cat>
          <c:val>
            <c:numRef>
              <c:f>Outcomes!$L$3:$L$5</c:f>
              <c:numCache>
                <c:formatCode>0%</c:formatCode>
                <c:ptCount val="3"/>
                <c:pt idx="0">
                  <c:v>0.55030800821355241</c:v>
                </c:pt>
                <c:pt idx="1">
                  <c:v>0.51773049645390068</c:v>
                </c:pt>
                <c:pt idx="2">
                  <c:v>0.50748752079866888</c:v>
                </c:pt>
              </c:numCache>
            </c:numRef>
          </c:val>
        </c:ser>
        <c:ser>
          <c:idx val="1"/>
          <c:order val="1"/>
          <c:tx>
            <c:strRef>
              <c:f>Outcomes!$M$2</c:f>
              <c:strCache>
                <c:ptCount val="1"/>
                <c:pt idx="0">
                  <c:v>Achieved a progressive outcome</c:v>
                </c:pt>
              </c:strCache>
            </c:strRef>
          </c:tx>
          <c:invertIfNegative val="0"/>
          <c:dLbls>
            <c:showLegendKey val="0"/>
            <c:showVal val="1"/>
            <c:showCatName val="0"/>
            <c:showSerName val="0"/>
            <c:showPercent val="0"/>
            <c:showBubbleSize val="0"/>
            <c:showLeaderLines val="0"/>
          </c:dLbls>
          <c:cat>
            <c:strRef>
              <c:f>Outcomes!$H$3:$H$5</c:f>
              <c:strCache>
                <c:ptCount val="3"/>
                <c:pt idx="0">
                  <c:v>Level 1</c:v>
                </c:pt>
                <c:pt idx="1">
                  <c:v>Level 2a</c:v>
                </c:pt>
                <c:pt idx="2">
                  <c:v>Level 2b</c:v>
                </c:pt>
              </c:strCache>
            </c:strRef>
          </c:cat>
          <c:val>
            <c:numRef>
              <c:f>Outcomes!$M$3:$M$5</c:f>
              <c:numCache>
                <c:formatCode>0%</c:formatCode>
                <c:ptCount val="3"/>
                <c:pt idx="0">
                  <c:v>0.71047227926078027</c:v>
                </c:pt>
                <c:pt idx="1">
                  <c:v>0.71099290780141844</c:v>
                </c:pt>
                <c:pt idx="2">
                  <c:v>0.67886855241264554</c:v>
                </c:pt>
              </c:numCache>
            </c:numRef>
          </c:val>
        </c:ser>
        <c:dLbls>
          <c:showLegendKey val="0"/>
          <c:showVal val="0"/>
          <c:showCatName val="0"/>
          <c:showSerName val="0"/>
          <c:showPercent val="0"/>
          <c:showBubbleSize val="0"/>
        </c:dLbls>
        <c:gapWidth val="150"/>
        <c:axId val="39214080"/>
        <c:axId val="39232256"/>
      </c:barChart>
      <c:catAx>
        <c:axId val="39214080"/>
        <c:scaling>
          <c:orientation val="minMax"/>
        </c:scaling>
        <c:delete val="0"/>
        <c:axPos val="b"/>
        <c:majorTickMark val="none"/>
        <c:minorTickMark val="none"/>
        <c:tickLblPos val="nextTo"/>
        <c:crossAx val="39232256"/>
        <c:crosses val="autoZero"/>
        <c:auto val="1"/>
        <c:lblAlgn val="ctr"/>
        <c:lblOffset val="100"/>
        <c:noMultiLvlLbl val="0"/>
      </c:catAx>
      <c:valAx>
        <c:axId val="39232256"/>
        <c:scaling>
          <c:orientation val="minMax"/>
          <c:max val="1"/>
        </c:scaling>
        <c:delete val="0"/>
        <c:axPos val="l"/>
        <c:majorGridlines/>
        <c:numFmt formatCode="0%" sourceLinked="1"/>
        <c:majorTickMark val="none"/>
        <c:minorTickMark val="none"/>
        <c:tickLblPos val="nextTo"/>
        <c:crossAx val="39214080"/>
        <c:crosses val="autoZero"/>
        <c:crossBetween val="between"/>
        <c:minorUnit val="0.2"/>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22149-BC55-445C-8F2A-280847D8D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B553D402.dotm</Template>
  <TotalTime>405</TotalTime>
  <Pages>80</Pages>
  <Words>24336</Words>
  <Characters>138718</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Smyth</dc:creator>
  <cp:lastModifiedBy>Michaela Austin</cp:lastModifiedBy>
  <cp:revision>40</cp:revision>
  <cp:lastPrinted>2014-03-31T03:09:00Z</cp:lastPrinted>
  <dcterms:created xsi:type="dcterms:W3CDTF">2013-07-22T23:39:00Z</dcterms:created>
  <dcterms:modified xsi:type="dcterms:W3CDTF">2014-03-31T03:09:00Z</dcterms:modified>
</cp:coreProperties>
</file>