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charts/chart17.xml" ContentType="application/vnd.openxmlformats-officedocument.drawingml.chart+xml"/>
  <Override PartName="/word/charts/chart18.xml" ContentType="application/vnd.openxmlformats-officedocument.drawingml.chart+xml"/>
  <Override PartName="/word/charts/chart19.xml" ContentType="application/vnd.openxmlformats-officedocument.drawingml.chart+xml"/>
  <Override PartName="/word/charts/chart20.xml" ContentType="application/vnd.openxmlformats-officedocument.drawingml.chart+xml"/>
  <Override PartName="/word/charts/chart21.xml" ContentType="application/vnd.openxmlformats-officedocument.drawingml.chart+xml"/>
  <Override PartName="/word/charts/chart22.xml" ContentType="application/vnd.openxmlformats-officedocument.drawingml.chart+xml"/>
  <Override PartName="/word/charts/chart23.xml" ContentType="application/vnd.openxmlformats-officedocument.drawingml.chart+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4A480D" w14:textId="39B34D3B" w:rsidR="00BC0DA7" w:rsidRDefault="00E52B6D">
      <w:pPr>
        <w:spacing w:after="200"/>
        <w:sectPr w:rsidR="00BC0DA7" w:rsidSect="00944C3F">
          <w:headerReference w:type="even" r:id="rId9"/>
          <w:footerReference w:type="even" r:id="rId10"/>
          <w:footerReference w:type="default" r:id="rId11"/>
          <w:pgSz w:w="11906" w:h="16838"/>
          <w:pgMar w:top="1440" w:right="1440" w:bottom="1440" w:left="1440" w:header="708" w:footer="708" w:gutter="0"/>
          <w:cols w:space="708"/>
          <w:docGrid w:linePitch="360"/>
        </w:sectPr>
      </w:pPr>
      <w:r>
        <w:rPr>
          <w:noProof/>
          <w:lang w:eastAsia="en-AU"/>
        </w:rPr>
        <mc:AlternateContent>
          <mc:Choice Requires="wps">
            <w:drawing>
              <wp:inline distT="0" distB="0" distL="0" distR="0" wp14:anchorId="75A2CECF" wp14:editId="01E4CC32">
                <wp:extent cx="5715000" cy="8801100"/>
                <wp:effectExtent l="0" t="0" r="19050" b="19050"/>
                <wp:docPr id="2" name="Rectangle 2" descr="NATIONAL PARTNERSHIP ON YOUTH ATTAINMENT AND TRANSITIONS&#10;&#10;-STATE-&#10;&#10;ANNUAL REPORT&#10;MAY 2012&#10;&#10;&#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0" cy="8801100"/>
                        </a:xfrm>
                        <a:prstGeom prst="rect">
                          <a:avLst/>
                        </a:prstGeom>
                        <a:solidFill>
                          <a:schemeClr val="bg2">
                            <a:lumMod val="100000"/>
                            <a:lumOff val="0"/>
                          </a:schemeClr>
                        </a:solidFill>
                        <a:ln w="9525">
                          <a:solidFill>
                            <a:srgbClr val="004270"/>
                          </a:solidFill>
                          <a:miter lim="800000"/>
                          <a:headEnd/>
                          <a:tailEnd/>
                        </a:ln>
                      </wps:spPr>
                      <wps:txbx>
                        <w:txbxContent>
                          <w:p w14:paraId="76064B1C" w14:textId="77777777" w:rsidR="006D3781" w:rsidRPr="00135133" w:rsidRDefault="006D3781" w:rsidP="009D48D6">
                            <w:pPr>
                              <w:pStyle w:val="Titlepage"/>
                            </w:pPr>
                          </w:p>
                          <w:p w14:paraId="6A7C623D" w14:textId="77777777" w:rsidR="006D3781" w:rsidRPr="00135133" w:rsidRDefault="006D3781" w:rsidP="009D48D6">
                            <w:pPr>
                              <w:pStyle w:val="Titlepage"/>
                            </w:pPr>
                            <w:r w:rsidRPr="00135133">
                              <w:t>NATIONAL PARTNERSHIP ON YOUTH ATTAINMENT AND TRANSITIONS</w:t>
                            </w:r>
                          </w:p>
                          <w:p w14:paraId="3EFEBE54" w14:textId="77777777" w:rsidR="006D3781" w:rsidRPr="00135133" w:rsidRDefault="006D3781" w:rsidP="009D48D6">
                            <w:pPr>
                              <w:pStyle w:val="Titlepage"/>
                            </w:pPr>
                          </w:p>
                          <w:p w14:paraId="4DD867F8" w14:textId="4ABB0752" w:rsidR="006D3781" w:rsidRPr="00D43B11" w:rsidRDefault="006D3781" w:rsidP="009D48D6">
                            <w:pPr>
                              <w:pStyle w:val="Titlepage"/>
                              <w:rPr>
                                <w:color w:val="FF0000"/>
                              </w:rPr>
                            </w:pPr>
                            <w:r>
                              <w:rPr>
                                <w:color w:val="FF0000"/>
                              </w:rPr>
                              <w:t>VICTORIA</w:t>
                            </w:r>
                          </w:p>
                          <w:p w14:paraId="24403E51" w14:textId="77777777" w:rsidR="006D3781" w:rsidRPr="00135133" w:rsidRDefault="006D3781" w:rsidP="009D48D6">
                            <w:pPr>
                              <w:pStyle w:val="Titlepage"/>
                            </w:pPr>
                          </w:p>
                          <w:p w14:paraId="4FA37C73" w14:textId="77777777" w:rsidR="006D3781" w:rsidRPr="00135133" w:rsidRDefault="006D3781" w:rsidP="009D48D6">
                            <w:pPr>
                              <w:pStyle w:val="Titlepage"/>
                            </w:pPr>
                            <w:r w:rsidRPr="00135133">
                              <w:t>ANNUAL REPORT</w:t>
                            </w:r>
                          </w:p>
                          <w:p w14:paraId="4DEA1C25" w14:textId="77777777" w:rsidR="006D3781" w:rsidRPr="00135133" w:rsidRDefault="006D3781" w:rsidP="009D48D6">
                            <w:pPr>
                              <w:pStyle w:val="Titlepage"/>
                            </w:pPr>
                            <w:r>
                              <w:t>MAY 2013</w:t>
                            </w:r>
                          </w:p>
                        </w:txbxContent>
                      </wps:txbx>
                      <wps:bodyPr rot="0" vert="horz" wrap="square" lIns="91440" tIns="45720" rIns="91440" bIns="45720" anchor="t" anchorCtr="0" upright="1">
                        <a:noAutofit/>
                      </wps:bodyPr>
                    </wps:wsp>
                  </a:graphicData>
                </a:graphic>
              </wp:inline>
            </w:drawing>
          </mc:Choice>
          <mc:Fallback>
            <w:pict>
              <v:rect id="Rectangle 2" o:spid="_x0000_s1026" alt="NATIONAL PARTNERSHIP ON YOUTH ATTAINMENT AND TRANSITIONS&#10;&#10;-STATE-&#10;&#10;ANNUAL REPORT&#10;MAY 2012&#10;&#10;&#10;" style="width:450pt;height:69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AbUnwIAAAQFAAAOAAAAZHJzL2Uyb0RvYy54bWysVE1v2zAMvQ/YfxA0YLfWH0jW1qtTGG26&#10;BmidIHEPPcq2bAuTJU9SYre/fpScJul2G3YRRFJ6enwkdX0ztBztqNJMihgH5z5GVBSyZKKO8XN2&#10;f3aJkTZElIRLQWP8SjW+mX3+dN13EQ1lI3lJFQIQoaO+i3FjTBd5ni4a2hJ9LjsqIFhJ1RIDpqq9&#10;UpEe0Fvuhb7/zeulKjslC6o1eO/GIJ45/KqihVlWlaYG8RgDN+NW5dbcrt7smkS1Il3Dij0N8g8s&#10;WsIEPHqAuiOGoK1if0G1rFBSy8qcF7L1ZFWxgrocIJvA/yObTUM66nIBcXR3kEn/P9gi3a0UYmWM&#10;Q4wEaaFEaxCNiJpTBK6S6gLkSpNssUyTR7RK1lk6X28eFiu0TNHL8jl7QEmWJYv0aZ5mKEnvULZO&#10;0s3CXth8/TIk391ytsmSbH52dCRp+gyA6/lquc6c+yl5QaBCeDzjdrZGfacjoLrpVsqqrLtHWfzU&#10;SMjbBqjSRCnZN5SUoExgz3sfLlhDw1WU90+yhBTJ1khXrqFSrQWEQqDBdcXroSvoYFABzulFMPV9&#10;aJ4CYpeXfhCAYd8g0fv1Tmnzg8oW2U2MFSjo4MnuUZvx6PsRR19yVt4zzp1hW53ecoV2BJo0r0N3&#10;lW9b4Dr64EFLAIBIBH7o6NH/TsNNi4VwpPQpOheoj/HVNJw61A8xrer88K7vT8KLA+ApRMsMjChn&#10;LWR/QsTKPRelI2UI4+MeROFir7+VfCydGfIBDto65LJ8hUooOY4ifB2waaR6w6iHMYyx/rUlimLE&#10;FwKqeRVMJnZunTGZXoRgqNNIfhohogCoGBuMxu2tGWd92ylWN/BS4GQQMoEOqJirzZHVnjeMmhNy&#10;/y3YWT613anj5zX7DQAA//8DAFBLAwQUAAYACAAAACEAgZIoE9sAAAAGAQAADwAAAGRycy9kb3du&#10;cmV2LnhtbEyPQUsDMRCF74L/IYzgRWyiQlvXzRYRvAniVorH7Ga6uzaZxE3arv/e0Uu9DDze4833&#10;ytXknTjgmIZAGm5mCgRSG+xAnYb39fP1EkTKhqxxgVDDNyZYVednpSlsONIbHurcCS6hVBgNfc6x&#10;kDK1PXqTZiEisbcNozeZ5dhJO5ojl3snb5WaS28G4g+9ifjUY7ur917Dbr2JL1uXF1/1R9os4is2&#10;w+eV1pcX0+MDiIxTPoXhF5/RoWKmJuzJJuE08JD8d9m7V4plw6G75VyBrEr5H7/6AQAA//8DAFBL&#10;AQItABQABgAIAAAAIQC2gziS/gAAAOEBAAATAAAAAAAAAAAAAAAAAAAAAABbQ29udGVudF9UeXBl&#10;c10ueG1sUEsBAi0AFAAGAAgAAAAhADj9If/WAAAAlAEAAAsAAAAAAAAAAAAAAAAALwEAAF9yZWxz&#10;Ly5yZWxzUEsBAi0AFAAGAAgAAAAhAA4gBtSfAgAABAUAAA4AAAAAAAAAAAAAAAAALgIAAGRycy9l&#10;Mm9Eb2MueG1sUEsBAi0AFAAGAAgAAAAhAIGSKBPbAAAABgEAAA8AAAAAAAAAAAAAAAAA+QQAAGRy&#10;cy9kb3ducmV2LnhtbFBLBQYAAAAABAAEAPMAAAABBgAAAAA=&#10;" fillcolor="#eeece1 [3214]" strokecolor="#004270">
                <v:textbox>
                  <w:txbxContent>
                    <w:p w14:paraId="76064B1C" w14:textId="77777777" w:rsidR="006D3781" w:rsidRPr="00135133" w:rsidRDefault="006D3781" w:rsidP="009D48D6">
                      <w:pPr>
                        <w:pStyle w:val="Titlepage"/>
                      </w:pPr>
                    </w:p>
                    <w:p w14:paraId="6A7C623D" w14:textId="77777777" w:rsidR="006D3781" w:rsidRPr="00135133" w:rsidRDefault="006D3781" w:rsidP="009D48D6">
                      <w:pPr>
                        <w:pStyle w:val="Titlepage"/>
                      </w:pPr>
                      <w:r w:rsidRPr="00135133">
                        <w:t>NATIONAL PARTNERSHIP ON YOUTH ATTAINMENT AND TRANSITIONS</w:t>
                      </w:r>
                    </w:p>
                    <w:p w14:paraId="3EFEBE54" w14:textId="77777777" w:rsidR="006D3781" w:rsidRPr="00135133" w:rsidRDefault="006D3781" w:rsidP="009D48D6">
                      <w:pPr>
                        <w:pStyle w:val="Titlepage"/>
                      </w:pPr>
                    </w:p>
                    <w:p w14:paraId="4DD867F8" w14:textId="4ABB0752" w:rsidR="006D3781" w:rsidRPr="00D43B11" w:rsidRDefault="006D3781" w:rsidP="009D48D6">
                      <w:pPr>
                        <w:pStyle w:val="Titlepage"/>
                        <w:rPr>
                          <w:color w:val="FF0000"/>
                        </w:rPr>
                      </w:pPr>
                      <w:r>
                        <w:rPr>
                          <w:color w:val="FF0000"/>
                        </w:rPr>
                        <w:t>VICTORIA</w:t>
                      </w:r>
                    </w:p>
                    <w:p w14:paraId="24403E51" w14:textId="77777777" w:rsidR="006D3781" w:rsidRPr="00135133" w:rsidRDefault="006D3781" w:rsidP="009D48D6">
                      <w:pPr>
                        <w:pStyle w:val="Titlepage"/>
                      </w:pPr>
                    </w:p>
                    <w:p w14:paraId="4FA37C73" w14:textId="77777777" w:rsidR="006D3781" w:rsidRPr="00135133" w:rsidRDefault="006D3781" w:rsidP="009D48D6">
                      <w:pPr>
                        <w:pStyle w:val="Titlepage"/>
                      </w:pPr>
                      <w:r w:rsidRPr="00135133">
                        <w:t>ANNUAL REPORT</w:t>
                      </w:r>
                    </w:p>
                    <w:p w14:paraId="4DEA1C25" w14:textId="77777777" w:rsidR="006D3781" w:rsidRPr="00135133" w:rsidRDefault="006D3781" w:rsidP="009D48D6">
                      <w:pPr>
                        <w:pStyle w:val="Titlepage"/>
                      </w:pPr>
                      <w:r>
                        <w:t>MAY 2013</w:t>
                      </w:r>
                    </w:p>
                  </w:txbxContent>
                </v:textbox>
                <w10:anchorlock/>
              </v:rect>
            </w:pict>
          </mc:Fallback>
        </mc:AlternateContent>
      </w:r>
    </w:p>
    <w:p w14:paraId="58624185" w14:textId="55038349" w:rsidR="00FD6DBE" w:rsidRPr="00546F15" w:rsidRDefault="00546F15" w:rsidP="00055461">
      <w:pPr>
        <w:spacing w:after="200"/>
        <w:rPr>
          <w:rStyle w:val="Hyperlink"/>
          <w:rFonts w:cstheme="minorHAnsi"/>
          <w:b/>
          <w:noProof/>
          <w:color w:val="auto"/>
          <w:sz w:val="28"/>
          <w:szCs w:val="28"/>
          <w:u w:val="none"/>
        </w:rPr>
      </w:pPr>
      <w:r w:rsidRPr="00546F15">
        <w:rPr>
          <w:rStyle w:val="Hyperlink"/>
          <w:rFonts w:cstheme="minorHAnsi"/>
          <w:b/>
          <w:noProof/>
          <w:color w:val="auto"/>
          <w:sz w:val="28"/>
          <w:szCs w:val="28"/>
          <w:u w:val="none"/>
        </w:rPr>
        <w:lastRenderedPageBreak/>
        <w:t>TABLE OF CONTENTS</w:t>
      </w:r>
    </w:p>
    <w:p w14:paraId="2337C2A1" w14:textId="77777777" w:rsidR="00671A6D" w:rsidRDefault="007E0801">
      <w:pPr>
        <w:pStyle w:val="TOC1"/>
        <w:tabs>
          <w:tab w:val="right" w:leader="dot" w:pos="9607"/>
        </w:tabs>
        <w:rPr>
          <w:noProof/>
          <w:lang w:val="en-AU" w:eastAsia="en-AU"/>
        </w:rPr>
      </w:pPr>
      <w:r>
        <w:fldChar w:fldCharType="begin"/>
      </w:r>
      <w:r>
        <w:instrText xml:space="preserve"> TOC \o "1-2" \h \z \u </w:instrText>
      </w:r>
      <w:r>
        <w:fldChar w:fldCharType="separate"/>
      </w:r>
      <w:hyperlink w:anchor="_Toc384042847" w:history="1">
        <w:r w:rsidR="00671A6D" w:rsidRPr="00955853">
          <w:rPr>
            <w:rStyle w:val="Hyperlink"/>
            <w:noProof/>
          </w:rPr>
          <w:t>PART A: Outcomes and Performance Indicators, Victoria</w:t>
        </w:r>
        <w:r w:rsidR="00671A6D">
          <w:rPr>
            <w:noProof/>
            <w:webHidden/>
          </w:rPr>
          <w:tab/>
        </w:r>
        <w:r w:rsidR="00671A6D">
          <w:rPr>
            <w:noProof/>
            <w:webHidden/>
          </w:rPr>
          <w:fldChar w:fldCharType="begin"/>
        </w:r>
        <w:r w:rsidR="00671A6D">
          <w:rPr>
            <w:noProof/>
            <w:webHidden/>
          </w:rPr>
          <w:instrText xml:space="preserve"> PAGEREF _Toc384042847 \h </w:instrText>
        </w:r>
        <w:r w:rsidR="00671A6D">
          <w:rPr>
            <w:noProof/>
            <w:webHidden/>
          </w:rPr>
        </w:r>
        <w:r w:rsidR="00671A6D">
          <w:rPr>
            <w:noProof/>
            <w:webHidden/>
          </w:rPr>
          <w:fldChar w:fldCharType="separate"/>
        </w:r>
        <w:r w:rsidR="001355F9">
          <w:rPr>
            <w:noProof/>
            <w:webHidden/>
          </w:rPr>
          <w:t>3</w:t>
        </w:r>
        <w:r w:rsidR="00671A6D">
          <w:rPr>
            <w:noProof/>
            <w:webHidden/>
          </w:rPr>
          <w:fldChar w:fldCharType="end"/>
        </w:r>
      </w:hyperlink>
    </w:p>
    <w:p w14:paraId="2D325B87" w14:textId="77777777" w:rsidR="00671A6D" w:rsidRDefault="00671A6D">
      <w:pPr>
        <w:pStyle w:val="TOC1"/>
        <w:tabs>
          <w:tab w:val="right" w:leader="dot" w:pos="9607"/>
        </w:tabs>
        <w:rPr>
          <w:noProof/>
          <w:lang w:val="en-AU" w:eastAsia="en-AU"/>
        </w:rPr>
      </w:pPr>
      <w:hyperlink w:anchor="_Toc384042848" w:history="1">
        <w:r w:rsidRPr="00955853">
          <w:rPr>
            <w:rStyle w:val="Hyperlink"/>
            <w:noProof/>
          </w:rPr>
          <w:t>PART B:</w:t>
        </w:r>
        <w:r>
          <w:rPr>
            <w:noProof/>
            <w:webHidden/>
          </w:rPr>
          <w:tab/>
        </w:r>
        <w:r>
          <w:rPr>
            <w:noProof/>
            <w:webHidden/>
          </w:rPr>
          <w:fldChar w:fldCharType="begin"/>
        </w:r>
        <w:r>
          <w:rPr>
            <w:noProof/>
            <w:webHidden/>
          </w:rPr>
          <w:instrText xml:space="preserve"> PAGEREF _Toc384042848 \h </w:instrText>
        </w:r>
        <w:r>
          <w:rPr>
            <w:noProof/>
            <w:webHidden/>
          </w:rPr>
        </w:r>
        <w:r>
          <w:rPr>
            <w:noProof/>
            <w:webHidden/>
          </w:rPr>
          <w:fldChar w:fldCharType="separate"/>
        </w:r>
        <w:r w:rsidR="001355F9">
          <w:rPr>
            <w:noProof/>
            <w:webHidden/>
          </w:rPr>
          <w:t>4</w:t>
        </w:r>
        <w:r>
          <w:rPr>
            <w:noProof/>
            <w:webHidden/>
          </w:rPr>
          <w:fldChar w:fldCharType="end"/>
        </w:r>
      </w:hyperlink>
    </w:p>
    <w:p w14:paraId="7FEE16FE" w14:textId="77777777" w:rsidR="00671A6D" w:rsidRDefault="00671A6D">
      <w:pPr>
        <w:pStyle w:val="TOC2"/>
        <w:rPr>
          <w:rFonts w:eastAsiaTheme="minorEastAsia"/>
          <w:noProof/>
          <w:lang w:eastAsia="en-AU"/>
        </w:rPr>
      </w:pPr>
      <w:hyperlink w:anchor="_Toc384042849" w:history="1">
        <w:r w:rsidRPr="00955853">
          <w:rPr>
            <w:rStyle w:val="Hyperlink"/>
            <w:noProof/>
          </w:rPr>
          <w:t>Current Landscape in Victoria</w:t>
        </w:r>
        <w:r>
          <w:rPr>
            <w:noProof/>
            <w:webHidden/>
          </w:rPr>
          <w:tab/>
        </w:r>
        <w:r>
          <w:rPr>
            <w:noProof/>
            <w:webHidden/>
          </w:rPr>
          <w:fldChar w:fldCharType="begin"/>
        </w:r>
        <w:r>
          <w:rPr>
            <w:noProof/>
            <w:webHidden/>
          </w:rPr>
          <w:instrText xml:space="preserve"> PAGEREF _Toc384042849 \h </w:instrText>
        </w:r>
        <w:r>
          <w:rPr>
            <w:noProof/>
            <w:webHidden/>
          </w:rPr>
        </w:r>
        <w:r>
          <w:rPr>
            <w:noProof/>
            <w:webHidden/>
          </w:rPr>
          <w:fldChar w:fldCharType="separate"/>
        </w:r>
        <w:r w:rsidR="001355F9">
          <w:rPr>
            <w:noProof/>
            <w:webHidden/>
          </w:rPr>
          <w:t>4</w:t>
        </w:r>
        <w:r>
          <w:rPr>
            <w:noProof/>
            <w:webHidden/>
          </w:rPr>
          <w:fldChar w:fldCharType="end"/>
        </w:r>
      </w:hyperlink>
    </w:p>
    <w:p w14:paraId="6BF4FD04" w14:textId="77777777" w:rsidR="00671A6D" w:rsidRDefault="00671A6D">
      <w:pPr>
        <w:pStyle w:val="TOC2"/>
        <w:rPr>
          <w:rFonts w:eastAsiaTheme="minorEastAsia"/>
          <w:noProof/>
          <w:lang w:eastAsia="en-AU"/>
        </w:rPr>
      </w:pPr>
      <w:hyperlink w:anchor="_Toc384042850" w:history="1">
        <w:r w:rsidRPr="00955853">
          <w:rPr>
            <w:rStyle w:val="Hyperlink"/>
            <w:noProof/>
          </w:rPr>
          <w:t>Maximising Engagement, Attainment and Successful Transitions</w:t>
        </w:r>
        <w:r>
          <w:rPr>
            <w:noProof/>
            <w:webHidden/>
          </w:rPr>
          <w:tab/>
        </w:r>
        <w:r>
          <w:rPr>
            <w:noProof/>
            <w:webHidden/>
          </w:rPr>
          <w:fldChar w:fldCharType="begin"/>
        </w:r>
        <w:r>
          <w:rPr>
            <w:noProof/>
            <w:webHidden/>
          </w:rPr>
          <w:instrText xml:space="preserve"> PAGEREF _Toc384042850 \h </w:instrText>
        </w:r>
        <w:r>
          <w:rPr>
            <w:noProof/>
            <w:webHidden/>
          </w:rPr>
        </w:r>
        <w:r>
          <w:rPr>
            <w:noProof/>
            <w:webHidden/>
          </w:rPr>
          <w:fldChar w:fldCharType="separate"/>
        </w:r>
        <w:r w:rsidR="001355F9">
          <w:rPr>
            <w:noProof/>
            <w:webHidden/>
          </w:rPr>
          <w:t>12</w:t>
        </w:r>
        <w:r>
          <w:rPr>
            <w:noProof/>
            <w:webHidden/>
          </w:rPr>
          <w:fldChar w:fldCharType="end"/>
        </w:r>
      </w:hyperlink>
    </w:p>
    <w:p w14:paraId="309B6E20" w14:textId="77777777" w:rsidR="00671A6D" w:rsidRDefault="00671A6D">
      <w:pPr>
        <w:pStyle w:val="TOC2"/>
        <w:rPr>
          <w:rFonts w:eastAsiaTheme="minorEastAsia"/>
          <w:noProof/>
          <w:lang w:eastAsia="en-AU"/>
        </w:rPr>
      </w:pPr>
      <w:hyperlink w:anchor="_Toc384042851" w:history="1">
        <w:r w:rsidRPr="00955853">
          <w:rPr>
            <w:rStyle w:val="Hyperlink"/>
            <w:noProof/>
          </w:rPr>
          <w:t>Indigenous Reporting</w:t>
        </w:r>
        <w:r>
          <w:rPr>
            <w:noProof/>
            <w:webHidden/>
          </w:rPr>
          <w:tab/>
        </w:r>
        <w:r>
          <w:rPr>
            <w:noProof/>
            <w:webHidden/>
          </w:rPr>
          <w:fldChar w:fldCharType="begin"/>
        </w:r>
        <w:r>
          <w:rPr>
            <w:noProof/>
            <w:webHidden/>
          </w:rPr>
          <w:instrText xml:space="preserve"> PAGEREF _Toc384042851 \h </w:instrText>
        </w:r>
        <w:r>
          <w:rPr>
            <w:noProof/>
            <w:webHidden/>
          </w:rPr>
        </w:r>
        <w:r>
          <w:rPr>
            <w:noProof/>
            <w:webHidden/>
          </w:rPr>
          <w:fldChar w:fldCharType="separate"/>
        </w:r>
        <w:r w:rsidR="001355F9">
          <w:rPr>
            <w:noProof/>
            <w:webHidden/>
          </w:rPr>
          <w:t>18</w:t>
        </w:r>
        <w:r>
          <w:rPr>
            <w:noProof/>
            <w:webHidden/>
          </w:rPr>
          <w:fldChar w:fldCharType="end"/>
        </w:r>
      </w:hyperlink>
    </w:p>
    <w:p w14:paraId="55DC9C36" w14:textId="77777777" w:rsidR="00671A6D" w:rsidRDefault="00671A6D">
      <w:pPr>
        <w:pStyle w:val="TOC2"/>
        <w:rPr>
          <w:rFonts w:eastAsiaTheme="minorEastAsia"/>
          <w:noProof/>
          <w:lang w:eastAsia="en-AU"/>
        </w:rPr>
      </w:pPr>
      <w:hyperlink w:anchor="_Toc384042852" w:history="1">
        <w:r w:rsidRPr="00955853">
          <w:rPr>
            <w:rStyle w:val="Hyperlink"/>
            <w:noProof/>
          </w:rPr>
          <w:t>The Compact with Young Australians</w:t>
        </w:r>
        <w:r>
          <w:rPr>
            <w:noProof/>
            <w:webHidden/>
          </w:rPr>
          <w:tab/>
        </w:r>
        <w:r>
          <w:rPr>
            <w:noProof/>
            <w:webHidden/>
          </w:rPr>
          <w:fldChar w:fldCharType="begin"/>
        </w:r>
        <w:r>
          <w:rPr>
            <w:noProof/>
            <w:webHidden/>
          </w:rPr>
          <w:instrText xml:space="preserve"> PAGEREF _Toc384042852 \h </w:instrText>
        </w:r>
        <w:r>
          <w:rPr>
            <w:noProof/>
            <w:webHidden/>
          </w:rPr>
        </w:r>
        <w:r>
          <w:rPr>
            <w:noProof/>
            <w:webHidden/>
          </w:rPr>
          <w:fldChar w:fldCharType="separate"/>
        </w:r>
        <w:r w:rsidR="001355F9">
          <w:rPr>
            <w:noProof/>
            <w:webHidden/>
          </w:rPr>
          <w:t>23</w:t>
        </w:r>
        <w:r>
          <w:rPr>
            <w:noProof/>
            <w:webHidden/>
          </w:rPr>
          <w:fldChar w:fldCharType="end"/>
        </w:r>
      </w:hyperlink>
    </w:p>
    <w:p w14:paraId="0B61B49D" w14:textId="77777777" w:rsidR="00671A6D" w:rsidRDefault="00671A6D">
      <w:pPr>
        <w:pStyle w:val="TOC2"/>
        <w:rPr>
          <w:rFonts w:eastAsiaTheme="minorEastAsia"/>
          <w:noProof/>
          <w:lang w:eastAsia="en-AU"/>
        </w:rPr>
      </w:pPr>
      <w:hyperlink w:anchor="_Toc384042853" w:history="1">
        <w:r w:rsidRPr="00955853">
          <w:rPr>
            <w:rStyle w:val="Hyperlink"/>
            <w:noProof/>
          </w:rPr>
          <w:t>School Business Community Partnership Brokers</w:t>
        </w:r>
        <w:r>
          <w:rPr>
            <w:noProof/>
            <w:webHidden/>
          </w:rPr>
          <w:tab/>
        </w:r>
        <w:r>
          <w:rPr>
            <w:noProof/>
            <w:webHidden/>
          </w:rPr>
          <w:fldChar w:fldCharType="begin"/>
        </w:r>
        <w:r>
          <w:rPr>
            <w:noProof/>
            <w:webHidden/>
          </w:rPr>
          <w:instrText xml:space="preserve"> PAGEREF _Toc384042853 \h </w:instrText>
        </w:r>
        <w:r>
          <w:rPr>
            <w:noProof/>
            <w:webHidden/>
          </w:rPr>
        </w:r>
        <w:r>
          <w:rPr>
            <w:noProof/>
            <w:webHidden/>
          </w:rPr>
          <w:fldChar w:fldCharType="separate"/>
        </w:r>
        <w:r w:rsidR="001355F9">
          <w:rPr>
            <w:noProof/>
            <w:webHidden/>
          </w:rPr>
          <w:t>25</w:t>
        </w:r>
        <w:r>
          <w:rPr>
            <w:noProof/>
            <w:webHidden/>
          </w:rPr>
          <w:fldChar w:fldCharType="end"/>
        </w:r>
      </w:hyperlink>
    </w:p>
    <w:p w14:paraId="3E5A9B37" w14:textId="77777777" w:rsidR="00671A6D" w:rsidRDefault="00671A6D">
      <w:pPr>
        <w:pStyle w:val="TOC1"/>
        <w:tabs>
          <w:tab w:val="right" w:leader="dot" w:pos="9607"/>
        </w:tabs>
        <w:rPr>
          <w:noProof/>
          <w:lang w:val="en-AU" w:eastAsia="en-AU"/>
        </w:rPr>
      </w:pPr>
      <w:hyperlink w:anchor="_Toc384042854" w:history="1">
        <w:r w:rsidRPr="00955853">
          <w:rPr>
            <w:rStyle w:val="Hyperlink"/>
            <w:noProof/>
          </w:rPr>
          <w:t>ANNEXURES</w:t>
        </w:r>
        <w:r>
          <w:rPr>
            <w:noProof/>
            <w:webHidden/>
          </w:rPr>
          <w:tab/>
        </w:r>
        <w:r>
          <w:rPr>
            <w:noProof/>
            <w:webHidden/>
          </w:rPr>
          <w:fldChar w:fldCharType="begin"/>
        </w:r>
        <w:r>
          <w:rPr>
            <w:noProof/>
            <w:webHidden/>
          </w:rPr>
          <w:instrText xml:space="preserve"> PAGEREF _Toc384042854 \h </w:instrText>
        </w:r>
        <w:r>
          <w:rPr>
            <w:noProof/>
            <w:webHidden/>
          </w:rPr>
        </w:r>
        <w:r>
          <w:rPr>
            <w:noProof/>
            <w:webHidden/>
          </w:rPr>
          <w:fldChar w:fldCharType="separate"/>
        </w:r>
        <w:r w:rsidR="001355F9">
          <w:rPr>
            <w:noProof/>
            <w:webHidden/>
          </w:rPr>
          <w:t>32</w:t>
        </w:r>
        <w:r>
          <w:rPr>
            <w:noProof/>
            <w:webHidden/>
          </w:rPr>
          <w:fldChar w:fldCharType="end"/>
        </w:r>
      </w:hyperlink>
    </w:p>
    <w:p w14:paraId="35015EF4" w14:textId="77777777" w:rsidR="00671A6D" w:rsidRDefault="00671A6D">
      <w:pPr>
        <w:pStyle w:val="TOC2"/>
        <w:rPr>
          <w:rFonts w:eastAsiaTheme="minorEastAsia"/>
          <w:noProof/>
          <w:lang w:eastAsia="en-AU"/>
        </w:rPr>
      </w:pPr>
      <w:hyperlink w:anchor="_Toc384042855" w:history="1">
        <w:r w:rsidRPr="00955853">
          <w:rPr>
            <w:rStyle w:val="Hyperlink"/>
            <w:noProof/>
          </w:rPr>
          <w:t>Australian Government’s Commonwealth Own Purpose Expenses elements of the YAT NP</w:t>
        </w:r>
        <w:r>
          <w:rPr>
            <w:noProof/>
            <w:webHidden/>
          </w:rPr>
          <w:tab/>
        </w:r>
        <w:r>
          <w:rPr>
            <w:noProof/>
            <w:webHidden/>
          </w:rPr>
          <w:fldChar w:fldCharType="begin"/>
        </w:r>
        <w:r>
          <w:rPr>
            <w:noProof/>
            <w:webHidden/>
          </w:rPr>
          <w:instrText xml:space="preserve"> PAGEREF _Toc384042855 \h </w:instrText>
        </w:r>
        <w:r>
          <w:rPr>
            <w:noProof/>
            <w:webHidden/>
          </w:rPr>
        </w:r>
        <w:r>
          <w:rPr>
            <w:noProof/>
            <w:webHidden/>
          </w:rPr>
          <w:fldChar w:fldCharType="separate"/>
        </w:r>
        <w:r w:rsidR="001355F9">
          <w:rPr>
            <w:noProof/>
            <w:webHidden/>
          </w:rPr>
          <w:t>32</w:t>
        </w:r>
        <w:r>
          <w:rPr>
            <w:noProof/>
            <w:webHidden/>
          </w:rPr>
          <w:fldChar w:fldCharType="end"/>
        </w:r>
      </w:hyperlink>
    </w:p>
    <w:p w14:paraId="10A4858B" w14:textId="77777777" w:rsidR="00671A6D" w:rsidRDefault="00671A6D">
      <w:pPr>
        <w:pStyle w:val="TOC1"/>
        <w:tabs>
          <w:tab w:val="right" w:leader="dot" w:pos="9607"/>
        </w:tabs>
        <w:rPr>
          <w:noProof/>
          <w:lang w:val="en-AU" w:eastAsia="en-AU"/>
        </w:rPr>
      </w:pPr>
      <w:hyperlink w:anchor="_Toc384042856" w:history="1">
        <w:r w:rsidRPr="00955853">
          <w:rPr>
            <w:rStyle w:val="Hyperlink"/>
            <w:noProof/>
          </w:rPr>
          <w:t>ANNEXURE 1 A – Youth Connections – National Summary</w:t>
        </w:r>
        <w:r>
          <w:rPr>
            <w:noProof/>
            <w:webHidden/>
          </w:rPr>
          <w:tab/>
        </w:r>
        <w:r>
          <w:rPr>
            <w:noProof/>
            <w:webHidden/>
          </w:rPr>
          <w:fldChar w:fldCharType="begin"/>
        </w:r>
        <w:r>
          <w:rPr>
            <w:noProof/>
            <w:webHidden/>
          </w:rPr>
          <w:instrText xml:space="preserve"> PAGEREF _Toc384042856 \h </w:instrText>
        </w:r>
        <w:r>
          <w:rPr>
            <w:noProof/>
            <w:webHidden/>
          </w:rPr>
        </w:r>
        <w:r>
          <w:rPr>
            <w:noProof/>
            <w:webHidden/>
          </w:rPr>
          <w:fldChar w:fldCharType="separate"/>
        </w:r>
        <w:r w:rsidR="001355F9">
          <w:rPr>
            <w:noProof/>
            <w:webHidden/>
          </w:rPr>
          <w:t>33</w:t>
        </w:r>
        <w:r>
          <w:rPr>
            <w:noProof/>
            <w:webHidden/>
          </w:rPr>
          <w:fldChar w:fldCharType="end"/>
        </w:r>
      </w:hyperlink>
    </w:p>
    <w:p w14:paraId="12A3E33D" w14:textId="77777777" w:rsidR="00671A6D" w:rsidRDefault="00671A6D">
      <w:pPr>
        <w:pStyle w:val="TOC2"/>
        <w:rPr>
          <w:rFonts w:eastAsiaTheme="minorEastAsia"/>
          <w:noProof/>
          <w:lang w:eastAsia="en-AU"/>
        </w:rPr>
      </w:pPr>
      <w:hyperlink w:anchor="_Toc384042857" w:history="1">
        <w:r w:rsidRPr="00955853">
          <w:rPr>
            <w:rStyle w:val="Hyperlink"/>
            <w:noProof/>
          </w:rPr>
          <w:t>Individual Support Services</w:t>
        </w:r>
        <w:r>
          <w:rPr>
            <w:noProof/>
            <w:webHidden/>
          </w:rPr>
          <w:tab/>
        </w:r>
        <w:r>
          <w:rPr>
            <w:noProof/>
            <w:webHidden/>
          </w:rPr>
          <w:fldChar w:fldCharType="begin"/>
        </w:r>
        <w:r>
          <w:rPr>
            <w:noProof/>
            <w:webHidden/>
          </w:rPr>
          <w:instrText xml:space="preserve"> PAGEREF _Toc384042857 \h </w:instrText>
        </w:r>
        <w:r>
          <w:rPr>
            <w:noProof/>
            <w:webHidden/>
          </w:rPr>
        </w:r>
        <w:r>
          <w:rPr>
            <w:noProof/>
            <w:webHidden/>
          </w:rPr>
          <w:fldChar w:fldCharType="separate"/>
        </w:r>
        <w:r w:rsidR="001355F9">
          <w:rPr>
            <w:noProof/>
            <w:webHidden/>
          </w:rPr>
          <w:t>33</w:t>
        </w:r>
        <w:r>
          <w:rPr>
            <w:noProof/>
            <w:webHidden/>
          </w:rPr>
          <w:fldChar w:fldCharType="end"/>
        </w:r>
      </w:hyperlink>
    </w:p>
    <w:p w14:paraId="3451686A" w14:textId="77777777" w:rsidR="00671A6D" w:rsidRDefault="00671A6D">
      <w:pPr>
        <w:pStyle w:val="TOC2"/>
        <w:rPr>
          <w:rFonts w:eastAsiaTheme="minorEastAsia"/>
          <w:noProof/>
          <w:lang w:eastAsia="en-AU"/>
        </w:rPr>
      </w:pPr>
      <w:hyperlink w:anchor="_Toc384042858" w:history="1">
        <w:r w:rsidRPr="00955853">
          <w:rPr>
            <w:rStyle w:val="Hyperlink"/>
            <w:noProof/>
          </w:rPr>
          <w:t>Outreach and Re-engagement activities</w:t>
        </w:r>
        <w:r>
          <w:rPr>
            <w:noProof/>
            <w:webHidden/>
          </w:rPr>
          <w:tab/>
        </w:r>
        <w:r>
          <w:rPr>
            <w:noProof/>
            <w:webHidden/>
          </w:rPr>
          <w:fldChar w:fldCharType="begin"/>
        </w:r>
        <w:r>
          <w:rPr>
            <w:noProof/>
            <w:webHidden/>
          </w:rPr>
          <w:instrText xml:space="preserve"> PAGEREF _Toc384042858 \h </w:instrText>
        </w:r>
        <w:r>
          <w:rPr>
            <w:noProof/>
            <w:webHidden/>
          </w:rPr>
        </w:r>
        <w:r>
          <w:rPr>
            <w:noProof/>
            <w:webHidden/>
          </w:rPr>
          <w:fldChar w:fldCharType="separate"/>
        </w:r>
        <w:r w:rsidR="001355F9">
          <w:rPr>
            <w:noProof/>
            <w:webHidden/>
          </w:rPr>
          <w:t>34</w:t>
        </w:r>
        <w:r>
          <w:rPr>
            <w:noProof/>
            <w:webHidden/>
          </w:rPr>
          <w:fldChar w:fldCharType="end"/>
        </w:r>
      </w:hyperlink>
    </w:p>
    <w:p w14:paraId="321F6866" w14:textId="77777777" w:rsidR="00671A6D" w:rsidRDefault="00671A6D">
      <w:pPr>
        <w:pStyle w:val="TOC2"/>
        <w:rPr>
          <w:rFonts w:eastAsiaTheme="minorEastAsia"/>
          <w:noProof/>
          <w:lang w:eastAsia="en-AU"/>
        </w:rPr>
      </w:pPr>
      <w:hyperlink w:anchor="_Toc384042859" w:history="1">
        <w:r w:rsidRPr="00955853">
          <w:rPr>
            <w:rStyle w:val="Hyperlink"/>
            <w:noProof/>
          </w:rPr>
          <w:t>Strengthening Services in the Region Activities</w:t>
        </w:r>
        <w:r>
          <w:rPr>
            <w:noProof/>
            <w:webHidden/>
          </w:rPr>
          <w:tab/>
        </w:r>
        <w:r>
          <w:rPr>
            <w:noProof/>
            <w:webHidden/>
          </w:rPr>
          <w:fldChar w:fldCharType="begin"/>
        </w:r>
        <w:r>
          <w:rPr>
            <w:noProof/>
            <w:webHidden/>
          </w:rPr>
          <w:instrText xml:space="preserve"> PAGEREF _Toc384042859 \h </w:instrText>
        </w:r>
        <w:r>
          <w:rPr>
            <w:noProof/>
            <w:webHidden/>
          </w:rPr>
        </w:r>
        <w:r>
          <w:rPr>
            <w:noProof/>
            <w:webHidden/>
          </w:rPr>
          <w:fldChar w:fldCharType="separate"/>
        </w:r>
        <w:r w:rsidR="001355F9">
          <w:rPr>
            <w:noProof/>
            <w:webHidden/>
          </w:rPr>
          <w:t>34</w:t>
        </w:r>
        <w:r>
          <w:rPr>
            <w:noProof/>
            <w:webHidden/>
          </w:rPr>
          <w:fldChar w:fldCharType="end"/>
        </w:r>
      </w:hyperlink>
    </w:p>
    <w:p w14:paraId="79F4EC3D" w14:textId="77777777" w:rsidR="00671A6D" w:rsidRDefault="00671A6D">
      <w:pPr>
        <w:pStyle w:val="TOC2"/>
        <w:rPr>
          <w:rFonts w:eastAsiaTheme="minorEastAsia"/>
          <w:noProof/>
          <w:lang w:eastAsia="en-AU"/>
        </w:rPr>
      </w:pPr>
      <w:hyperlink w:anchor="_Toc384042860" w:history="1">
        <w:r w:rsidRPr="00955853">
          <w:rPr>
            <w:rStyle w:val="Hyperlink"/>
            <w:noProof/>
          </w:rPr>
          <w:t>Program extension and changes to Outreach and Re-engagement and Strengthening Services in the Region activities</w:t>
        </w:r>
        <w:r>
          <w:rPr>
            <w:noProof/>
            <w:webHidden/>
          </w:rPr>
          <w:tab/>
        </w:r>
        <w:r>
          <w:rPr>
            <w:noProof/>
            <w:webHidden/>
          </w:rPr>
          <w:fldChar w:fldCharType="begin"/>
        </w:r>
        <w:r>
          <w:rPr>
            <w:noProof/>
            <w:webHidden/>
          </w:rPr>
          <w:instrText xml:space="preserve"> PAGEREF _Toc384042860 \h </w:instrText>
        </w:r>
        <w:r>
          <w:rPr>
            <w:noProof/>
            <w:webHidden/>
          </w:rPr>
        </w:r>
        <w:r>
          <w:rPr>
            <w:noProof/>
            <w:webHidden/>
          </w:rPr>
          <w:fldChar w:fldCharType="separate"/>
        </w:r>
        <w:r w:rsidR="001355F9">
          <w:rPr>
            <w:noProof/>
            <w:webHidden/>
          </w:rPr>
          <w:t>34</w:t>
        </w:r>
        <w:r>
          <w:rPr>
            <w:noProof/>
            <w:webHidden/>
          </w:rPr>
          <w:fldChar w:fldCharType="end"/>
        </w:r>
      </w:hyperlink>
    </w:p>
    <w:p w14:paraId="4417E289" w14:textId="77777777" w:rsidR="00671A6D" w:rsidRDefault="00671A6D">
      <w:pPr>
        <w:pStyle w:val="TOC2"/>
        <w:rPr>
          <w:rFonts w:eastAsiaTheme="minorEastAsia"/>
          <w:noProof/>
          <w:lang w:eastAsia="en-AU"/>
        </w:rPr>
      </w:pPr>
      <w:hyperlink w:anchor="_Toc384042861" w:history="1">
        <w:r w:rsidRPr="00955853">
          <w:rPr>
            <w:rStyle w:val="Hyperlink"/>
            <w:noProof/>
          </w:rPr>
          <w:t>Indigenous youth and Humanitarian Refugees</w:t>
        </w:r>
        <w:r>
          <w:rPr>
            <w:noProof/>
            <w:webHidden/>
          </w:rPr>
          <w:tab/>
        </w:r>
        <w:r>
          <w:rPr>
            <w:noProof/>
            <w:webHidden/>
          </w:rPr>
          <w:fldChar w:fldCharType="begin"/>
        </w:r>
        <w:r>
          <w:rPr>
            <w:noProof/>
            <w:webHidden/>
          </w:rPr>
          <w:instrText xml:space="preserve"> PAGEREF _Toc384042861 \h </w:instrText>
        </w:r>
        <w:r>
          <w:rPr>
            <w:noProof/>
            <w:webHidden/>
          </w:rPr>
        </w:r>
        <w:r>
          <w:rPr>
            <w:noProof/>
            <w:webHidden/>
          </w:rPr>
          <w:fldChar w:fldCharType="separate"/>
        </w:r>
        <w:r w:rsidR="001355F9">
          <w:rPr>
            <w:noProof/>
            <w:webHidden/>
          </w:rPr>
          <w:t>35</w:t>
        </w:r>
        <w:r>
          <w:rPr>
            <w:noProof/>
            <w:webHidden/>
          </w:rPr>
          <w:fldChar w:fldCharType="end"/>
        </w:r>
      </w:hyperlink>
    </w:p>
    <w:p w14:paraId="635A7DB4" w14:textId="77777777" w:rsidR="00671A6D" w:rsidRDefault="00671A6D">
      <w:pPr>
        <w:pStyle w:val="TOC2"/>
        <w:rPr>
          <w:rFonts w:eastAsiaTheme="minorEastAsia"/>
          <w:noProof/>
          <w:lang w:eastAsia="en-AU"/>
        </w:rPr>
      </w:pPr>
      <w:hyperlink w:anchor="_Toc384042862" w:history="1">
        <w:r w:rsidRPr="00955853">
          <w:rPr>
            <w:rStyle w:val="Hyperlink"/>
            <w:noProof/>
          </w:rPr>
          <w:t>Provider networks</w:t>
        </w:r>
        <w:r>
          <w:rPr>
            <w:noProof/>
            <w:webHidden/>
          </w:rPr>
          <w:tab/>
        </w:r>
        <w:r>
          <w:rPr>
            <w:noProof/>
            <w:webHidden/>
          </w:rPr>
          <w:fldChar w:fldCharType="begin"/>
        </w:r>
        <w:r>
          <w:rPr>
            <w:noProof/>
            <w:webHidden/>
          </w:rPr>
          <w:instrText xml:space="preserve"> PAGEREF _Toc384042862 \h </w:instrText>
        </w:r>
        <w:r>
          <w:rPr>
            <w:noProof/>
            <w:webHidden/>
          </w:rPr>
        </w:r>
        <w:r>
          <w:rPr>
            <w:noProof/>
            <w:webHidden/>
          </w:rPr>
          <w:fldChar w:fldCharType="separate"/>
        </w:r>
        <w:r w:rsidR="001355F9">
          <w:rPr>
            <w:noProof/>
            <w:webHidden/>
          </w:rPr>
          <w:t>35</w:t>
        </w:r>
        <w:r>
          <w:rPr>
            <w:noProof/>
            <w:webHidden/>
          </w:rPr>
          <w:fldChar w:fldCharType="end"/>
        </w:r>
      </w:hyperlink>
    </w:p>
    <w:p w14:paraId="21955DBA" w14:textId="77777777" w:rsidR="00671A6D" w:rsidRDefault="00671A6D">
      <w:pPr>
        <w:pStyle w:val="TOC2"/>
        <w:rPr>
          <w:rFonts w:eastAsiaTheme="minorEastAsia"/>
          <w:noProof/>
          <w:lang w:eastAsia="en-AU"/>
        </w:rPr>
      </w:pPr>
      <w:hyperlink w:anchor="_Toc384042863" w:history="1">
        <w:r w:rsidRPr="00955853">
          <w:rPr>
            <w:rStyle w:val="Hyperlink"/>
            <w:noProof/>
          </w:rPr>
          <w:t>Shout Out Events</w:t>
        </w:r>
        <w:r>
          <w:rPr>
            <w:noProof/>
            <w:webHidden/>
          </w:rPr>
          <w:tab/>
        </w:r>
        <w:r>
          <w:rPr>
            <w:noProof/>
            <w:webHidden/>
          </w:rPr>
          <w:fldChar w:fldCharType="begin"/>
        </w:r>
        <w:r>
          <w:rPr>
            <w:noProof/>
            <w:webHidden/>
          </w:rPr>
          <w:instrText xml:space="preserve"> PAGEREF _Toc384042863 \h </w:instrText>
        </w:r>
        <w:r>
          <w:rPr>
            <w:noProof/>
            <w:webHidden/>
          </w:rPr>
        </w:r>
        <w:r>
          <w:rPr>
            <w:noProof/>
            <w:webHidden/>
          </w:rPr>
          <w:fldChar w:fldCharType="separate"/>
        </w:r>
        <w:r w:rsidR="001355F9">
          <w:rPr>
            <w:noProof/>
            <w:webHidden/>
          </w:rPr>
          <w:t>36</w:t>
        </w:r>
        <w:r>
          <w:rPr>
            <w:noProof/>
            <w:webHidden/>
          </w:rPr>
          <w:fldChar w:fldCharType="end"/>
        </w:r>
      </w:hyperlink>
    </w:p>
    <w:p w14:paraId="7A395B4B" w14:textId="77777777" w:rsidR="00671A6D" w:rsidRDefault="00671A6D">
      <w:pPr>
        <w:pStyle w:val="TOC2"/>
        <w:rPr>
          <w:rFonts w:eastAsiaTheme="minorEastAsia"/>
          <w:noProof/>
          <w:lang w:eastAsia="en-AU"/>
        </w:rPr>
      </w:pPr>
      <w:hyperlink w:anchor="_Toc384042864" w:history="1">
        <w:r w:rsidRPr="00955853">
          <w:rPr>
            <w:rStyle w:val="Hyperlink"/>
            <w:noProof/>
          </w:rPr>
          <w:t>Website with case studies</w:t>
        </w:r>
        <w:r>
          <w:rPr>
            <w:noProof/>
            <w:webHidden/>
          </w:rPr>
          <w:tab/>
        </w:r>
        <w:r>
          <w:rPr>
            <w:noProof/>
            <w:webHidden/>
          </w:rPr>
          <w:fldChar w:fldCharType="begin"/>
        </w:r>
        <w:r>
          <w:rPr>
            <w:noProof/>
            <w:webHidden/>
          </w:rPr>
          <w:instrText xml:space="preserve"> PAGEREF _Toc384042864 \h </w:instrText>
        </w:r>
        <w:r>
          <w:rPr>
            <w:noProof/>
            <w:webHidden/>
          </w:rPr>
        </w:r>
        <w:r>
          <w:rPr>
            <w:noProof/>
            <w:webHidden/>
          </w:rPr>
          <w:fldChar w:fldCharType="separate"/>
        </w:r>
        <w:r w:rsidR="001355F9">
          <w:rPr>
            <w:noProof/>
            <w:webHidden/>
          </w:rPr>
          <w:t>36</w:t>
        </w:r>
        <w:r>
          <w:rPr>
            <w:noProof/>
            <w:webHidden/>
          </w:rPr>
          <w:fldChar w:fldCharType="end"/>
        </w:r>
      </w:hyperlink>
    </w:p>
    <w:p w14:paraId="05704B54" w14:textId="77777777" w:rsidR="00671A6D" w:rsidRDefault="00671A6D">
      <w:pPr>
        <w:pStyle w:val="TOC2"/>
        <w:rPr>
          <w:rFonts w:eastAsiaTheme="minorEastAsia"/>
          <w:noProof/>
          <w:lang w:eastAsia="en-AU"/>
        </w:rPr>
      </w:pPr>
      <w:hyperlink w:anchor="_Toc384042865" w:history="1">
        <w:r w:rsidRPr="00955853">
          <w:rPr>
            <w:rStyle w:val="Hyperlink"/>
            <w:noProof/>
          </w:rPr>
          <w:t>2013 DEEWR focus areas</w:t>
        </w:r>
        <w:r>
          <w:rPr>
            <w:noProof/>
            <w:webHidden/>
          </w:rPr>
          <w:tab/>
        </w:r>
        <w:r>
          <w:rPr>
            <w:noProof/>
            <w:webHidden/>
          </w:rPr>
          <w:fldChar w:fldCharType="begin"/>
        </w:r>
        <w:r>
          <w:rPr>
            <w:noProof/>
            <w:webHidden/>
          </w:rPr>
          <w:instrText xml:space="preserve"> PAGEREF _Toc384042865 \h </w:instrText>
        </w:r>
        <w:r>
          <w:rPr>
            <w:noProof/>
            <w:webHidden/>
          </w:rPr>
        </w:r>
        <w:r>
          <w:rPr>
            <w:noProof/>
            <w:webHidden/>
          </w:rPr>
          <w:fldChar w:fldCharType="separate"/>
        </w:r>
        <w:r w:rsidR="001355F9">
          <w:rPr>
            <w:noProof/>
            <w:webHidden/>
          </w:rPr>
          <w:t>36</w:t>
        </w:r>
        <w:r>
          <w:rPr>
            <w:noProof/>
            <w:webHidden/>
          </w:rPr>
          <w:fldChar w:fldCharType="end"/>
        </w:r>
      </w:hyperlink>
    </w:p>
    <w:p w14:paraId="40068B64" w14:textId="77777777" w:rsidR="00671A6D" w:rsidRDefault="00671A6D">
      <w:pPr>
        <w:pStyle w:val="TOC2"/>
        <w:rPr>
          <w:rFonts w:eastAsiaTheme="minorEastAsia"/>
          <w:noProof/>
          <w:lang w:eastAsia="en-AU"/>
        </w:rPr>
      </w:pPr>
      <w:hyperlink w:anchor="_Toc384042866" w:history="1">
        <w:r w:rsidRPr="00955853">
          <w:rPr>
            <w:rStyle w:val="Hyperlink"/>
            <w:noProof/>
          </w:rPr>
          <w:t>Victoria Summary</w:t>
        </w:r>
        <w:r>
          <w:rPr>
            <w:noProof/>
            <w:webHidden/>
          </w:rPr>
          <w:tab/>
        </w:r>
        <w:r>
          <w:rPr>
            <w:noProof/>
            <w:webHidden/>
          </w:rPr>
          <w:fldChar w:fldCharType="begin"/>
        </w:r>
        <w:r>
          <w:rPr>
            <w:noProof/>
            <w:webHidden/>
          </w:rPr>
          <w:instrText xml:space="preserve"> PAGEREF _Toc384042866 \h </w:instrText>
        </w:r>
        <w:r>
          <w:rPr>
            <w:noProof/>
            <w:webHidden/>
          </w:rPr>
        </w:r>
        <w:r>
          <w:rPr>
            <w:noProof/>
            <w:webHidden/>
          </w:rPr>
          <w:fldChar w:fldCharType="separate"/>
        </w:r>
        <w:r w:rsidR="001355F9">
          <w:rPr>
            <w:noProof/>
            <w:webHidden/>
          </w:rPr>
          <w:t>37</w:t>
        </w:r>
        <w:r>
          <w:rPr>
            <w:noProof/>
            <w:webHidden/>
          </w:rPr>
          <w:fldChar w:fldCharType="end"/>
        </w:r>
      </w:hyperlink>
    </w:p>
    <w:p w14:paraId="561E45CE" w14:textId="77777777" w:rsidR="00671A6D" w:rsidRDefault="00671A6D">
      <w:pPr>
        <w:pStyle w:val="TOC2"/>
        <w:rPr>
          <w:rFonts w:eastAsiaTheme="minorEastAsia"/>
          <w:noProof/>
          <w:lang w:eastAsia="en-AU"/>
        </w:rPr>
      </w:pPr>
      <w:hyperlink w:anchor="_Toc384042867" w:history="1">
        <w:r w:rsidRPr="00955853">
          <w:rPr>
            <w:rStyle w:val="Hyperlink"/>
            <w:noProof/>
          </w:rPr>
          <w:t>Youth Connections program data</w:t>
        </w:r>
        <w:r>
          <w:rPr>
            <w:noProof/>
            <w:webHidden/>
          </w:rPr>
          <w:tab/>
        </w:r>
        <w:r>
          <w:rPr>
            <w:noProof/>
            <w:webHidden/>
          </w:rPr>
          <w:fldChar w:fldCharType="begin"/>
        </w:r>
        <w:r>
          <w:rPr>
            <w:noProof/>
            <w:webHidden/>
          </w:rPr>
          <w:instrText xml:space="preserve"> PAGEREF _Toc384042867 \h </w:instrText>
        </w:r>
        <w:r>
          <w:rPr>
            <w:noProof/>
            <w:webHidden/>
          </w:rPr>
        </w:r>
        <w:r>
          <w:rPr>
            <w:noProof/>
            <w:webHidden/>
          </w:rPr>
          <w:fldChar w:fldCharType="separate"/>
        </w:r>
        <w:r w:rsidR="001355F9">
          <w:rPr>
            <w:noProof/>
            <w:webHidden/>
          </w:rPr>
          <w:t>39</w:t>
        </w:r>
        <w:r>
          <w:rPr>
            <w:noProof/>
            <w:webHidden/>
          </w:rPr>
          <w:fldChar w:fldCharType="end"/>
        </w:r>
      </w:hyperlink>
    </w:p>
    <w:p w14:paraId="6268DECE" w14:textId="77777777" w:rsidR="00671A6D" w:rsidRDefault="00671A6D">
      <w:pPr>
        <w:pStyle w:val="TOC2"/>
        <w:rPr>
          <w:rFonts w:eastAsiaTheme="minorEastAsia"/>
          <w:noProof/>
          <w:lang w:eastAsia="en-AU"/>
        </w:rPr>
      </w:pPr>
      <w:hyperlink w:anchor="_Toc384042868" w:history="1">
        <w:r w:rsidRPr="00955853">
          <w:rPr>
            <w:rStyle w:val="Hyperlink"/>
            <w:noProof/>
          </w:rPr>
          <w:t>Outcomes</w:t>
        </w:r>
        <w:r>
          <w:rPr>
            <w:noProof/>
            <w:webHidden/>
          </w:rPr>
          <w:tab/>
        </w:r>
        <w:r>
          <w:rPr>
            <w:noProof/>
            <w:webHidden/>
          </w:rPr>
          <w:fldChar w:fldCharType="begin"/>
        </w:r>
        <w:r>
          <w:rPr>
            <w:noProof/>
            <w:webHidden/>
          </w:rPr>
          <w:instrText xml:space="preserve"> PAGEREF _Toc384042868 \h </w:instrText>
        </w:r>
        <w:r>
          <w:rPr>
            <w:noProof/>
            <w:webHidden/>
          </w:rPr>
        </w:r>
        <w:r>
          <w:rPr>
            <w:noProof/>
            <w:webHidden/>
          </w:rPr>
          <w:fldChar w:fldCharType="separate"/>
        </w:r>
        <w:r w:rsidR="001355F9">
          <w:rPr>
            <w:noProof/>
            <w:webHidden/>
          </w:rPr>
          <w:t>50</w:t>
        </w:r>
        <w:r>
          <w:rPr>
            <w:noProof/>
            <w:webHidden/>
          </w:rPr>
          <w:fldChar w:fldCharType="end"/>
        </w:r>
      </w:hyperlink>
    </w:p>
    <w:p w14:paraId="6C385F0C" w14:textId="77777777" w:rsidR="00671A6D" w:rsidRDefault="00671A6D">
      <w:pPr>
        <w:pStyle w:val="TOC2"/>
        <w:rPr>
          <w:rFonts w:eastAsiaTheme="minorEastAsia"/>
          <w:noProof/>
          <w:lang w:eastAsia="en-AU"/>
        </w:rPr>
      </w:pPr>
      <w:hyperlink w:anchor="_Toc384042869" w:history="1">
        <w:r w:rsidRPr="00955853">
          <w:rPr>
            <w:rStyle w:val="Hyperlink"/>
            <w:noProof/>
          </w:rPr>
          <w:t>Indigenous</w:t>
        </w:r>
        <w:r>
          <w:rPr>
            <w:noProof/>
            <w:webHidden/>
          </w:rPr>
          <w:tab/>
        </w:r>
        <w:r>
          <w:rPr>
            <w:noProof/>
            <w:webHidden/>
          </w:rPr>
          <w:fldChar w:fldCharType="begin"/>
        </w:r>
        <w:r>
          <w:rPr>
            <w:noProof/>
            <w:webHidden/>
          </w:rPr>
          <w:instrText xml:space="preserve"> PAGEREF _Toc384042869 \h </w:instrText>
        </w:r>
        <w:r>
          <w:rPr>
            <w:noProof/>
            <w:webHidden/>
          </w:rPr>
        </w:r>
        <w:r>
          <w:rPr>
            <w:noProof/>
            <w:webHidden/>
          </w:rPr>
          <w:fldChar w:fldCharType="separate"/>
        </w:r>
        <w:r w:rsidR="001355F9">
          <w:rPr>
            <w:noProof/>
            <w:webHidden/>
          </w:rPr>
          <w:t>57</w:t>
        </w:r>
        <w:r>
          <w:rPr>
            <w:noProof/>
            <w:webHidden/>
          </w:rPr>
          <w:fldChar w:fldCharType="end"/>
        </w:r>
      </w:hyperlink>
    </w:p>
    <w:p w14:paraId="49A343DF" w14:textId="77777777" w:rsidR="00671A6D" w:rsidRDefault="00671A6D">
      <w:pPr>
        <w:pStyle w:val="TOC2"/>
        <w:rPr>
          <w:rFonts w:eastAsiaTheme="minorEastAsia"/>
          <w:noProof/>
          <w:lang w:eastAsia="en-AU"/>
        </w:rPr>
      </w:pPr>
      <w:hyperlink w:anchor="_Toc384042870" w:history="1">
        <w:r w:rsidRPr="00955853">
          <w:rPr>
            <w:rStyle w:val="Hyperlink"/>
            <w:noProof/>
          </w:rPr>
          <w:t>Humanitarian Refugee</w:t>
        </w:r>
        <w:r>
          <w:rPr>
            <w:noProof/>
            <w:webHidden/>
          </w:rPr>
          <w:tab/>
        </w:r>
        <w:r>
          <w:rPr>
            <w:noProof/>
            <w:webHidden/>
          </w:rPr>
          <w:fldChar w:fldCharType="begin"/>
        </w:r>
        <w:r>
          <w:rPr>
            <w:noProof/>
            <w:webHidden/>
          </w:rPr>
          <w:instrText xml:space="preserve"> PAGEREF _Toc384042870 \h </w:instrText>
        </w:r>
        <w:r>
          <w:rPr>
            <w:noProof/>
            <w:webHidden/>
          </w:rPr>
        </w:r>
        <w:r>
          <w:rPr>
            <w:noProof/>
            <w:webHidden/>
          </w:rPr>
          <w:fldChar w:fldCharType="separate"/>
        </w:r>
        <w:r w:rsidR="001355F9">
          <w:rPr>
            <w:noProof/>
            <w:webHidden/>
          </w:rPr>
          <w:t>58</w:t>
        </w:r>
        <w:r>
          <w:rPr>
            <w:noProof/>
            <w:webHidden/>
          </w:rPr>
          <w:fldChar w:fldCharType="end"/>
        </w:r>
      </w:hyperlink>
    </w:p>
    <w:p w14:paraId="176FAD3D" w14:textId="77777777" w:rsidR="00671A6D" w:rsidRDefault="00671A6D">
      <w:pPr>
        <w:pStyle w:val="TOC2"/>
        <w:rPr>
          <w:rFonts w:eastAsiaTheme="minorEastAsia"/>
          <w:noProof/>
          <w:lang w:eastAsia="en-AU"/>
        </w:rPr>
      </w:pPr>
      <w:hyperlink w:anchor="_Toc384042871" w:history="1">
        <w:r w:rsidRPr="00955853">
          <w:rPr>
            <w:rStyle w:val="Hyperlink"/>
            <w:noProof/>
          </w:rPr>
          <w:t>Outreach and Re-engagement Services</w:t>
        </w:r>
        <w:r>
          <w:rPr>
            <w:noProof/>
            <w:webHidden/>
          </w:rPr>
          <w:tab/>
        </w:r>
        <w:r>
          <w:rPr>
            <w:noProof/>
            <w:webHidden/>
          </w:rPr>
          <w:fldChar w:fldCharType="begin"/>
        </w:r>
        <w:r>
          <w:rPr>
            <w:noProof/>
            <w:webHidden/>
          </w:rPr>
          <w:instrText xml:space="preserve"> PAGEREF _Toc384042871 \h </w:instrText>
        </w:r>
        <w:r>
          <w:rPr>
            <w:noProof/>
            <w:webHidden/>
          </w:rPr>
        </w:r>
        <w:r>
          <w:rPr>
            <w:noProof/>
            <w:webHidden/>
          </w:rPr>
          <w:fldChar w:fldCharType="separate"/>
        </w:r>
        <w:r w:rsidR="001355F9">
          <w:rPr>
            <w:noProof/>
            <w:webHidden/>
          </w:rPr>
          <w:t>60</w:t>
        </w:r>
        <w:r>
          <w:rPr>
            <w:noProof/>
            <w:webHidden/>
          </w:rPr>
          <w:fldChar w:fldCharType="end"/>
        </w:r>
      </w:hyperlink>
    </w:p>
    <w:p w14:paraId="3255ADDD" w14:textId="77777777" w:rsidR="00671A6D" w:rsidRDefault="00671A6D">
      <w:pPr>
        <w:pStyle w:val="TOC2"/>
        <w:rPr>
          <w:rFonts w:eastAsiaTheme="minorEastAsia"/>
          <w:noProof/>
          <w:lang w:eastAsia="en-AU"/>
        </w:rPr>
      </w:pPr>
      <w:hyperlink w:anchor="_Toc384042872" w:history="1">
        <w:r w:rsidRPr="00955853">
          <w:rPr>
            <w:rStyle w:val="Hyperlink"/>
            <w:noProof/>
          </w:rPr>
          <w:t>Strengthening Services in the Region</w:t>
        </w:r>
        <w:r>
          <w:rPr>
            <w:noProof/>
            <w:webHidden/>
          </w:rPr>
          <w:tab/>
        </w:r>
        <w:r>
          <w:rPr>
            <w:noProof/>
            <w:webHidden/>
          </w:rPr>
          <w:fldChar w:fldCharType="begin"/>
        </w:r>
        <w:r>
          <w:rPr>
            <w:noProof/>
            <w:webHidden/>
          </w:rPr>
          <w:instrText xml:space="preserve"> PAGEREF _Toc384042872 \h </w:instrText>
        </w:r>
        <w:r>
          <w:rPr>
            <w:noProof/>
            <w:webHidden/>
          </w:rPr>
        </w:r>
        <w:r>
          <w:rPr>
            <w:noProof/>
            <w:webHidden/>
          </w:rPr>
          <w:fldChar w:fldCharType="separate"/>
        </w:r>
        <w:r w:rsidR="001355F9">
          <w:rPr>
            <w:noProof/>
            <w:webHidden/>
          </w:rPr>
          <w:t>60</w:t>
        </w:r>
        <w:r>
          <w:rPr>
            <w:noProof/>
            <w:webHidden/>
          </w:rPr>
          <w:fldChar w:fldCharType="end"/>
        </w:r>
      </w:hyperlink>
    </w:p>
    <w:p w14:paraId="1BFBD3AD" w14:textId="77777777" w:rsidR="00671A6D" w:rsidRDefault="00671A6D">
      <w:pPr>
        <w:pStyle w:val="TOC1"/>
        <w:tabs>
          <w:tab w:val="right" w:leader="dot" w:pos="9607"/>
        </w:tabs>
        <w:rPr>
          <w:noProof/>
          <w:lang w:val="en-AU" w:eastAsia="en-AU"/>
        </w:rPr>
      </w:pPr>
      <w:hyperlink w:anchor="_Toc384042873" w:history="1">
        <w:r w:rsidRPr="00955853">
          <w:rPr>
            <w:rStyle w:val="Hyperlink"/>
            <w:rFonts w:eastAsia="Times New Roman"/>
            <w:noProof/>
          </w:rPr>
          <w:t>ANNEXURE 1 B – National Career Development</w:t>
        </w:r>
        <w:r>
          <w:rPr>
            <w:noProof/>
            <w:webHidden/>
          </w:rPr>
          <w:tab/>
        </w:r>
        <w:r>
          <w:rPr>
            <w:noProof/>
            <w:webHidden/>
          </w:rPr>
          <w:fldChar w:fldCharType="begin"/>
        </w:r>
        <w:r>
          <w:rPr>
            <w:noProof/>
            <w:webHidden/>
          </w:rPr>
          <w:instrText xml:space="preserve"> PAGEREF _Toc384042873 \h </w:instrText>
        </w:r>
        <w:r>
          <w:rPr>
            <w:noProof/>
            <w:webHidden/>
          </w:rPr>
        </w:r>
        <w:r>
          <w:rPr>
            <w:noProof/>
            <w:webHidden/>
          </w:rPr>
          <w:fldChar w:fldCharType="separate"/>
        </w:r>
        <w:r w:rsidR="001355F9">
          <w:rPr>
            <w:noProof/>
            <w:webHidden/>
          </w:rPr>
          <w:t>62</w:t>
        </w:r>
        <w:r>
          <w:rPr>
            <w:noProof/>
            <w:webHidden/>
          </w:rPr>
          <w:fldChar w:fldCharType="end"/>
        </w:r>
      </w:hyperlink>
    </w:p>
    <w:p w14:paraId="26F445E7" w14:textId="77777777" w:rsidR="00671A6D" w:rsidRDefault="00671A6D">
      <w:pPr>
        <w:pStyle w:val="TOC2"/>
        <w:rPr>
          <w:rFonts w:eastAsiaTheme="minorEastAsia"/>
          <w:noProof/>
          <w:lang w:eastAsia="en-AU"/>
        </w:rPr>
      </w:pPr>
      <w:hyperlink w:anchor="_Toc384042874" w:history="1">
        <w:r w:rsidRPr="00955853">
          <w:rPr>
            <w:rStyle w:val="Hyperlink"/>
            <w:rFonts w:eastAsia="Times New Roman"/>
            <w:noProof/>
          </w:rPr>
          <w:t>National Summary: Activity during the 2012 calendar year</w:t>
        </w:r>
        <w:r>
          <w:rPr>
            <w:noProof/>
            <w:webHidden/>
          </w:rPr>
          <w:tab/>
        </w:r>
        <w:r>
          <w:rPr>
            <w:noProof/>
            <w:webHidden/>
          </w:rPr>
          <w:fldChar w:fldCharType="begin"/>
        </w:r>
        <w:r>
          <w:rPr>
            <w:noProof/>
            <w:webHidden/>
          </w:rPr>
          <w:instrText xml:space="preserve"> PAGEREF _Toc384042874 \h </w:instrText>
        </w:r>
        <w:r>
          <w:rPr>
            <w:noProof/>
            <w:webHidden/>
          </w:rPr>
        </w:r>
        <w:r>
          <w:rPr>
            <w:noProof/>
            <w:webHidden/>
          </w:rPr>
          <w:fldChar w:fldCharType="separate"/>
        </w:r>
        <w:r w:rsidR="001355F9">
          <w:rPr>
            <w:noProof/>
            <w:webHidden/>
          </w:rPr>
          <w:t>62</w:t>
        </w:r>
        <w:r>
          <w:rPr>
            <w:noProof/>
            <w:webHidden/>
          </w:rPr>
          <w:fldChar w:fldCharType="end"/>
        </w:r>
      </w:hyperlink>
    </w:p>
    <w:p w14:paraId="33E85F3C" w14:textId="37E7DBE0" w:rsidR="00546F15" w:rsidRDefault="007E0801" w:rsidP="00055461">
      <w:pPr>
        <w:spacing w:after="200"/>
      </w:pPr>
      <w:r>
        <w:fldChar w:fldCharType="end"/>
      </w:r>
      <w:bookmarkStart w:id="0" w:name="_GoBack"/>
      <w:bookmarkEnd w:id="0"/>
    </w:p>
    <w:p w14:paraId="32869B23" w14:textId="77777777" w:rsidR="00055461" w:rsidRDefault="00055461">
      <w:pPr>
        <w:spacing w:after="200"/>
      </w:pPr>
      <w:r>
        <w:br w:type="page"/>
      </w:r>
    </w:p>
    <w:p w14:paraId="4C78606F" w14:textId="06096C26" w:rsidR="00392191" w:rsidRDefault="00392191" w:rsidP="00392191">
      <w:r>
        <w:lastRenderedPageBreak/>
        <w:t xml:space="preserve">Annual reporting requirements under the National Partnership on Youth Attainment and Transitions </w:t>
      </w:r>
      <w:r w:rsidR="00F300BD">
        <w:t xml:space="preserve">Agreement </w:t>
      </w:r>
      <w:r>
        <w:t>are contained in paragraphs 69 to 72 (reproduced below). In addition, Schedule B of the National Partnership on Youth Attainment and Transitions contains Indigenous reporting requirements.</w:t>
      </w:r>
    </w:p>
    <w:p w14:paraId="026A13F0" w14:textId="77777777" w:rsidR="00671A6D" w:rsidRDefault="00671A6D" w:rsidP="00392191"/>
    <w:p w14:paraId="73B038E1" w14:textId="3CD08726" w:rsidR="0045514D" w:rsidRDefault="00E52B6D" w:rsidP="00671A6D">
      <w:pPr>
        <w:sectPr w:rsidR="0045514D" w:rsidSect="003B377C">
          <w:headerReference w:type="default" r:id="rId12"/>
          <w:footerReference w:type="default" r:id="rId13"/>
          <w:pgSz w:w="11906" w:h="16838"/>
          <w:pgMar w:top="1440" w:right="849" w:bottom="1440" w:left="1440" w:header="568" w:footer="708" w:gutter="0"/>
          <w:pgNumType w:start="1"/>
          <w:cols w:space="708"/>
          <w:docGrid w:linePitch="360"/>
        </w:sectPr>
      </w:pPr>
      <w:r>
        <w:rPr>
          <w:noProof/>
          <w:lang w:eastAsia="en-AU"/>
        </w:rPr>
        <mc:AlternateContent>
          <mc:Choice Requires="wps">
            <w:drawing>
              <wp:inline distT="0" distB="0" distL="0" distR="0" wp14:anchorId="2E428022" wp14:editId="483A5F62">
                <wp:extent cx="5270500" cy="3314700"/>
                <wp:effectExtent l="0" t="0" r="25400" b="19050"/>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70500" cy="3314700"/>
                        </a:xfrm>
                        <a:prstGeom prst="rect">
                          <a:avLst/>
                        </a:prstGeom>
                        <a:solidFill>
                          <a:schemeClr val="bg2">
                            <a:lumMod val="100000"/>
                            <a:lumOff val="0"/>
                          </a:schemeClr>
                        </a:solidFill>
                        <a:ln w="9525">
                          <a:solidFill>
                            <a:srgbClr val="000000"/>
                          </a:solidFill>
                          <a:miter lim="800000"/>
                          <a:headEnd/>
                          <a:tailEnd/>
                        </a:ln>
                      </wps:spPr>
                      <wps:txbx>
                        <w:txbxContent>
                          <w:p w14:paraId="5EE2E8C0" w14:textId="77777777" w:rsidR="006D3781" w:rsidRPr="00F36A95" w:rsidRDefault="006D3781" w:rsidP="00392191">
                            <w:pPr>
                              <w:pStyle w:val="Default"/>
                              <w:rPr>
                                <w:sz w:val="22"/>
                                <w:szCs w:val="22"/>
                              </w:rPr>
                            </w:pPr>
                          </w:p>
                          <w:p w14:paraId="4208081C" w14:textId="3A8B8FCA" w:rsidR="006D3781" w:rsidRPr="00F36A95" w:rsidRDefault="006D3781" w:rsidP="00671A6D">
                            <w:pPr>
                              <w:pStyle w:val="Default"/>
                              <w:spacing w:after="195"/>
                              <w:jc w:val="center"/>
                              <w:rPr>
                                <w:sz w:val="22"/>
                                <w:szCs w:val="22"/>
                              </w:rPr>
                            </w:pPr>
                            <w:r w:rsidRPr="00F36A95">
                              <w:rPr>
                                <w:sz w:val="22"/>
                                <w:szCs w:val="22"/>
                              </w:rPr>
                              <w:t>69. Thereafter, States and Territories will provide annual reports to the Commonwealth against the outcomes, performance benchmarks and performance indicators specified in this Agreement as outlined in table 1 at paragraph 16 and in table 3 at paragraph 59.</w:t>
                            </w:r>
                          </w:p>
                          <w:p w14:paraId="492BE566" w14:textId="77777777" w:rsidR="006D3781" w:rsidRPr="00F36A95" w:rsidRDefault="006D3781" w:rsidP="00392191">
                            <w:pPr>
                              <w:pStyle w:val="FromNP"/>
                              <w:rPr>
                                <w:sz w:val="22"/>
                                <w:szCs w:val="22"/>
                              </w:rPr>
                            </w:pPr>
                            <w:r w:rsidRPr="00F36A95">
                              <w:rPr>
                                <w:sz w:val="22"/>
                                <w:szCs w:val="22"/>
                              </w:rPr>
                              <w:t xml:space="preserve">70. To meet a shared commitment to reporting on efforts to close the gap for Indigenous people, States and Territories also commit to including in their annual reports progress towards halving the gap in Indigenous Year 12 or equivalent attainment by 2020. Progress measures towards halving the gap in Indigenous Year 12 or equivalent attainment are at Schedule B. </w:t>
                            </w:r>
                          </w:p>
                          <w:p w14:paraId="340C61FB" w14:textId="77777777" w:rsidR="006D3781" w:rsidRPr="00F36A95" w:rsidRDefault="006D3781" w:rsidP="00392191">
                            <w:pPr>
                              <w:pStyle w:val="Default"/>
                              <w:spacing w:after="195"/>
                              <w:rPr>
                                <w:sz w:val="22"/>
                                <w:szCs w:val="22"/>
                              </w:rPr>
                            </w:pPr>
                            <w:r w:rsidRPr="00F36A95">
                              <w:rPr>
                                <w:sz w:val="22"/>
                                <w:szCs w:val="22"/>
                              </w:rPr>
                              <w:t>71. Reporting will include detail of funding provided to the non-government sector and maintenance of any existing State and Territory funding for careers and transitions support services (see paragraph 52 and 53).</w:t>
                            </w:r>
                          </w:p>
                          <w:p w14:paraId="5A17B18C" w14:textId="77777777" w:rsidR="006D3781" w:rsidRPr="00F36A95" w:rsidRDefault="006D3781" w:rsidP="00392191">
                            <w:pPr>
                              <w:pStyle w:val="Default"/>
                              <w:spacing w:after="195"/>
                              <w:rPr>
                                <w:sz w:val="22"/>
                                <w:szCs w:val="22"/>
                              </w:rPr>
                            </w:pPr>
                            <w:r w:rsidRPr="00F36A95">
                              <w:rPr>
                                <w:sz w:val="22"/>
                                <w:szCs w:val="22"/>
                              </w:rPr>
                              <w:t xml:space="preserve">72. The first annual report, for the period 1 July 2009 to 31 December 2010 is due by 31 May 2011. Subsequent annual reports for each calendar year of the Agreement are due by 31 May of the following year. The final report, for the 2013 calendar year, is due by 31 May 2014. </w:t>
                            </w:r>
                          </w:p>
                        </w:txbxContent>
                      </wps:txbx>
                      <wps:bodyPr rot="0" vert="horz" wrap="square" lIns="91440" tIns="45720" rIns="91440" bIns="45720" anchor="t" anchorCtr="0" upright="1">
                        <a:noAutofit/>
                      </wps:bodyPr>
                    </wps:wsp>
                  </a:graphicData>
                </a:graphic>
              </wp:inline>
            </w:drawing>
          </mc:Choice>
          <mc:Fallback>
            <w:pict>
              <v:rect id="Rectangle 4" o:spid="_x0000_s1027" style="width:415pt;height:26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AcOQwIAAIYEAAAOAAAAZHJzL2Uyb0RvYy54bWysVNtu2zAMfR+wfxD0vthOk7U14hRFug4D&#10;uq1Ytw+QZdkWptsoJU729aXkJHW3t2F+EESROjo8JL262WtFdgK8tKaixSynRBhuG2m6iv74fv/u&#10;ihIfmGmYskZU9CA8vVm/fbMaXCnmtreqEUAQxPhycBXtQ3BllnneC838zDph0Nla0CygCV3WABsQ&#10;Xatsnufvs8FC48By4T2e3o1Ouk74bSt4+Nq2XgSiKorcQlohrXVcs/WKlR0w10t+pMH+gYVm0uCj&#10;Z6g7FhjZgvwLSksO1ts2zLjVmW1byUXKAbMp8j+yeeqZEykXFMe7s0z+/8HyL7tHILLB2lFimMYS&#10;fUPRmOmUIIsoz+B8iVFP7hFigt49WP7TE2M3PUaJWwA79II1SKqI8dmrC9HweJXUw2fbIDrbBpuU&#10;2regIyBqQPapIIdzQcQ+EI6Hy/llvsyxbhx9FxfF4hKN+AYrT9cd+PBRWE3ipqKA5BM82z34MIae&#10;QhJ9q2RzL5VKRuwysVFAdgz7o+7m6araauQ6nhV5/MY2wXNspvH8RCM1aoRIpPwUXRkyVPR6OV8m&#10;1Fc+D119fjc9cQacQmgZcDqU1BW9mhCJcn8wDWbHysCkGvcoijJH/aPkY+nCvt4f64vxsRy1bQ5Y&#10;ELDjMODw4qa38JuSAQehov7XloGgRH0yWNTrYrGIk5OMxfJyjgZMPfXUwwxHqIoGSsbtJozTtnUg&#10;ux5fKpIaxt5iI7QyleiF1ZE+NnvS8ziYcZqmdop6+X2snwEAAP//AwBQSwMEFAAGAAgAAAAhAAA3&#10;3n/bAAAABQEAAA8AAABkcnMvZG93bnJldi54bWxMj0FLxDAQhe+C/yGM4M1NWlGW2nRZBNeDF90K&#10;7jHbjG3ZZlKSbFv/vaMXvTx4vOG9b8rN4gYxYYi9Jw3ZSoFAarztqdXwXj/drEHEZMiawRNq+MII&#10;m+ryojSF9TO94bRPreASioXR0KU0FlLGpkNn4sqPSJx9+uBMYhtaaYOZudwNMlfqXjrTEy90ZsTH&#10;DpvT/uw0bEP2cZhfDnmdTbv6uXnNduGUaX19tWwfQCRc0t8x/OAzOlTMdPRnslEMGviR9KucrW8V&#10;26OGuzxXIKtS/qevvgEAAP//AwBQSwECLQAUAAYACAAAACEAtoM4kv4AAADhAQAAEwAAAAAAAAAA&#10;AAAAAAAAAAAAW0NvbnRlbnRfVHlwZXNdLnhtbFBLAQItABQABgAIAAAAIQA4/SH/1gAAAJQBAAAL&#10;AAAAAAAAAAAAAAAAAC8BAABfcmVscy8ucmVsc1BLAQItABQABgAIAAAAIQBkeAcOQwIAAIYEAAAO&#10;AAAAAAAAAAAAAAAAAC4CAABkcnMvZTJvRG9jLnhtbFBLAQItABQABgAIAAAAIQAAN95/2wAAAAUB&#10;AAAPAAAAAAAAAAAAAAAAAJ0EAABkcnMvZG93bnJldi54bWxQSwUGAAAAAAQABADzAAAApQUAAAAA&#10;" fillcolor="#eeece1 [3214]">
                <v:textbox>
                  <w:txbxContent>
                    <w:p w14:paraId="5EE2E8C0" w14:textId="77777777" w:rsidR="006D3781" w:rsidRPr="00F36A95" w:rsidRDefault="006D3781" w:rsidP="00392191">
                      <w:pPr>
                        <w:pStyle w:val="Default"/>
                        <w:rPr>
                          <w:sz w:val="22"/>
                          <w:szCs w:val="22"/>
                        </w:rPr>
                      </w:pPr>
                    </w:p>
                    <w:p w14:paraId="4208081C" w14:textId="3A8B8FCA" w:rsidR="006D3781" w:rsidRPr="00F36A95" w:rsidRDefault="006D3781" w:rsidP="00671A6D">
                      <w:pPr>
                        <w:pStyle w:val="Default"/>
                        <w:spacing w:after="195"/>
                        <w:jc w:val="center"/>
                        <w:rPr>
                          <w:sz w:val="22"/>
                          <w:szCs w:val="22"/>
                        </w:rPr>
                      </w:pPr>
                      <w:r w:rsidRPr="00F36A95">
                        <w:rPr>
                          <w:sz w:val="22"/>
                          <w:szCs w:val="22"/>
                        </w:rPr>
                        <w:t>69. Thereafter, States and Territories will provide annual reports to the Commonwealth against the outcomes, performance benchmarks and performance indicators specified in this Agreement as outlined in table 1 at paragraph 16 and in table 3 at paragraph 59.</w:t>
                      </w:r>
                    </w:p>
                    <w:p w14:paraId="492BE566" w14:textId="77777777" w:rsidR="006D3781" w:rsidRPr="00F36A95" w:rsidRDefault="006D3781" w:rsidP="00392191">
                      <w:pPr>
                        <w:pStyle w:val="FromNP"/>
                        <w:rPr>
                          <w:sz w:val="22"/>
                          <w:szCs w:val="22"/>
                        </w:rPr>
                      </w:pPr>
                      <w:r w:rsidRPr="00F36A95">
                        <w:rPr>
                          <w:sz w:val="22"/>
                          <w:szCs w:val="22"/>
                        </w:rPr>
                        <w:t xml:space="preserve">70. To meet a shared commitment to reporting on efforts to close the gap for Indigenous people, States and Territories also commit to including in their annual reports progress towards halving the gap in Indigenous Year 12 or equivalent attainment by 2020. Progress measures towards halving the gap in Indigenous Year 12 or equivalent attainment are at Schedule B. </w:t>
                      </w:r>
                    </w:p>
                    <w:p w14:paraId="340C61FB" w14:textId="77777777" w:rsidR="006D3781" w:rsidRPr="00F36A95" w:rsidRDefault="006D3781" w:rsidP="00392191">
                      <w:pPr>
                        <w:pStyle w:val="Default"/>
                        <w:spacing w:after="195"/>
                        <w:rPr>
                          <w:sz w:val="22"/>
                          <w:szCs w:val="22"/>
                        </w:rPr>
                      </w:pPr>
                      <w:r w:rsidRPr="00F36A95">
                        <w:rPr>
                          <w:sz w:val="22"/>
                          <w:szCs w:val="22"/>
                        </w:rPr>
                        <w:t>71. Reporting will include detail of funding provided to the non-government sector and maintenance of any existing State and Territory funding for careers and transitions support services (see paragraph 52 and 53).</w:t>
                      </w:r>
                    </w:p>
                    <w:p w14:paraId="5A17B18C" w14:textId="77777777" w:rsidR="006D3781" w:rsidRPr="00F36A95" w:rsidRDefault="006D3781" w:rsidP="00392191">
                      <w:pPr>
                        <w:pStyle w:val="Default"/>
                        <w:spacing w:after="195"/>
                        <w:rPr>
                          <w:sz w:val="22"/>
                          <w:szCs w:val="22"/>
                        </w:rPr>
                      </w:pPr>
                      <w:r w:rsidRPr="00F36A95">
                        <w:rPr>
                          <w:sz w:val="22"/>
                          <w:szCs w:val="22"/>
                        </w:rPr>
                        <w:t xml:space="preserve">72. The first annual report, for the period 1 July 2009 to 31 December 2010 is due by 31 May 2011. Subsequent annual reports for each calendar year of the Agreement are due by 31 May of the following year. The final report, for the 2013 calendar year, is due by 31 May 2014. </w:t>
                      </w:r>
                    </w:p>
                  </w:txbxContent>
                </v:textbox>
                <w10:anchorlock/>
              </v:rect>
            </w:pict>
          </mc:Fallback>
        </mc:AlternateContent>
      </w:r>
    </w:p>
    <w:p w14:paraId="11602953" w14:textId="77777777" w:rsidR="00A22485" w:rsidRDefault="00A22485" w:rsidP="00546F15">
      <w:pPr>
        <w:pStyle w:val="Heading1"/>
      </w:pPr>
      <w:bookmarkStart w:id="1" w:name="_Toc289170217"/>
      <w:bookmarkStart w:id="2" w:name="_Toc320003792"/>
    </w:p>
    <w:p w14:paraId="7BE04F6E" w14:textId="77777777" w:rsidR="00DC56C4" w:rsidRDefault="00DC56C4" w:rsidP="00546F15">
      <w:pPr>
        <w:pStyle w:val="Heading1"/>
      </w:pPr>
      <w:bookmarkStart w:id="3" w:name="_Toc384042847"/>
      <w:r w:rsidRPr="00DC56C4">
        <w:t xml:space="preserve">PART A: </w:t>
      </w:r>
      <w:bookmarkEnd w:id="1"/>
      <w:r w:rsidRPr="00DC56C4">
        <w:t>Outcomes and Performance Indicators, Victoria</w:t>
      </w:r>
      <w:bookmarkEnd w:id="3"/>
    </w:p>
    <w:p w14:paraId="311E0422" w14:textId="77777777" w:rsidR="00A22485" w:rsidRPr="00A22485" w:rsidRDefault="00A22485" w:rsidP="00A22485"/>
    <w:tbl>
      <w:tblPr>
        <w:tblStyle w:val="TableGrid1"/>
        <w:tblW w:w="19990" w:type="dxa"/>
        <w:tblLayout w:type="fixed"/>
        <w:tblLook w:val="01E0" w:firstRow="1" w:lastRow="1" w:firstColumn="1" w:lastColumn="1" w:noHBand="0" w:noVBand="0"/>
        <w:tblCaption w:val="PART A: Outcomes and Performance Indicators, Victoria"/>
        <w:tblDescription w:val="The table provides data covering the period 2010 to 2012 for the outcomes and performance indicators included in the National Partnership on Youth Attainment and Transitions."/>
      </w:tblPr>
      <w:tblGrid>
        <w:gridCol w:w="3514"/>
        <w:gridCol w:w="7302"/>
        <w:gridCol w:w="2807"/>
        <w:gridCol w:w="2247"/>
        <w:gridCol w:w="2061"/>
        <w:gridCol w:w="2059"/>
      </w:tblGrid>
      <w:tr w:rsidR="00DC56C4" w:rsidRPr="00DC56C4" w14:paraId="73C76DD9" w14:textId="77777777" w:rsidTr="00DE0473">
        <w:trPr>
          <w:cantSplit/>
          <w:trHeight w:val="415"/>
          <w:tblHeader/>
        </w:trPr>
        <w:tc>
          <w:tcPr>
            <w:tcW w:w="3514" w:type="dxa"/>
            <w:tcBorders>
              <w:top w:val="single" w:sz="12" w:space="0" w:color="auto"/>
              <w:left w:val="single" w:sz="12" w:space="0" w:color="auto"/>
              <w:bottom w:val="single" w:sz="12" w:space="0" w:color="auto"/>
              <w:right w:val="single" w:sz="4" w:space="0" w:color="auto"/>
            </w:tcBorders>
            <w:shd w:val="clear" w:color="auto" w:fill="E0E0E0"/>
            <w:vAlign w:val="center"/>
          </w:tcPr>
          <w:p w14:paraId="67542353" w14:textId="77777777" w:rsidR="00DC56C4" w:rsidRPr="00DC56C4" w:rsidRDefault="00DC56C4" w:rsidP="00DC56C4">
            <w:pPr>
              <w:rPr>
                <w:rFonts w:ascii="Calibri" w:hAnsi="Calibri"/>
                <w:b/>
                <w:sz w:val="20"/>
                <w:szCs w:val="20"/>
              </w:rPr>
            </w:pPr>
            <w:r w:rsidRPr="00DC56C4">
              <w:rPr>
                <w:rFonts w:ascii="Calibri" w:hAnsi="Calibri"/>
                <w:b/>
                <w:sz w:val="20"/>
                <w:szCs w:val="20"/>
              </w:rPr>
              <w:t>Outcome</w:t>
            </w:r>
          </w:p>
        </w:tc>
        <w:tc>
          <w:tcPr>
            <w:tcW w:w="7302" w:type="dxa"/>
            <w:tcBorders>
              <w:top w:val="single" w:sz="12" w:space="0" w:color="auto"/>
              <w:left w:val="single" w:sz="4" w:space="0" w:color="auto"/>
              <w:bottom w:val="single" w:sz="12" w:space="0" w:color="auto"/>
              <w:right w:val="single" w:sz="4" w:space="0" w:color="auto"/>
            </w:tcBorders>
            <w:shd w:val="clear" w:color="auto" w:fill="E0E0E0"/>
            <w:vAlign w:val="center"/>
          </w:tcPr>
          <w:p w14:paraId="21DC0471" w14:textId="77777777" w:rsidR="00DC56C4" w:rsidRPr="00DC56C4" w:rsidRDefault="00DC56C4" w:rsidP="00DC56C4">
            <w:pPr>
              <w:rPr>
                <w:rFonts w:ascii="Calibri" w:hAnsi="Calibri"/>
                <w:b/>
                <w:sz w:val="20"/>
                <w:szCs w:val="20"/>
              </w:rPr>
            </w:pPr>
            <w:r w:rsidRPr="00DC56C4">
              <w:rPr>
                <w:rFonts w:ascii="Calibri" w:hAnsi="Calibri"/>
                <w:b/>
                <w:sz w:val="20"/>
                <w:szCs w:val="20"/>
              </w:rPr>
              <w:t>Performance Indicator</w:t>
            </w:r>
          </w:p>
        </w:tc>
        <w:tc>
          <w:tcPr>
            <w:tcW w:w="2807" w:type="dxa"/>
            <w:tcBorders>
              <w:top w:val="single" w:sz="12" w:space="0" w:color="auto"/>
              <w:left w:val="single" w:sz="4" w:space="0" w:color="auto"/>
              <w:bottom w:val="single" w:sz="12" w:space="0" w:color="auto"/>
              <w:right w:val="single" w:sz="12" w:space="0" w:color="auto"/>
            </w:tcBorders>
            <w:shd w:val="clear" w:color="auto" w:fill="E0E0E0"/>
            <w:vAlign w:val="center"/>
          </w:tcPr>
          <w:p w14:paraId="10A31C00" w14:textId="77777777" w:rsidR="00DC56C4" w:rsidRPr="00DC56C4" w:rsidRDefault="00DC56C4" w:rsidP="00DC56C4">
            <w:pPr>
              <w:rPr>
                <w:rFonts w:ascii="Calibri" w:hAnsi="Calibri"/>
                <w:b/>
                <w:sz w:val="20"/>
                <w:szCs w:val="20"/>
              </w:rPr>
            </w:pPr>
            <w:r w:rsidRPr="00DC56C4">
              <w:rPr>
                <w:rFonts w:ascii="Calibri" w:hAnsi="Calibri"/>
                <w:b/>
                <w:sz w:val="20"/>
                <w:szCs w:val="20"/>
              </w:rPr>
              <w:t>Source</w:t>
            </w:r>
          </w:p>
        </w:tc>
        <w:tc>
          <w:tcPr>
            <w:tcW w:w="2247" w:type="dxa"/>
            <w:tcBorders>
              <w:top w:val="single" w:sz="12" w:space="0" w:color="auto"/>
              <w:left w:val="single" w:sz="4" w:space="0" w:color="auto"/>
              <w:bottom w:val="single" w:sz="12" w:space="0" w:color="auto"/>
              <w:right w:val="single" w:sz="4" w:space="0" w:color="auto"/>
            </w:tcBorders>
            <w:shd w:val="clear" w:color="auto" w:fill="E0E0E0"/>
          </w:tcPr>
          <w:p w14:paraId="5C75E146" w14:textId="77777777" w:rsidR="00DC56C4" w:rsidRPr="00DC56C4" w:rsidRDefault="00DC56C4" w:rsidP="00DC56C4">
            <w:pPr>
              <w:jc w:val="center"/>
              <w:rPr>
                <w:rFonts w:ascii="Calibri" w:hAnsi="Calibri"/>
                <w:b/>
                <w:sz w:val="20"/>
                <w:szCs w:val="20"/>
              </w:rPr>
            </w:pPr>
            <w:r w:rsidRPr="00DC56C4">
              <w:rPr>
                <w:rFonts w:ascii="Calibri" w:hAnsi="Calibri"/>
                <w:b/>
                <w:sz w:val="20"/>
                <w:szCs w:val="20"/>
              </w:rPr>
              <w:t>2010</w:t>
            </w:r>
          </w:p>
        </w:tc>
        <w:tc>
          <w:tcPr>
            <w:tcW w:w="2061" w:type="dxa"/>
            <w:tcBorders>
              <w:top w:val="single" w:sz="12" w:space="0" w:color="auto"/>
              <w:left w:val="single" w:sz="4" w:space="0" w:color="auto"/>
              <w:bottom w:val="single" w:sz="12" w:space="0" w:color="auto"/>
              <w:right w:val="single" w:sz="4" w:space="0" w:color="auto"/>
            </w:tcBorders>
            <w:shd w:val="clear" w:color="auto" w:fill="E0E0E0"/>
          </w:tcPr>
          <w:p w14:paraId="315019E4" w14:textId="77777777" w:rsidR="00DC56C4" w:rsidRPr="00DC56C4" w:rsidRDefault="00DC56C4" w:rsidP="00DC56C4">
            <w:pPr>
              <w:jc w:val="center"/>
              <w:rPr>
                <w:rFonts w:ascii="Calibri" w:hAnsi="Calibri"/>
                <w:b/>
                <w:sz w:val="20"/>
                <w:szCs w:val="20"/>
              </w:rPr>
            </w:pPr>
            <w:r w:rsidRPr="00DC56C4">
              <w:rPr>
                <w:rFonts w:ascii="Calibri" w:hAnsi="Calibri"/>
                <w:b/>
                <w:sz w:val="20"/>
                <w:szCs w:val="20"/>
              </w:rPr>
              <w:t>2011</w:t>
            </w:r>
          </w:p>
        </w:tc>
        <w:tc>
          <w:tcPr>
            <w:tcW w:w="2059" w:type="dxa"/>
            <w:tcBorders>
              <w:top w:val="single" w:sz="12" w:space="0" w:color="auto"/>
              <w:left w:val="single" w:sz="4" w:space="0" w:color="auto"/>
              <w:bottom w:val="single" w:sz="12" w:space="0" w:color="auto"/>
              <w:right w:val="single" w:sz="12" w:space="0" w:color="000000" w:themeColor="text1"/>
            </w:tcBorders>
            <w:shd w:val="clear" w:color="auto" w:fill="E0E0E0"/>
          </w:tcPr>
          <w:p w14:paraId="68FE0309" w14:textId="77777777" w:rsidR="00DC56C4" w:rsidRPr="00DC56C4" w:rsidRDefault="00DC56C4" w:rsidP="00DC56C4">
            <w:pPr>
              <w:jc w:val="center"/>
              <w:rPr>
                <w:rFonts w:ascii="Calibri" w:hAnsi="Calibri"/>
                <w:b/>
                <w:sz w:val="20"/>
                <w:szCs w:val="20"/>
              </w:rPr>
            </w:pPr>
            <w:r w:rsidRPr="00DC56C4">
              <w:rPr>
                <w:rFonts w:ascii="Calibri" w:hAnsi="Calibri"/>
                <w:b/>
                <w:sz w:val="20"/>
                <w:szCs w:val="20"/>
              </w:rPr>
              <w:t>2012</w:t>
            </w:r>
          </w:p>
        </w:tc>
      </w:tr>
      <w:tr w:rsidR="00DC56C4" w:rsidRPr="00DC56C4" w14:paraId="07C35CEF" w14:textId="77777777" w:rsidTr="00DE0473">
        <w:trPr>
          <w:cantSplit/>
          <w:trHeight w:val="280"/>
        </w:trPr>
        <w:tc>
          <w:tcPr>
            <w:tcW w:w="3514" w:type="dxa"/>
            <w:vMerge w:val="restart"/>
            <w:tcBorders>
              <w:top w:val="single" w:sz="12" w:space="0" w:color="auto"/>
              <w:left w:val="single" w:sz="12" w:space="0" w:color="auto"/>
            </w:tcBorders>
            <w:shd w:val="clear" w:color="auto" w:fill="E6E6E6"/>
            <w:vAlign w:val="center"/>
          </w:tcPr>
          <w:p w14:paraId="44CE0828" w14:textId="77777777" w:rsidR="00DC56C4" w:rsidRPr="00DC56C4" w:rsidRDefault="00DC56C4" w:rsidP="00DC56C4">
            <w:pPr>
              <w:rPr>
                <w:rFonts w:ascii="Arial Narrow" w:hAnsi="Arial Narrow"/>
                <w:sz w:val="20"/>
                <w:szCs w:val="20"/>
              </w:rPr>
            </w:pPr>
            <w:r w:rsidRPr="00DC56C4">
              <w:rPr>
                <w:rFonts w:ascii="Arial Narrow" w:hAnsi="Arial Narrow"/>
                <w:sz w:val="20"/>
                <w:szCs w:val="20"/>
              </w:rPr>
              <w:t>Increased participation of young people in education and training</w:t>
            </w:r>
          </w:p>
        </w:tc>
        <w:tc>
          <w:tcPr>
            <w:tcW w:w="7302" w:type="dxa"/>
            <w:tcBorders>
              <w:top w:val="single" w:sz="12" w:space="0" w:color="auto"/>
            </w:tcBorders>
            <w:shd w:val="clear" w:color="auto" w:fill="auto"/>
            <w:vAlign w:val="center"/>
          </w:tcPr>
          <w:p w14:paraId="2F1BB6C8" w14:textId="77777777" w:rsidR="00DC56C4" w:rsidRPr="00DC56C4" w:rsidRDefault="00DC56C4" w:rsidP="00DC56C4">
            <w:pPr>
              <w:autoSpaceDE w:val="0"/>
              <w:autoSpaceDN w:val="0"/>
              <w:adjustRightInd w:val="0"/>
              <w:rPr>
                <w:rFonts w:ascii="Arial Narrow" w:hAnsi="Arial Narrow" w:cs="Corbel"/>
                <w:sz w:val="20"/>
                <w:szCs w:val="20"/>
              </w:rPr>
            </w:pPr>
            <w:r w:rsidRPr="00DC56C4">
              <w:rPr>
                <w:rFonts w:ascii="Arial Narrow" w:hAnsi="Arial Narrow" w:cs="Corbel"/>
                <w:sz w:val="20"/>
                <w:szCs w:val="20"/>
              </w:rPr>
              <w:t>Enrolment of full</w:t>
            </w:r>
            <w:r w:rsidRPr="00DC56C4">
              <w:rPr>
                <w:rFonts w:ascii="Calibri" w:hAnsi="Calibri" w:cs="Corbel"/>
                <w:sz w:val="20"/>
                <w:szCs w:val="20"/>
              </w:rPr>
              <w:t>‐</w:t>
            </w:r>
            <w:r w:rsidRPr="00DC56C4">
              <w:rPr>
                <w:rFonts w:ascii="Arial Narrow" w:hAnsi="Arial Narrow" w:cs="Corbel"/>
                <w:sz w:val="20"/>
                <w:szCs w:val="20"/>
              </w:rPr>
              <w:t>time equivalent students in years 11 and 12</w:t>
            </w:r>
          </w:p>
        </w:tc>
        <w:tc>
          <w:tcPr>
            <w:tcW w:w="2807" w:type="dxa"/>
            <w:vMerge w:val="restart"/>
            <w:tcBorders>
              <w:top w:val="single" w:sz="12" w:space="0" w:color="auto"/>
              <w:right w:val="single" w:sz="12" w:space="0" w:color="auto"/>
            </w:tcBorders>
            <w:shd w:val="clear" w:color="auto" w:fill="auto"/>
            <w:vAlign w:val="center"/>
          </w:tcPr>
          <w:p w14:paraId="553FDEBC" w14:textId="77777777" w:rsidR="00DC56C4" w:rsidRPr="00DC56C4" w:rsidRDefault="00DC56C4" w:rsidP="00DC56C4">
            <w:pPr>
              <w:autoSpaceDE w:val="0"/>
              <w:autoSpaceDN w:val="0"/>
              <w:adjustRightInd w:val="0"/>
              <w:rPr>
                <w:rFonts w:ascii="Arial Narrow" w:hAnsi="Arial Narrow"/>
                <w:sz w:val="20"/>
                <w:szCs w:val="20"/>
              </w:rPr>
            </w:pPr>
            <w:r w:rsidRPr="00DC56C4">
              <w:rPr>
                <w:rFonts w:ascii="Arial Narrow" w:hAnsi="Arial Narrow"/>
                <w:sz w:val="20"/>
                <w:szCs w:val="20"/>
              </w:rPr>
              <w:t>National Schools Statistics Collection (ABS)</w:t>
            </w:r>
          </w:p>
        </w:tc>
        <w:tc>
          <w:tcPr>
            <w:tcW w:w="2247" w:type="dxa"/>
            <w:tcBorders>
              <w:top w:val="single" w:sz="12" w:space="0" w:color="auto"/>
              <w:right w:val="single" w:sz="4" w:space="0" w:color="auto"/>
            </w:tcBorders>
            <w:vAlign w:val="center"/>
          </w:tcPr>
          <w:p w14:paraId="0E50C876" w14:textId="77777777" w:rsidR="00DC56C4" w:rsidRPr="00DC56C4" w:rsidRDefault="00DC56C4" w:rsidP="00DC56C4">
            <w:pPr>
              <w:jc w:val="right"/>
              <w:rPr>
                <w:rFonts w:ascii="Arial Narrow" w:hAnsi="Arial Narrow" w:cs="Calibri"/>
                <w:color w:val="000000"/>
                <w:sz w:val="20"/>
                <w:szCs w:val="20"/>
              </w:rPr>
            </w:pPr>
            <w:r w:rsidRPr="00DC56C4">
              <w:rPr>
                <w:rFonts w:ascii="Arial Narrow" w:hAnsi="Arial Narrow" w:cs="Calibri"/>
                <w:color w:val="000000"/>
                <w:sz w:val="20"/>
                <w:szCs w:val="20"/>
              </w:rPr>
              <w:t>117,514</w:t>
            </w:r>
          </w:p>
        </w:tc>
        <w:tc>
          <w:tcPr>
            <w:tcW w:w="2061" w:type="dxa"/>
            <w:tcBorders>
              <w:top w:val="single" w:sz="12" w:space="0" w:color="auto"/>
              <w:left w:val="single" w:sz="4" w:space="0" w:color="auto"/>
              <w:right w:val="single" w:sz="4" w:space="0" w:color="auto"/>
            </w:tcBorders>
            <w:vAlign w:val="center"/>
          </w:tcPr>
          <w:p w14:paraId="4C271B80" w14:textId="77777777" w:rsidR="00DC56C4" w:rsidRPr="00DC56C4" w:rsidRDefault="00DC56C4" w:rsidP="00DC56C4">
            <w:pPr>
              <w:jc w:val="right"/>
              <w:rPr>
                <w:rFonts w:ascii="Arial Narrow" w:hAnsi="Arial Narrow" w:cs="Calibri"/>
                <w:color w:val="000000"/>
                <w:sz w:val="20"/>
                <w:szCs w:val="20"/>
              </w:rPr>
            </w:pPr>
            <w:r w:rsidRPr="00DC56C4">
              <w:rPr>
                <w:rFonts w:ascii="Arial Narrow" w:hAnsi="Arial Narrow" w:cs="Calibri"/>
                <w:color w:val="000000"/>
                <w:sz w:val="20"/>
                <w:szCs w:val="20"/>
              </w:rPr>
              <w:t>118,293</w:t>
            </w:r>
          </w:p>
        </w:tc>
        <w:tc>
          <w:tcPr>
            <w:tcW w:w="2059" w:type="dxa"/>
            <w:tcBorders>
              <w:top w:val="single" w:sz="12" w:space="0" w:color="auto"/>
              <w:left w:val="single" w:sz="4" w:space="0" w:color="auto"/>
              <w:right w:val="single" w:sz="12" w:space="0" w:color="000000" w:themeColor="text1"/>
            </w:tcBorders>
            <w:vAlign w:val="center"/>
          </w:tcPr>
          <w:p w14:paraId="1356E607" w14:textId="77777777" w:rsidR="00DC56C4" w:rsidRPr="00DC56C4" w:rsidRDefault="00DC56C4" w:rsidP="00DC56C4">
            <w:pPr>
              <w:jc w:val="right"/>
              <w:rPr>
                <w:rFonts w:ascii="Arial Narrow" w:hAnsi="Arial Narrow" w:cs="Calibri"/>
                <w:color w:val="000000"/>
                <w:sz w:val="20"/>
                <w:szCs w:val="20"/>
              </w:rPr>
            </w:pPr>
            <w:r w:rsidRPr="00DC56C4">
              <w:rPr>
                <w:rFonts w:ascii="Arial Narrow" w:hAnsi="Arial Narrow" w:cs="Calibri"/>
                <w:color w:val="000000"/>
                <w:sz w:val="20"/>
                <w:szCs w:val="20"/>
              </w:rPr>
              <w:t>118,470</w:t>
            </w:r>
          </w:p>
        </w:tc>
      </w:tr>
      <w:tr w:rsidR="00DC56C4" w:rsidRPr="00DC56C4" w14:paraId="6ABB6A62" w14:textId="77777777" w:rsidTr="00DE0473">
        <w:trPr>
          <w:cantSplit/>
          <w:trHeight w:val="399"/>
        </w:trPr>
        <w:tc>
          <w:tcPr>
            <w:tcW w:w="3514" w:type="dxa"/>
            <w:vMerge/>
            <w:tcBorders>
              <w:left w:val="single" w:sz="12" w:space="0" w:color="auto"/>
            </w:tcBorders>
            <w:shd w:val="clear" w:color="auto" w:fill="E6E6E6"/>
            <w:vAlign w:val="center"/>
          </w:tcPr>
          <w:p w14:paraId="6CD0EDC0" w14:textId="77777777" w:rsidR="00DC56C4" w:rsidRPr="00DC56C4" w:rsidRDefault="00DC56C4" w:rsidP="00DC56C4">
            <w:pPr>
              <w:rPr>
                <w:rFonts w:ascii="Arial Narrow" w:hAnsi="Arial Narrow"/>
                <w:sz w:val="20"/>
                <w:szCs w:val="20"/>
              </w:rPr>
            </w:pPr>
          </w:p>
        </w:tc>
        <w:tc>
          <w:tcPr>
            <w:tcW w:w="7302" w:type="dxa"/>
            <w:tcBorders>
              <w:top w:val="single" w:sz="4" w:space="0" w:color="auto"/>
            </w:tcBorders>
            <w:shd w:val="clear" w:color="auto" w:fill="auto"/>
            <w:vAlign w:val="center"/>
          </w:tcPr>
          <w:p w14:paraId="263DD00B" w14:textId="77777777" w:rsidR="00DC56C4" w:rsidRPr="00DC56C4" w:rsidRDefault="00DC56C4" w:rsidP="00DC56C4">
            <w:pPr>
              <w:autoSpaceDE w:val="0"/>
              <w:autoSpaceDN w:val="0"/>
              <w:adjustRightInd w:val="0"/>
              <w:rPr>
                <w:rFonts w:ascii="Arial Narrow" w:hAnsi="Arial Narrow" w:cs="Corbel"/>
                <w:sz w:val="20"/>
                <w:szCs w:val="20"/>
              </w:rPr>
            </w:pPr>
            <w:r w:rsidRPr="00DC56C4">
              <w:rPr>
                <w:rFonts w:ascii="Arial Narrow" w:hAnsi="Arial Narrow" w:cs="Corbel"/>
                <w:sz w:val="20"/>
                <w:szCs w:val="20"/>
              </w:rPr>
              <w:t>Enrolment of Indigenous full</w:t>
            </w:r>
            <w:r w:rsidRPr="00DC56C4">
              <w:rPr>
                <w:rFonts w:ascii="Calibri" w:hAnsi="Calibri" w:cs="Corbel"/>
                <w:sz w:val="20"/>
                <w:szCs w:val="20"/>
              </w:rPr>
              <w:t>‐</w:t>
            </w:r>
            <w:r w:rsidRPr="00DC56C4">
              <w:rPr>
                <w:rFonts w:ascii="Arial Narrow" w:hAnsi="Arial Narrow" w:cs="Corbel"/>
                <w:sz w:val="20"/>
                <w:szCs w:val="20"/>
              </w:rPr>
              <w:t>time equivalent students in years 11 and 12</w:t>
            </w:r>
          </w:p>
        </w:tc>
        <w:tc>
          <w:tcPr>
            <w:tcW w:w="2807" w:type="dxa"/>
            <w:vMerge/>
            <w:tcBorders>
              <w:right w:val="single" w:sz="12" w:space="0" w:color="auto"/>
            </w:tcBorders>
            <w:shd w:val="clear" w:color="auto" w:fill="auto"/>
            <w:vAlign w:val="center"/>
          </w:tcPr>
          <w:p w14:paraId="2C63020D" w14:textId="77777777" w:rsidR="00DC56C4" w:rsidRPr="00DC56C4" w:rsidRDefault="00DC56C4" w:rsidP="00DC56C4">
            <w:pPr>
              <w:autoSpaceDE w:val="0"/>
              <w:autoSpaceDN w:val="0"/>
              <w:adjustRightInd w:val="0"/>
              <w:rPr>
                <w:rFonts w:ascii="Arial Narrow" w:hAnsi="Arial Narrow"/>
                <w:sz w:val="20"/>
                <w:szCs w:val="20"/>
              </w:rPr>
            </w:pPr>
          </w:p>
        </w:tc>
        <w:tc>
          <w:tcPr>
            <w:tcW w:w="2247" w:type="dxa"/>
            <w:tcBorders>
              <w:right w:val="single" w:sz="4" w:space="0" w:color="auto"/>
            </w:tcBorders>
            <w:vAlign w:val="center"/>
          </w:tcPr>
          <w:p w14:paraId="6D526E35" w14:textId="77777777" w:rsidR="00DC56C4" w:rsidRPr="00DC56C4" w:rsidRDefault="00DC56C4" w:rsidP="00DC56C4">
            <w:pPr>
              <w:jc w:val="right"/>
              <w:rPr>
                <w:rFonts w:ascii="Arial Narrow" w:hAnsi="Arial Narrow" w:cs="Calibri"/>
                <w:color w:val="000000"/>
                <w:sz w:val="20"/>
                <w:szCs w:val="20"/>
              </w:rPr>
            </w:pPr>
            <w:r w:rsidRPr="00DC56C4">
              <w:rPr>
                <w:rFonts w:ascii="Arial Narrow" w:hAnsi="Arial Narrow" w:cs="Calibri"/>
                <w:color w:val="000000"/>
                <w:sz w:val="20"/>
                <w:szCs w:val="20"/>
              </w:rPr>
              <w:t>781</w:t>
            </w:r>
          </w:p>
        </w:tc>
        <w:tc>
          <w:tcPr>
            <w:tcW w:w="2061" w:type="dxa"/>
            <w:tcBorders>
              <w:left w:val="single" w:sz="4" w:space="0" w:color="auto"/>
              <w:right w:val="single" w:sz="4" w:space="0" w:color="auto"/>
            </w:tcBorders>
            <w:vAlign w:val="center"/>
          </w:tcPr>
          <w:p w14:paraId="0E5ADE05" w14:textId="77777777" w:rsidR="00DC56C4" w:rsidRPr="00DC56C4" w:rsidRDefault="00DC56C4" w:rsidP="00DC56C4">
            <w:pPr>
              <w:jc w:val="right"/>
              <w:rPr>
                <w:rFonts w:ascii="Arial Narrow" w:hAnsi="Arial Narrow" w:cs="Calibri"/>
                <w:color w:val="000000"/>
                <w:sz w:val="20"/>
                <w:szCs w:val="20"/>
              </w:rPr>
            </w:pPr>
            <w:r w:rsidRPr="00DC56C4">
              <w:rPr>
                <w:rFonts w:ascii="Arial Narrow" w:hAnsi="Arial Narrow" w:cs="Calibri"/>
                <w:color w:val="000000"/>
                <w:sz w:val="20"/>
                <w:szCs w:val="20"/>
              </w:rPr>
              <w:t>909</w:t>
            </w:r>
          </w:p>
        </w:tc>
        <w:tc>
          <w:tcPr>
            <w:tcW w:w="2059" w:type="dxa"/>
            <w:tcBorders>
              <w:left w:val="single" w:sz="4" w:space="0" w:color="auto"/>
              <w:right w:val="single" w:sz="12" w:space="0" w:color="000000" w:themeColor="text1"/>
            </w:tcBorders>
            <w:vAlign w:val="center"/>
          </w:tcPr>
          <w:p w14:paraId="4F04158C" w14:textId="77777777" w:rsidR="00DC56C4" w:rsidRPr="00DC56C4" w:rsidRDefault="00DC56C4" w:rsidP="00DC56C4">
            <w:pPr>
              <w:jc w:val="right"/>
              <w:rPr>
                <w:rFonts w:ascii="Arial Narrow" w:hAnsi="Arial Narrow" w:cs="Calibri"/>
                <w:color w:val="000000"/>
                <w:sz w:val="20"/>
                <w:szCs w:val="20"/>
              </w:rPr>
            </w:pPr>
            <w:r w:rsidRPr="00DC56C4">
              <w:rPr>
                <w:rFonts w:ascii="Arial Narrow" w:hAnsi="Arial Narrow" w:cs="Calibri"/>
                <w:color w:val="000000"/>
                <w:sz w:val="20"/>
                <w:szCs w:val="20"/>
              </w:rPr>
              <w:t>955</w:t>
            </w:r>
          </w:p>
        </w:tc>
      </w:tr>
      <w:tr w:rsidR="00DC56C4" w:rsidRPr="00DC56C4" w14:paraId="32E412B4" w14:textId="77777777" w:rsidTr="00DE0473">
        <w:trPr>
          <w:cantSplit/>
          <w:trHeight w:val="240"/>
        </w:trPr>
        <w:tc>
          <w:tcPr>
            <w:tcW w:w="3514" w:type="dxa"/>
            <w:vMerge/>
            <w:tcBorders>
              <w:left w:val="single" w:sz="12" w:space="0" w:color="auto"/>
            </w:tcBorders>
            <w:shd w:val="clear" w:color="auto" w:fill="E6E6E6"/>
            <w:vAlign w:val="center"/>
          </w:tcPr>
          <w:p w14:paraId="32ED193A" w14:textId="77777777" w:rsidR="00DC56C4" w:rsidRPr="00DC56C4" w:rsidRDefault="00DC56C4" w:rsidP="00DC56C4">
            <w:pPr>
              <w:rPr>
                <w:rFonts w:ascii="Arial Narrow" w:hAnsi="Arial Narrow"/>
                <w:sz w:val="20"/>
                <w:szCs w:val="20"/>
              </w:rPr>
            </w:pPr>
          </w:p>
        </w:tc>
        <w:tc>
          <w:tcPr>
            <w:tcW w:w="7302" w:type="dxa"/>
            <w:shd w:val="clear" w:color="auto" w:fill="auto"/>
            <w:vAlign w:val="center"/>
          </w:tcPr>
          <w:p w14:paraId="4CEDA7ED" w14:textId="77777777" w:rsidR="00DC56C4" w:rsidRPr="00DC56C4" w:rsidRDefault="00DC56C4" w:rsidP="00DC56C4">
            <w:pPr>
              <w:autoSpaceDE w:val="0"/>
              <w:autoSpaceDN w:val="0"/>
              <w:adjustRightInd w:val="0"/>
              <w:rPr>
                <w:rFonts w:ascii="Arial Narrow" w:hAnsi="Arial Narrow" w:cs="Corbel"/>
                <w:sz w:val="20"/>
                <w:szCs w:val="20"/>
              </w:rPr>
            </w:pPr>
            <w:r w:rsidRPr="00DC56C4">
              <w:rPr>
                <w:rFonts w:ascii="Arial Narrow" w:hAnsi="Arial Narrow"/>
                <w:sz w:val="20"/>
                <w:szCs w:val="20"/>
              </w:rPr>
              <w:t xml:space="preserve">Enrolment of Indigenous </w:t>
            </w:r>
            <w:r w:rsidRPr="00DC56C4">
              <w:rPr>
                <w:rFonts w:ascii="Arial Narrow" w:hAnsi="Arial Narrow" w:cs="Corbel"/>
                <w:sz w:val="20"/>
                <w:szCs w:val="20"/>
              </w:rPr>
              <w:t>full</w:t>
            </w:r>
            <w:r w:rsidRPr="00DC56C4">
              <w:rPr>
                <w:rFonts w:ascii="Calibri" w:hAnsi="Calibri" w:cs="Corbel"/>
                <w:sz w:val="20"/>
                <w:szCs w:val="20"/>
              </w:rPr>
              <w:t>‐</w:t>
            </w:r>
            <w:r w:rsidRPr="00DC56C4">
              <w:rPr>
                <w:rFonts w:ascii="Arial Narrow" w:hAnsi="Arial Narrow" w:cs="Corbel"/>
                <w:sz w:val="20"/>
                <w:szCs w:val="20"/>
              </w:rPr>
              <w:t xml:space="preserve">time equivalent </w:t>
            </w:r>
            <w:r w:rsidRPr="00DC56C4">
              <w:rPr>
                <w:rFonts w:ascii="Arial Narrow" w:hAnsi="Arial Narrow"/>
                <w:sz w:val="20"/>
                <w:szCs w:val="20"/>
              </w:rPr>
              <w:t>students in years 9 and 10</w:t>
            </w:r>
          </w:p>
        </w:tc>
        <w:tc>
          <w:tcPr>
            <w:tcW w:w="2807" w:type="dxa"/>
            <w:vMerge/>
            <w:tcBorders>
              <w:right w:val="single" w:sz="12" w:space="0" w:color="auto"/>
            </w:tcBorders>
            <w:shd w:val="clear" w:color="auto" w:fill="auto"/>
            <w:vAlign w:val="center"/>
          </w:tcPr>
          <w:p w14:paraId="5450117A" w14:textId="77777777" w:rsidR="00DC56C4" w:rsidRPr="00DC56C4" w:rsidRDefault="00DC56C4" w:rsidP="00DC56C4">
            <w:pPr>
              <w:rPr>
                <w:rFonts w:ascii="Arial Narrow" w:hAnsi="Arial Narrow"/>
                <w:sz w:val="20"/>
                <w:szCs w:val="20"/>
              </w:rPr>
            </w:pPr>
          </w:p>
        </w:tc>
        <w:tc>
          <w:tcPr>
            <w:tcW w:w="2247" w:type="dxa"/>
            <w:tcBorders>
              <w:right w:val="single" w:sz="4" w:space="0" w:color="auto"/>
            </w:tcBorders>
            <w:vAlign w:val="center"/>
          </w:tcPr>
          <w:p w14:paraId="1EBB621E" w14:textId="77777777" w:rsidR="00DC56C4" w:rsidRPr="00DC56C4" w:rsidRDefault="00DC56C4" w:rsidP="00DC56C4">
            <w:pPr>
              <w:jc w:val="right"/>
              <w:rPr>
                <w:rFonts w:ascii="Arial Narrow" w:hAnsi="Arial Narrow" w:cs="Calibri"/>
                <w:color w:val="000000"/>
                <w:sz w:val="20"/>
                <w:szCs w:val="20"/>
              </w:rPr>
            </w:pPr>
            <w:r w:rsidRPr="00DC56C4">
              <w:rPr>
                <w:rFonts w:ascii="Arial Narrow" w:hAnsi="Arial Narrow" w:cs="Calibri"/>
                <w:color w:val="000000"/>
                <w:sz w:val="20"/>
                <w:szCs w:val="20"/>
              </w:rPr>
              <w:t>1,441</w:t>
            </w:r>
          </w:p>
        </w:tc>
        <w:tc>
          <w:tcPr>
            <w:tcW w:w="2061" w:type="dxa"/>
            <w:tcBorders>
              <w:left w:val="single" w:sz="4" w:space="0" w:color="auto"/>
              <w:right w:val="single" w:sz="4" w:space="0" w:color="auto"/>
            </w:tcBorders>
            <w:vAlign w:val="center"/>
          </w:tcPr>
          <w:p w14:paraId="15AFE8DA" w14:textId="77777777" w:rsidR="00DC56C4" w:rsidRPr="00DC56C4" w:rsidRDefault="00DC56C4" w:rsidP="00DC56C4">
            <w:pPr>
              <w:jc w:val="right"/>
              <w:rPr>
                <w:rFonts w:ascii="Arial Narrow" w:hAnsi="Arial Narrow" w:cs="Calibri"/>
                <w:color w:val="000000"/>
                <w:sz w:val="20"/>
                <w:szCs w:val="20"/>
              </w:rPr>
            </w:pPr>
            <w:r w:rsidRPr="00DC56C4">
              <w:rPr>
                <w:rFonts w:ascii="Arial Narrow" w:hAnsi="Arial Narrow" w:cs="Calibri"/>
                <w:color w:val="000000"/>
                <w:sz w:val="20"/>
                <w:szCs w:val="20"/>
              </w:rPr>
              <w:t>1,571</w:t>
            </w:r>
          </w:p>
        </w:tc>
        <w:tc>
          <w:tcPr>
            <w:tcW w:w="2059" w:type="dxa"/>
            <w:tcBorders>
              <w:left w:val="single" w:sz="4" w:space="0" w:color="auto"/>
              <w:right w:val="single" w:sz="12" w:space="0" w:color="000000" w:themeColor="text1"/>
            </w:tcBorders>
            <w:vAlign w:val="center"/>
          </w:tcPr>
          <w:p w14:paraId="18849F68" w14:textId="77777777" w:rsidR="00DC56C4" w:rsidRPr="00DC56C4" w:rsidRDefault="00DC56C4" w:rsidP="00DC56C4">
            <w:pPr>
              <w:jc w:val="right"/>
              <w:rPr>
                <w:rFonts w:ascii="Arial Narrow" w:hAnsi="Arial Narrow" w:cs="Calibri"/>
                <w:color w:val="000000"/>
                <w:sz w:val="20"/>
                <w:szCs w:val="20"/>
              </w:rPr>
            </w:pPr>
            <w:r w:rsidRPr="00DC56C4">
              <w:rPr>
                <w:rFonts w:ascii="Arial Narrow" w:hAnsi="Arial Narrow" w:cs="Calibri"/>
                <w:color w:val="000000"/>
                <w:sz w:val="20"/>
                <w:szCs w:val="20"/>
              </w:rPr>
              <w:t>1,661</w:t>
            </w:r>
          </w:p>
        </w:tc>
      </w:tr>
      <w:tr w:rsidR="00DC56C4" w:rsidRPr="00DC56C4" w14:paraId="5752870A" w14:textId="77777777" w:rsidTr="00DE0473">
        <w:trPr>
          <w:cantSplit/>
          <w:trHeight w:val="773"/>
        </w:trPr>
        <w:tc>
          <w:tcPr>
            <w:tcW w:w="3514" w:type="dxa"/>
            <w:vMerge/>
            <w:tcBorders>
              <w:left w:val="single" w:sz="12" w:space="0" w:color="auto"/>
            </w:tcBorders>
            <w:shd w:val="clear" w:color="auto" w:fill="E6E6E6"/>
            <w:vAlign w:val="center"/>
          </w:tcPr>
          <w:p w14:paraId="72AE4686" w14:textId="77777777" w:rsidR="00DC56C4" w:rsidRPr="00DC56C4" w:rsidRDefault="00DC56C4" w:rsidP="00DC56C4">
            <w:pPr>
              <w:rPr>
                <w:rFonts w:ascii="Arial Narrow" w:hAnsi="Arial Narrow"/>
                <w:sz w:val="20"/>
                <w:szCs w:val="20"/>
              </w:rPr>
            </w:pPr>
          </w:p>
        </w:tc>
        <w:tc>
          <w:tcPr>
            <w:tcW w:w="7302" w:type="dxa"/>
            <w:shd w:val="clear" w:color="auto" w:fill="auto"/>
            <w:vAlign w:val="center"/>
          </w:tcPr>
          <w:p w14:paraId="22D4794B" w14:textId="77777777" w:rsidR="00DC56C4" w:rsidRPr="00DC56C4" w:rsidRDefault="00DC56C4" w:rsidP="00DC56C4">
            <w:pPr>
              <w:autoSpaceDE w:val="0"/>
              <w:autoSpaceDN w:val="0"/>
              <w:adjustRightInd w:val="0"/>
              <w:rPr>
                <w:rFonts w:ascii="Arial Narrow" w:hAnsi="Arial Narrow"/>
                <w:sz w:val="20"/>
                <w:szCs w:val="20"/>
              </w:rPr>
            </w:pPr>
            <w:r w:rsidRPr="00DC56C4">
              <w:rPr>
                <w:rFonts w:ascii="Arial Narrow" w:hAnsi="Arial Narrow" w:cs="Corbel"/>
                <w:sz w:val="20"/>
                <w:szCs w:val="20"/>
              </w:rPr>
              <w:t>15</w:t>
            </w:r>
            <w:r w:rsidRPr="00DC56C4">
              <w:rPr>
                <w:rFonts w:ascii="Calibri" w:hAnsi="Calibri" w:cs="Corbel"/>
                <w:sz w:val="20"/>
                <w:szCs w:val="20"/>
              </w:rPr>
              <w:t>‐</w:t>
            </w:r>
            <w:r w:rsidRPr="00DC56C4">
              <w:rPr>
                <w:rFonts w:ascii="Arial Narrow" w:hAnsi="Arial Narrow" w:cs="Corbel"/>
                <w:sz w:val="20"/>
                <w:szCs w:val="20"/>
              </w:rPr>
              <w:t>19 year olds without a Year 12 certificate and not enrolled in school who are enrolled in a vocational education and training (VET) course at Certificate II level or higher</w:t>
            </w:r>
          </w:p>
        </w:tc>
        <w:tc>
          <w:tcPr>
            <w:tcW w:w="2807" w:type="dxa"/>
            <w:vMerge w:val="restart"/>
            <w:tcBorders>
              <w:right w:val="single" w:sz="12" w:space="0" w:color="auto"/>
            </w:tcBorders>
            <w:shd w:val="clear" w:color="auto" w:fill="auto"/>
            <w:vAlign w:val="center"/>
          </w:tcPr>
          <w:p w14:paraId="4C3DFA67" w14:textId="77777777" w:rsidR="00DC56C4" w:rsidRPr="00DC56C4" w:rsidRDefault="00DC56C4" w:rsidP="00DC56C4">
            <w:pPr>
              <w:rPr>
                <w:rFonts w:ascii="Arial Narrow" w:hAnsi="Arial Narrow"/>
                <w:sz w:val="20"/>
                <w:szCs w:val="20"/>
              </w:rPr>
            </w:pPr>
            <w:proofErr w:type="spellStart"/>
            <w:r w:rsidRPr="00DC56C4">
              <w:rPr>
                <w:rFonts w:ascii="Arial Narrow" w:hAnsi="Arial Narrow"/>
                <w:sz w:val="20"/>
                <w:szCs w:val="20"/>
              </w:rPr>
              <w:t>VOCSTATS</w:t>
            </w:r>
            <w:proofErr w:type="spellEnd"/>
            <w:r w:rsidRPr="00DC56C4">
              <w:rPr>
                <w:rFonts w:ascii="Arial Narrow" w:hAnsi="Arial Narrow"/>
                <w:sz w:val="20"/>
                <w:szCs w:val="20"/>
              </w:rPr>
              <w:t xml:space="preserve"> (</w:t>
            </w:r>
            <w:proofErr w:type="spellStart"/>
            <w:r w:rsidRPr="00DC56C4">
              <w:rPr>
                <w:rFonts w:ascii="Arial Narrow" w:hAnsi="Arial Narrow"/>
                <w:sz w:val="20"/>
                <w:szCs w:val="20"/>
              </w:rPr>
              <w:t>NCVER</w:t>
            </w:r>
            <w:proofErr w:type="spellEnd"/>
            <w:r w:rsidRPr="00DC56C4">
              <w:rPr>
                <w:rFonts w:ascii="Arial Narrow" w:hAnsi="Arial Narrow"/>
                <w:sz w:val="20"/>
                <w:szCs w:val="20"/>
              </w:rPr>
              <w:t>) (a)</w:t>
            </w:r>
          </w:p>
        </w:tc>
        <w:tc>
          <w:tcPr>
            <w:tcW w:w="2247" w:type="dxa"/>
            <w:tcBorders>
              <w:right w:val="single" w:sz="4" w:space="0" w:color="auto"/>
            </w:tcBorders>
            <w:vAlign w:val="center"/>
          </w:tcPr>
          <w:p w14:paraId="00BC1830" w14:textId="77777777" w:rsidR="00DC56C4" w:rsidRPr="00DC56C4" w:rsidRDefault="00DC56C4" w:rsidP="00DC56C4">
            <w:pPr>
              <w:jc w:val="right"/>
              <w:rPr>
                <w:rFonts w:ascii="Arial Narrow" w:hAnsi="Arial Narrow" w:cs="Calibri"/>
                <w:color w:val="000000"/>
                <w:sz w:val="20"/>
                <w:szCs w:val="20"/>
              </w:rPr>
            </w:pPr>
            <w:r w:rsidRPr="00DC56C4">
              <w:rPr>
                <w:rFonts w:ascii="Arial Narrow" w:hAnsi="Arial Narrow" w:cs="Calibri"/>
                <w:color w:val="000000"/>
                <w:sz w:val="20"/>
                <w:szCs w:val="20"/>
              </w:rPr>
              <w:t>30,677</w:t>
            </w:r>
          </w:p>
        </w:tc>
        <w:tc>
          <w:tcPr>
            <w:tcW w:w="2061" w:type="dxa"/>
            <w:tcBorders>
              <w:left w:val="single" w:sz="4" w:space="0" w:color="auto"/>
              <w:right w:val="single" w:sz="4" w:space="0" w:color="auto"/>
            </w:tcBorders>
            <w:vAlign w:val="center"/>
          </w:tcPr>
          <w:p w14:paraId="4AF8A9F3" w14:textId="77777777" w:rsidR="00DC56C4" w:rsidRPr="00DC56C4" w:rsidRDefault="00DC56C4" w:rsidP="00DC56C4">
            <w:pPr>
              <w:jc w:val="right"/>
              <w:rPr>
                <w:rFonts w:ascii="Arial Narrow" w:hAnsi="Arial Narrow" w:cs="Calibri"/>
                <w:color w:val="000000"/>
                <w:sz w:val="20"/>
                <w:szCs w:val="20"/>
              </w:rPr>
            </w:pPr>
            <w:r w:rsidRPr="00DC56C4">
              <w:rPr>
                <w:rFonts w:ascii="Arial Narrow" w:hAnsi="Arial Narrow" w:cs="Calibri"/>
                <w:color w:val="000000"/>
                <w:sz w:val="20"/>
                <w:szCs w:val="20"/>
              </w:rPr>
              <w:t>33,651</w:t>
            </w:r>
          </w:p>
        </w:tc>
        <w:tc>
          <w:tcPr>
            <w:tcW w:w="2059" w:type="dxa"/>
            <w:tcBorders>
              <w:left w:val="single" w:sz="4" w:space="0" w:color="auto"/>
              <w:right w:val="single" w:sz="12" w:space="0" w:color="000000" w:themeColor="text1"/>
            </w:tcBorders>
            <w:vAlign w:val="center"/>
          </w:tcPr>
          <w:p w14:paraId="409CB82E" w14:textId="77777777" w:rsidR="00DC56C4" w:rsidRPr="00DC56C4" w:rsidRDefault="00DC56C4" w:rsidP="00DC56C4">
            <w:pPr>
              <w:jc w:val="right"/>
              <w:rPr>
                <w:rFonts w:ascii="Arial Narrow" w:hAnsi="Arial Narrow" w:cs="Calibri"/>
                <w:color w:val="000000"/>
                <w:sz w:val="20"/>
                <w:szCs w:val="20"/>
              </w:rPr>
            </w:pPr>
            <w:r w:rsidRPr="00DC56C4">
              <w:rPr>
                <w:rFonts w:ascii="Arial Narrow" w:hAnsi="Arial Narrow" w:cs="Calibri"/>
                <w:color w:val="000000"/>
                <w:sz w:val="20"/>
                <w:szCs w:val="20"/>
              </w:rPr>
              <w:t>33,999</w:t>
            </w:r>
          </w:p>
        </w:tc>
      </w:tr>
      <w:tr w:rsidR="00DC56C4" w:rsidRPr="00DC56C4" w14:paraId="29FF36E4" w14:textId="77777777" w:rsidTr="00DE0473">
        <w:trPr>
          <w:cantSplit/>
          <w:trHeight w:val="773"/>
        </w:trPr>
        <w:tc>
          <w:tcPr>
            <w:tcW w:w="3514" w:type="dxa"/>
            <w:vMerge/>
            <w:tcBorders>
              <w:left w:val="single" w:sz="12" w:space="0" w:color="auto"/>
            </w:tcBorders>
            <w:shd w:val="clear" w:color="auto" w:fill="E6E6E6"/>
            <w:vAlign w:val="center"/>
          </w:tcPr>
          <w:p w14:paraId="14136BAB" w14:textId="77777777" w:rsidR="00DC56C4" w:rsidRPr="00DC56C4" w:rsidRDefault="00DC56C4" w:rsidP="00DC56C4">
            <w:pPr>
              <w:rPr>
                <w:rFonts w:ascii="Arial Narrow" w:hAnsi="Arial Narrow"/>
                <w:sz w:val="20"/>
                <w:szCs w:val="20"/>
              </w:rPr>
            </w:pPr>
          </w:p>
        </w:tc>
        <w:tc>
          <w:tcPr>
            <w:tcW w:w="7302" w:type="dxa"/>
            <w:shd w:val="clear" w:color="auto" w:fill="auto"/>
            <w:vAlign w:val="center"/>
          </w:tcPr>
          <w:p w14:paraId="48163B37" w14:textId="77777777" w:rsidR="00DC56C4" w:rsidRPr="00DC56C4" w:rsidRDefault="00DC56C4" w:rsidP="00DC56C4">
            <w:pPr>
              <w:autoSpaceDE w:val="0"/>
              <w:autoSpaceDN w:val="0"/>
              <w:adjustRightInd w:val="0"/>
              <w:rPr>
                <w:rFonts w:ascii="Arial Narrow" w:hAnsi="Arial Narrow" w:cs="Corbel"/>
                <w:sz w:val="20"/>
                <w:szCs w:val="20"/>
              </w:rPr>
            </w:pPr>
            <w:r w:rsidRPr="00DC56C4">
              <w:rPr>
                <w:rFonts w:ascii="Arial Narrow" w:hAnsi="Arial Narrow" w:cs="Corbel"/>
                <w:sz w:val="20"/>
                <w:szCs w:val="20"/>
              </w:rPr>
              <w:t>Indigenous 15</w:t>
            </w:r>
            <w:r w:rsidRPr="00DC56C4">
              <w:rPr>
                <w:rFonts w:ascii="Calibri" w:hAnsi="Calibri" w:cs="Corbel"/>
                <w:sz w:val="20"/>
                <w:szCs w:val="20"/>
              </w:rPr>
              <w:t>‐</w:t>
            </w:r>
            <w:r w:rsidRPr="00DC56C4">
              <w:rPr>
                <w:rFonts w:ascii="Arial Narrow" w:hAnsi="Arial Narrow" w:cs="Corbel"/>
                <w:sz w:val="20"/>
                <w:szCs w:val="20"/>
              </w:rPr>
              <w:t>19 year olds without a Year 12 certificate and not enrolled in school who are enrolled in a vocational education and training (VET) course at Certificate II level or higher</w:t>
            </w:r>
          </w:p>
        </w:tc>
        <w:tc>
          <w:tcPr>
            <w:tcW w:w="2807" w:type="dxa"/>
            <w:vMerge/>
            <w:tcBorders>
              <w:right w:val="single" w:sz="12" w:space="0" w:color="auto"/>
            </w:tcBorders>
            <w:shd w:val="clear" w:color="auto" w:fill="auto"/>
            <w:vAlign w:val="center"/>
          </w:tcPr>
          <w:p w14:paraId="17EA7A62" w14:textId="77777777" w:rsidR="00DC56C4" w:rsidRPr="00DC56C4" w:rsidRDefault="00DC56C4" w:rsidP="00DC56C4">
            <w:pPr>
              <w:rPr>
                <w:rFonts w:ascii="Arial Narrow" w:hAnsi="Arial Narrow"/>
                <w:sz w:val="20"/>
                <w:szCs w:val="20"/>
              </w:rPr>
            </w:pPr>
          </w:p>
        </w:tc>
        <w:tc>
          <w:tcPr>
            <w:tcW w:w="2247" w:type="dxa"/>
            <w:tcBorders>
              <w:right w:val="single" w:sz="4" w:space="0" w:color="auto"/>
            </w:tcBorders>
            <w:vAlign w:val="center"/>
          </w:tcPr>
          <w:p w14:paraId="1965CD6F" w14:textId="77777777" w:rsidR="00DC56C4" w:rsidRPr="00DC56C4" w:rsidRDefault="00DC56C4" w:rsidP="00DC56C4">
            <w:pPr>
              <w:jc w:val="right"/>
              <w:rPr>
                <w:rFonts w:ascii="Arial Narrow" w:hAnsi="Arial Narrow" w:cs="Calibri"/>
                <w:color w:val="000000"/>
                <w:sz w:val="20"/>
                <w:szCs w:val="20"/>
              </w:rPr>
            </w:pPr>
            <w:r w:rsidRPr="00DC56C4">
              <w:rPr>
                <w:rFonts w:ascii="Arial Narrow" w:hAnsi="Arial Narrow" w:cs="Calibri"/>
                <w:color w:val="000000"/>
                <w:sz w:val="20"/>
                <w:szCs w:val="20"/>
              </w:rPr>
              <w:t>828</w:t>
            </w:r>
          </w:p>
        </w:tc>
        <w:tc>
          <w:tcPr>
            <w:tcW w:w="2061" w:type="dxa"/>
            <w:tcBorders>
              <w:left w:val="single" w:sz="4" w:space="0" w:color="auto"/>
              <w:right w:val="single" w:sz="4" w:space="0" w:color="auto"/>
            </w:tcBorders>
            <w:vAlign w:val="center"/>
          </w:tcPr>
          <w:p w14:paraId="7186C7E7" w14:textId="77777777" w:rsidR="00DC56C4" w:rsidRPr="00DC56C4" w:rsidRDefault="00DC56C4" w:rsidP="00DC56C4">
            <w:pPr>
              <w:jc w:val="right"/>
              <w:rPr>
                <w:rFonts w:ascii="Arial Narrow" w:hAnsi="Arial Narrow" w:cs="Calibri"/>
                <w:color w:val="000000"/>
                <w:sz w:val="20"/>
                <w:szCs w:val="20"/>
              </w:rPr>
            </w:pPr>
            <w:r w:rsidRPr="00DC56C4">
              <w:rPr>
                <w:rFonts w:ascii="Arial Narrow" w:hAnsi="Arial Narrow" w:cs="Calibri"/>
                <w:color w:val="000000"/>
                <w:sz w:val="20"/>
                <w:szCs w:val="20"/>
              </w:rPr>
              <w:t>776</w:t>
            </w:r>
          </w:p>
        </w:tc>
        <w:tc>
          <w:tcPr>
            <w:tcW w:w="2059" w:type="dxa"/>
            <w:tcBorders>
              <w:left w:val="single" w:sz="4" w:space="0" w:color="auto"/>
              <w:right w:val="single" w:sz="12" w:space="0" w:color="000000" w:themeColor="text1"/>
            </w:tcBorders>
            <w:vAlign w:val="center"/>
          </w:tcPr>
          <w:p w14:paraId="5AAFEC0B" w14:textId="77777777" w:rsidR="00DC56C4" w:rsidRPr="00DC56C4" w:rsidRDefault="00DC56C4" w:rsidP="00DC56C4">
            <w:pPr>
              <w:jc w:val="right"/>
              <w:rPr>
                <w:rFonts w:ascii="Arial Narrow" w:hAnsi="Arial Narrow" w:cs="Calibri"/>
                <w:color w:val="000000"/>
                <w:sz w:val="20"/>
                <w:szCs w:val="20"/>
              </w:rPr>
            </w:pPr>
            <w:r w:rsidRPr="00DC56C4">
              <w:rPr>
                <w:rFonts w:ascii="Arial Narrow" w:hAnsi="Arial Narrow" w:cs="Calibri"/>
                <w:color w:val="000000"/>
                <w:sz w:val="20"/>
                <w:szCs w:val="20"/>
              </w:rPr>
              <w:t>861</w:t>
            </w:r>
          </w:p>
        </w:tc>
      </w:tr>
      <w:tr w:rsidR="00DC56C4" w:rsidRPr="00DC56C4" w14:paraId="664C8B09" w14:textId="77777777" w:rsidTr="00DE0473">
        <w:trPr>
          <w:cantSplit/>
          <w:trHeight w:val="1058"/>
        </w:trPr>
        <w:tc>
          <w:tcPr>
            <w:tcW w:w="3514" w:type="dxa"/>
            <w:vMerge/>
            <w:tcBorders>
              <w:left w:val="single" w:sz="12" w:space="0" w:color="auto"/>
              <w:bottom w:val="single" w:sz="12" w:space="0" w:color="auto"/>
            </w:tcBorders>
            <w:shd w:val="clear" w:color="auto" w:fill="E6E6E6"/>
            <w:vAlign w:val="center"/>
          </w:tcPr>
          <w:p w14:paraId="3EE99AF3" w14:textId="77777777" w:rsidR="00DC56C4" w:rsidRPr="00DC56C4" w:rsidRDefault="00DC56C4" w:rsidP="00DC56C4">
            <w:pPr>
              <w:rPr>
                <w:rFonts w:ascii="Arial Narrow" w:hAnsi="Arial Narrow"/>
                <w:sz w:val="20"/>
                <w:szCs w:val="20"/>
              </w:rPr>
            </w:pPr>
          </w:p>
        </w:tc>
        <w:tc>
          <w:tcPr>
            <w:tcW w:w="7302" w:type="dxa"/>
            <w:tcBorders>
              <w:bottom w:val="single" w:sz="12" w:space="0" w:color="auto"/>
            </w:tcBorders>
            <w:shd w:val="clear" w:color="auto" w:fill="auto"/>
            <w:vAlign w:val="center"/>
          </w:tcPr>
          <w:p w14:paraId="22EA391E" w14:textId="77777777" w:rsidR="00DC56C4" w:rsidRPr="00DC56C4" w:rsidRDefault="00DC56C4" w:rsidP="00DC56C4">
            <w:pPr>
              <w:autoSpaceDE w:val="0"/>
              <w:autoSpaceDN w:val="0"/>
              <w:adjustRightInd w:val="0"/>
              <w:rPr>
                <w:rFonts w:ascii="Arial Narrow" w:hAnsi="Arial Narrow" w:cs="Corbel"/>
                <w:sz w:val="20"/>
                <w:szCs w:val="20"/>
              </w:rPr>
            </w:pPr>
            <w:r w:rsidRPr="00DC56C4">
              <w:rPr>
                <w:rFonts w:ascii="Arial Narrow" w:hAnsi="Arial Narrow"/>
                <w:sz w:val="20"/>
                <w:szCs w:val="20"/>
              </w:rPr>
              <w:t>Indigenous 15-19 year olds without a Year 12 certificate and not enrolled in school who are enrolled in a vocational education and training (VET) course at Certificate I level</w:t>
            </w:r>
          </w:p>
        </w:tc>
        <w:tc>
          <w:tcPr>
            <w:tcW w:w="2807" w:type="dxa"/>
            <w:vMerge/>
            <w:tcBorders>
              <w:bottom w:val="single" w:sz="12" w:space="0" w:color="auto"/>
              <w:right w:val="single" w:sz="12" w:space="0" w:color="auto"/>
            </w:tcBorders>
            <w:shd w:val="clear" w:color="auto" w:fill="auto"/>
            <w:vAlign w:val="center"/>
          </w:tcPr>
          <w:p w14:paraId="0E9DE967" w14:textId="77777777" w:rsidR="00DC56C4" w:rsidRPr="00DC56C4" w:rsidRDefault="00DC56C4" w:rsidP="00DC56C4">
            <w:pPr>
              <w:rPr>
                <w:rFonts w:ascii="Arial Narrow" w:hAnsi="Arial Narrow"/>
                <w:sz w:val="20"/>
                <w:szCs w:val="20"/>
              </w:rPr>
            </w:pPr>
          </w:p>
        </w:tc>
        <w:tc>
          <w:tcPr>
            <w:tcW w:w="2247" w:type="dxa"/>
            <w:tcBorders>
              <w:bottom w:val="single" w:sz="12" w:space="0" w:color="auto"/>
              <w:right w:val="single" w:sz="4" w:space="0" w:color="auto"/>
            </w:tcBorders>
            <w:vAlign w:val="center"/>
          </w:tcPr>
          <w:p w14:paraId="5B0FBC0E" w14:textId="77777777" w:rsidR="00DC56C4" w:rsidRPr="00DC56C4" w:rsidRDefault="00DC56C4" w:rsidP="00DC56C4">
            <w:pPr>
              <w:jc w:val="right"/>
              <w:rPr>
                <w:rFonts w:ascii="Arial Narrow" w:hAnsi="Arial Narrow" w:cs="Calibri"/>
                <w:color w:val="000000"/>
                <w:sz w:val="20"/>
                <w:szCs w:val="20"/>
              </w:rPr>
            </w:pPr>
            <w:r w:rsidRPr="00DC56C4">
              <w:rPr>
                <w:rFonts w:ascii="Arial Narrow" w:hAnsi="Arial Narrow" w:cs="Calibri"/>
                <w:color w:val="000000"/>
                <w:sz w:val="20"/>
                <w:szCs w:val="20"/>
              </w:rPr>
              <w:t>91</w:t>
            </w:r>
          </w:p>
        </w:tc>
        <w:tc>
          <w:tcPr>
            <w:tcW w:w="2061" w:type="dxa"/>
            <w:tcBorders>
              <w:left w:val="single" w:sz="4" w:space="0" w:color="auto"/>
              <w:bottom w:val="single" w:sz="12" w:space="0" w:color="auto"/>
              <w:right w:val="single" w:sz="4" w:space="0" w:color="auto"/>
            </w:tcBorders>
            <w:vAlign w:val="center"/>
          </w:tcPr>
          <w:p w14:paraId="05AE424D" w14:textId="77777777" w:rsidR="00DC56C4" w:rsidRPr="00DC56C4" w:rsidRDefault="00DC56C4" w:rsidP="00DC56C4">
            <w:pPr>
              <w:jc w:val="right"/>
              <w:rPr>
                <w:rFonts w:ascii="Arial Narrow" w:hAnsi="Arial Narrow" w:cs="Calibri"/>
                <w:color w:val="000000"/>
                <w:sz w:val="20"/>
                <w:szCs w:val="20"/>
              </w:rPr>
            </w:pPr>
            <w:r w:rsidRPr="00DC56C4">
              <w:rPr>
                <w:rFonts w:ascii="Arial Narrow" w:hAnsi="Arial Narrow" w:cs="Calibri"/>
                <w:color w:val="000000"/>
                <w:sz w:val="20"/>
                <w:szCs w:val="20"/>
              </w:rPr>
              <w:t>147</w:t>
            </w:r>
          </w:p>
        </w:tc>
        <w:tc>
          <w:tcPr>
            <w:tcW w:w="2059" w:type="dxa"/>
            <w:tcBorders>
              <w:left w:val="single" w:sz="4" w:space="0" w:color="auto"/>
              <w:bottom w:val="single" w:sz="12" w:space="0" w:color="auto"/>
              <w:right w:val="single" w:sz="12" w:space="0" w:color="000000" w:themeColor="text1"/>
            </w:tcBorders>
            <w:vAlign w:val="center"/>
          </w:tcPr>
          <w:p w14:paraId="093235F4" w14:textId="77777777" w:rsidR="00DC56C4" w:rsidRPr="00DC56C4" w:rsidRDefault="00DC56C4" w:rsidP="00DC56C4">
            <w:pPr>
              <w:jc w:val="right"/>
              <w:rPr>
                <w:rFonts w:ascii="Arial Narrow" w:hAnsi="Arial Narrow" w:cs="Calibri"/>
                <w:color w:val="000000"/>
                <w:sz w:val="20"/>
                <w:szCs w:val="20"/>
              </w:rPr>
            </w:pPr>
            <w:r w:rsidRPr="00DC56C4">
              <w:rPr>
                <w:rFonts w:ascii="Arial Narrow" w:hAnsi="Arial Narrow" w:cs="Calibri"/>
                <w:color w:val="000000"/>
                <w:sz w:val="20"/>
                <w:szCs w:val="20"/>
              </w:rPr>
              <w:t>238</w:t>
            </w:r>
          </w:p>
        </w:tc>
      </w:tr>
      <w:tr w:rsidR="00DC56C4" w:rsidRPr="00DC56C4" w14:paraId="622497A9" w14:textId="77777777" w:rsidTr="00DE0473">
        <w:trPr>
          <w:cantSplit/>
          <w:trHeight w:val="436"/>
        </w:trPr>
        <w:tc>
          <w:tcPr>
            <w:tcW w:w="3514" w:type="dxa"/>
            <w:vMerge w:val="restart"/>
            <w:tcBorders>
              <w:left w:val="single" w:sz="12" w:space="0" w:color="auto"/>
            </w:tcBorders>
            <w:shd w:val="clear" w:color="auto" w:fill="E6E6E6"/>
            <w:vAlign w:val="center"/>
          </w:tcPr>
          <w:p w14:paraId="217EB75B" w14:textId="77777777" w:rsidR="00DC56C4" w:rsidRPr="00DC56C4" w:rsidRDefault="00DC56C4" w:rsidP="00DC56C4">
            <w:pPr>
              <w:rPr>
                <w:rFonts w:ascii="Arial Narrow" w:hAnsi="Arial Narrow"/>
                <w:sz w:val="20"/>
                <w:szCs w:val="20"/>
              </w:rPr>
            </w:pPr>
            <w:r w:rsidRPr="00DC56C4">
              <w:rPr>
                <w:rFonts w:ascii="Arial Narrow" w:hAnsi="Arial Narrow"/>
                <w:sz w:val="20"/>
                <w:szCs w:val="20"/>
              </w:rPr>
              <w:t>Increased attainment of young people aged 15</w:t>
            </w:r>
            <w:r w:rsidRPr="00DC56C4">
              <w:rPr>
                <w:rFonts w:ascii="Calibri" w:hAnsi="Calibri"/>
                <w:sz w:val="20"/>
                <w:szCs w:val="20"/>
              </w:rPr>
              <w:t>‐</w:t>
            </w:r>
            <w:r w:rsidRPr="00DC56C4">
              <w:rPr>
                <w:rFonts w:ascii="Arial Narrow" w:hAnsi="Arial Narrow"/>
                <w:sz w:val="20"/>
                <w:szCs w:val="20"/>
              </w:rPr>
              <w:t>24, including Indigenous youth</w:t>
            </w:r>
          </w:p>
        </w:tc>
        <w:tc>
          <w:tcPr>
            <w:tcW w:w="7302" w:type="dxa"/>
            <w:shd w:val="clear" w:color="auto" w:fill="auto"/>
            <w:vAlign w:val="center"/>
          </w:tcPr>
          <w:p w14:paraId="154CE4CB" w14:textId="77777777" w:rsidR="00DC56C4" w:rsidRPr="00DC56C4" w:rsidRDefault="00DC56C4" w:rsidP="00DC56C4">
            <w:pPr>
              <w:autoSpaceDE w:val="0"/>
              <w:autoSpaceDN w:val="0"/>
              <w:adjustRightInd w:val="0"/>
              <w:rPr>
                <w:rFonts w:ascii="Arial Narrow" w:hAnsi="Arial Narrow" w:cs="Corbel"/>
                <w:sz w:val="20"/>
                <w:szCs w:val="20"/>
              </w:rPr>
            </w:pPr>
            <w:r w:rsidRPr="00DC56C4">
              <w:rPr>
                <w:rFonts w:ascii="Arial Narrow" w:hAnsi="Arial Narrow" w:cs="Corbel"/>
                <w:sz w:val="20"/>
                <w:szCs w:val="20"/>
              </w:rPr>
              <w:t>The proportion of young people aged 20</w:t>
            </w:r>
            <w:r w:rsidRPr="00DC56C4">
              <w:rPr>
                <w:rFonts w:ascii="Calibri" w:hAnsi="Calibri" w:cs="Corbel"/>
                <w:sz w:val="20"/>
                <w:szCs w:val="20"/>
              </w:rPr>
              <w:t>‐</w:t>
            </w:r>
            <w:r w:rsidRPr="00DC56C4">
              <w:rPr>
                <w:rFonts w:ascii="Arial Narrow" w:hAnsi="Arial Narrow" w:cs="Corbel"/>
                <w:sz w:val="20"/>
                <w:szCs w:val="20"/>
              </w:rPr>
              <w:t>24 who have attained Year 12 or Certificate II or above (b)</w:t>
            </w:r>
          </w:p>
        </w:tc>
        <w:tc>
          <w:tcPr>
            <w:tcW w:w="2807" w:type="dxa"/>
            <w:vMerge w:val="restart"/>
            <w:tcBorders>
              <w:top w:val="single" w:sz="4" w:space="0" w:color="auto"/>
              <w:right w:val="single" w:sz="12" w:space="0" w:color="auto"/>
            </w:tcBorders>
            <w:shd w:val="clear" w:color="auto" w:fill="auto"/>
            <w:vAlign w:val="center"/>
          </w:tcPr>
          <w:p w14:paraId="41F20534" w14:textId="77777777" w:rsidR="00DC56C4" w:rsidRPr="00DC56C4" w:rsidRDefault="00DC56C4" w:rsidP="00DC56C4">
            <w:pPr>
              <w:rPr>
                <w:rFonts w:ascii="Arial Narrow" w:hAnsi="Arial Narrow"/>
                <w:sz w:val="20"/>
                <w:szCs w:val="20"/>
              </w:rPr>
            </w:pPr>
            <w:r w:rsidRPr="00DC56C4">
              <w:rPr>
                <w:rFonts w:ascii="Arial Narrow" w:hAnsi="Arial Narrow"/>
                <w:sz w:val="20"/>
                <w:szCs w:val="20"/>
              </w:rPr>
              <w:t>Census (ABS)</w:t>
            </w:r>
          </w:p>
        </w:tc>
        <w:tc>
          <w:tcPr>
            <w:tcW w:w="2247" w:type="dxa"/>
            <w:tcBorders>
              <w:top w:val="single" w:sz="4" w:space="0" w:color="auto"/>
              <w:right w:val="single" w:sz="4" w:space="0" w:color="auto"/>
            </w:tcBorders>
            <w:vAlign w:val="center"/>
          </w:tcPr>
          <w:p w14:paraId="7CBE8456" w14:textId="77777777" w:rsidR="00DC56C4" w:rsidRPr="00DC56C4" w:rsidRDefault="00DC56C4" w:rsidP="00DC56C4">
            <w:pPr>
              <w:jc w:val="right"/>
              <w:rPr>
                <w:rFonts w:ascii="Arial Narrow" w:hAnsi="Arial Narrow" w:cs="Calibri"/>
                <w:color w:val="000000"/>
                <w:sz w:val="20"/>
                <w:szCs w:val="20"/>
              </w:rPr>
            </w:pPr>
            <w:r w:rsidRPr="00DC56C4">
              <w:rPr>
                <w:rFonts w:ascii="Arial Narrow" w:hAnsi="Arial Narrow" w:cs="Calibri"/>
                <w:color w:val="000000"/>
                <w:sz w:val="20"/>
                <w:szCs w:val="20"/>
              </w:rPr>
              <w:t>N/A</w:t>
            </w:r>
          </w:p>
        </w:tc>
        <w:tc>
          <w:tcPr>
            <w:tcW w:w="2061" w:type="dxa"/>
            <w:tcBorders>
              <w:top w:val="single" w:sz="4" w:space="0" w:color="auto"/>
              <w:left w:val="single" w:sz="4" w:space="0" w:color="auto"/>
              <w:right w:val="single" w:sz="4" w:space="0" w:color="auto"/>
            </w:tcBorders>
            <w:vAlign w:val="center"/>
          </w:tcPr>
          <w:p w14:paraId="33E7DF63" w14:textId="77777777" w:rsidR="00DC56C4" w:rsidRPr="00DC56C4" w:rsidRDefault="00DC56C4" w:rsidP="00DC56C4">
            <w:pPr>
              <w:jc w:val="right"/>
              <w:rPr>
                <w:rFonts w:ascii="Arial Narrow" w:hAnsi="Arial Narrow" w:cs="Calibri"/>
                <w:color w:val="000000"/>
                <w:sz w:val="20"/>
                <w:szCs w:val="20"/>
              </w:rPr>
            </w:pPr>
            <w:r w:rsidRPr="00DC56C4">
              <w:rPr>
                <w:rFonts w:ascii="Arial Narrow" w:hAnsi="Arial Narrow" w:cs="Calibri"/>
                <w:color w:val="000000"/>
                <w:sz w:val="20"/>
                <w:szCs w:val="20"/>
              </w:rPr>
              <w:t>88.0%</w:t>
            </w:r>
          </w:p>
        </w:tc>
        <w:tc>
          <w:tcPr>
            <w:tcW w:w="2059" w:type="dxa"/>
            <w:tcBorders>
              <w:top w:val="single" w:sz="4" w:space="0" w:color="auto"/>
              <w:left w:val="single" w:sz="4" w:space="0" w:color="auto"/>
              <w:right w:val="single" w:sz="12" w:space="0" w:color="000000" w:themeColor="text1"/>
            </w:tcBorders>
            <w:vAlign w:val="center"/>
          </w:tcPr>
          <w:p w14:paraId="6171B473" w14:textId="77777777" w:rsidR="00DC56C4" w:rsidRPr="00DC56C4" w:rsidRDefault="00DC56C4" w:rsidP="00DC56C4">
            <w:pPr>
              <w:jc w:val="right"/>
              <w:rPr>
                <w:rFonts w:ascii="Arial Narrow" w:hAnsi="Arial Narrow" w:cs="Calibri"/>
                <w:color w:val="000000"/>
                <w:sz w:val="20"/>
                <w:szCs w:val="20"/>
              </w:rPr>
            </w:pPr>
            <w:r w:rsidRPr="00DC56C4">
              <w:rPr>
                <w:rFonts w:ascii="Arial Narrow" w:hAnsi="Arial Narrow" w:cs="Calibri"/>
                <w:color w:val="000000"/>
                <w:sz w:val="20"/>
                <w:szCs w:val="20"/>
              </w:rPr>
              <w:t>N/A</w:t>
            </w:r>
          </w:p>
        </w:tc>
      </w:tr>
      <w:tr w:rsidR="00DC56C4" w:rsidRPr="00DC56C4" w14:paraId="5903C788" w14:textId="77777777" w:rsidTr="00DE0473">
        <w:trPr>
          <w:cantSplit/>
          <w:trHeight w:val="677"/>
        </w:trPr>
        <w:tc>
          <w:tcPr>
            <w:tcW w:w="3514" w:type="dxa"/>
            <w:vMerge/>
            <w:tcBorders>
              <w:left w:val="single" w:sz="12" w:space="0" w:color="auto"/>
            </w:tcBorders>
            <w:shd w:val="clear" w:color="auto" w:fill="E6E6E6"/>
            <w:vAlign w:val="center"/>
          </w:tcPr>
          <w:p w14:paraId="30DB2036" w14:textId="77777777" w:rsidR="00DC56C4" w:rsidRPr="00DC56C4" w:rsidRDefault="00DC56C4" w:rsidP="00DC56C4">
            <w:pPr>
              <w:rPr>
                <w:rFonts w:ascii="Arial Narrow" w:hAnsi="Arial Narrow"/>
                <w:sz w:val="20"/>
                <w:szCs w:val="20"/>
              </w:rPr>
            </w:pPr>
          </w:p>
        </w:tc>
        <w:tc>
          <w:tcPr>
            <w:tcW w:w="7302" w:type="dxa"/>
            <w:shd w:val="clear" w:color="auto" w:fill="auto"/>
            <w:vAlign w:val="center"/>
          </w:tcPr>
          <w:p w14:paraId="616F8E15" w14:textId="77777777" w:rsidR="00DC56C4" w:rsidRPr="00DC56C4" w:rsidRDefault="00DC56C4" w:rsidP="00DC56C4">
            <w:pPr>
              <w:autoSpaceDE w:val="0"/>
              <w:autoSpaceDN w:val="0"/>
              <w:adjustRightInd w:val="0"/>
              <w:rPr>
                <w:rFonts w:ascii="Arial Narrow" w:hAnsi="Arial Narrow" w:cs="Corbel"/>
                <w:sz w:val="20"/>
                <w:szCs w:val="20"/>
              </w:rPr>
            </w:pPr>
            <w:r w:rsidRPr="00DC56C4">
              <w:rPr>
                <w:rFonts w:ascii="Arial Narrow" w:hAnsi="Arial Narrow" w:cs="Corbel"/>
                <w:sz w:val="20"/>
                <w:szCs w:val="20"/>
              </w:rPr>
              <w:t>The proportion of young Indigenous people aged 20</w:t>
            </w:r>
            <w:r w:rsidRPr="00DC56C4">
              <w:rPr>
                <w:rFonts w:ascii="Calibri" w:hAnsi="Calibri" w:cs="Corbel"/>
                <w:sz w:val="20"/>
                <w:szCs w:val="20"/>
              </w:rPr>
              <w:t>‐</w:t>
            </w:r>
            <w:r w:rsidRPr="00DC56C4">
              <w:rPr>
                <w:rFonts w:ascii="Arial Narrow" w:hAnsi="Arial Narrow" w:cs="Corbel"/>
                <w:sz w:val="20"/>
                <w:szCs w:val="20"/>
              </w:rPr>
              <w:t>24 who have attained Year 12 or Certificate II or above</w:t>
            </w:r>
          </w:p>
        </w:tc>
        <w:tc>
          <w:tcPr>
            <w:tcW w:w="2807" w:type="dxa"/>
            <w:vMerge/>
            <w:tcBorders>
              <w:right w:val="single" w:sz="12" w:space="0" w:color="auto"/>
            </w:tcBorders>
            <w:shd w:val="clear" w:color="auto" w:fill="auto"/>
            <w:vAlign w:val="center"/>
          </w:tcPr>
          <w:p w14:paraId="0FAAAD00" w14:textId="77777777" w:rsidR="00DC56C4" w:rsidRPr="00DC56C4" w:rsidRDefault="00DC56C4" w:rsidP="00DC56C4">
            <w:pPr>
              <w:rPr>
                <w:rFonts w:ascii="Arial Narrow" w:hAnsi="Arial Narrow"/>
                <w:sz w:val="20"/>
                <w:szCs w:val="20"/>
              </w:rPr>
            </w:pPr>
          </w:p>
        </w:tc>
        <w:tc>
          <w:tcPr>
            <w:tcW w:w="2247" w:type="dxa"/>
            <w:tcBorders>
              <w:right w:val="single" w:sz="4" w:space="0" w:color="auto"/>
            </w:tcBorders>
            <w:vAlign w:val="center"/>
          </w:tcPr>
          <w:p w14:paraId="21BB85A9" w14:textId="77777777" w:rsidR="00DC56C4" w:rsidRPr="00DC56C4" w:rsidRDefault="00DC56C4" w:rsidP="00DC56C4">
            <w:pPr>
              <w:jc w:val="right"/>
              <w:rPr>
                <w:rFonts w:ascii="Arial Narrow" w:hAnsi="Arial Narrow" w:cs="Calibri"/>
                <w:color w:val="000000"/>
                <w:sz w:val="20"/>
                <w:szCs w:val="20"/>
              </w:rPr>
            </w:pPr>
            <w:r w:rsidRPr="00DC56C4">
              <w:rPr>
                <w:rFonts w:ascii="Arial Narrow" w:hAnsi="Arial Narrow" w:cs="Calibri"/>
                <w:color w:val="000000"/>
                <w:sz w:val="20"/>
                <w:szCs w:val="20"/>
              </w:rPr>
              <w:t>N/A</w:t>
            </w:r>
          </w:p>
        </w:tc>
        <w:tc>
          <w:tcPr>
            <w:tcW w:w="2061" w:type="dxa"/>
            <w:tcBorders>
              <w:left w:val="single" w:sz="4" w:space="0" w:color="auto"/>
              <w:right w:val="single" w:sz="4" w:space="0" w:color="auto"/>
            </w:tcBorders>
            <w:vAlign w:val="center"/>
          </w:tcPr>
          <w:p w14:paraId="320361C3" w14:textId="77777777" w:rsidR="00DC56C4" w:rsidRPr="00DC56C4" w:rsidRDefault="00DC56C4" w:rsidP="00DC56C4">
            <w:pPr>
              <w:jc w:val="right"/>
              <w:rPr>
                <w:rFonts w:ascii="Arial Narrow" w:hAnsi="Arial Narrow" w:cs="Calibri"/>
                <w:color w:val="000000"/>
                <w:sz w:val="20"/>
                <w:szCs w:val="20"/>
              </w:rPr>
            </w:pPr>
            <w:r w:rsidRPr="00DC56C4">
              <w:rPr>
                <w:rFonts w:ascii="Arial Narrow" w:hAnsi="Arial Narrow" w:cs="Calibri"/>
                <w:color w:val="000000"/>
                <w:sz w:val="20"/>
                <w:szCs w:val="20"/>
              </w:rPr>
              <w:t>61.5%</w:t>
            </w:r>
          </w:p>
        </w:tc>
        <w:tc>
          <w:tcPr>
            <w:tcW w:w="2059" w:type="dxa"/>
            <w:tcBorders>
              <w:left w:val="single" w:sz="4" w:space="0" w:color="auto"/>
              <w:right w:val="single" w:sz="12" w:space="0" w:color="000000" w:themeColor="text1"/>
            </w:tcBorders>
            <w:vAlign w:val="center"/>
          </w:tcPr>
          <w:p w14:paraId="46CA469D" w14:textId="77777777" w:rsidR="00DC56C4" w:rsidRPr="00DC56C4" w:rsidRDefault="00DC56C4" w:rsidP="00DC56C4">
            <w:pPr>
              <w:jc w:val="right"/>
              <w:rPr>
                <w:rFonts w:ascii="Arial Narrow" w:hAnsi="Arial Narrow" w:cs="Calibri"/>
                <w:color w:val="000000"/>
                <w:sz w:val="20"/>
                <w:szCs w:val="20"/>
              </w:rPr>
            </w:pPr>
            <w:r w:rsidRPr="00DC56C4">
              <w:rPr>
                <w:rFonts w:ascii="Arial Narrow" w:hAnsi="Arial Narrow" w:cs="Calibri"/>
                <w:color w:val="000000"/>
                <w:sz w:val="20"/>
                <w:szCs w:val="20"/>
              </w:rPr>
              <w:t>N/A</w:t>
            </w:r>
          </w:p>
        </w:tc>
      </w:tr>
      <w:tr w:rsidR="00DC56C4" w:rsidRPr="00DC56C4" w14:paraId="597C5F63" w14:textId="77777777" w:rsidTr="00DE0473">
        <w:trPr>
          <w:cantSplit/>
          <w:trHeight w:val="454"/>
        </w:trPr>
        <w:tc>
          <w:tcPr>
            <w:tcW w:w="3514" w:type="dxa"/>
            <w:vMerge/>
            <w:tcBorders>
              <w:left w:val="single" w:sz="12" w:space="0" w:color="auto"/>
            </w:tcBorders>
            <w:shd w:val="clear" w:color="auto" w:fill="E6E6E6"/>
            <w:vAlign w:val="center"/>
          </w:tcPr>
          <w:p w14:paraId="010A85BA" w14:textId="77777777" w:rsidR="00DC56C4" w:rsidRPr="00DC56C4" w:rsidRDefault="00DC56C4" w:rsidP="00DC56C4">
            <w:pPr>
              <w:rPr>
                <w:rFonts w:ascii="Arial Narrow" w:hAnsi="Arial Narrow"/>
                <w:sz w:val="20"/>
                <w:szCs w:val="20"/>
              </w:rPr>
            </w:pPr>
          </w:p>
        </w:tc>
        <w:tc>
          <w:tcPr>
            <w:tcW w:w="7302" w:type="dxa"/>
            <w:shd w:val="clear" w:color="auto" w:fill="auto"/>
            <w:vAlign w:val="center"/>
          </w:tcPr>
          <w:p w14:paraId="0BB8D178" w14:textId="77777777" w:rsidR="00DC56C4" w:rsidRPr="00DC56C4" w:rsidRDefault="00DC56C4" w:rsidP="00DC56C4">
            <w:pPr>
              <w:autoSpaceDE w:val="0"/>
              <w:autoSpaceDN w:val="0"/>
              <w:adjustRightInd w:val="0"/>
              <w:rPr>
                <w:rFonts w:ascii="Arial Narrow" w:hAnsi="Arial Narrow" w:cs="Corbel"/>
                <w:sz w:val="20"/>
                <w:szCs w:val="20"/>
              </w:rPr>
            </w:pPr>
            <w:r w:rsidRPr="00DC56C4">
              <w:rPr>
                <w:rFonts w:ascii="Arial Narrow" w:hAnsi="Arial Narrow" w:cs="Corbel"/>
                <w:sz w:val="20"/>
                <w:szCs w:val="20"/>
              </w:rPr>
              <w:t>20-24 year old VET completions at Certificate II or above</w:t>
            </w:r>
          </w:p>
        </w:tc>
        <w:tc>
          <w:tcPr>
            <w:tcW w:w="2807" w:type="dxa"/>
            <w:vMerge w:val="restart"/>
            <w:tcBorders>
              <w:right w:val="single" w:sz="12" w:space="0" w:color="auto"/>
            </w:tcBorders>
            <w:shd w:val="clear" w:color="auto" w:fill="auto"/>
            <w:vAlign w:val="center"/>
          </w:tcPr>
          <w:p w14:paraId="4C48921B" w14:textId="77777777" w:rsidR="00DC56C4" w:rsidRPr="00DC56C4" w:rsidRDefault="00DC56C4" w:rsidP="00DC56C4">
            <w:pPr>
              <w:rPr>
                <w:rFonts w:ascii="Arial Narrow" w:hAnsi="Arial Narrow"/>
                <w:sz w:val="20"/>
                <w:szCs w:val="20"/>
              </w:rPr>
            </w:pPr>
            <w:proofErr w:type="spellStart"/>
            <w:r w:rsidRPr="00DC56C4">
              <w:rPr>
                <w:rFonts w:ascii="Arial Narrow" w:hAnsi="Arial Narrow"/>
                <w:sz w:val="20"/>
                <w:szCs w:val="20"/>
              </w:rPr>
              <w:t>VOCSTATS</w:t>
            </w:r>
            <w:proofErr w:type="spellEnd"/>
            <w:r w:rsidRPr="00DC56C4">
              <w:rPr>
                <w:rFonts w:ascii="Arial Narrow" w:hAnsi="Arial Narrow"/>
                <w:sz w:val="20"/>
                <w:szCs w:val="20"/>
              </w:rPr>
              <w:t xml:space="preserve"> (</w:t>
            </w:r>
            <w:proofErr w:type="spellStart"/>
            <w:r w:rsidRPr="00DC56C4">
              <w:rPr>
                <w:rFonts w:ascii="Arial Narrow" w:hAnsi="Arial Narrow"/>
                <w:sz w:val="20"/>
                <w:szCs w:val="20"/>
              </w:rPr>
              <w:t>NCVER</w:t>
            </w:r>
            <w:proofErr w:type="spellEnd"/>
            <w:r w:rsidRPr="00DC56C4">
              <w:rPr>
                <w:rFonts w:ascii="Arial Narrow" w:hAnsi="Arial Narrow"/>
                <w:sz w:val="20"/>
                <w:szCs w:val="20"/>
              </w:rPr>
              <w:t>) (a)</w:t>
            </w:r>
          </w:p>
        </w:tc>
        <w:tc>
          <w:tcPr>
            <w:tcW w:w="2247" w:type="dxa"/>
            <w:tcBorders>
              <w:right w:val="single" w:sz="4" w:space="0" w:color="auto"/>
            </w:tcBorders>
            <w:vAlign w:val="center"/>
          </w:tcPr>
          <w:p w14:paraId="1719ECEA" w14:textId="77777777" w:rsidR="00DC56C4" w:rsidRPr="00DC56C4" w:rsidRDefault="00DC56C4" w:rsidP="00DC56C4">
            <w:pPr>
              <w:jc w:val="right"/>
              <w:rPr>
                <w:rFonts w:ascii="Arial Narrow" w:hAnsi="Arial Narrow" w:cs="Calibri"/>
                <w:color w:val="000000"/>
                <w:sz w:val="20"/>
                <w:szCs w:val="20"/>
              </w:rPr>
            </w:pPr>
            <w:r w:rsidRPr="00DC56C4">
              <w:rPr>
                <w:rFonts w:ascii="Arial Narrow" w:hAnsi="Arial Narrow" w:cs="Calibri"/>
                <w:color w:val="000000"/>
                <w:sz w:val="20"/>
                <w:szCs w:val="20"/>
              </w:rPr>
              <w:t>28,844</w:t>
            </w:r>
          </w:p>
        </w:tc>
        <w:tc>
          <w:tcPr>
            <w:tcW w:w="2061" w:type="dxa"/>
            <w:tcBorders>
              <w:left w:val="single" w:sz="4" w:space="0" w:color="auto"/>
              <w:right w:val="single" w:sz="4" w:space="0" w:color="auto"/>
            </w:tcBorders>
            <w:vAlign w:val="center"/>
          </w:tcPr>
          <w:p w14:paraId="58A299BC" w14:textId="77777777" w:rsidR="00DC56C4" w:rsidRPr="00DC56C4" w:rsidRDefault="00DC56C4" w:rsidP="00DC56C4">
            <w:pPr>
              <w:jc w:val="right"/>
              <w:rPr>
                <w:rFonts w:ascii="Arial Narrow" w:hAnsi="Arial Narrow" w:cs="Calibri"/>
                <w:color w:val="000000"/>
                <w:sz w:val="20"/>
                <w:szCs w:val="20"/>
              </w:rPr>
            </w:pPr>
            <w:r w:rsidRPr="00DC56C4">
              <w:rPr>
                <w:rFonts w:ascii="Arial Narrow" w:hAnsi="Arial Narrow" w:cs="Calibri"/>
                <w:color w:val="000000"/>
                <w:sz w:val="20"/>
                <w:szCs w:val="20"/>
              </w:rPr>
              <w:t>35,142</w:t>
            </w:r>
          </w:p>
        </w:tc>
        <w:tc>
          <w:tcPr>
            <w:tcW w:w="2059" w:type="dxa"/>
            <w:tcBorders>
              <w:left w:val="single" w:sz="4" w:space="0" w:color="auto"/>
              <w:right w:val="single" w:sz="12" w:space="0" w:color="000000" w:themeColor="text1"/>
            </w:tcBorders>
            <w:vAlign w:val="center"/>
          </w:tcPr>
          <w:p w14:paraId="70F09B22" w14:textId="77777777" w:rsidR="00DC56C4" w:rsidRPr="00DC56C4" w:rsidRDefault="00DC56C4" w:rsidP="00DC56C4">
            <w:pPr>
              <w:jc w:val="right"/>
              <w:rPr>
                <w:rFonts w:ascii="Arial Narrow" w:hAnsi="Arial Narrow" w:cs="Calibri"/>
                <w:color w:val="000000"/>
                <w:sz w:val="20"/>
                <w:szCs w:val="20"/>
              </w:rPr>
            </w:pPr>
            <w:r w:rsidRPr="00DC56C4">
              <w:rPr>
                <w:rFonts w:ascii="Arial Narrow" w:hAnsi="Arial Narrow" w:cs="Calibri"/>
                <w:color w:val="000000"/>
                <w:sz w:val="20"/>
                <w:szCs w:val="20"/>
              </w:rPr>
              <w:t>Not yet available</w:t>
            </w:r>
          </w:p>
        </w:tc>
      </w:tr>
      <w:tr w:rsidR="00DC56C4" w:rsidRPr="00DC56C4" w14:paraId="246FBD4F" w14:textId="77777777" w:rsidTr="00DE0473">
        <w:trPr>
          <w:cantSplit/>
          <w:trHeight w:val="462"/>
        </w:trPr>
        <w:tc>
          <w:tcPr>
            <w:tcW w:w="3514" w:type="dxa"/>
            <w:vMerge/>
            <w:tcBorders>
              <w:left w:val="single" w:sz="12" w:space="0" w:color="auto"/>
            </w:tcBorders>
            <w:shd w:val="clear" w:color="auto" w:fill="E6E6E6"/>
            <w:vAlign w:val="center"/>
          </w:tcPr>
          <w:p w14:paraId="1364325B" w14:textId="77777777" w:rsidR="00DC56C4" w:rsidRPr="00DC56C4" w:rsidRDefault="00DC56C4" w:rsidP="00DC56C4">
            <w:pPr>
              <w:rPr>
                <w:rFonts w:ascii="Arial Narrow" w:hAnsi="Arial Narrow"/>
                <w:sz w:val="20"/>
                <w:szCs w:val="20"/>
              </w:rPr>
            </w:pPr>
          </w:p>
        </w:tc>
        <w:tc>
          <w:tcPr>
            <w:tcW w:w="7302" w:type="dxa"/>
            <w:shd w:val="clear" w:color="auto" w:fill="auto"/>
            <w:vAlign w:val="center"/>
          </w:tcPr>
          <w:p w14:paraId="05EC9B4A" w14:textId="77777777" w:rsidR="00DC56C4" w:rsidRPr="00DC56C4" w:rsidRDefault="00DC56C4" w:rsidP="00DC56C4">
            <w:pPr>
              <w:autoSpaceDE w:val="0"/>
              <w:autoSpaceDN w:val="0"/>
              <w:adjustRightInd w:val="0"/>
              <w:rPr>
                <w:rFonts w:ascii="Arial Narrow" w:hAnsi="Arial Narrow" w:cs="Corbel"/>
                <w:sz w:val="20"/>
                <w:szCs w:val="20"/>
              </w:rPr>
            </w:pPr>
            <w:r w:rsidRPr="00DC56C4">
              <w:rPr>
                <w:rFonts w:ascii="Arial Narrow" w:hAnsi="Arial Narrow" w:cs="Corbel"/>
                <w:sz w:val="20"/>
                <w:szCs w:val="20"/>
              </w:rPr>
              <w:t>Indigenous 20-24 year old VET completions at Certificate II or above</w:t>
            </w:r>
          </w:p>
        </w:tc>
        <w:tc>
          <w:tcPr>
            <w:tcW w:w="2807" w:type="dxa"/>
            <w:vMerge/>
            <w:tcBorders>
              <w:bottom w:val="single" w:sz="12" w:space="0" w:color="auto"/>
              <w:right w:val="single" w:sz="12" w:space="0" w:color="auto"/>
            </w:tcBorders>
            <w:shd w:val="clear" w:color="auto" w:fill="auto"/>
            <w:vAlign w:val="center"/>
          </w:tcPr>
          <w:p w14:paraId="610E0B45" w14:textId="77777777" w:rsidR="00DC56C4" w:rsidRPr="00DC56C4" w:rsidRDefault="00DC56C4" w:rsidP="00DC56C4">
            <w:pPr>
              <w:rPr>
                <w:rFonts w:ascii="Arial Narrow" w:hAnsi="Arial Narrow"/>
                <w:sz w:val="20"/>
                <w:szCs w:val="20"/>
              </w:rPr>
            </w:pPr>
          </w:p>
        </w:tc>
        <w:tc>
          <w:tcPr>
            <w:tcW w:w="2247" w:type="dxa"/>
            <w:tcBorders>
              <w:bottom w:val="single" w:sz="12" w:space="0" w:color="auto"/>
              <w:right w:val="single" w:sz="4" w:space="0" w:color="auto"/>
            </w:tcBorders>
            <w:vAlign w:val="center"/>
          </w:tcPr>
          <w:p w14:paraId="72D34867" w14:textId="77777777" w:rsidR="00DC56C4" w:rsidRPr="00DC56C4" w:rsidRDefault="00DC56C4" w:rsidP="00DC56C4">
            <w:pPr>
              <w:jc w:val="right"/>
              <w:rPr>
                <w:rFonts w:ascii="Arial Narrow" w:hAnsi="Arial Narrow" w:cs="Calibri"/>
                <w:color w:val="000000"/>
                <w:sz w:val="20"/>
                <w:szCs w:val="20"/>
              </w:rPr>
            </w:pPr>
            <w:r w:rsidRPr="00DC56C4">
              <w:rPr>
                <w:rFonts w:ascii="Arial Narrow" w:hAnsi="Arial Narrow" w:cs="Calibri"/>
                <w:color w:val="000000"/>
                <w:sz w:val="20"/>
                <w:szCs w:val="20"/>
              </w:rPr>
              <w:t>216</w:t>
            </w:r>
          </w:p>
        </w:tc>
        <w:tc>
          <w:tcPr>
            <w:tcW w:w="2061" w:type="dxa"/>
            <w:tcBorders>
              <w:left w:val="single" w:sz="4" w:space="0" w:color="auto"/>
              <w:bottom w:val="single" w:sz="12" w:space="0" w:color="auto"/>
              <w:right w:val="single" w:sz="4" w:space="0" w:color="auto"/>
            </w:tcBorders>
            <w:vAlign w:val="center"/>
          </w:tcPr>
          <w:p w14:paraId="2E8D9EAA" w14:textId="77777777" w:rsidR="00DC56C4" w:rsidRPr="00DC56C4" w:rsidRDefault="00DC56C4" w:rsidP="00DC56C4">
            <w:pPr>
              <w:jc w:val="right"/>
              <w:rPr>
                <w:rFonts w:ascii="Arial Narrow" w:hAnsi="Arial Narrow" w:cs="Calibri"/>
                <w:color w:val="000000"/>
                <w:sz w:val="20"/>
                <w:szCs w:val="20"/>
              </w:rPr>
            </w:pPr>
            <w:r w:rsidRPr="00DC56C4">
              <w:rPr>
                <w:rFonts w:ascii="Arial Narrow" w:hAnsi="Arial Narrow" w:cs="Calibri"/>
                <w:color w:val="000000"/>
                <w:sz w:val="20"/>
                <w:szCs w:val="20"/>
              </w:rPr>
              <w:t>336</w:t>
            </w:r>
          </w:p>
        </w:tc>
        <w:tc>
          <w:tcPr>
            <w:tcW w:w="2059" w:type="dxa"/>
            <w:tcBorders>
              <w:left w:val="single" w:sz="4" w:space="0" w:color="auto"/>
              <w:bottom w:val="single" w:sz="12" w:space="0" w:color="auto"/>
              <w:right w:val="single" w:sz="12" w:space="0" w:color="000000" w:themeColor="text1"/>
            </w:tcBorders>
            <w:vAlign w:val="center"/>
          </w:tcPr>
          <w:p w14:paraId="0A0CB45B" w14:textId="77777777" w:rsidR="00DC56C4" w:rsidRPr="00DC56C4" w:rsidRDefault="00DC56C4" w:rsidP="00DC56C4">
            <w:pPr>
              <w:jc w:val="right"/>
              <w:rPr>
                <w:rFonts w:ascii="Arial Narrow" w:hAnsi="Arial Narrow" w:cs="Calibri"/>
                <w:color w:val="000000"/>
                <w:sz w:val="20"/>
                <w:szCs w:val="20"/>
              </w:rPr>
            </w:pPr>
            <w:r w:rsidRPr="00DC56C4">
              <w:rPr>
                <w:rFonts w:ascii="Arial Narrow" w:hAnsi="Arial Narrow" w:cs="Calibri"/>
                <w:color w:val="000000"/>
                <w:sz w:val="20"/>
                <w:szCs w:val="20"/>
              </w:rPr>
              <w:t>Not yet available</w:t>
            </w:r>
          </w:p>
        </w:tc>
      </w:tr>
      <w:tr w:rsidR="00DC56C4" w:rsidRPr="00DC56C4" w14:paraId="606EBFCC" w14:textId="77777777" w:rsidTr="00DE0473">
        <w:trPr>
          <w:cantSplit/>
          <w:trHeight w:val="670"/>
        </w:trPr>
        <w:tc>
          <w:tcPr>
            <w:tcW w:w="3514" w:type="dxa"/>
            <w:tcBorders>
              <w:top w:val="single" w:sz="12" w:space="0" w:color="auto"/>
              <w:left w:val="single" w:sz="12" w:space="0" w:color="auto"/>
            </w:tcBorders>
            <w:shd w:val="clear" w:color="auto" w:fill="E6E6E6"/>
            <w:vAlign w:val="center"/>
          </w:tcPr>
          <w:p w14:paraId="6DBE46A7" w14:textId="77777777" w:rsidR="00DC56C4" w:rsidRPr="00DC56C4" w:rsidRDefault="00DC56C4" w:rsidP="00DC56C4">
            <w:pPr>
              <w:rPr>
                <w:rFonts w:ascii="Arial Narrow" w:hAnsi="Arial Narrow"/>
                <w:sz w:val="20"/>
                <w:szCs w:val="20"/>
              </w:rPr>
            </w:pPr>
            <w:bookmarkStart w:id="4" w:name="_Hlk237158622"/>
            <w:r w:rsidRPr="00DC56C4">
              <w:rPr>
                <w:rFonts w:ascii="Arial Narrow" w:hAnsi="Arial Narrow"/>
                <w:sz w:val="20"/>
                <w:szCs w:val="20"/>
              </w:rPr>
              <w:t>Young people make a successful transition from school to further education, training or full</w:t>
            </w:r>
            <w:r w:rsidRPr="00DC56C4">
              <w:rPr>
                <w:rFonts w:ascii="Calibri" w:hAnsi="Calibri"/>
                <w:sz w:val="20"/>
                <w:szCs w:val="20"/>
              </w:rPr>
              <w:t>‐</w:t>
            </w:r>
            <w:r w:rsidRPr="00DC56C4">
              <w:rPr>
                <w:rFonts w:ascii="Arial Narrow" w:hAnsi="Arial Narrow"/>
                <w:sz w:val="20"/>
                <w:szCs w:val="20"/>
              </w:rPr>
              <w:t>time employment</w:t>
            </w:r>
          </w:p>
        </w:tc>
        <w:tc>
          <w:tcPr>
            <w:tcW w:w="7302" w:type="dxa"/>
            <w:tcBorders>
              <w:top w:val="single" w:sz="12" w:space="0" w:color="auto"/>
            </w:tcBorders>
            <w:shd w:val="clear" w:color="auto" w:fill="auto"/>
            <w:vAlign w:val="center"/>
          </w:tcPr>
          <w:p w14:paraId="37A97565" w14:textId="77777777" w:rsidR="00DC56C4" w:rsidRPr="00DC56C4" w:rsidRDefault="00DC56C4" w:rsidP="00DC56C4">
            <w:pPr>
              <w:rPr>
                <w:rFonts w:ascii="Arial Narrow" w:hAnsi="Arial Narrow"/>
                <w:i/>
                <w:sz w:val="20"/>
                <w:szCs w:val="20"/>
              </w:rPr>
            </w:pPr>
            <w:r w:rsidRPr="00DC56C4">
              <w:rPr>
                <w:rFonts w:ascii="Arial Narrow" w:hAnsi="Arial Narrow"/>
                <w:sz w:val="20"/>
                <w:szCs w:val="20"/>
              </w:rPr>
              <w:t>The proportion of young people aged 17</w:t>
            </w:r>
            <w:r w:rsidRPr="00DC56C4">
              <w:rPr>
                <w:rFonts w:ascii="Calibri" w:hAnsi="Calibri"/>
                <w:sz w:val="20"/>
                <w:szCs w:val="20"/>
              </w:rPr>
              <w:t>‐</w:t>
            </w:r>
            <w:r w:rsidRPr="00DC56C4">
              <w:rPr>
                <w:rFonts w:ascii="Arial Narrow" w:hAnsi="Arial Narrow"/>
                <w:sz w:val="20"/>
                <w:szCs w:val="20"/>
              </w:rPr>
              <w:t>24 years participating in post</w:t>
            </w:r>
            <w:r w:rsidRPr="00DC56C4">
              <w:rPr>
                <w:rFonts w:ascii="Calibri" w:hAnsi="Calibri"/>
                <w:sz w:val="20"/>
                <w:szCs w:val="20"/>
              </w:rPr>
              <w:t>‐</w:t>
            </w:r>
            <w:r w:rsidRPr="00DC56C4">
              <w:rPr>
                <w:rFonts w:ascii="Arial Narrow" w:hAnsi="Arial Narrow"/>
                <w:sz w:val="20"/>
                <w:szCs w:val="20"/>
              </w:rPr>
              <w:t>school education, training or employment (c)</w:t>
            </w:r>
          </w:p>
        </w:tc>
        <w:tc>
          <w:tcPr>
            <w:tcW w:w="2807" w:type="dxa"/>
            <w:tcBorders>
              <w:top w:val="single" w:sz="12" w:space="0" w:color="auto"/>
              <w:bottom w:val="single" w:sz="4" w:space="0" w:color="auto"/>
              <w:right w:val="single" w:sz="12" w:space="0" w:color="auto"/>
            </w:tcBorders>
            <w:shd w:val="clear" w:color="auto" w:fill="auto"/>
            <w:vAlign w:val="center"/>
          </w:tcPr>
          <w:p w14:paraId="7B097FC6" w14:textId="77777777" w:rsidR="00DC56C4" w:rsidRPr="00DC56C4" w:rsidRDefault="00DC56C4" w:rsidP="00DC56C4">
            <w:pPr>
              <w:rPr>
                <w:rFonts w:ascii="Arial Narrow" w:hAnsi="Arial Narrow"/>
                <w:sz w:val="20"/>
                <w:szCs w:val="20"/>
              </w:rPr>
            </w:pPr>
            <w:r w:rsidRPr="00DC56C4">
              <w:rPr>
                <w:rFonts w:ascii="Arial Narrow" w:hAnsi="Arial Narrow"/>
                <w:sz w:val="20"/>
                <w:szCs w:val="20"/>
              </w:rPr>
              <w:t>Census (ABS)</w:t>
            </w:r>
          </w:p>
        </w:tc>
        <w:tc>
          <w:tcPr>
            <w:tcW w:w="2247" w:type="dxa"/>
            <w:tcBorders>
              <w:top w:val="single" w:sz="12" w:space="0" w:color="auto"/>
              <w:bottom w:val="single" w:sz="4" w:space="0" w:color="auto"/>
              <w:right w:val="single" w:sz="4" w:space="0" w:color="auto"/>
            </w:tcBorders>
            <w:vAlign w:val="center"/>
          </w:tcPr>
          <w:p w14:paraId="3677D833" w14:textId="77777777" w:rsidR="00DC56C4" w:rsidRPr="00DC56C4" w:rsidRDefault="00DC56C4" w:rsidP="00DC56C4">
            <w:pPr>
              <w:jc w:val="right"/>
              <w:rPr>
                <w:rFonts w:ascii="Arial Narrow" w:hAnsi="Arial Narrow" w:cs="Calibri"/>
                <w:color w:val="000000"/>
                <w:sz w:val="20"/>
                <w:szCs w:val="20"/>
              </w:rPr>
            </w:pPr>
            <w:r w:rsidRPr="00DC56C4">
              <w:rPr>
                <w:rFonts w:ascii="Arial Narrow" w:hAnsi="Arial Narrow" w:cs="Calibri"/>
                <w:color w:val="000000"/>
                <w:sz w:val="20"/>
                <w:szCs w:val="20"/>
              </w:rPr>
              <w:t>N/A</w:t>
            </w:r>
          </w:p>
        </w:tc>
        <w:tc>
          <w:tcPr>
            <w:tcW w:w="2061" w:type="dxa"/>
            <w:tcBorders>
              <w:top w:val="single" w:sz="12" w:space="0" w:color="auto"/>
              <w:left w:val="single" w:sz="4" w:space="0" w:color="auto"/>
              <w:bottom w:val="single" w:sz="4" w:space="0" w:color="auto"/>
              <w:right w:val="single" w:sz="4" w:space="0" w:color="auto"/>
            </w:tcBorders>
            <w:vAlign w:val="center"/>
          </w:tcPr>
          <w:p w14:paraId="2EADED60" w14:textId="77777777" w:rsidR="00DC56C4" w:rsidRPr="00DC56C4" w:rsidRDefault="00DC56C4" w:rsidP="00DC56C4">
            <w:pPr>
              <w:jc w:val="right"/>
              <w:rPr>
                <w:rFonts w:ascii="Arial Narrow" w:hAnsi="Arial Narrow" w:cs="Calibri"/>
                <w:color w:val="000000"/>
                <w:sz w:val="20"/>
                <w:szCs w:val="20"/>
              </w:rPr>
            </w:pPr>
            <w:r w:rsidRPr="00DC56C4">
              <w:rPr>
                <w:rFonts w:ascii="Arial Narrow" w:hAnsi="Arial Narrow" w:cs="Calibri"/>
                <w:color w:val="000000"/>
                <w:sz w:val="20"/>
                <w:szCs w:val="20"/>
              </w:rPr>
              <w:t>75.7%</w:t>
            </w:r>
          </w:p>
        </w:tc>
        <w:tc>
          <w:tcPr>
            <w:tcW w:w="2059" w:type="dxa"/>
            <w:tcBorders>
              <w:top w:val="single" w:sz="12" w:space="0" w:color="auto"/>
              <w:left w:val="single" w:sz="4" w:space="0" w:color="auto"/>
              <w:bottom w:val="single" w:sz="4" w:space="0" w:color="auto"/>
              <w:right w:val="single" w:sz="12" w:space="0" w:color="000000" w:themeColor="text1"/>
            </w:tcBorders>
            <w:vAlign w:val="center"/>
          </w:tcPr>
          <w:p w14:paraId="61785556" w14:textId="77777777" w:rsidR="00DC56C4" w:rsidRPr="00DC56C4" w:rsidRDefault="00DC56C4" w:rsidP="00DC56C4">
            <w:pPr>
              <w:jc w:val="right"/>
              <w:rPr>
                <w:rFonts w:ascii="Arial Narrow" w:hAnsi="Arial Narrow" w:cs="Calibri"/>
                <w:color w:val="000000"/>
                <w:sz w:val="20"/>
                <w:szCs w:val="20"/>
              </w:rPr>
            </w:pPr>
            <w:r w:rsidRPr="00DC56C4">
              <w:rPr>
                <w:rFonts w:ascii="Arial Narrow" w:hAnsi="Arial Narrow" w:cs="Calibri"/>
                <w:color w:val="000000"/>
                <w:sz w:val="20"/>
                <w:szCs w:val="20"/>
              </w:rPr>
              <w:t>N/A</w:t>
            </w:r>
          </w:p>
        </w:tc>
      </w:tr>
      <w:bookmarkEnd w:id="4"/>
      <w:tr w:rsidR="00DC56C4" w:rsidRPr="00DC56C4" w14:paraId="3ED9979A" w14:textId="77777777" w:rsidTr="00DE0473">
        <w:trPr>
          <w:cantSplit/>
          <w:trHeight w:val="423"/>
        </w:trPr>
        <w:tc>
          <w:tcPr>
            <w:tcW w:w="3514" w:type="dxa"/>
            <w:vMerge w:val="restart"/>
            <w:tcBorders>
              <w:top w:val="single" w:sz="12" w:space="0" w:color="000000" w:themeColor="text1"/>
              <w:left w:val="single" w:sz="12" w:space="0" w:color="000000" w:themeColor="text1"/>
            </w:tcBorders>
            <w:shd w:val="clear" w:color="auto" w:fill="E6E6E6"/>
            <w:vAlign w:val="center"/>
          </w:tcPr>
          <w:p w14:paraId="13C0E31B" w14:textId="77777777" w:rsidR="00DC56C4" w:rsidRPr="00DC56C4" w:rsidRDefault="00DC56C4" w:rsidP="00DC56C4">
            <w:pPr>
              <w:rPr>
                <w:rFonts w:ascii="Arial Narrow" w:hAnsi="Arial Narrow"/>
                <w:sz w:val="20"/>
                <w:szCs w:val="20"/>
              </w:rPr>
            </w:pPr>
            <w:r w:rsidRPr="00DC56C4">
              <w:rPr>
                <w:rFonts w:ascii="Arial Narrow" w:hAnsi="Arial Narrow"/>
                <w:sz w:val="20"/>
                <w:szCs w:val="20"/>
              </w:rPr>
              <w:t>Improved Indigenous retention</w:t>
            </w:r>
          </w:p>
        </w:tc>
        <w:tc>
          <w:tcPr>
            <w:tcW w:w="7302" w:type="dxa"/>
            <w:tcBorders>
              <w:top w:val="single" w:sz="12" w:space="0" w:color="000000" w:themeColor="text1"/>
            </w:tcBorders>
            <w:shd w:val="clear" w:color="auto" w:fill="auto"/>
            <w:vAlign w:val="center"/>
          </w:tcPr>
          <w:p w14:paraId="69D54F29" w14:textId="77777777" w:rsidR="00DC56C4" w:rsidRPr="00DC56C4" w:rsidRDefault="00DC56C4" w:rsidP="00DC56C4">
            <w:pPr>
              <w:autoSpaceDE w:val="0"/>
              <w:autoSpaceDN w:val="0"/>
              <w:adjustRightInd w:val="0"/>
              <w:rPr>
                <w:rFonts w:ascii="Arial Narrow" w:hAnsi="Arial Narrow" w:cs="Corbel"/>
                <w:sz w:val="20"/>
                <w:szCs w:val="20"/>
              </w:rPr>
            </w:pPr>
            <w:r w:rsidRPr="00DC56C4">
              <w:rPr>
                <w:rFonts w:ascii="Arial Narrow" w:hAnsi="Arial Narrow" w:cs="Corbel"/>
                <w:sz w:val="20"/>
                <w:szCs w:val="20"/>
              </w:rPr>
              <w:t>Apparent retention years 7/8 to year 10, by Indigenous status (d)</w:t>
            </w:r>
          </w:p>
        </w:tc>
        <w:tc>
          <w:tcPr>
            <w:tcW w:w="2807" w:type="dxa"/>
            <w:vMerge w:val="restart"/>
            <w:tcBorders>
              <w:top w:val="single" w:sz="12" w:space="0" w:color="000000" w:themeColor="text1"/>
              <w:right w:val="single" w:sz="12" w:space="0" w:color="auto"/>
            </w:tcBorders>
            <w:shd w:val="clear" w:color="auto" w:fill="auto"/>
            <w:vAlign w:val="center"/>
          </w:tcPr>
          <w:p w14:paraId="374AB542" w14:textId="77777777" w:rsidR="00DC56C4" w:rsidRPr="00DC56C4" w:rsidRDefault="00DC56C4" w:rsidP="00DC56C4">
            <w:pPr>
              <w:rPr>
                <w:rFonts w:ascii="Arial Narrow" w:hAnsi="Arial Narrow"/>
                <w:sz w:val="20"/>
                <w:szCs w:val="20"/>
              </w:rPr>
            </w:pPr>
            <w:r w:rsidRPr="00DC56C4">
              <w:rPr>
                <w:rFonts w:ascii="Arial Narrow" w:hAnsi="Arial Narrow"/>
                <w:sz w:val="20"/>
                <w:szCs w:val="20"/>
              </w:rPr>
              <w:t>National Schools Statistics Collection (ABS)</w:t>
            </w:r>
          </w:p>
        </w:tc>
        <w:tc>
          <w:tcPr>
            <w:tcW w:w="2247" w:type="dxa"/>
            <w:tcBorders>
              <w:top w:val="single" w:sz="12" w:space="0" w:color="000000" w:themeColor="text1"/>
              <w:right w:val="single" w:sz="4" w:space="0" w:color="auto"/>
            </w:tcBorders>
            <w:vAlign w:val="center"/>
          </w:tcPr>
          <w:p w14:paraId="481864E4" w14:textId="77777777" w:rsidR="00DC56C4" w:rsidRPr="00DC56C4" w:rsidRDefault="00DC56C4" w:rsidP="00DC56C4">
            <w:pPr>
              <w:jc w:val="right"/>
              <w:rPr>
                <w:rFonts w:ascii="Arial Narrow" w:hAnsi="Arial Narrow" w:cs="Calibri"/>
                <w:color w:val="000000"/>
                <w:sz w:val="20"/>
                <w:szCs w:val="20"/>
              </w:rPr>
            </w:pPr>
            <w:r w:rsidRPr="00DC56C4">
              <w:rPr>
                <w:rFonts w:ascii="Arial Narrow" w:hAnsi="Arial Narrow" w:cs="Calibri"/>
                <w:color w:val="000000"/>
                <w:sz w:val="20"/>
                <w:szCs w:val="20"/>
              </w:rPr>
              <w:t>90.7%</w:t>
            </w:r>
          </w:p>
        </w:tc>
        <w:tc>
          <w:tcPr>
            <w:tcW w:w="2061" w:type="dxa"/>
            <w:tcBorders>
              <w:top w:val="single" w:sz="12" w:space="0" w:color="000000" w:themeColor="text1"/>
              <w:left w:val="single" w:sz="4" w:space="0" w:color="auto"/>
              <w:right w:val="single" w:sz="4" w:space="0" w:color="auto"/>
            </w:tcBorders>
            <w:vAlign w:val="center"/>
          </w:tcPr>
          <w:p w14:paraId="6AE35658" w14:textId="77777777" w:rsidR="00DC56C4" w:rsidRPr="00DC56C4" w:rsidRDefault="00DC56C4" w:rsidP="00DC56C4">
            <w:pPr>
              <w:jc w:val="right"/>
              <w:rPr>
                <w:rFonts w:ascii="Arial Narrow" w:hAnsi="Arial Narrow" w:cs="Calibri"/>
                <w:color w:val="000000"/>
                <w:sz w:val="20"/>
                <w:szCs w:val="20"/>
              </w:rPr>
            </w:pPr>
            <w:r w:rsidRPr="00DC56C4">
              <w:rPr>
                <w:rFonts w:ascii="Arial Narrow" w:hAnsi="Arial Narrow" w:cs="Calibri"/>
                <w:color w:val="000000"/>
                <w:sz w:val="20"/>
                <w:szCs w:val="20"/>
              </w:rPr>
              <w:t>95.0%</w:t>
            </w:r>
          </w:p>
        </w:tc>
        <w:tc>
          <w:tcPr>
            <w:tcW w:w="2059" w:type="dxa"/>
            <w:tcBorders>
              <w:top w:val="single" w:sz="12" w:space="0" w:color="000000" w:themeColor="text1"/>
              <w:left w:val="single" w:sz="4" w:space="0" w:color="auto"/>
              <w:right w:val="single" w:sz="12" w:space="0" w:color="000000" w:themeColor="text1"/>
            </w:tcBorders>
            <w:vAlign w:val="center"/>
          </w:tcPr>
          <w:p w14:paraId="2E744DCE" w14:textId="77777777" w:rsidR="00DC56C4" w:rsidRPr="00DC56C4" w:rsidRDefault="00DC56C4" w:rsidP="00DC56C4">
            <w:pPr>
              <w:jc w:val="right"/>
              <w:rPr>
                <w:rFonts w:ascii="Arial Narrow" w:hAnsi="Arial Narrow" w:cs="Calibri"/>
                <w:color w:val="000000"/>
                <w:sz w:val="20"/>
                <w:szCs w:val="20"/>
              </w:rPr>
            </w:pPr>
            <w:r w:rsidRPr="00DC56C4">
              <w:rPr>
                <w:rFonts w:ascii="Arial Narrow" w:hAnsi="Arial Narrow" w:cs="Calibri"/>
                <w:color w:val="000000"/>
                <w:sz w:val="20"/>
                <w:szCs w:val="20"/>
              </w:rPr>
              <w:t>100.2%</w:t>
            </w:r>
          </w:p>
        </w:tc>
      </w:tr>
      <w:tr w:rsidR="00DC56C4" w:rsidRPr="00DC56C4" w14:paraId="31D1125C" w14:textId="77777777" w:rsidTr="00DE0473">
        <w:trPr>
          <w:cantSplit/>
          <w:trHeight w:val="452"/>
        </w:trPr>
        <w:tc>
          <w:tcPr>
            <w:tcW w:w="3514" w:type="dxa"/>
            <w:vMerge/>
            <w:tcBorders>
              <w:left w:val="single" w:sz="12" w:space="0" w:color="000000" w:themeColor="text1"/>
              <w:bottom w:val="single" w:sz="12" w:space="0" w:color="000000" w:themeColor="text1"/>
            </w:tcBorders>
            <w:shd w:val="clear" w:color="auto" w:fill="E6E6E6"/>
            <w:vAlign w:val="center"/>
          </w:tcPr>
          <w:p w14:paraId="3C99B887" w14:textId="77777777" w:rsidR="00DC56C4" w:rsidRPr="00DC56C4" w:rsidRDefault="00DC56C4" w:rsidP="00DC56C4">
            <w:pPr>
              <w:rPr>
                <w:rFonts w:ascii="Arial Narrow" w:hAnsi="Arial Narrow"/>
                <w:sz w:val="20"/>
                <w:szCs w:val="20"/>
              </w:rPr>
            </w:pPr>
          </w:p>
        </w:tc>
        <w:tc>
          <w:tcPr>
            <w:tcW w:w="7302" w:type="dxa"/>
            <w:tcBorders>
              <w:bottom w:val="single" w:sz="12" w:space="0" w:color="000000" w:themeColor="text1"/>
            </w:tcBorders>
            <w:shd w:val="clear" w:color="auto" w:fill="auto"/>
            <w:vAlign w:val="center"/>
          </w:tcPr>
          <w:p w14:paraId="7048D4C1" w14:textId="77777777" w:rsidR="00DC56C4" w:rsidRPr="00DC56C4" w:rsidRDefault="00DC56C4" w:rsidP="00DC56C4">
            <w:pPr>
              <w:autoSpaceDE w:val="0"/>
              <w:autoSpaceDN w:val="0"/>
              <w:adjustRightInd w:val="0"/>
              <w:rPr>
                <w:rFonts w:ascii="Arial Narrow" w:hAnsi="Arial Narrow" w:cs="Corbel"/>
                <w:sz w:val="20"/>
                <w:szCs w:val="20"/>
              </w:rPr>
            </w:pPr>
            <w:r w:rsidRPr="00DC56C4">
              <w:rPr>
                <w:rFonts w:ascii="Arial Narrow" w:hAnsi="Arial Narrow" w:cs="Corbel"/>
                <w:sz w:val="20"/>
                <w:szCs w:val="20"/>
              </w:rPr>
              <w:t>Apparent retention years 7/8 to year 12, by Indigenous status (d)</w:t>
            </w:r>
          </w:p>
        </w:tc>
        <w:tc>
          <w:tcPr>
            <w:tcW w:w="2807" w:type="dxa"/>
            <w:vMerge/>
            <w:tcBorders>
              <w:bottom w:val="single" w:sz="12" w:space="0" w:color="000000" w:themeColor="text1"/>
              <w:right w:val="single" w:sz="12" w:space="0" w:color="auto"/>
            </w:tcBorders>
            <w:shd w:val="clear" w:color="auto" w:fill="auto"/>
            <w:vAlign w:val="center"/>
          </w:tcPr>
          <w:p w14:paraId="3516D56B" w14:textId="77777777" w:rsidR="00DC56C4" w:rsidRPr="00DC56C4" w:rsidRDefault="00DC56C4" w:rsidP="00DC56C4">
            <w:pPr>
              <w:rPr>
                <w:rFonts w:ascii="Arial Narrow" w:hAnsi="Arial Narrow"/>
                <w:sz w:val="20"/>
                <w:szCs w:val="20"/>
              </w:rPr>
            </w:pPr>
          </w:p>
        </w:tc>
        <w:tc>
          <w:tcPr>
            <w:tcW w:w="2247" w:type="dxa"/>
            <w:tcBorders>
              <w:bottom w:val="single" w:sz="12" w:space="0" w:color="000000" w:themeColor="text1"/>
              <w:right w:val="single" w:sz="4" w:space="0" w:color="auto"/>
            </w:tcBorders>
            <w:vAlign w:val="center"/>
          </w:tcPr>
          <w:p w14:paraId="48063387" w14:textId="77777777" w:rsidR="00DC56C4" w:rsidRPr="00DC56C4" w:rsidRDefault="00DC56C4" w:rsidP="00DC56C4">
            <w:pPr>
              <w:jc w:val="right"/>
              <w:rPr>
                <w:rFonts w:ascii="Arial Narrow" w:hAnsi="Arial Narrow" w:cs="Calibri"/>
                <w:color w:val="000000"/>
                <w:sz w:val="20"/>
                <w:szCs w:val="20"/>
              </w:rPr>
            </w:pPr>
            <w:r w:rsidRPr="00DC56C4">
              <w:rPr>
                <w:rFonts w:ascii="Arial Narrow" w:hAnsi="Arial Narrow" w:cs="Calibri"/>
                <w:color w:val="000000"/>
                <w:sz w:val="20"/>
                <w:szCs w:val="20"/>
              </w:rPr>
              <w:t>41.8%</w:t>
            </w:r>
          </w:p>
        </w:tc>
        <w:tc>
          <w:tcPr>
            <w:tcW w:w="2061" w:type="dxa"/>
            <w:tcBorders>
              <w:left w:val="single" w:sz="4" w:space="0" w:color="auto"/>
              <w:bottom w:val="single" w:sz="12" w:space="0" w:color="000000" w:themeColor="text1"/>
              <w:right w:val="single" w:sz="4" w:space="0" w:color="auto"/>
            </w:tcBorders>
            <w:vAlign w:val="center"/>
          </w:tcPr>
          <w:p w14:paraId="30F38ABA" w14:textId="77777777" w:rsidR="00DC56C4" w:rsidRPr="00DC56C4" w:rsidRDefault="00DC56C4" w:rsidP="00DC56C4">
            <w:pPr>
              <w:jc w:val="right"/>
              <w:rPr>
                <w:rFonts w:ascii="Arial Narrow" w:hAnsi="Arial Narrow" w:cs="Calibri"/>
                <w:color w:val="000000"/>
                <w:sz w:val="20"/>
                <w:szCs w:val="20"/>
              </w:rPr>
            </w:pPr>
            <w:r w:rsidRPr="00DC56C4">
              <w:rPr>
                <w:rFonts w:ascii="Arial Narrow" w:hAnsi="Arial Narrow" w:cs="Calibri"/>
                <w:color w:val="000000"/>
                <w:sz w:val="20"/>
                <w:szCs w:val="20"/>
              </w:rPr>
              <w:t>46.9%</w:t>
            </w:r>
          </w:p>
        </w:tc>
        <w:tc>
          <w:tcPr>
            <w:tcW w:w="2059" w:type="dxa"/>
            <w:tcBorders>
              <w:left w:val="single" w:sz="4" w:space="0" w:color="auto"/>
              <w:bottom w:val="single" w:sz="12" w:space="0" w:color="000000" w:themeColor="text1"/>
              <w:right w:val="single" w:sz="12" w:space="0" w:color="000000" w:themeColor="text1"/>
            </w:tcBorders>
            <w:vAlign w:val="center"/>
          </w:tcPr>
          <w:p w14:paraId="0A1DBC65" w14:textId="77777777" w:rsidR="00DC56C4" w:rsidRPr="00DC56C4" w:rsidRDefault="00DC56C4" w:rsidP="00DC56C4">
            <w:pPr>
              <w:jc w:val="right"/>
              <w:rPr>
                <w:rFonts w:ascii="Arial Narrow" w:hAnsi="Arial Narrow" w:cs="Calibri"/>
                <w:color w:val="000000"/>
                <w:sz w:val="20"/>
                <w:szCs w:val="20"/>
              </w:rPr>
            </w:pPr>
            <w:r w:rsidRPr="00DC56C4">
              <w:rPr>
                <w:rFonts w:ascii="Arial Narrow" w:hAnsi="Arial Narrow" w:cs="Calibri"/>
                <w:color w:val="000000"/>
                <w:sz w:val="20"/>
                <w:szCs w:val="20"/>
              </w:rPr>
              <w:t>51.1%</w:t>
            </w:r>
          </w:p>
        </w:tc>
      </w:tr>
    </w:tbl>
    <w:p w14:paraId="679161EB" w14:textId="77777777" w:rsidR="00A22485" w:rsidRDefault="00A22485" w:rsidP="00DC56C4">
      <w:pPr>
        <w:rPr>
          <w:b/>
        </w:rPr>
      </w:pPr>
    </w:p>
    <w:p w14:paraId="3CBA1895" w14:textId="77777777" w:rsidR="00DC56C4" w:rsidRPr="00DC56C4" w:rsidRDefault="00DC56C4" w:rsidP="00DC56C4">
      <w:pPr>
        <w:rPr>
          <w:b/>
        </w:rPr>
      </w:pPr>
      <w:r w:rsidRPr="00DC56C4">
        <w:rPr>
          <w:b/>
        </w:rPr>
        <w:t>Notes on the data</w:t>
      </w:r>
    </w:p>
    <w:p w14:paraId="4A4DD8B5" w14:textId="77777777" w:rsidR="00DC56C4" w:rsidRPr="00DC56C4" w:rsidRDefault="00DC56C4" w:rsidP="003957AD">
      <w:pPr>
        <w:numPr>
          <w:ilvl w:val="0"/>
          <w:numId w:val="28"/>
        </w:numPr>
        <w:spacing w:line="240" w:lineRule="auto"/>
        <w:contextualSpacing/>
        <w:rPr>
          <w:rFonts w:ascii="Arial" w:hAnsi="Arial" w:cs="Arial"/>
          <w:sz w:val="18"/>
          <w:szCs w:val="18"/>
        </w:rPr>
      </w:pPr>
      <w:r w:rsidRPr="00DC56C4">
        <w:rPr>
          <w:rFonts w:ascii="Arial" w:hAnsi="Arial" w:cs="Arial"/>
          <w:sz w:val="18"/>
          <w:szCs w:val="18"/>
        </w:rPr>
        <w:t xml:space="preserve">Data on students and courses are normally available in July the following year. Data on qualifications completed in 2012 are not available until July 2014. VET statistics reflect a cumulative summary of the year’s activity as opposed to a point in time. </w:t>
      </w:r>
    </w:p>
    <w:p w14:paraId="277F63A8" w14:textId="77777777" w:rsidR="00DC56C4" w:rsidRPr="00DC56C4" w:rsidRDefault="00DC56C4" w:rsidP="003957AD">
      <w:pPr>
        <w:numPr>
          <w:ilvl w:val="0"/>
          <w:numId w:val="28"/>
        </w:numPr>
        <w:spacing w:line="240" w:lineRule="auto"/>
        <w:contextualSpacing/>
        <w:rPr>
          <w:rFonts w:ascii="Arial" w:hAnsi="Arial" w:cs="Arial"/>
          <w:sz w:val="18"/>
          <w:szCs w:val="18"/>
        </w:rPr>
      </w:pPr>
      <w:r w:rsidRPr="00DC56C4">
        <w:rPr>
          <w:rFonts w:ascii="Arial" w:hAnsi="Arial" w:cs="Arial"/>
          <w:sz w:val="18"/>
          <w:szCs w:val="18"/>
        </w:rPr>
        <w:t xml:space="preserve">The NP YAT specifies that the attainment indicator for 20 to 24 year olds is to be sourced from the Survey of Education and Work (SEW). The </w:t>
      </w:r>
      <w:r w:rsidRPr="00DC56C4">
        <w:rPr>
          <w:rFonts w:ascii="Arial" w:hAnsi="Arial" w:cs="Arial"/>
          <w:i/>
          <w:sz w:val="18"/>
          <w:szCs w:val="18"/>
        </w:rPr>
        <w:t>Review of the National Education Agreement Performance Framework</w:t>
      </w:r>
      <w:r w:rsidRPr="00DC56C4">
        <w:rPr>
          <w:rFonts w:ascii="Arial" w:hAnsi="Arial" w:cs="Arial"/>
          <w:sz w:val="18"/>
          <w:szCs w:val="18"/>
        </w:rPr>
        <w:t>, released in July 2012, noted that “large Relative Standard Errors (</w:t>
      </w:r>
      <w:proofErr w:type="spellStart"/>
      <w:r w:rsidRPr="00DC56C4">
        <w:rPr>
          <w:rFonts w:ascii="Arial" w:hAnsi="Arial" w:cs="Arial"/>
          <w:sz w:val="18"/>
          <w:szCs w:val="18"/>
        </w:rPr>
        <w:t>RSEs</w:t>
      </w:r>
      <w:proofErr w:type="spellEnd"/>
      <w:r w:rsidRPr="00DC56C4">
        <w:rPr>
          <w:rFonts w:ascii="Arial" w:hAnsi="Arial" w:cs="Arial"/>
          <w:sz w:val="18"/>
          <w:szCs w:val="18"/>
        </w:rPr>
        <w:t>) for this indicator can limit the appropriateness of the SEW to draw reliable jurisdiction level estimates from year to year, especially for smaller jurisdictions”. It recommended that the indicator be measured at the jurisdictional level with Census data or administrative data. In-line with this recommendation, data from the Census is now reported for this indicator.</w:t>
      </w:r>
    </w:p>
    <w:p w14:paraId="5D1EFDF2" w14:textId="77777777" w:rsidR="00DC56C4" w:rsidRPr="00DC56C4" w:rsidRDefault="00DC56C4" w:rsidP="003957AD">
      <w:pPr>
        <w:numPr>
          <w:ilvl w:val="0"/>
          <w:numId w:val="28"/>
        </w:numPr>
        <w:spacing w:line="240" w:lineRule="auto"/>
        <w:contextualSpacing/>
        <w:rPr>
          <w:rFonts w:ascii="Arial" w:hAnsi="Arial" w:cs="Arial"/>
          <w:sz w:val="18"/>
          <w:szCs w:val="18"/>
        </w:rPr>
      </w:pPr>
      <w:r w:rsidRPr="00DC56C4">
        <w:rPr>
          <w:rFonts w:ascii="Arial" w:hAnsi="Arial" w:cs="Arial"/>
          <w:sz w:val="18"/>
          <w:szCs w:val="18"/>
        </w:rPr>
        <w:t xml:space="preserve">The NP YAT includes the indicator “The proportion of young people aged 15-24 participating in post-school education, training or employment six months after leaving school” to be measured by the SEW. The </w:t>
      </w:r>
      <w:r w:rsidRPr="00DC56C4">
        <w:rPr>
          <w:rFonts w:ascii="Arial" w:hAnsi="Arial" w:cs="Arial"/>
          <w:i/>
          <w:sz w:val="18"/>
          <w:szCs w:val="18"/>
        </w:rPr>
        <w:t>Review of the National Education Agreement Performance Framework</w:t>
      </w:r>
      <w:r w:rsidRPr="00DC56C4">
        <w:rPr>
          <w:rFonts w:ascii="Arial" w:hAnsi="Arial" w:cs="Arial"/>
          <w:sz w:val="18"/>
          <w:szCs w:val="18"/>
        </w:rPr>
        <w:t xml:space="preserve"> recommended that the following indicator be revised to measure 17-24 year olds as 17 is the age at which participation in education is no longer compulsory. It was also recommended that Census data be used to provide reliable information at a jurisdictional level. In-line with these recommendations, this indicator has been aligned with the new NEA indicator 5 and data from the Census is now reported for this indicator.</w:t>
      </w:r>
    </w:p>
    <w:p w14:paraId="0901058F" w14:textId="77777777" w:rsidR="00DC56C4" w:rsidRPr="00DC56C4" w:rsidRDefault="00DC56C4" w:rsidP="003957AD">
      <w:pPr>
        <w:numPr>
          <w:ilvl w:val="0"/>
          <w:numId w:val="28"/>
        </w:numPr>
        <w:spacing w:line="240" w:lineRule="auto"/>
        <w:contextualSpacing/>
        <w:rPr>
          <w:rFonts w:ascii="Arial" w:hAnsi="Arial" w:cs="Arial"/>
          <w:sz w:val="18"/>
          <w:szCs w:val="18"/>
        </w:rPr>
      </w:pPr>
      <w:r w:rsidRPr="00DC56C4">
        <w:rPr>
          <w:rFonts w:ascii="Arial" w:hAnsi="Arial" w:cs="Arial"/>
          <w:sz w:val="18"/>
          <w:szCs w:val="18"/>
        </w:rPr>
        <w:t>The apparent retention rate measures the number of full-time school students in a designated level/year of education as a percentage of their respective cohort group in a base year. Ungraded students not included. Apparent retention rates for Indigenous students can be inflated by an increased propensity to identify as Indigenous over time. Caution should be taken in interpreting the data for apparent retention rates at the State and Territory level which can be inflated by a net increase in interstate migration. Small numbers of Indigenous students can also affect results from the State and Territory level and may produce apparent variations from year to year that may not accurately reflect the long-term trend.</w:t>
      </w:r>
    </w:p>
    <w:p w14:paraId="3C166384" w14:textId="77777777" w:rsidR="00440AE1" w:rsidRDefault="00440AE1" w:rsidP="00440AE1"/>
    <w:p w14:paraId="41F4A0A9" w14:textId="77777777" w:rsidR="00440AE1" w:rsidRPr="0045514D" w:rsidRDefault="00440AE1" w:rsidP="00440AE1">
      <w:pPr>
        <w:sectPr w:rsidR="00440AE1" w:rsidRPr="0045514D" w:rsidSect="005641EE">
          <w:footerReference w:type="default" r:id="rId14"/>
          <w:pgSz w:w="23814" w:h="16839" w:orient="landscape" w:code="8"/>
          <w:pgMar w:top="567" w:right="1440" w:bottom="567" w:left="1440" w:header="567" w:footer="709" w:gutter="0"/>
          <w:cols w:space="708"/>
          <w:docGrid w:linePitch="360"/>
        </w:sectPr>
      </w:pPr>
    </w:p>
    <w:p w14:paraId="60C447D6" w14:textId="77777777" w:rsidR="0045514D" w:rsidRDefault="00605C73" w:rsidP="009E5535">
      <w:pPr>
        <w:pStyle w:val="Heading1"/>
        <w:spacing w:before="120"/>
      </w:pPr>
      <w:bookmarkStart w:id="5" w:name="_Toc320003793"/>
      <w:bookmarkStart w:id="6" w:name="_Toc384042848"/>
      <w:bookmarkEnd w:id="2"/>
      <w:r>
        <w:lastRenderedPageBreak/>
        <w:t>PART B:</w:t>
      </w:r>
      <w:bookmarkEnd w:id="5"/>
      <w:bookmarkEnd w:id="6"/>
    </w:p>
    <w:p w14:paraId="04F0B4DC" w14:textId="74D2C0E5" w:rsidR="00F82724" w:rsidRPr="00EB2A03" w:rsidRDefault="005B2F76" w:rsidP="00B72FC5">
      <w:pPr>
        <w:pStyle w:val="Heading2"/>
        <w:jc w:val="both"/>
      </w:pPr>
      <w:bookmarkStart w:id="7" w:name="_Toc320003794"/>
      <w:bookmarkStart w:id="8" w:name="_Toc384042849"/>
      <w:r>
        <w:t xml:space="preserve">Current Landscape </w:t>
      </w:r>
      <w:bookmarkEnd w:id="7"/>
      <w:r w:rsidR="00D841C2">
        <w:t>in Victoria</w:t>
      </w:r>
      <w:bookmarkEnd w:id="8"/>
    </w:p>
    <w:p w14:paraId="21570F2D" w14:textId="234FD53B" w:rsidR="000531D5" w:rsidRDefault="00EB18E1" w:rsidP="000531D5">
      <w:pPr>
        <w:jc w:val="both"/>
      </w:pPr>
      <w:r>
        <w:t>H</w:t>
      </w:r>
      <w:r w:rsidR="00173C5A" w:rsidRPr="00343508">
        <w:t>istorically</w:t>
      </w:r>
      <w:r>
        <w:t>,</w:t>
      </w:r>
      <w:r w:rsidR="00173C5A" w:rsidRPr="00343508">
        <w:t xml:space="preserve"> Victoria has been an acknowledged leader </w:t>
      </w:r>
      <w:r>
        <w:t xml:space="preserve">of other Australian jurisdictions </w:t>
      </w:r>
      <w:r w:rsidR="00173C5A" w:rsidRPr="00343508">
        <w:t xml:space="preserve">in </w:t>
      </w:r>
      <w:r w:rsidR="000531D5">
        <w:t xml:space="preserve">developing and </w:t>
      </w:r>
      <w:r>
        <w:t xml:space="preserve">implementing </w:t>
      </w:r>
      <w:r w:rsidR="00173C5A" w:rsidRPr="00343508">
        <w:t xml:space="preserve">policies and programs aimed </w:t>
      </w:r>
      <w:r w:rsidR="000531D5">
        <w:t>at enhancing</w:t>
      </w:r>
      <w:r w:rsidR="00173C5A" w:rsidRPr="00343508">
        <w:t xml:space="preserve"> attainment</w:t>
      </w:r>
      <w:r w:rsidR="000531D5">
        <w:t xml:space="preserve"> </w:t>
      </w:r>
      <w:r w:rsidR="00647A76">
        <w:t>and</w:t>
      </w:r>
      <w:r w:rsidR="00647A76" w:rsidRPr="00343508">
        <w:t xml:space="preserve"> successful</w:t>
      </w:r>
      <w:r w:rsidR="00173C5A" w:rsidRPr="00343508">
        <w:t xml:space="preserve"> transitions by young people. </w:t>
      </w:r>
      <w:r w:rsidR="009270FF">
        <w:t>In particular, a source of pride for Government and for the system has been the range of offerings for students and young people across Victoria, with opportunities to pursue one of three accredited senior secondary certificates:</w:t>
      </w:r>
      <w:r w:rsidR="009270FF" w:rsidRPr="009270FF">
        <w:rPr>
          <w:lang w:val="en-US"/>
        </w:rPr>
        <w:t xml:space="preserve"> </w:t>
      </w:r>
      <w:r w:rsidR="009270FF" w:rsidRPr="00173C5A">
        <w:rPr>
          <w:lang w:val="en-US"/>
        </w:rPr>
        <w:t>the Victorian Certificate of Education (</w:t>
      </w:r>
      <w:proofErr w:type="spellStart"/>
      <w:r w:rsidR="009270FF" w:rsidRPr="00173C5A">
        <w:rPr>
          <w:lang w:val="en-US"/>
        </w:rPr>
        <w:t>VCE</w:t>
      </w:r>
      <w:proofErr w:type="spellEnd"/>
      <w:r w:rsidR="009270FF" w:rsidRPr="00173C5A">
        <w:rPr>
          <w:lang w:val="en-US"/>
        </w:rPr>
        <w:t>), the Victorian Certificate of Applied Learning (</w:t>
      </w:r>
      <w:proofErr w:type="spellStart"/>
      <w:r w:rsidR="009270FF" w:rsidRPr="00173C5A">
        <w:rPr>
          <w:lang w:val="en-US"/>
        </w:rPr>
        <w:t>VCAL</w:t>
      </w:r>
      <w:proofErr w:type="spellEnd"/>
      <w:r w:rsidR="009270FF" w:rsidRPr="00173C5A">
        <w:rPr>
          <w:lang w:val="en-US"/>
        </w:rPr>
        <w:t xml:space="preserve">) and the International </w:t>
      </w:r>
      <w:r w:rsidR="009270FF" w:rsidRPr="00173C5A">
        <w:rPr>
          <w:bCs/>
        </w:rPr>
        <w:t>Baccalaureate</w:t>
      </w:r>
      <w:r w:rsidR="009270FF" w:rsidRPr="00173C5A">
        <w:rPr>
          <w:b/>
          <w:bCs/>
        </w:rPr>
        <w:t xml:space="preserve"> </w:t>
      </w:r>
      <w:r w:rsidR="009270FF">
        <w:rPr>
          <w:lang w:val="en-US"/>
        </w:rPr>
        <w:t>(</w:t>
      </w:r>
      <w:proofErr w:type="spellStart"/>
      <w:r w:rsidR="009270FF">
        <w:rPr>
          <w:lang w:val="en-US"/>
        </w:rPr>
        <w:t>IB</w:t>
      </w:r>
      <w:proofErr w:type="spellEnd"/>
      <w:r w:rsidR="009270FF">
        <w:rPr>
          <w:lang w:val="en-US"/>
        </w:rPr>
        <w:t xml:space="preserve">). Victoria pioneered the introduction of applied learning curriculum by developing and implementing the </w:t>
      </w:r>
      <w:proofErr w:type="spellStart"/>
      <w:r w:rsidR="009270FF">
        <w:rPr>
          <w:lang w:val="en-US"/>
        </w:rPr>
        <w:t>VCAL</w:t>
      </w:r>
      <w:proofErr w:type="spellEnd"/>
      <w:r w:rsidR="009270FF">
        <w:rPr>
          <w:lang w:val="en-US"/>
        </w:rPr>
        <w:t xml:space="preserve">; today, thousands of students completing the </w:t>
      </w:r>
      <w:proofErr w:type="spellStart"/>
      <w:r w:rsidR="009270FF">
        <w:rPr>
          <w:lang w:val="en-US"/>
        </w:rPr>
        <w:t>VCAL</w:t>
      </w:r>
      <w:proofErr w:type="spellEnd"/>
      <w:r w:rsidR="009270FF">
        <w:rPr>
          <w:lang w:val="en-US"/>
        </w:rPr>
        <w:t xml:space="preserve"> </w:t>
      </w:r>
      <w:r w:rsidR="009270FF" w:rsidRPr="00173C5A">
        <w:rPr>
          <w:lang w:val="en-US"/>
        </w:rPr>
        <w:t xml:space="preserve">choose </w:t>
      </w:r>
      <w:r w:rsidR="009270FF">
        <w:rPr>
          <w:lang w:val="en-US"/>
        </w:rPr>
        <w:t>to</w:t>
      </w:r>
      <w:r w:rsidR="009270FF" w:rsidRPr="00173C5A">
        <w:rPr>
          <w:lang w:val="en-US"/>
        </w:rPr>
        <w:t xml:space="preserve"> transfer to the </w:t>
      </w:r>
      <w:proofErr w:type="spellStart"/>
      <w:r w:rsidR="009270FF" w:rsidRPr="00173C5A">
        <w:rPr>
          <w:lang w:val="en-US"/>
        </w:rPr>
        <w:t>VCE</w:t>
      </w:r>
      <w:proofErr w:type="spellEnd"/>
      <w:r w:rsidR="009270FF" w:rsidRPr="00173C5A">
        <w:rPr>
          <w:lang w:val="en-US"/>
        </w:rPr>
        <w:t xml:space="preserve"> certi</w:t>
      </w:r>
      <w:r w:rsidR="00750A1E">
        <w:rPr>
          <w:lang w:val="en-US"/>
        </w:rPr>
        <w:t xml:space="preserve">ficate, </w:t>
      </w:r>
      <w:proofErr w:type="spellStart"/>
      <w:r w:rsidR="00750A1E">
        <w:rPr>
          <w:lang w:val="en-US"/>
        </w:rPr>
        <w:t>enrol</w:t>
      </w:r>
      <w:proofErr w:type="spellEnd"/>
      <w:r w:rsidR="009270FF">
        <w:rPr>
          <w:lang w:val="en-US"/>
        </w:rPr>
        <w:t xml:space="preserve"> in vocational training, or</w:t>
      </w:r>
      <w:r w:rsidR="009270FF" w:rsidRPr="00173C5A">
        <w:rPr>
          <w:lang w:val="en-US"/>
        </w:rPr>
        <w:t xml:space="preserve"> </w:t>
      </w:r>
      <w:r w:rsidR="009270FF">
        <w:rPr>
          <w:lang w:val="en-US"/>
        </w:rPr>
        <w:t>commence</w:t>
      </w:r>
      <w:r w:rsidR="009270FF" w:rsidRPr="00173C5A">
        <w:rPr>
          <w:lang w:val="en-US"/>
        </w:rPr>
        <w:t xml:space="preserve"> an apprenticeship</w:t>
      </w:r>
      <w:r w:rsidR="009270FF">
        <w:rPr>
          <w:lang w:val="en-US"/>
        </w:rPr>
        <w:t>,</w:t>
      </w:r>
      <w:r w:rsidR="009270FF" w:rsidRPr="00173C5A">
        <w:rPr>
          <w:lang w:val="en-US"/>
        </w:rPr>
        <w:t xml:space="preserve"> traineeship</w:t>
      </w:r>
      <w:r w:rsidR="009270FF">
        <w:rPr>
          <w:lang w:val="en-US"/>
        </w:rPr>
        <w:t>, or start a job.</w:t>
      </w:r>
    </w:p>
    <w:p w14:paraId="23EDEE1E" w14:textId="1F2893CA" w:rsidR="00AA5A4D" w:rsidRDefault="00750A1E" w:rsidP="00647A76">
      <w:pPr>
        <w:spacing w:before="120"/>
        <w:jc w:val="both"/>
        <w:rPr>
          <w:lang w:val="en-US"/>
        </w:rPr>
      </w:pPr>
      <w:r>
        <w:rPr>
          <w:lang w:val="en-US"/>
        </w:rPr>
        <w:t xml:space="preserve">Irrespective of where a student lives or where they </w:t>
      </w:r>
      <w:r w:rsidR="00832479">
        <w:rPr>
          <w:lang w:val="en-US"/>
        </w:rPr>
        <w:t>learn,</w:t>
      </w:r>
      <w:r>
        <w:rPr>
          <w:lang w:val="en-US"/>
        </w:rPr>
        <w:t xml:space="preserve"> the</w:t>
      </w:r>
      <w:r w:rsidR="009270FF">
        <w:rPr>
          <w:lang w:val="en-US"/>
        </w:rPr>
        <w:t xml:space="preserve"> qualifications students can attain</w:t>
      </w:r>
      <w:r w:rsidR="00647A76">
        <w:rPr>
          <w:lang w:val="en-US"/>
        </w:rPr>
        <w:t xml:space="preserve"> in Victoria</w:t>
      </w:r>
      <w:r w:rsidR="009270FF">
        <w:rPr>
          <w:lang w:val="en-US"/>
        </w:rPr>
        <w:t xml:space="preserve"> are </w:t>
      </w:r>
      <w:r>
        <w:rPr>
          <w:lang w:val="en-US"/>
        </w:rPr>
        <w:t>available to all</w:t>
      </w:r>
      <w:r w:rsidR="009270FF">
        <w:rPr>
          <w:lang w:val="en-US"/>
        </w:rPr>
        <w:t xml:space="preserve">. </w:t>
      </w:r>
      <w:r w:rsidR="008D59EF">
        <w:rPr>
          <w:lang w:val="en-US"/>
        </w:rPr>
        <w:t xml:space="preserve">Victorians can study </w:t>
      </w:r>
      <w:r w:rsidR="00E9442A">
        <w:rPr>
          <w:lang w:val="en-US"/>
        </w:rPr>
        <w:t>a senior secondary certificate</w:t>
      </w:r>
      <w:r w:rsidR="009270FF">
        <w:rPr>
          <w:lang w:val="en-US"/>
        </w:rPr>
        <w:t xml:space="preserve"> a</w:t>
      </w:r>
      <w:r w:rsidR="008D59EF">
        <w:rPr>
          <w:lang w:val="en-US"/>
        </w:rPr>
        <w:t>t Victorian</w:t>
      </w:r>
      <w:r w:rsidR="009270FF">
        <w:rPr>
          <w:lang w:val="en-US"/>
        </w:rPr>
        <w:t xml:space="preserve"> schools, </w:t>
      </w:r>
      <w:r w:rsidR="00E146AE">
        <w:rPr>
          <w:lang w:val="en-US"/>
        </w:rPr>
        <w:t xml:space="preserve">and a range of non-school registered senior secondary providers including </w:t>
      </w:r>
      <w:proofErr w:type="spellStart"/>
      <w:r w:rsidR="00E146AE">
        <w:rPr>
          <w:lang w:val="en-US"/>
        </w:rPr>
        <w:t>TAFEs</w:t>
      </w:r>
      <w:proofErr w:type="spellEnd"/>
      <w:r w:rsidR="00E146AE">
        <w:rPr>
          <w:lang w:val="en-US"/>
        </w:rPr>
        <w:t xml:space="preserve"> and</w:t>
      </w:r>
      <w:r w:rsidR="009270FF">
        <w:rPr>
          <w:lang w:val="en-US"/>
        </w:rPr>
        <w:t xml:space="preserve"> </w:t>
      </w:r>
      <w:r w:rsidR="00E146AE">
        <w:rPr>
          <w:lang w:val="en-US"/>
        </w:rPr>
        <w:t xml:space="preserve">many </w:t>
      </w:r>
      <w:r w:rsidR="009270FF">
        <w:rPr>
          <w:lang w:val="en-US"/>
        </w:rPr>
        <w:t>Learn Local providers</w:t>
      </w:r>
      <w:r w:rsidR="008D59EF">
        <w:rPr>
          <w:lang w:val="en-US"/>
        </w:rPr>
        <w:t xml:space="preserve"> across the state</w:t>
      </w:r>
      <w:r w:rsidR="009270FF">
        <w:rPr>
          <w:lang w:val="en-US"/>
        </w:rPr>
        <w:t xml:space="preserve">. </w:t>
      </w:r>
      <w:r w:rsidR="009270FF" w:rsidRPr="00173C5A">
        <w:rPr>
          <w:lang w:val="en-US"/>
        </w:rPr>
        <w:t>Of the 90 subject areas</w:t>
      </w:r>
      <w:r w:rsidR="009270FF">
        <w:rPr>
          <w:lang w:val="en-US"/>
        </w:rPr>
        <w:t xml:space="preserve"> </w:t>
      </w:r>
      <w:r w:rsidR="008D59EF">
        <w:rPr>
          <w:lang w:val="en-US"/>
        </w:rPr>
        <w:t xml:space="preserve">available to students </w:t>
      </w:r>
      <w:r w:rsidR="009270FF">
        <w:rPr>
          <w:lang w:val="en-US"/>
        </w:rPr>
        <w:t xml:space="preserve">within the </w:t>
      </w:r>
      <w:proofErr w:type="spellStart"/>
      <w:r w:rsidR="009270FF">
        <w:rPr>
          <w:lang w:val="en-US"/>
        </w:rPr>
        <w:t>VCE</w:t>
      </w:r>
      <w:proofErr w:type="spellEnd"/>
      <w:r w:rsidR="009270FF" w:rsidRPr="00173C5A">
        <w:rPr>
          <w:lang w:val="en-US"/>
        </w:rPr>
        <w:t>, 30 are Vocational Education and Training (VET) programs that provide</w:t>
      </w:r>
      <w:r w:rsidR="008D59EF">
        <w:rPr>
          <w:lang w:val="en-US"/>
        </w:rPr>
        <w:t xml:space="preserve"> participating students the opportunity to obtain their </w:t>
      </w:r>
      <w:proofErr w:type="spellStart"/>
      <w:r w:rsidR="008D59EF">
        <w:rPr>
          <w:lang w:val="en-US"/>
        </w:rPr>
        <w:t>VCE</w:t>
      </w:r>
      <w:proofErr w:type="spellEnd"/>
      <w:r w:rsidR="008D59EF">
        <w:rPr>
          <w:lang w:val="en-US"/>
        </w:rPr>
        <w:t xml:space="preserve"> and</w:t>
      </w:r>
      <w:r w:rsidR="009270FF" w:rsidRPr="00173C5A">
        <w:rPr>
          <w:lang w:val="en-US"/>
        </w:rPr>
        <w:t xml:space="preserve"> a nationally </w:t>
      </w:r>
      <w:proofErr w:type="spellStart"/>
      <w:r w:rsidR="009270FF" w:rsidRPr="00173C5A">
        <w:rPr>
          <w:lang w:val="en-US"/>
        </w:rPr>
        <w:t>recognised</w:t>
      </w:r>
      <w:proofErr w:type="spellEnd"/>
      <w:r w:rsidR="009270FF" w:rsidRPr="00173C5A">
        <w:rPr>
          <w:lang w:val="en-US"/>
        </w:rPr>
        <w:t xml:space="preserve"> industry qualification. VET qualification at Certificate II or above can </w:t>
      </w:r>
      <w:r w:rsidR="008D59EF">
        <w:rPr>
          <w:lang w:val="en-US"/>
        </w:rPr>
        <w:t xml:space="preserve">also </w:t>
      </w:r>
      <w:r w:rsidR="009270FF" w:rsidRPr="00173C5A">
        <w:rPr>
          <w:lang w:val="en-US"/>
        </w:rPr>
        <w:t>provide</w:t>
      </w:r>
      <w:r>
        <w:rPr>
          <w:lang w:val="en-US"/>
        </w:rPr>
        <w:t xml:space="preserve"> credit</w:t>
      </w:r>
      <w:r w:rsidR="008D59EF">
        <w:rPr>
          <w:lang w:val="en-US"/>
        </w:rPr>
        <w:t xml:space="preserve"> towards attainment of the</w:t>
      </w:r>
      <w:r w:rsidR="009270FF" w:rsidRPr="00173C5A">
        <w:rPr>
          <w:lang w:val="en-US"/>
        </w:rPr>
        <w:t xml:space="preserve"> </w:t>
      </w:r>
      <w:proofErr w:type="spellStart"/>
      <w:r w:rsidR="009270FF" w:rsidRPr="00173C5A">
        <w:rPr>
          <w:lang w:val="en-US"/>
        </w:rPr>
        <w:t>VCE</w:t>
      </w:r>
      <w:proofErr w:type="spellEnd"/>
      <w:r w:rsidR="009270FF" w:rsidRPr="00173C5A">
        <w:rPr>
          <w:lang w:val="en-US"/>
        </w:rPr>
        <w:t xml:space="preserve">. Students </w:t>
      </w:r>
      <w:r w:rsidR="008D59EF">
        <w:rPr>
          <w:lang w:val="en-US"/>
        </w:rPr>
        <w:t xml:space="preserve">interested in commencing on </w:t>
      </w:r>
      <w:r>
        <w:rPr>
          <w:lang w:val="en-US"/>
        </w:rPr>
        <w:t>a trade pathway</w:t>
      </w:r>
      <w:r w:rsidR="008D59EF">
        <w:rPr>
          <w:lang w:val="en-US"/>
        </w:rPr>
        <w:t xml:space="preserve"> early </w:t>
      </w:r>
      <w:r w:rsidR="009270FF" w:rsidRPr="00173C5A">
        <w:rPr>
          <w:lang w:val="en-US"/>
        </w:rPr>
        <w:t>can also choose to do a School Based Apprenticeship or Traineeship (</w:t>
      </w:r>
      <w:proofErr w:type="spellStart"/>
      <w:r w:rsidR="009270FF" w:rsidRPr="00173C5A">
        <w:rPr>
          <w:lang w:val="en-US"/>
        </w:rPr>
        <w:t>SBAT</w:t>
      </w:r>
      <w:proofErr w:type="spellEnd"/>
      <w:r w:rsidR="009270FF" w:rsidRPr="00173C5A">
        <w:rPr>
          <w:lang w:val="en-US"/>
        </w:rPr>
        <w:t xml:space="preserve"> in Victoria or Australian </w:t>
      </w:r>
      <w:r w:rsidR="009270FF">
        <w:rPr>
          <w:lang w:val="en-US"/>
        </w:rPr>
        <w:t xml:space="preserve">School based Apprenticeship – </w:t>
      </w:r>
      <w:proofErr w:type="spellStart"/>
      <w:r w:rsidR="009270FF">
        <w:rPr>
          <w:lang w:val="en-US"/>
        </w:rPr>
        <w:t>AS</w:t>
      </w:r>
      <w:r w:rsidR="009270FF" w:rsidRPr="00173C5A">
        <w:rPr>
          <w:lang w:val="en-US"/>
        </w:rPr>
        <w:t>bA</w:t>
      </w:r>
      <w:proofErr w:type="spellEnd"/>
      <w:r w:rsidR="009270FF" w:rsidRPr="00173C5A">
        <w:rPr>
          <w:lang w:val="en-US"/>
        </w:rPr>
        <w:t xml:space="preserve"> nation</w:t>
      </w:r>
      <w:r w:rsidR="009270FF">
        <w:rPr>
          <w:lang w:val="en-US"/>
        </w:rPr>
        <w:t>ally).</w:t>
      </w:r>
    </w:p>
    <w:p w14:paraId="79D4B449" w14:textId="77777777" w:rsidR="00AA5A4D" w:rsidRDefault="00647A76" w:rsidP="00AA5A4D">
      <w:pPr>
        <w:spacing w:before="120"/>
        <w:jc w:val="both"/>
        <w:rPr>
          <w:color w:val="000000"/>
        </w:rPr>
      </w:pPr>
      <w:r>
        <w:rPr>
          <w:lang w:val="en-US"/>
        </w:rPr>
        <w:t>T</w:t>
      </w:r>
      <w:r w:rsidR="008D59EF">
        <w:rPr>
          <w:lang w:val="en-US"/>
        </w:rPr>
        <w:t>he establishment of a demand driven vocational training system, incorporating an</w:t>
      </w:r>
      <w:r w:rsidR="00F1638E">
        <w:rPr>
          <w:lang w:val="en-US"/>
        </w:rPr>
        <w:t xml:space="preserve"> entitlement to study at any provider delivering training outsourced by the Victorian Government</w:t>
      </w:r>
      <w:r>
        <w:rPr>
          <w:lang w:val="en-US"/>
        </w:rPr>
        <w:t xml:space="preserve"> supports student options</w:t>
      </w:r>
      <w:r w:rsidR="00F1638E">
        <w:rPr>
          <w:lang w:val="en-US"/>
        </w:rPr>
        <w:t>.</w:t>
      </w:r>
      <w:r w:rsidR="00AA5A4D" w:rsidRPr="00AA5A4D">
        <w:rPr>
          <w:color w:val="000000"/>
        </w:rPr>
        <w:t xml:space="preserve"> </w:t>
      </w:r>
      <w:r w:rsidR="00AA5A4D">
        <w:rPr>
          <w:color w:val="000000"/>
        </w:rPr>
        <w:t xml:space="preserve">While adjustments to policy settings over time are anticipated, </w:t>
      </w:r>
      <w:r w:rsidR="00AA5A4D" w:rsidRPr="006204AB">
        <w:rPr>
          <w:color w:val="000000"/>
        </w:rPr>
        <w:t>the Victorian Training Guarantee (</w:t>
      </w:r>
      <w:proofErr w:type="spellStart"/>
      <w:r w:rsidR="00AA5A4D" w:rsidRPr="006204AB">
        <w:rPr>
          <w:color w:val="000000"/>
        </w:rPr>
        <w:t>VTG</w:t>
      </w:r>
      <w:proofErr w:type="spellEnd"/>
      <w:r w:rsidR="00AA5A4D" w:rsidRPr="006204AB">
        <w:rPr>
          <w:color w:val="000000"/>
        </w:rPr>
        <w:t>) continue</w:t>
      </w:r>
      <w:r w:rsidR="00AA5A4D">
        <w:rPr>
          <w:color w:val="000000"/>
        </w:rPr>
        <w:t>s</w:t>
      </w:r>
      <w:r w:rsidR="00AA5A4D" w:rsidRPr="006204AB">
        <w:rPr>
          <w:color w:val="000000"/>
        </w:rPr>
        <w:t xml:space="preserve"> to be a key feature of the </w:t>
      </w:r>
      <w:r w:rsidR="00AA5A4D">
        <w:rPr>
          <w:color w:val="000000"/>
        </w:rPr>
        <w:t>vocational training</w:t>
      </w:r>
      <w:r w:rsidR="00AA5A4D" w:rsidRPr="006204AB">
        <w:rPr>
          <w:color w:val="000000"/>
        </w:rPr>
        <w:t xml:space="preserve"> system.</w:t>
      </w:r>
      <w:r w:rsidR="00AA5A4D">
        <w:rPr>
          <w:color w:val="000000"/>
        </w:rPr>
        <w:t xml:space="preserve"> </w:t>
      </w:r>
    </w:p>
    <w:p w14:paraId="701547FB" w14:textId="77777777" w:rsidR="009270FF" w:rsidRPr="00173C5A" w:rsidRDefault="008D59EF" w:rsidP="00647A76">
      <w:pPr>
        <w:spacing w:before="120"/>
        <w:jc w:val="both"/>
        <w:rPr>
          <w:vanish/>
          <w:lang w:val="en-US"/>
        </w:rPr>
      </w:pPr>
      <w:r>
        <w:rPr>
          <w:lang w:val="en-US"/>
        </w:rPr>
        <w:t>More than simply establishing the right environment for individual success, Victoria has also led the way on many program-based responses.</w:t>
      </w:r>
      <w:r w:rsidR="00F1638E">
        <w:rPr>
          <w:lang w:val="en-US"/>
        </w:rPr>
        <w:t xml:space="preserve"> </w:t>
      </w:r>
      <w:r w:rsidR="009270FF" w:rsidRPr="00173C5A">
        <w:rPr>
          <w:vanish/>
          <w:lang w:val="en-US"/>
        </w:rPr>
        <w:t>Page Content</w:t>
      </w:r>
    </w:p>
    <w:p w14:paraId="7B7764F0" w14:textId="77777777" w:rsidR="00084BC3" w:rsidRDefault="008D59EF" w:rsidP="00647A76">
      <w:pPr>
        <w:spacing w:before="120"/>
        <w:jc w:val="both"/>
      </w:pPr>
      <w:r>
        <w:t>I</w:t>
      </w:r>
      <w:r w:rsidR="00173C5A" w:rsidRPr="00343508">
        <w:t xml:space="preserve">nitiatives similar to those established Australia-wide under the </w:t>
      </w:r>
      <w:r w:rsidR="00173C5A" w:rsidRPr="00647A76">
        <w:rPr>
          <w:i/>
        </w:rPr>
        <w:t>National Partnership on Youth Attainment and Transitions</w:t>
      </w:r>
      <w:r w:rsidR="00F1638E">
        <w:t xml:space="preserve"> – namely, the School Business Community Partnership Brokers –</w:t>
      </w:r>
      <w:r w:rsidR="00173C5A" w:rsidRPr="00343508">
        <w:t xml:space="preserve"> were</w:t>
      </w:r>
      <w:r w:rsidR="00F1638E">
        <w:t xml:space="preserve"> established in </w:t>
      </w:r>
      <w:r w:rsidR="00173C5A" w:rsidRPr="00343508">
        <w:t xml:space="preserve">Victoria </w:t>
      </w:r>
      <w:r w:rsidR="00F1638E">
        <w:t>in 2001 and 2002. Through support for local partnerships</w:t>
      </w:r>
      <w:r w:rsidR="00084BC3">
        <w:t xml:space="preserve"> and brokerage</w:t>
      </w:r>
      <w:r w:rsidR="00F1638E">
        <w:t xml:space="preserve">, the Local Learning and Employment </w:t>
      </w:r>
      <w:r w:rsidR="00F1638E" w:rsidRPr="00E96356">
        <w:rPr>
          <w:color w:val="000000" w:themeColor="text1"/>
        </w:rPr>
        <w:t xml:space="preserve">Networks </w:t>
      </w:r>
      <w:r w:rsidR="00084BC3" w:rsidRPr="00E96356">
        <w:rPr>
          <w:color w:val="000000" w:themeColor="text1"/>
        </w:rPr>
        <w:t>(</w:t>
      </w:r>
      <w:proofErr w:type="spellStart"/>
      <w:r w:rsidR="00084BC3" w:rsidRPr="00E96356">
        <w:rPr>
          <w:color w:val="000000" w:themeColor="text1"/>
        </w:rPr>
        <w:t>LLENs</w:t>
      </w:r>
      <w:proofErr w:type="spellEnd"/>
      <w:r w:rsidR="00084BC3" w:rsidRPr="00E96356">
        <w:rPr>
          <w:color w:val="000000" w:themeColor="text1"/>
        </w:rPr>
        <w:t xml:space="preserve">) </w:t>
      </w:r>
      <w:r w:rsidR="00F1638E">
        <w:t>c</w:t>
      </w:r>
      <w:r w:rsidR="00084BC3">
        <w:t>onstitute a unique place within the education and training system.</w:t>
      </w:r>
    </w:p>
    <w:p w14:paraId="61C374F5" w14:textId="25C237CC" w:rsidR="001A00AF" w:rsidRDefault="001A00AF" w:rsidP="00647A76">
      <w:pPr>
        <w:spacing w:before="120"/>
        <w:jc w:val="both"/>
        <w:rPr>
          <w:iCs/>
        </w:rPr>
      </w:pPr>
      <w:r w:rsidRPr="009E5535">
        <w:rPr>
          <w:iCs/>
        </w:rPr>
        <w:t xml:space="preserve">It is important that we continue to build on the positive outcomes achieved through the </w:t>
      </w:r>
      <w:proofErr w:type="spellStart"/>
      <w:r w:rsidRPr="009E5535">
        <w:rPr>
          <w:iCs/>
        </w:rPr>
        <w:t>NPYAT</w:t>
      </w:r>
      <w:proofErr w:type="spellEnd"/>
      <w:r w:rsidRPr="009E5535">
        <w:rPr>
          <w:iCs/>
        </w:rPr>
        <w:t xml:space="preserve"> and ensure that there is ongoing support for youth attainment and transitions in Victoria. To do this we must apply a systematic approach to the adoption and implementation of coherent initiatives and programs, rather than ones that </w:t>
      </w:r>
      <w:r w:rsidR="009E5535">
        <w:rPr>
          <w:iCs/>
        </w:rPr>
        <w:t>might be</w:t>
      </w:r>
      <w:r w:rsidRPr="009E5535">
        <w:rPr>
          <w:iCs/>
        </w:rPr>
        <w:t xml:space="preserve"> fragmented or overlap. </w:t>
      </w:r>
      <w:r w:rsidR="009E5535">
        <w:rPr>
          <w:iCs/>
        </w:rPr>
        <w:t>This will</w:t>
      </w:r>
      <w:r w:rsidRPr="009E5535">
        <w:rPr>
          <w:iCs/>
        </w:rPr>
        <w:t xml:space="preserve"> ensure that future services </w:t>
      </w:r>
      <w:r w:rsidR="00E310B7">
        <w:rPr>
          <w:iCs/>
        </w:rPr>
        <w:t>focus</w:t>
      </w:r>
      <w:r w:rsidRPr="009E5535">
        <w:rPr>
          <w:iCs/>
        </w:rPr>
        <w:t xml:space="preserve"> on the ‘client’ to meet the needs, interest and choices of </w:t>
      </w:r>
      <w:r w:rsidR="009E5535">
        <w:rPr>
          <w:iCs/>
        </w:rPr>
        <w:t>young people who engage with them</w:t>
      </w:r>
      <w:r w:rsidRPr="009E5535">
        <w:rPr>
          <w:iCs/>
        </w:rPr>
        <w:t xml:space="preserve">. Funding arrangements will also need to recognise that better outcomes occur when providers have the flexibility to develop innovative solutions to </w:t>
      </w:r>
      <w:r w:rsidR="009E5535">
        <w:rPr>
          <w:iCs/>
        </w:rPr>
        <w:t xml:space="preserve">meet </w:t>
      </w:r>
      <w:r w:rsidRPr="009E5535">
        <w:rPr>
          <w:iCs/>
        </w:rPr>
        <w:t>local challenges.</w:t>
      </w:r>
    </w:p>
    <w:p w14:paraId="00FA76E8" w14:textId="2968286F" w:rsidR="009E5535" w:rsidRPr="009E5535" w:rsidRDefault="009E5535" w:rsidP="00647A76">
      <w:pPr>
        <w:spacing w:before="120"/>
        <w:jc w:val="both"/>
      </w:pPr>
      <w:r>
        <w:t>The</w:t>
      </w:r>
      <w:r w:rsidRPr="00343508">
        <w:t xml:space="preserve"> overview of current activities </w:t>
      </w:r>
      <w:r>
        <w:t>contained in this report attest to the high value of</w:t>
      </w:r>
      <w:r w:rsidRPr="00343508">
        <w:t xml:space="preserve"> </w:t>
      </w:r>
      <w:r>
        <w:t>YAT NP</w:t>
      </w:r>
      <w:r w:rsidRPr="00343508">
        <w:t xml:space="preserve"> programs and </w:t>
      </w:r>
      <w:r>
        <w:t>investment</w:t>
      </w:r>
      <w:r w:rsidRPr="00343508">
        <w:t xml:space="preserve"> </w:t>
      </w:r>
      <w:r>
        <w:t xml:space="preserve">in supporting educational outcomes for all young Victorians. This is particularly so for young people who are not fully engaged in education, training or employment. These young people often face </w:t>
      </w:r>
      <w:r>
        <w:lastRenderedPageBreak/>
        <w:t xml:space="preserve">multiple disadvantages, </w:t>
      </w:r>
      <w:r w:rsidRPr="00343508">
        <w:t xml:space="preserve">and may require </w:t>
      </w:r>
      <w:r>
        <w:t xml:space="preserve">access to </w:t>
      </w:r>
      <w:r w:rsidRPr="00343508">
        <w:t>comprehensive individual support services</w:t>
      </w:r>
      <w:r>
        <w:t xml:space="preserve"> that complement</w:t>
      </w:r>
      <w:r w:rsidRPr="00343508">
        <w:t xml:space="preserve"> education</w:t>
      </w:r>
      <w:r>
        <w:t xml:space="preserve"> and</w:t>
      </w:r>
      <w:r w:rsidRPr="00343508">
        <w:t xml:space="preserve"> training</w:t>
      </w:r>
      <w:r>
        <w:t xml:space="preserve"> </w:t>
      </w:r>
      <w:r w:rsidRPr="00343508">
        <w:t xml:space="preserve">options </w:t>
      </w:r>
      <w:r>
        <w:t>tailored to</w:t>
      </w:r>
      <w:r w:rsidRPr="00343508">
        <w:t xml:space="preserve"> their </w:t>
      </w:r>
      <w:r>
        <w:t>individual needs and circumstances.</w:t>
      </w:r>
    </w:p>
    <w:p w14:paraId="0D3B7DF9" w14:textId="6B77AB2A" w:rsidR="00173C5A" w:rsidRDefault="00173C5A" w:rsidP="00647A76">
      <w:pPr>
        <w:spacing w:before="120"/>
        <w:jc w:val="both"/>
      </w:pPr>
      <w:r w:rsidRPr="00343508">
        <w:t>Victoria is aware of th</w:t>
      </w:r>
      <w:r w:rsidR="00323CF9">
        <w:t>ese</w:t>
      </w:r>
      <w:r w:rsidRPr="00343508">
        <w:t xml:space="preserve"> challenge</w:t>
      </w:r>
      <w:r w:rsidR="00323CF9">
        <w:t>s</w:t>
      </w:r>
      <w:r w:rsidR="00E310B7">
        <w:t>,</w:t>
      </w:r>
      <w:r w:rsidRPr="00343508">
        <w:t xml:space="preserve"> and </w:t>
      </w:r>
      <w:r w:rsidR="001A00AF">
        <w:t>continue</w:t>
      </w:r>
      <w:r w:rsidR="00E310B7">
        <w:t>s</w:t>
      </w:r>
      <w:r w:rsidR="001A00AF">
        <w:t xml:space="preserve"> to</w:t>
      </w:r>
      <w:r w:rsidR="00053A51">
        <w:t xml:space="preserve"> </w:t>
      </w:r>
      <w:r w:rsidR="001A00AF">
        <w:t>pursue</w:t>
      </w:r>
      <w:r w:rsidR="00832479">
        <w:t xml:space="preserve"> </w:t>
      </w:r>
      <w:r w:rsidR="00E310B7">
        <w:t>reforms that</w:t>
      </w:r>
      <w:r w:rsidR="00323CF9">
        <w:t xml:space="preserve"> address them</w:t>
      </w:r>
      <w:r w:rsidRPr="00343508">
        <w:t>.</w:t>
      </w:r>
    </w:p>
    <w:p w14:paraId="79676E87" w14:textId="77777777" w:rsidR="00A05899" w:rsidRPr="00647A76" w:rsidRDefault="00BF29CF" w:rsidP="00647A76">
      <w:pPr>
        <w:pStyle w:val="Heading3"/>
        <w:spacing w:before="120" w:after="0"/>
        <w:ind w:left="0"/>
        <w:jc w:val="both"/>
        <w:rPr>
          <w:rFonts w:asciiTheme="minorHAnsi" w:hAnsiTheme="minorHAnsi"/>
        </w:rPr>
      </w:pPr>
      <w:bookmarkStart w:id="9" w:name="_Toc320003796"/>
      <w:r w:rsidRPr="00647A76">
        <w:rPr>
          <w:rFonts w:asciiTheme="minorHAnsi" w:hAnsiTheme="minorHAnsi"/>
        </w:rPr>
        <w:t xml:space="preserve">Strategic reform: </w:t>
      </w:r>
      <w:r w:rsidR="000531D5" w:rsidRPr="00647A76">
        <w:rPr>
          <w:rFonts w:asciiTheme="minorHAnsi" w:hAnsiTheme="minorHAnsi"/>
        </w:rPr>
        <w:t xml:space="preserve">Victorian Government </w:t>
      </w:r>
      <w:r w:rsidRPr="00647A76">
        <w:rPr>
          <w:rFonts w:asciiTheme="minorHAnsi" w:hAnsiTheme="minorHAnsi"/>
        </w:rPr>
        <w:t xml:space="preserve">policy commitments </w:t>
      </w:r>
      <w:bookmarkEnd w:id="9"/>
    </w:p>
    <w:p w14:paraId="10083D16" w14:textId="77777777" w:rsidR="00173C5A" w:rsidRPr="00647A76" w:rsidRDefault="00173C5A" w:rsidP="00DE0473">
      <w:pPr>
        <w:pStyle w:val="Heading4"/>
        <w:rPr>
          <w:highlight w:val="yellow"/>
        </w:rPr>
      </w:pPr>
      <w:r w:rsidRPr="00647A76">
        <w:t>School education</w:t>
      </w:r>
    </w:p>
    <w:p w14:paraId="271C3B34" w14:textId="71F57D4A" w:rsidR="00730824" w:rsidRPr="002F3FF8" w:rsidRDefault="00323CF9" w:rsidP="00E96356">
      <w:pPr>
        <w:spacing w:before="120"/>
        <w:jc w:val="both"/>
      </w:pPr>
      <w:r>
        <w:t>Released on 15 November 2012, t</w:t>
      </w:r>
      <w:r w:rsidR="00730824" w:rsidRPr="002F3FF8">
        <w:t xml:space="preserve">he </w:t>
      </w:r>
      <w:r w:rsidR="00730824" w:rsidRPr="004C4CC2">
        <w:rPr>
          <w:i/>
        </w:rPr>
        <w:t>Towards Victoria as a Learning Community</w:t>
      </w:r>
      <w:r w:rsidR="00730824" w:rsidRPr="002F3FF8">
        <w:t xml:space="preserve"> (</w:t>
      </w:r>
      <w:proofErr w:type="spellStart"/>
      <w:r w:rsidR="00730824" w:rsidRPr="002F3FF8">
        <w:t>TVLC</w:t>
      </w:r>
      <w:proofErr w:type="spellEnd"/>
      <w:r w:rsidR="00730824" w:rsidRPr="002F3FF8">
        <w:t>) position paper</w:t>
      </w:r>
      <w:r>
        <w:t xml:space="preserve"> </w:t>
      </w:r>
      <w:r w:rsidR="00730824" w:rsidRPr="002F3FF8">
        <w:t xml:space="preserve">sets out a range of strategic, school-based reforms that will be pursued to support achievement of the Victorian Government’s </w:t>
      </w:r>
      <w:r>
        <w:t>policy objectives</w:t>
      </w:r>
      <w:r w:rsidR="00730824" w:rsidRPr="002F3FF8">
        <w:t>. These reforms include new expectations for professional practice, increased autonomy for schools, rigorous accountability arrangements, enhanced support for schools, and a commitment to strengthening partn</w:t>
      </w:r>
      <w:r w:rsidR="00730824">
        <w:t xml:space="preserve">erships.  </w:t>
      </w:r>
      <w:r w:rsidR="00647A76">
        <w:t>T</w:t>
      </w:r>
      <w:r w:rsidR="00247B96">
        <w:t>hese</w:t>
      </w:r>
      <w:r w:rsidR="006B76DE">
        <w:t xml:space="preserve"> align </w:t>
      </w:r>
      <w:r w:rsidR="006B76DE" w:rsidRPr="006B76DE">
        <w:t>with the intent of the YAT NP to increase participation of young people in education and training, increase attainment levels</w:t>
      </w:r>
      <w:r w:rsidR="00750A1E">
        <w:t xml:space="preserve">, </w:t>
      </w:r>
      <w:r w:rsidR="00750A1E" w:rsidRPr="006B76DE">
        <w:t>improve</w:t>
      </w:r>
      <w:r w:rsidR="006B76DE" w:rsidRPr="006B76DE">
        <w:t xml:space="preserve"> suc</w:t>
      </w:r>
      <w:r w:rsidR="006B76DE">
        <w:t>cessful transitions from school</w:t>
      </w:r>
      <w:r w:rsidR="00750A1E">
        <w:t xml:space="preserve"> and</w:t>
      </w:r>
      <w:r w:rsidR="006B76DE">
        <w:t xml:space="preserve"> </w:t>
      </w:r>
      <w:r w:rsidR="00F82724">
        <w:t>i</w:t>
      </w:r>
      <w:r w:rsidR="00750A1E">
        <w:t>ncrease</w:t>
      </w:r>
      <w:r w:rsidR="00A257A5">
        <w:t xml:space="preserve"> school autonomy</w:t>
      </w:r>
      <w:r w:rsidR="00F82724">
        <w:t xml:space="preserve"> through curriculum reform.</w:t>
      </w:r>
    </w:p>
    <w:p w14:paraId="0117F4F0" w14:textId="70C7E2E4" w:rsidR="00A257A5" w:rsidRDefault="00F82724" w:rsidP="00647A76">
      <w:pPr>
        <w:spacing w:before="120"/>
        <w:jc w:val="both"/>
      </w:pPr>
      <w:r>
        <w:t>To create an effective environment for the</w:t>
      </w:r>
      <w:r w:rsidR="00647A76">
        <w:t xml:space="preserve"> teaching</w:t>
      </w:r>
      <w:r>
        <w:t xml:space="preserve"> profession to drive individual and system improvement, the Department</w:t>
      </w:r>
      <w:r w:rsidR="000E614E">
        <w:t xml:space="preserve"> of Education and Early Childhood Development (</w:t>
      </w:r>
      <w:proofErr w:type="spellStart"/>
      <w:r w:rsidR="000E614E">
        <w:t>DEECD</w:t>
      </w:r>
      <w:proofErr w:type="spellEnd"/>
      <w:r w:rsidR="000E614E">
        <w:t>)</w:t>
      </w:r>
      <w:r>
        <w:t xml:space="preserve"> is facilitating curriculum reform. </w:t>
      </w:r>
      <w:r w:rsidR="00322D03">
        <w:t>T</w:t>
      </w:r>
      <w:r>
        <w:t xml:space="preserve">o build on the strengths of Victoria’s curriculum, </w:t>
      </w:r>
      <w:r w:rsidR="00E9442A" w:rsidRPr="002F3FF8">
        <w:t xml:space="preserve">a more diverse range of programs </w:t>
      </w:r>
      <w:r w:rsidR="00E9442A">
        <w:t xml:space="preserve">will be offered </w:t>
      </w:r>
      <w:r w:rsidR="00E9442A" w:rsidRPr="002F3FF8">
        <w:t>at the senior secondary level.</w:t>
      </w:r>
      <w:r w:rsidR="00E9442A">
        <w:t xml:space="preserve">  </w:t>
      </w:r>
      <w:r w:rsidR="001215D3">
        <w:t>These programs include a Victorian</w:t>
      </w:r>
      <w:r w:rsidR="00A257A5">
        <w:t xml:space="preserve"> </w:t>
      </w:r>
      <w:r w:rsidR="001215D3">
        <w:t>Baccalaureate, Industry Pathways Program</w:t>
      </w:r>
      <w:r w:rsidR="00A257A5">
        <w:t xml:space="preserve"> </w:t>
      </w:r>
      <w:r w:rsidR="001215D3">
        <w:t>and Specialist Senior Secondary Programs.</w:t>
      </w:r>
      <w:r w:rsidR="00A257A5">
        <w:t xml:space="preserve">  </w:t>
      </w:r>
    </w:p>
    <w:p w14:paraId="0F1C53C3" w14:textId="381538D0" w:rsidR="00A257A5" w:rsidRDefault="001215D3" w:rsidP="00647A76">
      <w:pPr>
        <w:spacing w:before="120"/>
        <w:jc w:val="both"/>
      </w:pPr>
      <w:r>
        <w:t>The Victorian Baccalaureate</w:t>
      </w:r>
      <w:r w:rsidR="00A257A5">
        <w:t xml:space="preserve"> </w:t>
      </w:r>
      <w:r>
        <w:t xml:space="preserve">will provide a pathway for </w:t>
      </w:r>
      <w:proofErr w:type="gramStart"/>
      <w:r>
        <w:t>students</w:t>
      </w:r>
      <w:r w:rsidR="00A257A5">
        <w:t xml:space="preserve"> </w:t>
      </w:r>
      <w:r w:rsidR="00322D03">
        <w:t>that</w:t>
      </w:r>
      <w:r w:rsidR="00A257A5">
        <w:t xml:space="preserve"> </w:t>
      </w:r>
      <w:r w:rsidR="00322D03">
        <w:t>recognises</w:t>
      </w:r>
      <w:proofErr w:type="gramEnd"/>
      <w:r w:rsidR="00322D03">
        <w:t xml:space="preserve"> </w:t>
      </w:r>
      <w:r w:rsidR="0024259B">
        <w:t>excellence</w:t>
      </w:r>
      <w:r w:rsidR="00A257A5">
        <w:t xml:space="preserve"> </w:t>
      </w:r>
      <w:r>
        <w:t>across a broad program of study.</w:t>
      </w:r>
      <w:r w:rsidR="00A257A5">
        <w:t xml:space="preserve">  </w:t>
      </w:r>
    </w:p>
    <w:p w14:paraId="4CC618A3" w14:textId="68EE636A" w:rsidR="000E614E" w:rsidRDefault="001215D3" w:rsidP="00647A76">
      <w:pPr>
        <w:spacing w:before="120"/>
        <w:jc w:val="both"/>
      </w:pPr>
      <w:r>
        <w:t>The Industry Pathways Programs</w:t>
      </w:r>
      <w:r w:rsidR="00A257A5">
        <w:t xml:space="preserve"> </w:t>
      </w:r>
      <w:r>
        <w:t>(</w:t>
      </w:r>
      <w:proofErr w:type="spellStart"/>
      <w:r>
        <w:t>IPPs</w:t>
      </w:r>
      <w:proofErr w:type="spellEnd"/>
      <w:r>
        <w:t>) will be developed in</w:t>
      </w:r>
      <w:r w:rsidR="00A257A5">
        <w:t xml:space="preserve"> </w:t>
      </w:r>
      <w:r>
        <w:t>consultation with selected industry</w:t>
      </w:r>
      <w:r w:rsidR="00A257A5">
        <w:t xml:space="preserve"> </w:t>
      </w:r>
      <w:r>
        <w:t>groups and will enable students</w:t>
      </w:r>
      <w:r w:rsidR="00A257A5">
        <w:t xml:space="preserve"> </w:t>
      </w:r>
      <w:r>
        <w:t>to undertake relevant Vocational</w:t>
      </w:r>
      <w:r w:rsidR="00A257A5">
        <w:t xml:space="preserve"> </w:t>
      </w:r>
      <w:r>
        <w:t>Education and Training competencies</w:t>
      </w:r>
      <w:r w:rsidR="00A257A5">
        <w:t xml:space="preserve"> </w:t>
      </w:r>
      <w:r>
        <w:t>at Certificate III level and selected</w:t>
      </w:r>
      <w:r w:rsidR="00A257A5">
        <w:t xml:space="preserve"> </w:t>
      </w:r>
      <w:proofErr w:type="spellStart"/>
      <w:r>
        <w:t>VCE</w:t>
      </w:r>
      <w:proofErr w:type="spellEnd"/>
      <w:r>
        <w:t xml:space="preserve"> and/or </w:t>
      </w:r>
      <w:proofErr w:type="spellStart"/>
      <w:r>
        <w:t>VCAL</w:t>
      </w:r>
      <w:proofErr w:type="spellEnd"/>
      <w:r>
        <w:t xml:space="preserve"> subjects. Students</w:t>
      </w:r>
      <w:r w:rsidR="00A257A5">
        <w:t xml:space="preserve"> </w:t>
      </w:r>
      <w:r>
        <w:t>will be able to gain credit toward</w:t>
      </w:r>
      <w:r w:rsidR="00A257A5">
        <w:t xml:space="preserve"> </w:t>
      </w:r>
      <w:r>
        <w:t>trade apprenticeships through the</w:t>
      </w:r>
      <w:r w:rsidR="00A257A5">
        <w:t xml:space="preserve"> </w:t>
      </w:r>
      <w:proofErr w:type="spellStart"/>
      <w:r>
        <w:t>IPPs</w:t>
      </w:r>
      <w:proofErr w:type="spellEnd"/>
      <w:r>
        <w:t>, while developing their literacy,</w:t>
      </w:r>
      <w:r w:rsidR="00A257A5">
        <w:t xml:space="preserve"> </w:t>
      </w:r>
      <w:r>
        <w:t>numeracy and interpersonal skills</w:t>
      </w:r>
      <w:r w:rsidR="00A257A5">
        <w:t xml:space="preserve"> </w:t>
      </w:r>
      <w:r>
        <w:t>to ensure they are well equipped to</w:t>
      </w:r>
      <w:r w:rsidR="00A257A5">
        <w:t xml:space="preserve"> </w:t>
      </w:r>
      <w:r>
        <w:t>enter the workforce. These programs</w:t>
      </w:r>
      <w:r w:rsidR="00A257A5">
        <w:t xml:space="preserve"> </w:t>
      </w:r>
      <w:r>
        <w:t>will provide excellent opportunities</w:t>
      </w:r>
      <w:r w:rsidR="00A257A5">
        <w:t xml:space="preserve"> </w:t>
      </w:r>
      <w:r>
        <w:t>for partnerships between industry,</w:t>
      </w:r>
      <w:r w:rsidR="00A257A5">
        <w:t xml:space="preserve"> </w:t>
      </w:r>
      <w:r>
        <w:t>schools and the community.</w:t>
      </w:r>
      <w:r w:rsidR="00A257A5">
        <w:t xml:space="preserve"> The </w:t>
      </w:r>
      <w:proofErr w:type="spellStart"/>
      <w:r w:rsidR="00A257A5">
        <w:t>IPPs</w:t>
      </w:r>
      <w:proofErr w:type="spellEnd"/>
      <w:r w:rsidR="00A257A5">
        <w:t xml:space="preserve"> will build upon a number of existing pilot</w:t>
      </w:r>
      <w:r w:rsidR="0024259B">
        <w:t xml:space="preserve"> programs</w:t>
      </w:r>
      <w:r w:rsidR="00A257A5">
        <w:t xml:space="preserve"> in industry areas including building and construction, manufacturing and engineering and community services and health</w:t>
      </w:r>
      <w:r w:rsidR="00E310B7">
        <w:t>.</w:t>
      </w:r>
    </w:p>
    <w:p w14:paraId="6F4C1EE4" w14:textId="013132EF" w:rsidR="003F239C" w:rsidRDefault="003F239C" w:rsidP="00A76615">
      <w:pPr>
        <w:spacing w:before="120" w:after="120"/>
        <w:jc w:val="both"/>
      </w:pPr>
      <w:r>
        <w:t>Specialisation is an increasingly important option for Victorian schools looking to develop their own identity, foster knowledge and expertise, an</w:t>
      </w:r>
      <w:r w:rsidR="00750A1E">
        <w:t xml:space="preserve">d increase student engagement. </w:t>
      </w:r>
      <w:r>
        <w:t xml:space="preserve">As the breadth and complexity of student demands increase, it will become even more important for students to access high-quality learning from specialised providers. </w:t>
      </w:r>
      <w:r w:rsidR="00E9442A">
        <w:t xml:space="preserve">Increasingly, information and communication technology will support collaboration across providers and present students with enhanced learning opportunities. </w:t>
      </w:r>
      <w:r w:rsidR="00A76615">
        <w:t xml:space="preserve">School specialisation will be </w:t>
      </w:r>
      <w:r>
        <w:t xml:space="preserve">fostered, promoted and supported, </w:t>
      </w:r>
      <w:r w:rsidR="00A76615">
        <w:t>with a</w:t>
      </w:r>
      <w:r w:rsidR="0024259B">
        <w:t xml:space="preserve"> </w:t>
      </w:r>
      <w:r>
        <w:t>focus on:</w:t>
      </w:r>
    </w:p>
    <w:p w14:paraId="564A10BB" w14:textId="213150E4" w:rsidR="003F239C" w:rsidRDefault="003F239C" w:rsidP="003957AD">
      <w:pPr>
        <w:pStyle w:val="ListParagraph"/>
        <w:numPr>
          <w:ilvl w:val="0"/>
          <w:numId w:val="17"/>
        </w:numPr>
        <w:ind w:left="426" w:hanging="426"/>
        <w:jc w:val="both"/>
      </w:pPr>
      <w:r>
        <w:t>exploring options for specific curriculum areas, such as vocational education, to be more effectively delivered by schools</w:t>
      </w:r>
      <w:r w:rsidR="00714217">
        <w:t xml:space="preserve"> through specialisation</w:t>
      </w:r>
      <w:r w:rsidR="0024259B">
        <w:t>; and</w:t>
      </w:r>
    </w:p>
    <w:p w14:paraId="68700C76" w14:textId="7BF8FFAF" w:rsidR="00323CF9" w:rsidRPr="00A76615" w:rsidRDefault="003F239C" w:rsidP="003957AD">
      <w:pPr>
        <w:pStyle w:val="ListParagraph"/>
        <w:numPr>
          <w:ilvl w:val="0"/>
          <w:numId w:val="17"/>
        </w:numPr>
        <w:spacing w:after="240"/>
        <w:ind w:left="426" w:hanging="426"/>
        <w:jc w:val="both"/>
      </w:pPr>
      <w:proofErr w:type="gramStart"/>
      <w:r>
        <w:t>developing</w:t>
      </w:r>
      <w:proofErr w:type="gramEnd"/>
      <w:r>
        <w:t xml:space="preserve"> a stronger partnership model, allowing students in </w:t>
      </w:r>
      <w:r w:rsidR="00714217">
        <w:t xml:space="preserve">all </w:t>
      </w:r>
      <w:r>
        <w:t>schools to access different subjects across different school and non-school providers</w:t>
      </w:r>
      <w:r w:rsidR="00750A1E">
        <w:t>.</w:t>
      </w:r>
    </w:p>
    <w:p w14:paraId="2D9AF9D6" w14:textId="77777777" w:rsidR="00173C5A" w:rsidRPr="00647A76" w:rsidRDefault="00173C5A" w:rsidP="00DE0473">
      <w:pPr>
        <w:pStyle w:val="Heading4"/>
      </w:pPr>
      <w:r w:rsidRPr="00647A76">
        <w:t>Vocational Education and Training</w:t>
      </w:r>
    </w:p>
    <w:p w14:paraId="2D6F60F5" w14:textId="77777777" w:rsidR="006C414D" w:rsidRDefault="006C414D" w:rsidP="00647A76">
      <w:pPr>
        <w:spacing w:before="120"/>
        <w:jc w:val="both"/>
        <w:rPr>
          <w:color w:val="000000"/>
        </w:rPr>
      </w:pPr>
      <w:r w:rsidRPr="006C414D">
        <w:rPr>
          <w:color w:val="000000"/>
        </w:rPr>
        <w:t xml:space="preserve">Victoria’s training </w:t>
      </w:r>
      <w:r w:rsidR="00323CF9">
        <w:rPr>
          <w:color w:val="000000"/>
        </w:rPr>
        <w:t xml:space="preserve">market is continuing to mature, </w:t>
      </w:r>
      <w:r w:rsidRPr="006C414D">
        <w:rPr>
          <w:color w:val="000000"/>
        </w:rPr>
        <w:t>provid</w:t>
      </w:r>
      <w:r w:rsidR="00323CF9">
        <w:rPr>
          <w:color w:val="000000"/>
        </w:rPr>
        <w:t>ing more</w:t>
      </w:r>
      <w:r w:rsidRPr="006C414D">
        <w:rPr>
          <w:color w:val="000000"/>
        </w:rPr>
        <w:t xml:space="preserve"> opportunities for Victorians to develop skills that lead to </w:t>
      </w:r>
      <w:r w:rsidR="00323CF9">
        <w:rPr>
          <w:color w:val="000000"/>
        </w:rPr>
        <w:t>meaningful</w:t>
      </w:r>
      <w:r w:rsidRPr="006C414D">
        <w:rPr>
          <w:color w:val="000000"/>
        </w:rPr>
        <w:t xml:space="preserve"> </w:t>
      </w:r>
      <w:r w:rsidR="00323CF9">
        <w:rPr>
          <w:color w:val="000000"/>
        </w:rPr>
        <w:t>employment</w:t>
      </w:r>
      <w:r w:rsidRPr="006C414D">
        <w:rPr>
          <w:color w:val="000000"/>
        </w:rPr>
        <w:t xml:space="preserve">. It remains the most responsive </w:t>
      </w:r>
      <w:r w:rsidR="00323CF9">
        <w:rPr>
          <w:color w:val="000000"/>
        </w:rPr>
        <w:t xml:space="preserve">system </w:t>
      </w:r>
      <w:r w:rsidRPr="006C414D">
        <w:rPr>
          <w:color w:val="000000"/>
        </w:rPr>
        <w:t xml:space="preserve">to the changing needs of </w:t>
      </w:r>
      <w:r w:rsidRPr="006C414D">
        <w:rPr>
          <w:color w:val="000000"/>
        </w:rPr>
        <w:lastRenderedPageBreak/>
        <w:t>the labour market</w:t>
      </w:r>
      <w:r w:rsidR="00323CF9">
        <w:rPr>
          <w:color w:val="000000"/>
        </w:rPr>
        <w:t xml:space="preserve"> across Australia</w:t>
      </w:r>
      <w:r w:rsidRPr="006C414D">
        <w:rPr>
          <w:color w:val="000000"/>
        </w:rPr>
        <w:t>, driven by strong growth in the sector</w:t>
      </w:r>
      <w:r w:rsidR="00323CF9">
        <w:rPr>
          <w:color w:val="000000"/>
        </w:rPr>
        <w:t xml:space="preserve"> of providers delivering training </w:t>
      </w:r>
      <w:r w:rsidR="000E614E">
        <w:rPr>
          <w:color w:val="000000"/>
        </w:rPr>
        <w:t xml:space="preserve">subsidised </w:t>
      </w:r>
      <w:r w:rsidR="00323CF9">
        <w:rPr>
          <w:color w:val="000000"/>
        </w:rPr>
        <w:t>by the Victorian Government</w:t>
      </w:r>
      <w:r w:rsidRPr="006C414D">
        <w:rPr>
          <w:color w:val="000000"/>
        </w:rPr>
        <w:t xml:space="preserve">. </w:t>
      </w:r>
    </w:p>
    <w:p w14:paraId="24E76528" w14:textId="7C52D195" w:rsidR="00AA5A4D" w:rsidRPr="00E9442A" w:rsidRDefault="00D356FC" w:rsidP="00647A76">
      <w:pPr>
        <w:spacing w:before="120"/>
        <w:jc w:val="both"/>
        <w:rPr>
          <w:color w:val="000000"/>
        </w:rPr>
      </w:pPr>
      <w:r>
        <w:rPr>
          <w:color w:val="000000"/>
        </w:rPr>
        <w:t xml:space="preserve">While the </w:t>
      </w:r>
      <w:r w:rsidRPr="00E9442A">
        <w:rPr>
          <w:color w:val="000000"/>
        </w:rPr>
        <w:t xml:space="preserve">growth in government-funded </w:t>
      </w:r>
      <w:r>
        <w:rPr>
          <w:color w:val="000000"/>
        </w:rPr>
        <w:t xml:space="preserve">training </w:t>
      </w:r>
      <w:r w:rsidRPr="00E9442A">
        <w:rPr>
          <w:color w:val="000000"/>
        </w:rPr>
        <w:t xml:space="preserve">activity </w:t>
      </w:r>
      <w:r>
        <w:rPr>
          <w:color w:val="000000"/>
        </w:rPr>
        <w:t xml:space="preserve">has been welcome, it </w:t>
      </w:r>
      <w:r w:rsidR="00500247">
        <w:rPr>
          <w:color w:val="000000"/>
        </w:rPr>
        <w:t>continues at</w:t>
      </w:r>
      <w:r>
        <w:rPr>
          <w:color w:val="000000"/>
        </w:rPr>
        <w:t xml:space="preserve"> unsustainable levels. Moreover, while m</w:t>
      </w:r>
      <w:r w:rsidRPr="001C7B87">
        <w:rPr>
          <w:color w:val="000000"/>
        </w:rPr>
        <w:t xml:space="preserve">ost </w:t>
      </w:r>
      <w:r>
        <w:rPr>
          <w:color w:val="000000"/>
        </w:rPr>
        <w:t>training has been delivered in areas of employment</w:t>
      </w:r>
      <w:r w:rsidRPr="001C7B87">
        <w:rPr>
          <w:color w:val="000000"/>
        </w:rPr>
        <w:t xml:space="preserve"> growth, there have </w:t>
      </w:r>
      <w:r>
        <w:rPr>
          <w:color w:val="000000"/>
        </w:rPr>
        <w:t xml:space="preserve">also </w:t>
      </w:r>
      <w:r w:rsidRPr="001C7B87">
        <w:rPr>
          <w:color w:val="000000"/>
        </w:rPr>
        <w:t>been</w:t>
      </w:r>
      <w:r>
        <w:rPr>
          <w:color w:val="000000"/>
        </w:rPr>
        <w:t xml:space="preserve"> some</w:t>
      </w:r>
      <w:r w:rsidRPr="001C7B87">
        <w:rPr>
          <w:color w:val="000000"/>
        </w:rPr>
        <w:t xml:space="preserve"> examples of training in excess of levels required by some sectors or in areas with lower vocational benefits.</w:t>
      </w:r>
    </w:p>
    <w:p w14:paraId="5C207450" w14:textId="78927ADA" w:rsidR="00AA5A4D" w:rsidRDefault="008A6C33" w:rsidP="00647A76">
      <w:pPr>
        <w:spacing w:before="120"/>
        <w:jc w:val="both"/>
        <w:rPr>
          <w:color w:val="000000"/>
        </w:rPr>
      </w:pPr>
      <w:r>
        <w:rPr>
          <w:color w:val="000000"/>
        </w:rPr>
        <w:t>Through</w:t>
      </w:r>
      <w:r w:rsidR="00323CF9">
        <w:rPr>
          <w:color w:val="000000"/>
        </w:rPr>
        <w:t xml:space="preserve"> </w:t>
      </w:r>
      <w:r>
        <w:rPr>
          <w:color w:val="000000"/>
        </w:rPr>
        <w:t xml:space="preserve">a suite of reforms delivered </w:t>
      </w:r>
      <w:r w:rsidR="00A76615">
        <w:rPr>
          <w:color w:val="000000"/>
        </w:rPr>
        <w:t>by</w:t>
      </w:r>
      <w:r>
        <w:rPr>
          <w:color w:val="000000"/>
        </w:rPr>
        <w:t xml:space="preserve"> </w:t>
      </w:r>
      <w:r w:rsidR="00A76615">
        <w:rPr>
          <w:color w:val="000000"/>
        </w:rPr>
        <w:t>the 2012/</w:t>
      </w:r>
      <w:r w:rsidR="00323CF9">
        <w:rPr>
          <w:color w:val="000000"/>
        </w:rPr>
        <w:t>13 Victorian State Budget, t</w:t>
      </w:r>
      <w:r w:rsidR="006204AB" w:rsidRPr="006204AB">
        <w:rPr>
          <w:color w:val="000000"/>
        </w:rPr>
        <w:t>he Victorian Government announce</w:t>
      </w:r>
      <w:r w:rsidR="00323CF9">
        <w:rPr>
          <w:color w:val="000000"/>
        </w:rPr>
        <w:t>d</w:t>
      </w:r>
      <w:r w:rsidR="006204AB" w:rsidRPr="006204AB">
        <w:rPr>
          <w:color w:val="000000"/>
        </w:rPr>
        <w:t xml:space="preserve"> </w:t>
      </w:r>
      <w:r w:rsidR="006204AB" w:rsidRPr="00D7780A">
        <w:rPr>
          <w:i/>
          <w:color w:val="000000"/>
        </w:rPr>
        <w:t xml:space="preserve">Refocusing Vocational Training </w:t>
      </w:r>
      <w:r w:rsidR="00A76615" w:rsidRPr="00D7780A">
        <w:rPr>
          <w:i/>
          <w:color w:val="000000"/>
        </w:rPr>
        <w:t>in</w:t>
      </w:r>
      <w:r w:rsidR="006204AB" w:rsidRPr="00D7780A">
        <w:rPr>
          <w:i/>
          <w:color w:val="000000"/>
        </w:rPr>
        <w:t xml:space="preserve"> Victoria</w:t>
      </w:r>
      <w:r>
        <w:rPr>
          <w:i/>
          <w:color w:val="000000"/>
        </w:rPr>
        <w:t xml:space="preserve"> </w:t>
      </w:r>
      <w:r>
        <w:rPr>
          <w:color w:val="000000"/>
        </w:rPr>
        <w:t>in September 2012</w:t>
      </w:r>
      <w:r w:rsidR="006204AB" w:rsidRPr="006204AB">
        <w:rPr>
          <w:color w:val="000000"/>
        </w:rPr>
        <w:t xml:space="preserve">. These reforms </w:t>
      </w:r>
      <w:r>
        <w:rPr>
          <w:color w:val="000000"/>
        </w:rPr>
        <w:t>are</w:t>
      </w:r>
      <w:r w:rsidR="006204AB" w:rsidRPr="006204AB">
        <w:rPr>
          <w:color w:val="000000"/>
        </w:rPr>
        <w:t xml:space="preserve"> aimed at building a modern vocational training system that </w:t>
      </w:r>
      <w:r>
        <w:rPr>
          <w:color w:val="000000"/>
        </w:rPr>
        <w:t xml:space="preserve">supports </w:t>
      </w:r>
      <w:r w:rsidR="006204AB" w:rsidRPr="006204AB">
        <w:rPr>
          <w:color w:val="000000"/>
        </w:rPr>
        <w:t xml:space="preserve">more </w:t>
      </w:r>
      <w:r>
        <w:rPr>
          <w:color w:val="000000"/>
        </w:rPr>
        <w:t>Victorians</w:t>
      </w:r>
      <w:r w:rsidR="006204AB" w:rsidRPr="006204AB">
        <w:rPr>
          <w:color w:val="000000"/>
        </w:rPr>
        <w:t xml:space="preserve"> </w:t>
      </w:r>
      <w:r>
        <w:rPr>
          <w:color w:val="000000"/>
        </w:rPr>
        <w:t>to</w:t>
      </w:r>
      <w:r w:rsidR="006204AB" w:rsidRPr="006204AB">
        <w:rPr>
          <w:color w:val="000000"/>
        </w:rPr>
        <w:t xml:space="preserve"> build skills that lead to better jobs.</w:t>
      </w:r>
      <w:r>
        <w:rPr>
          <w:color w:val="000000"/>
        </w:rPr>
        <w:t xml:space="preserve"> </w:t>
      </w:r>
    </w:p>
    <w:p w14:paraId="641B1786" w14:textId="27477FAA" w:rsidR="000F75F8" w:rsidRDefault="000F75F8" w:rsidP="00647A76">
      <w:pPr>
        <w:spacing w:before="120"/>
        <w:jc w:val="both"/>
        <w:rPr>
          <w:color w:val="000000"/>
        </w:rPr>
      </w:pPr>
      <w:r>
        <w:rPr>
          <w:color w:val="000000"/>
        </w:rPr>
        <w:t>With the budget for training delivery at its highest point ever – at $1.2 billion per year – it remains important that government subsidises are targeted in a manner that benefits not only individuals, but the economy.</w:t>
      </w:r>
      <w:r w:rsidRPr="000F75F8">
        <w:rPr>
          <w:color w:val="000000"/>
        </w:rPr>
        <w:t xml:space="preserve"> </w:t>
      </w:r>
      <w:r w:rsidRPr="006204AB">
        <w:rPr>
          <w:color w:val="000000"/>
        </w:rPr>
        <w:t>Th</w:t>
      </w:r>
      <w:r>
        <w:rPr>
          <w:color w:val="000000"/>
        </w:rPr>
        <w:t xml:space="preserve">ese include industries experiencing skills shortages </w:t>
      </w:r>
      <w:r w:rsidRPr="006204AB">
        <w:rPr>
          <w:color w:val="000000"/>
        </w:rPr>
        <w:t>(</w:t>
      </w:r>
      <w:r>
        <w:rPr>
          <w:color w:val="000000"/>
        </w:rPr>
        <w:t>for example,</w:t>
      </w:r>
      <w:r w:rsidRPr="006204AB">
        <w:rPr>
          <w:color w:val="000000"/>
        </w:rPr>
        <w:t xml:space="preserve"> carpentry) and specialised occupations (</w:t>
      </w:r>
      <w:r>
        <w:rPr>
          <w:color w:val="000000"/>
        </w:rPr>
        <w:t>for example,</w:t>
      </w:r>
      <w:r w:rsidRPr="006204AB">
        <w:rPr>
          <w:color w:val="000000"/>
        </w:rPr>
        <w:t xml:space="preserve"> </w:t>
      </w:r>
      <w:proofErr w:type="spellStart"/>
      <w:r w:rsidRPr="006204AB">
        <w:rPr>
          <w:color w:val="000000"/>
        </w:rPr>
        <w:t>electrotechnology</w:t>
      </w:r>
      <w:proofErr w:type="spellEnd"/>
      <w:r w:rsidRPr="006204AB">
        <w:rPr>
          <w:color w:val="000000"/>
        </w:rPr>
        <w:t xml:space="preserve">) that require an ongoing </w:t>
      </w:r>
      <w:r w:rsidR="00A76615">
        <w:rPr>
          <w:color w:val="000000"/>
        </w:rPr>
        <w:t>supply</w:t>
      </w:r>
      <w:r w:rsidRPr="006204AB">
        <w:rPr>
          <w:color w:val="000000"/>
        </w:rPr>
        <w:t xml:space="preserve"> of technicians undertaking the training required to work in the</w:t>
      </w:r>
      <w:r>
        <w:rPr>
          <w:color w:val="000000"/>
        </w:rPr>
        <w:t>se occupations</w:t>
      </w:r>
      <w:r w:rsidRPr="006204AB">
        <w:rPr>
          <w:color w:val="000000"/>
        </w:rPr>
        <w:t>.</w:t>
      </w:r>
    </w:p>
    <w:p w14:paraId="7E62502F" w14:textId="234E58F9" w:rsidR="000F75F8" w:rsidRDefault="000F75F8" w:rsidP="00647A76">
      <w:pPr>
        <w:spacing w:before="120"/>
        <w:jc w:val="both"/>
        <w:rPr>
          <w:color w:val="000000"/>
        </w:rPr>
      </w:pPr>
      <w:r>
        <w:rPr>
          <w:color w:val="000000"/>
        </w:rPr>
        <w:t xml:space="preserve">To achieve this, Victoria introduced </w:t>
      </w:r>
      <w:r w:rsidRPr="006C414D">
        <w:rPr>
          <w:color w:val="000000"/>
        </w:rPr>
        <w:t>a new set of subsidy rates</w:t>
      </w:r>
      <w:r w:rsidR="00750A1E">
        <w:rPr>
          <w:color w:val="000000"/>
        </w:rPr>
        <w:t xml:space="preserve"> from 1 July 2012</w:t>
      </w:r>
      <w:r w:rsidRPr="006C414D">
        <w:rPr>
          <w:color w:val="000000"/>
        </w:rPr>
        <w:t xml:space="preserve"> for all training providers to better reflect the relative public value of particular courses. </w:t>
      </w:r>
      <w:r w:rsidR="008A3E29" w:rsidRPr="006C414D">
        <w:rPr>
          <w:color w:val="000000"/>
        </w:rPr>
        <w:t xml:space="preserve">Training courses that hold little prospect of a job at completion are </w:t>
      </w:r>
      <w:r w:rsidR="0072740D">
        <w:rPr>
          <w:color w:val="000000"/>
        </w:rPr>
        <w:t xml:space="preserve">both </w:t>
      </w:r>
      <w:r w:rsidR="008A3E29" w:rsidRPr="006C414D">
        <w:rPr>
          <w:color w:val="000000"/>
        </w:rPr>
        <w:t xml:space="preserve">an inefficient use of public </w:t>
      </w:r>
      <w:r w:rsidR="00A76615">
        <w:rPr>
          <w:color w:val="000000"/>
        </w:rPr>
        <w:t xml:space="preserve">money, and </w:t>
      </w:r>
      <w:r w:rsidR="008A3E29" w:rsidRPr="006C414D">
        <w:rPr>
          <w:color w:val="000000"/>
        </w:rPr>
        <w:t xml:space="preserve">little benefit to </w:t>
      </w:r>
      <w:r w:rsidR="008A3E29">
        <w:rPr>
          <w:color w:val="000000"/>
        </w:rPr>
        <w:t>Victorian</w:t>
      </w:r>
      <w:r w:rsidR="00A76615">
        <w:rPr>
          <w:color w:val="000000"/>
        </w:rPr>
        <w:t>s</w:t>
      </w:r>
      <w:r w:rsidR="008A3E29" w:rsidRPr="006C414D">
        <w:rPr>
          <w:color w:val="000000"/>
        </w:rPr>
        <w:t xml:space="preserve"> seeking to enter the workforce.</w:t>
      </w:r>
      <w:r w:rsidR="008A3E29">
        <w:rPr>
          <w:color w:val="000000"/>
        </w:rPr>
        <w:t xml:space="preserve"> </w:t>
      </w:r>
      <w:r w:rsidRPr="006C414D">
        <w:rPr>
          <w:color w:val="000000"/>
        </w:rPr>
        <w:t>Encouraging training in the highest value courses, while maintaining a market driven approach, preserves the benefits of a more competitive vocational education and training sector, while ensuring government spending is sustainable and well-targeted.</w:t>
      </w:r>
    </w:p>
    <w:p w14:paraId="1CAB197B" w14:textId="77777777" w:rsidR="000F75F8" w:rsidRPr="00647A76" w:rsidRDefault="000F75F8" w:rsidP="00647A76">
      <w:pPr>
        <w:spacing w:before="120"/>
        <w:jc w:val="both"/>
        <w:rPr>
          <w:b/>
          <w:color w:val="000000"/>
          <w:sz w:val="18"/>
        </w:rPr>
      </w:pPr>
      <w:r w:rsidRPr="00647A76">
        <w:rPr>
          <w:b/>
          <w:color w:val="000000"/>
          <w:sz w:val="18"/>
        </w:rPr>
        <w:t xml:space="preserve">Diagram A: The impact of </w:t>
      </w:r>
      <w:r w:rsidR="008A3E29">
        <w:rPr>
          <w:b/>
          <w:color w:val="000000"/>
          <w:sz w:val="18"/>
        </w:rPr>
        <w:t>Refocusing Vocational Training in Victoria on commencing enrolments</w:t>
      </w:r>
    </w:p>
    <w:p w14:paraId="6AFD47A4" w14:textId="77777777" w:rsidR="000F75F8" w:rsidRPr="006204AB" w:rsidRDefault="000F75F8" w:rsidP="00E740B9">
      <w:pPr>
        <w:spacing w:before="120"/>
        <w:ind w:left="-142"/>
        <w:jc w:val="both"/>
        <w:rPr>
          <w:color w:val="000000"/>
        </w:rPr>
      </w:pPr>
      <w:r>
        <w:rPr>
          <w:noProof/>
          <w:lang w:eastAsia="en-AU"/>
        </w:rPr>
        <w:drawing>
          <wp:inline distT="0" distB="0" distL="0" distR="0" wp14:anchorId="4BE53B7F" wp14:editId="702B6E1F">
            <wp:extent cx="6267450" cy="3152775"/>
            <wp:effectExtent l="0" t="0" r="0" b="9525"/>
            <wp:docPr id="4" name="Picture 4" descr="DTF006 Overview p12g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TF006 Overview p12g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267450" cy="3152775"/>
                    </a:xfrm>
                    <a:prstGeom prst="rect">
                      <a:avLst/>
                    </a:prstGeom>
                    <a:noFill/>
                    <a:ln>
                      <a:noFill/>
                    </a:ln>
                  </pic:spPr>
                </pic:pic>
              </a:graphicData>
            </a:graphic>
          </wp:inline>
        </w:drawing>
      </w:r>
    </w:p>
    <w:p w14:paraId="11B2551E" w14:textId="20D8BFA1" w:rsidR="000F75F8" w:rsidRDefault="0072740D" w:rsidP="00647A76">
      <w:pPr>
        <w:jc w:val="both"/>
        <w:rPr>
          <w:color w:val="000000"/>
        </w:rPr>
      </w:pPr>
      <w:r>
        <w:rPr>
          <w:color w:val="000000"/>
        </w:rPr>
        <w:t>D</w:t>
      </w:r>
      <w:r w:rsidR="008A3E29">
        <w:rPr>
          <w:color w:val="000000"/>
        </w:rPr>
        <w:t xml:space="preserve">iagram </w:t>
      </w:r>
      <w:r>
        <w:rPr>
          <w:color w:val="000000"/>
        </w:rPr>
        <w:t xml:space="preserve">A </w:t>
      </w:r>
      <w:r w:rsidR="008A3E29">
        <w:rPr>
          <w:color w:val="000000"/>
        </w:rPr>
        <w:t xml:space="preserve">above demonstrates that Victoria is already beginning to see the impact of these reforms, as the supply of training is directed away from courses </w:t>
      </w:r>
      <w:r w:rsidR="00D356FC">
        <w:rPr>
          <w:color w:val="000000"/>
        </w:rPr>
        <w:t xml:space="preserve">with less need for government investment (Bands D and E) </w:t>
      </w:r>
      <w:r w:rsidR="008A3E29">
        <w:rPr>
          <w:color w:val="000000"/>
        </w:rPr>
        <w:t>to industry areas of higher public value</w:t>
      </w:r>
      <w:r w:rsidR="00D356FC">
        <w:rPr>
          <w:color w:val="000000"/>
        </w:rPr>
        <w:t xml:space="preserve"> (Bands A and B)</w:t>
      </w:r>
      <w:r w:rsidR="008A3E29">
        <w:rPr>
          <w:color w:val="000000"/>
        </w:rPr>
        <w:t>.</w:t>
      </w:r>
    </w:p>
    <w:p w14:paraId="01782104" w14:textId="77777777" w:rsidR="001D7215" w:rsidRPr="001D7215" w:rsidRDefault="008A3E29" w:rsidP="00647A76">
      <w:pPr>
        <w:spacing w:before="120"/>
        <w:jc w:val="both"/>
        <w:rPr>
          <w:color w:val="000000"/>
        </w:rPr>
      </w:pPr>
      <w:r>
        <w:rPr>
          <w:color w:val="000000"/>
        </w:rPr>
        <w:t>Adjustments to funding and fee settings also reflected</w:t>
      </w:r>
      <w:r w:rsidRPr="008A3E29">
        <w:rPr>
          <w:color w:val="000000"/>
        </w:rPr>
        <w:t xml:space="preserve"> </w:t>
      </w:r>
      <w:r w:rsidRPr="001D7215">
        <w:rPr>
          <w:color w:val="000000"/>
        </w:rPr>
        <w:t>support for those most in need to take up opportunities to</w:t>
      </w:r>
      <w:r>
        <w:rPr>
          <w:color w:val="000000"/>
        </w:rPr>
        <w:t xml:space="preserve"> engage in</w:t>
      </w:r>
      <w:r w:rsidRPr="001D7215">
        <w:rPr>
          <w:color w:val="000000"/>
        </w:rPr>
        <w:t xml:space="preserve"> train</w:t>
      </w:r>
      <w:r>
        <w:rPr>
          <w:color w:val="000000"/>
        </w:rPr>
        <w:t>ing</w:t>
      </w:r>
      <w:r w:rsidRPr="001D7215">
        <w:rPr>
          <w:color w:val="000000"/>
        </w:rPr>
        <w:t xml:space="preserve"> through targeted loadings, concessions and fee waivers</w:t>
      </w:r>
      <w:r>
        <w:rPr>
          <w:color w:val="000000"/>
        </w:rPr>
        <w:t>, namely</w:t>
      </w:r>
      <w:r w:rsidR="001D7215" w:rsidRPr="001D7215">
        <w:rPr>
          <w:color w:val="000000"/>
        </w:rPr>
        <w:t>:</w:t>
      </w:r>
    </w:p>
    <w:p w14:paraId="78974402" w14:textId="77777777" w:rsidR="001D7215" w:rsidRDefault="001D7215" w:rsidP="003957AD">
      <w:pPr>
        <w:pStyle w:val="ListParagraph"/>
        <w:numPr>
          <w:ilvl w:val="0"/>
          <w:numId w:val="18"/>
        </w:numPr>
        <w:jc w:val="both"/>
        <w:rPr>
          <w:color w:val="000000"/>
        </w:rPr>
      </w:pPr>
      <w:r w:rsidRPr="001D7215">
        <w:rPr>
          <w:color w:val="000000"/>
        </w:rPr>
        <w:lastRenderedPageBreak/>
        <w:t xml:space="preserve">a new five per cent loading </w:t>
      </w:r>
      <w:r w:rsidR="008A3E29">
        <w:rPr>
          <w:color w:val="000000"/>
        </w:rPr>
        <w:t xml:space="preserve">applied to </w:t>
      </w:r>
      <w:r w:rsidRPr="001D7215">
        <w:rPr>
          <w:color w:val="000000"/>
        </w:rPr>
        <w:t xml:space="preserve">training </w:t>
      </w:r>
      <w:r w:rsidR="008A3E29">
        <w:rPr>
          <w:color w:val="000000"/>
        </w:rPr>
        <w:t xml:space="preserve">delivered </w:t>
      </w:r>
      <w:r w:rsidRPr="001D7215">
        <w:rPr>
          <w:color w:val="000000"/>
        </w:rPr>
        <w:t xml:space="preserve">by </w:t>
      </w:r>
      <w:r w:rsidR="008A3E29">
        <w:rPr>
          <w:color w:val="000000"/>
        </w:rPr>
        <w:t>government subsidised training</w:t>
      </w:r>
      <w:r w:rsidRPr="001D7215">
        <w:rPr>
          <w:color w:val="000000"/>
        </w:rPr>
        <w:t xml:space="preserve"> providers in regional areas;</w:t>
      </w:r>
    </w:p>
    <w:p w14:paraId="5E18EB59" w14:textId="0CBF329C" w:rsidR="008A3E29" w:rsidRDefault="008A3E29" w:rsidP="003957AD">
      <w:pPr>
        <w:pStyle w:val="ListParagraph"/>
        <w:numPr>
          <w:ilvl w:val="0"/>
          <w:numId w:val="18"/>
        </w:numPr>
        <w:jc w:val="both"/>
        <w:rPr>
          <w:color w:val="000000"/>
        </w:rPr>
      </w:pPr>
      <w:r>
        <w:rPr>
          <w:color w:val="000000"/>
        </w:rPr>
        <w:t xml:space="preserve">effective </w:t>
      </w:r>
      <w:r w:rsidR="001D7215" w:rsidRPr="001D7215">
        <w:rPr>
          <w:color w:val="000000"/>
        </w:rPr>
        <w:t xml:space="preserve">from 1 January 2013, </w:t>
      </w:r>
      <w:r>
        <w:rPr>
          <w:color w:val="000000"/>
        </w:rPr>
        <w:t>improved targeting of the</w:t>
      </w:r>
      <w:r w:rsidR="001D7215" w:rsidRPr="001D7215">
        <w:rPr>
          <w:color w:val="000000"/>
        </w:rPr>
        <w:t xml:space="preserve"> loading </w:t>
      </w:r>
      <w:r>
        <w:rPr>
          <w:color w:val="000000"/>
        </w:rPr>
        <w:t>applied to training delivered by government subsidised training</w:t>
      </w:r>
      <w:r w:rsidRPr="001D7215">
        <w:rPr>
          <w:color w:val="000000"/>
        </w:rPr>
        <w:t xml:space="preserve"> providers</w:t>
      </w:r>
      <w:r w:rsidR="00D356FC">
        <w:rPr>
          <w:color w:val="000000"/>
        </w:rPr>
        <w:t xml:space="preserve"> to young people aged 15 to 19 years, to support those from</w:t>
      </w:r>
      <w:r w:rsidR="00D356FC" w:rsidRPr="00D356FC">
        <w:rPr>
          <w:color w:val="000000"/>
        </w:rPr>
        <w:t xml:space="preserve"> </w:t>
      </w:r>
      <w:r w:rsidR="00D356FC" w:rsidRPr="001D7215">
        <w:rPr>
          <w:color w:val="000000"/>
        </w:rPr>
        <w:t>low socioeco</w:t>
      </w:r>
      <w:r w:rsidR="0072740D">
        <w:rPr>
          <w:color w:val="000000"/>
        </w:rPr>
        <w:t>nomic status background, who have</w:t>
      </w:r>
      <w:r w:rsidR="00D356FC" w:rsidRPr="001D7215">
        <w:rPr>
          <w:color w:val="000000"/>
        </w:rPr>
        <w:t xml:space="preserve"> not completed </w:t>
      </w:r>
      <w:proofErr w:type="spellStart"/>
      <w:r w:rsidR="00D356FC" w:rsidRPr="001D7215">
        <w:rPr>
          <w:color w:val="000000"/>
        </w:rPr>
        <w:t>VCE</w:t>
      </w:r>
      <w:proofErr w:type="spellEnd"/>
      <w:r w:rsidR="00D356FC" w:rsidRPr="001D7215">
        <w:rPr>
          <w:color w:val="000000"/>
        </w:rPr>
        <w:t xml:space="preserve">, </w:t>
      </w:r>
      <w:proofErr w:type="spellStart"/>
      <w:r w:rsidR="00D356FC" w:rsidRPr="001D7215">
        <w:rPr>
          <w:color w:val="000000"/>
        </w:rPr>
        <w:t>VCAL</w:t>
      </w:r>
      <w:proofErr w:type="spellEnd"/>
      <w:r w:rsidR="00D356FC" w:rsidRPr="001D7215">
        <w:rPr>
          <w:color w:val="000000"/>
        </w:rPr>
        <w:t xml:space="preserve"> or a Certificate II level qualification</w:t>
      </w:r>
      <w:r w:rsidR="00D356FC">
        <w:rPr>
          <w:color w:val="000000"/>
        </w:rPr>
        <w:t>; and</w:t>
      </w:r>
    </w:p>
    <w:p w14:paraId="7D09ACD7" w14:textId="1E0541AC" w:rsidR="001D7215" w:rsidRPr="001D7215" w:rsidRDefault="00D356FC" w:rsidP="003957AD">
      <w:pPr>
        <w:pStyle w:val="ListParagraph"/>
        <w:numPr>
          <w:ilvl w:val="0"/>
          <w:numId w:val="18"/>
        </w:numPr>
        <w:jc w:val="both"/>
        <w:rPr>
          <w:color w:val="000000"/>
        </w:rPr>
      </w:pPr>
      <w:r>
        <w:rPr>
          <w:color w:val="000000"/>
        </w:rPr>
        <w:t>effective from 1 January 2013,</w:t>
      </w:r>
      <w:r w:rsidR="00947450">
        <w:rPr>
          <w:color w:val="000000"/>
        </w:rPr>
        <w:t xml:space="preserve"> implementation of</w:t>
      </w:r>
      <w:r>
        <w:rPr>
          <w:color w:val="000000"/>
        </w:rPr>
        <w:t xml:space="preserve"> </w:t>
      </w:r>
      <w:r w:rsidR="001D7215" w:rsidRPr="001D7215">
        <w:rPr>
          <w:color w:val="000000"/>
        </w:rPr>
        <w:t>’</w:t>
      </w:r>
      <w:r>
        <w:rPr>
          <w:color w:val="000000"/>
        </w:rPr>
        <w:t>z</w:t>
      </w:r>
      <w:r w:rsidR="001D7215" w:rsidRPr="001D7215">
        <w:rPr>
          <w:color w:val="000000"/>
        </w:rPr>
        <w:t>ero fee’ training places</w:t>
      </w:r>
      <w:r>
        <w:rPr>
          <w:color w:val="000000"/>
        </w:rPr>
        <w:t xml:space="preserve"> </w:t>
      </w:r>
      <w:r w:rsidR="001D7215" w:rsidRPr="001D7215">
        <w:rPr>
          <w:color w:val="000000"/>
        </w:rPr>
        <w:t xml:space="preserve">for any Victorians aged 21 or under who have recently transitioned from out-of-home care, </w:t>
      </w:r>
      <w:r w:rsidR="0072740D">
        <w:rPr>
          <w:color w:val="000000"/>
        </w:rPr>
        <w:t xml:space="preserve">or </w:t>
      </w:r>
      <w:r w:rsidR="001D7215" w:rsidRPr="001D7215">
        <w:rPr>
          <w:color w:val="000000"/>
        </w:rPr>
        <w:t>hav</w:t>
      </w:r>
      <w:r>
        <w:rPr>
          <w:color w:val="000000"/>
        </w:rPr>
        <w:t>e</w:t>
      </w:r>
      <w:r w:rsidR="001D7215" w:rsidRPr="001D7215">
        <w:rPr>
          <w:color w:val="000000"/>
        </w:rPr>
        <w:t xml:space="preserve"> previously been under the custody or guardianship of the State.</w:t>
      </w:r>
    </w:p>
    <w:p w14:paraId="07460C39" w14:textId="4F2EDE42" w:rsidR="00997634" w:rsidRPr="006204AB" w:rsidRDefault="00D356FC" w:rsidP="00647A76">
      <w:pPr>
        <w:spacing w:before="120"/>
        <w:jc w:val="both"/>
        <w:rPr>
          <w:color w:val="000000"/>
        </w:rPr>
      </w:pPr>
      <w:r>
        <w:rPr>
          <w:color w:val="000000"/>
        </w:rPr>
        <w:t>Also a</w:t>
      </w:r>
      <w:r w:rsidR="006204AB" w:rsidRPr="006204AB">
        <w:rPr>
          <w:color w:val="000000"/>
        </w:rPr>
        <w:t xml:space="preserve">s part of the </w:t>
      </w:r>
      <w:r w:rsidR="006204AB" w:rsidRPr="00647A76">
        <w:rPr>
          <w:i/>
          <w:color w:val="000000"/>
        </w:rPr>
        <w:t>Refocusing Vocational Training in Victoria</w:t>
      </w:r>
      <w:r w:rsidR="006204AB" w:rsidRPr="006204AB">
        <w:rPr>
          <w:color w:val="000000"/>
        </w:rPr>
        <w:t xml:space="preserve"> reforms, the Government established an independent TAFE Reform Panel to advise on ways to foster a strong, sustainable TAFE sector in an open and competitive training market.</w:t>
      </w:r>
      <w:r w:rsidR="000F75F8" w:rsidRPr="000F75F8">
        <w:rPr>
          <w:color w:val="000000"/>
        </w:rPr>
        <w:t xml:space="preserve"> </w:t>
      </w:r>
      <w:r>
        <w:rPr>
          <w:color w:val="000000"/>
        </w:rPr>
        <w:t xml:space="preserve">The Government will be responding to the recommendations of the TAFE Reform Panel throughout </w:t>
      </w:r>
      <w:r w:rsidR="00947450">
        <w:rPr>
          <w:color w:val="000000"/>
        </w:rPr>
        <w:t xml:space="preserve">the course of </w:t>
      </w:r>
      <w:r>
        <w:rPr>
          <w:color w:val="000000"/>
        </w:rPr>
        <w:t>2013.</w:t>
      </w:r>
    </w:p>
    <w:p w14:paraId="6A0CEB9C" w14:textId="77777777" w:rsidR="005F2405" w:rsidRPr="00647A76" w:rsidRDefault="00730824" w:rsidP="00DE0473">
      <w:pPr>
        <w:pStyle w:val="Heading4"/>
      </w:pPr>
      <w:r w:rsidRPr="00647A76">
        <w:t>Review of Vocational Training in Senior Secondary Years</w:t>
      </w:r>
    </w:p>
    <w:p w14:paraId="0CB7B995" w14:textId="345AF04E" w:rsidR="003F239C" w:rsidRPr="003F239C" w:rsidRDefault="000E614E" w:rsidP="0072740D">
      <w:pPr>
        <w:spacing w:before="120" w:after="120"/>
        <w:jc w:val="both"/>
        <w:rPr>
          <w:color w:val="000000" w:themeColor="text1"/>
        </w:rPr>
      </w:pPr>
      <w:r>
        <w:rPr>
          <w:color w:val="000000" w:themeColor="text1"/>
        </w:rPr>
        <w:t>T</w:t>
      </w:r>
      <w:r w:rsidR="006204AB" w:rsidRPr="003F239C">
        <w:rPr>
          <w:color w:val="000000" w:themeColor="text1"/>
        </w:rPr>
        <w:t xml:space="preserve">he Victorian Government is also considering how to </w:t>
      </w:r>
      <w:r w:rsidR="00D356FC">
        <w:rPr>
          <w:color w:val="000000" w:themeColor="text1"/>
        </w:rPr>
        <w:t>improve linkages between the</w:t>
      </w:r>
      <w:r w:rsidR="006204AB" w:rsidRPr="003F239C">
        <w:rPr>
          <w:color w:val="000000" w:themeColor="text1"/>
        </w:rPr>
        <w:t xml:space="preserve"> vocational education </w:t>
      </w:r>
      <w:r w:rsidR="00D356FC">
        <w:rPr>
          <w:color w:val="000000" w:themeColor="text1"/>
        </w:rPr>
        <w:t>and school sectors</w:t>
      </w:r>
      <w:r w:rsidR="006204AB" w:rsidRPr="003F239C">
        <w:rPr>
          <w:color w:val="000000" w:themeColor="text1"/>
        </w:rPr>
        <w:t>.</w:t>
      </w:r>
      <w:r w:rsidR="001D7215">
        <w:rPr>
          <w:color w:val="000000" w:themeColor="text1"/>
        </w:rPr>
        <w:t xml:space="preserve">  </w:t>
      </w:r>
      <w:r w:rsidR="003F239C" w:rsidRPr="003F239C">
        <w:rPr>
          <w:color w:val="000000" w:themeColor="text1"/>
        </w:rPr>
        <w:t>Vocational education in the secondary school system has a key role in ensuring young people are ready for further education or training</w:t>
      </w:r>
      <w:r>
        <w:rPr>
          <w:color w:val="000000" w:themeColor="text1"/>
        </w:rPr>
        <w:t xml:space="preserve"> and employment</w:t>
      </w:r>
      <w:r w:rsidR="003F239C" w:rsidRPr="003F239C">
        <w:rPr>
          <w:color w:val="000000" w:themeColor="text1"/>
        </w:rPr>
        <w:t xml:space="preserve">. </w:t>
      </w:r>
      <w:r w:rsidR="000531D5">
        <w:rPr>
          <w:color w:val="000000" w:themeColor="text1"/>
        </w:rPr>
        <w:t>The</w:t>
      </w:r>
      <w:r w:rsidR="003F239C" w:rsidRPr="003F239C">
        <w:rPr>
          <w:color w:val="000000" w:themeColor="text1"/>
        </w:rPr>
        <w:t xml:space="preserve"> Review of Vocational Pathways in Senior Secondary Education</w:t>
      </w:r>
      <w:r w:rsidR="000531D5">
        <w:rPr>
          <w:color w:val="000000" w:themeColor="text1"/>
        </w:rPr>
        <w:t xml:space="preserve"> </w:t>
      </w:r>
      <w:r w:rsidR="0072740D">
        <w:rPr>
          <w:color w:val="000000" w:themeColor="text1"/>
        </w:rPr>
        <w:t>commenced in October 2012.</w:t>
      </w:r>
      <w:r w:rsidR="001916DF">
        <w:rPr>
          <w:color w:val="000000" w:themeColor="text1"/>
        </w:rPr>
        <w:t xml:space="preserve"> </w:t>
      </w:r>
      <w:r w:rsidR="0072740D">
        <w:rPr>
          <w:color w:val="000000" w:themeColor="text1"/>
        </w:rPr>
        <w:t xml:space="preserve">The </w:t>
      </w:r>
      <w:r w:rsidR="00C43A95">
        <w:rPr>
          <w:color w:val="000000" w:themeColor="text1"/>
        </w:rPr>
        <w:t xml:space="preserve">Victorian </w:t>
      </w:r>
      <w:r w:rsidR="003F239C" w:rsidRPr="003F239C">
        <w:rPr>
          <w:color w:val="000000" w:themeColor="text1"/>
        </w:rPr>
        <w:t>D</w:t>
      </w:r>
      <w:r w:rsidR="0072740D">
        <w:rPr>
          <w:color w:val="000000" w:themeColor="text1"/>
        </w:rPr>
        <w:t xml:space="preserve">epartment of </w:t>
      </w:r>
      <w:r w:rsidR="003F239C" w:rsidRPr="003F239C">
        <w:rPr>
          <w:color w:val="000000" w:themeColor="text1"/>
        </w:rPr>
        <w:t>E</w:t>
      </w:r>
      <w:r w:rsidR="0072740D">
        <w:rPr>
          <w:color w:val="000000" w:themeColor="text1"/>
        </w:rPr>
        <w:t xml:space="preserve">ducation and </w:t>
      </w:r>
      <w:r w:rsidR="003F239C" w:rsidRPr="003F239C">
        <w:rPr>
          <w:color w:val="000000" w:themeColor="text1"/>
        </w:rPr>
        <w:t>E</w:t>
      </w:r>
      <w:r w:rsidR="0072740D">
        <w:rPr>
          <w:color w:val="000000" w:themeColor="text1"/>
        </w:rPr>
        <w:t xml:space="preserve">arly </w:t>
      </w:r>
      <w:r w:rsidR="003F239C" w:rsidRPr="003F239C">
        <w:rPr>
          <w:color w:val="000000" w:themeColor="text1"/>
        </w:rPr>
        <w:t>C</w:t>
      </w:r>
      <w:r w:rsidR="0072740D">
        <w:rPr>
          <w:color w:val="000000" w:themeColor="text1"/>
        </w:rPr>
        <w:t xml:space="preserve">hildhood </w:t>
      </w:r>
      <w:r w:rsidR="003F239C" w:rsidRPr="003F239C">
        <w:rPr>
          <w:color w:val="000000" w:themeColor="text1"/>
        </w:rPr>
        <w:t>D</w:t>
      </w:r>
      <w:r w:rsidR="0072740D">
        <w:rPr>
          <w:color w:val="000000" w:themeColor="text1"/>
        </w:rPr>
        <w:t>evelopment (</w:t>
      </w:r>
      <w:proofErr w:type="spellStart"/>
      <w:r w:rsidR="0072740D">
        <w:rPr>
          <w:color w:val="000000" w:themeColor="text1"/>
        </w:rPr>
        <w:t>DEECD</w:t>
      </w:r>
      <w:proofErr w:type="spellEnd"/>
      <w:r w:rsidR="0072740D">
        <w:rPr>
          <w:color w:val="000000" w:themeColor="text1"/>
        </w:rPr>
        <w:t>)</w:t>
      </w:r>
      <w:r w:rsidR="003F239C" w:rsidRPr="003F239C">
        <w:rPr>
          <w:color w:val="000000" w:themeColor="text1"/>
        </w:rPr>
        <w:t xml:space="preserve"> </w:t>
      </w:r>
      <w:proofErr w:type="gramStart"/>
      <w:r w:rsidR="003F239C" w:rsidRPr="003F239C">
        <w:rPr>
          <w:color w:val="000000" w:themeColor="text1"/>
        </w:rPr>
        <w:t>is</w:t>
      </w:r>
      <w:proofErr w:type="gramEnd"/>
      <w:r w:rsidR="003F239C" w:rsidRPr="003F239C">
        <w:rPr>
          <w:color w:val="000000" w:themeColor="text1"/>
        </w:rPr>
        <w:t xml:space="preserve"> working with schools, training providers, industry and other stakeholders to:</w:t>
      </w:r>
    </w:p>
    <w:p w14:paraId="7F5750E8" w14:textId="77777777" w:rsidR="001D7215" w:rsidRDefault="003F239C" w:rsidP="003957AD">
      <w:pPr>
        <w:pStyle w:val="ListParagraph"/>
        <w:numPr>
          <w:ilvl w:val="0"/>
          <w:numId w:val="19"/>
        </w:numPr>
        <w:jc w:val="both"/>
        <w:rPr>
          <w:color w:val="000000" w:themeColor="text1"/>
        </w:rPr>
      </w:pPr>
      <w:r w:rsidRPr="001D7215">
        <w:rPr>
          <w:color w:val="000000" w:themeColor="text1"/>
        </w:rPr>
        <w:t>examine how effectively vocational education is being delivered in senior secondary schools;</w:t>
      </w:r>
    </w:p>
    <w:p w14:paraId="53C7D4EF" w14:textId="77777777" w:rsidR="001D7215" w:rsidRDefault="00555FEB" w:rsidP="003957AD">
      <w:pPr>
        <w:pStyle w:val="ListParagraph"/>
        <w:numPr>
          <w:ilvl w:val="0"/>
          <w:numId w:val="19"/>
        </w:numPr>
        <w:jc w:val="both"/>
        <w:rPr>
          <w:color w:val="000000" w:themeColor="text1"/>
        </w:rPr>
      </w:pPr>
      <w:r>
        <w:rPr>
          <w:color w:val="000000" w:themeColor="text1"/>
        </w:rPr>
        <w:t xml:space="preserve">examine </w:t>
      </w:r>
      <w:r w:rsidR="003F239C" w:rsidRPr="001D7215">
        <w:rPr>
          <w:color w:val="000000" w:themeColor="text1"/>
        </w:rPr>
        <w:t>how well government investment is being used to achieve results for students;</w:t>
      </w:r>
    </w:p>
    <w:p w14:paraId="3440AA05" w14:textId="77777777" w:rsidR="001D7215" w:rsidRDefault="00555FEB" w:rsidP="003957AD">
      <w:pPr>
        <w:pStyle w:val="ListParagraph"/>
        <w:numPr>
          <w:ilvl w:val="0"/>
          <w:numId w:val="19"/>
        </w:numPr>
        <w:jc w:val="both"/>
        <w:rPr>
          <w:color w:val="000000" w:themeColor="text1"/>
        </w:rPr>
      </w:pPr>
      <w:r>
        <w:rPr>
          <w:color w:val="000000" w:themeColor="text1"/>
        </w:rPr>
        <w:t xml:space="preserve">examine </w:t>
      </w:r>
      <w:r w:rsidR="003F239C" w:rsidRPr="001D7215">
        <w:rPr>
          <w:color w:val="000000" w:themeColor="text1"/>
        </w:rPr>
        <w:t>how well the current system is placed to transition students into jobs or training; and</w:t>
      </w:r>
    </w:p>
    <w:p w14:paraId="0B598D22" w14:textId="02810DA9" w:rsidR="000E614E" w:rsidRPr="0072740D" w:rsidRDefault="003F239C" w:rsidP="003957AD">
      <w:pPr>
        <w:pStyle w:val="ListParagraph"/>
        <w:numPr>
          <w:ilvl w:val="0"/>
          <w:numId w:val="19"/>
        </w:numPr>
        <w:spacing w:after="120"/>
        <w:ind w:hanging="357"/>
        <w:jc w:val="both"/>
        <w:rPr>
          <w:color w:val="000000" w:themeColor="text1"/>
        </w:rPr>
      </w:pPr>
      <w:proofErr w:type="gramStart"/>
      <w:r w:rsidRPr="001D7215">
        <w:rPr>
          <w:color w:val="000000" w:themeColor="text1"/>
        </w:rPr>
        <w:t>develop</w:t>
      </w:r>
      <w:proofErr w:type="gramEnd"/>
      <w:r w:rsidRPr="001D7215">
        <w:rPr>
          <w:color w:val="000000" w:themeColor="text1"/>
        </w:rPr>
        <w:t xml:space="preserve"> more efficient and effective funding models comparable across sectors.</w:t>
      </w:r>
    </w:p>
    <w:p w14:paraId="0588085A" w14:textId="0BE0DBF1" w:rsidR="000E614E" w:rsidRPr="000E614E" w:rsidRDefault="000E614E" w:rsidP="000E614E">
      <w:pPr>
        <w:jc w:val="both"/>
        <w:rPr>
          <w:color w:val="000000" w:themeColor="text1"/>
        </w:rPr>
      </w:pPr>
      <w:r>
        <w:rPr>
          <w:color w:val="000000" w:themeColor="text1"/>
        </w:rPr>
        <w:t xml:space="preserve">Recommendations from this review will be considered </w:t>
      </w:r>
      <w:r w:rsidR="0072740D">
        <w:rPr>
          <w:color w:val="000000" w:themeColor="text1"/>
        </w:rPr>
        <w:t>mid-2013</w:t>
      </w:r>
      <w:r>
        <w:rPr>
          <w:color w:val="000000" w:themeColor="text1"/>
        </w:rPr>
        <w:t>.</w:t>
      </w:r>
    </w:p>
    <w:p w14:paraId="4EB5249C" w14:textId="77777777" w:rsidR="00A05899" w:rsidRPr="00647A76" w:rsidRDefault="000020AE" w:rsidP="00647A76">
      <w:pPr>
        <w:pStyle w:val="Heading3"/>
        <w:spacing w:before="120" w:after="0"/>
        <w:ind w:left="0"/>
        <w:jc w:val="both"/>
        <w:rPr>
          <w:rFonts w:asciiTheme="minorHAnsi" w:hAnsiTheme="minorHAnsi"/>
        </w:rPr>
      </w:pPr>
      <w:bookmarkStart w:id="10" w:name="_Toc320003797"/>
      <w:r w:rsidRPr="00647A76">
        <w:rPr>
          <w:rFonts w:asciiTheme="minorHAnsi" w:hAnsiTheme="minorHAnsi"/>
        </w:rPr>
        <w:t>Y</w:t>
      </w:r>
      <w:r w:rsidR="0002588E" w:rsidRPr="00647A76">
        <w:rPr>
          <w:rFonts w:asciiTheme="minorHAnsi" w:hAnsiTheme="minorHAnsi"/>
        </w:rPr>
        <w:t>outh attainment and</w:t>
      </w:r>
      <w:r w:rsidR="00646CCE" w:rsidRPr="00647A76">
        <w:rPr>
          <w:rFonts w:asciiTheme="minorHAnsi" w:hAnsiTheme="minorHAnsi"/>
        </w:rPr>
        <w:t>/or</w:t>
      </w:r>
      <w:r w:rsidR="0002588E" w:rsidRPr="00647A76">
        <w:rPr>
          <w:rFonts w:asciiTheme="minorHAnsi" w:hAnsiTheme="minorHAnsi"/>
        </w:rPr>
        <w:t xml:space="preserve"> transitions reforms</w:t>
      </w:r>
      <w:r w:rsidR="00A05899" w:rsidRPr="00647A76">
        <w:rPr>
          <w:rFonts w:asciiTheme="minorHAnsi" w:hAnsiTheme="minorHAnsi"/>
        </w:rPr>
        <w:t xml:space="preserve"> </w:t>
      </w:r>
      <w:r w:rsidR="00DB4EA2" w:rsidRPr="00647A76">
        <w:rPr>
          <w:rFonts w:asciiTheme="minorHAnsi" w:hAnsiTheme="minorHAnsi"/>
        </w:rPr>
        <w:t xml:space="preserve">and programs </w:t>
      </w:r>
      <w:r w:rsidR="00A05899" w:rsidRPr="00647A76">
        <w:rPr>
          <w:rFonts w:asciiTheme="minorHAnsi" w:hAnsiTheme="minorHAnsi"/>
        </w:rPr>
        <w:t xml:space="preserve">not </w:t>
      </w:r>
      <w:r w:rsidR="005F2405" w:rsidRPr="00647A76">
        <w:rPr>
          <w:rFonts w:asciiTheme="minorHAnsi" w:hAnsiTheme="minorHAnsi"/>
        </w:rPr>
        <w:t>funded under the YAT NP</w:t>
      </w:r>
      <w:bookmarkEnd w:id="10"/>
    </w:p>
    <w:p w14:paraId="164A4C31" w14:textId="755F0061" w:rsidR="00173C5A" w:rsidRPr="00173C5A" w:rsidRDefault="00173C5A" w:rsidP="00647A76">
      <w:pPr>
        <w:spacing w:before="120"/>
        <w:jc w:val="both"/>
      </w:pPr>
      <w:r w:rsidRPr="00173C5A">
        <w:t xml:space="preserve">In the 2012 </w:t>
      </w:r>
      <w:r w:rsidRPr="0072740D">
        <w:rPr>
          <w:i/>
        </w:rPr>
        <w:t>On Track</w:t>
      </w:r>
      <w:r w:rsidR="0072740D">
        <w:t xml:space="preserve"> survey of early leavers, </w:t>
      </w:r>
      <w:r w:rsidRPr="00173C5A">
        <w:t>young people were asked to cite the reasons why they would have stayed at school.  Of those surveyed</w:t>
      </w:r>
      <w:r w:rsidR="000F75F8">
        <w:t>,</w:t>
      </w:r>
      <w:r w:rsidRPr="00173C5A">
        <w:t xml:space="preserve"> 55.5</w:t>
      </w:r>
      <w:r w:rsidR="000F75F8">
        <w:t xml:space="preserve"> per cent</w:t>
      </w:r>
      <w:r w:rsidRPr="00173C5A">
        <w:t xml:space="preserve"> of females and 47.6 </w:t>
      </w:r>
      <w:r w:rsidR="000F75F8">
        <w:t>per cent</w:t>
      </w:r>
      <w:r w:rsidRPr="00173C5A">
        <w:t xml:space="preserve"> of males indicated that they would have stayed at school if there were vocational or VET subjects that interested them.  </w:t>
      </w:r>
    </w:p>
    <w:p w14:paraId="3B59AD45" w14:textId="3F47CCBB" w:rsidR="00173C5A" w:rsidRPr="00173C5A" w:rsidRDefault="000E614E" w:rsidP="00647A76">
      <w:pPr>
        <w:spacing w:before="120"/>
        <w:jc w:val="both"/>
      </w:pPr>
      <w:r>
        <w:t xml:space="preserve">A </w:t>
      </w:r>
      <w:r w:rsidR="00173C5A" w:rsidRPr="00173C5A">
        <w:t xml:space="preserve">number of initiatives </w:t>
      </w:r>
      <w:r w:rsidR="00053A51">
        <w:t>i</w:t>
      </w:r>
      <w:r w:rsidR="00173C5A" w:rsidRPr="00173C5A">
        <w:t xml:space="preserve">n Victoria </w:t>
      </w:r>
      <w:r w:rsidR="00053A51">
        <w:t xml:space="preserve">seek </w:t>
      </w:r>
      <w:r w:rsidR="00173C5A" w:rsidRPr="00173C5A">
        <w:t xml:space="preserve">to improve the rates of VET participation by certain population groups experiencing socio-economic and employment disadvantage. These initiatives focus on improving </w:t>
      </w:r>
      <w:r w:rsidR="00750A1E">
        <w:t xml:space="preserve">options choices and </w:t>
      </w:r>
      <w:r w:rsidR="00173C5A" w:rsidRPr="00173C5A">
        <w:t xml:space="preserve">outcomes for young Victorians.  </w:t>
      </w:r>
    </w:p>
    <w:p w14:paraId="7A59161E" w14:textId="77777777" w:rsidR="002F3FF8" w:rsidRPr="002F3FF8" w:rsidRDefault="002F3FF8" w:rsidP="00DE0473">
      <w:pPr>
        <w:pStyle w:val="Heading4"/>
        <w:rPr>
          <w:rFonts w:eastAsia="Times New Roman"/>
        </w:rPr>
      </w:pPr>
      <w:r w:rsidRPr="002F3FF8">
        <w:rPr>
          <w:rFonts w:eastAsia="Times New Roman"/>
        </w:rPr>
        <w:t>Re-engagement Programs</w:t>
      </w:r>
    </w:p>
    <w:p w14:paraId="46B265DF" w14:textId="74C0713B" w:rsidR="002F3FF8" w:rsidRPr="002F3FF8" w:rsidRDefault="002F3FF8" w:rsidP="00647A76">
      <w:pPr>
        <w:autoSpaceDE w:val="0"/>
        <w:autoSpaceDN w:val="0"/>
        <w:adjustRightInd w:val="0"/>
        <w:spacing w:before="120"/>
        <w:jc w:val="both"/>
        <w:rPr>
          <w:rFonts w:ascii="Calibri" w:eastAsia="Times New Roman" w:hAnsi="Calibri" w:cs="Times New Roman"/>
        </w:rPr>
      </w:pPr>
      <w:r w:rsidRPr="002F3FF8">
        <w:rPr>
          <w:rFonts w:ascii="Calibri" w:eastAsia="Times New Roman" w:hAnsi="Calibri" w:cs="Times New Roman"/>
        </w:rPr>
        <w:t>In Victoria, re-engagement programs operate outside mainstream school settings and provide tailored education and support for children and young people who are disengaged or at risk of disengaging from mains</w:t>
      </w:r>
      <w:r w:rsidR="008A6790">
        <w:rPr>
          <w:rFonts w:ascii="Calibri" w:eastAsia="Times New Roman" w:hAnsi="Calibri" w:cs="Times New Roman"/>
        </w:rPr>
        <w:t xml:space="preserve">tream school. In July 2012, the </w:t>
      </w:r>
      <w:proofErr w:type="spellStart"/>
      <w:r w:rsidRPr="002F3FF8">
        <w:rPr>
          <w:rFonts w:ascii="Calibri" w:eastAsia="Times New Roman" w:hAnsi="Calibri" w:cs="Times New Roman"/>
        </w:rPr>
        <w:t>DEECD</w:t>
      </w:r>
      <w:proofErr w:type="spellEnd"/>
      <w:r w:rsidRPr="002F3FF8">
        <w:rPr>
          <w:rFonts w:ascii="Calibri" w:eastAsia="Times New Roman" w:hAnsi="Calibri" w:cs="Times New Roman"/>
        </w:rPr>
        <w:t xml:space="preserve"> released comprehensive online </w:t>
      </w:r>
      <w:r w:rsidR="008A6790" w:rsidRPr="002F3FF8">
        <w:rPr>
          <w:rFonts w:ascii="Calibri" w:eastAsia="Times New Roman" w:hAnsi="Calibri" w:cs="Times New Roman"/>
        </w:rPr>
        <w:t>guidance that</w:t>
      </w:r>
      <w:r w:rsidRPr="002F3FF8">
        <w:rPr>
          <w:rFonts w:ascii="Calibri" w:eastAsia="Times New Roman" w:hAnsi="Calibri" w:cs="Times New Roman"/>
        </w:rPr>
        <w:t xml:space="preserve"> support</w:t>
      </w:r>
      <w:r w:rsidR="00555FEB">
        <w:rPr>
          <w:rFonts w:ascii="Calibri" w:eastAsia="Times New Roman" w:hAnsi="Calibri" w:cs="Times New Roman"/>
        </w:rPr>
        <w:t>s</w:t>
      </w:r>
      <w:r w:rsidRPr="002F3FF8">
        <w:rPr>
          <w:rFonts w:ascii="Calibri" w:eastAsia="Times New Roman" w:hAnsi="Calibri" w:cs="Times New Roman"/>
        </w:rPr>
        <w:t xml:space="preserve"> the establishment, operation and referral</w:t>
      </w:r>
      <w:r w:rsidR="00555FEB">
        <w:rPr>
          <w:rFonts w:ascii="Calibri" w:eastAsia="Times New Roman" w:hAnsi="Calibri" w:cs="Times New Roman"/>
        </w:rPr>
        <w:t xml:space="preserve"> of young people</w:t>
      </w:r>
      <w:r w:rsidRPr="002F3FF8">
        <w:rPr>
          <w:rFonts w:ascii="Calibri" w:eastAsia="Times New Roman" w:hAnsi="Calibri" w:cs="Times New Roman"/>
        </w:rPr>
        <w:t xml:space="preserve"> into quality re-engagement programs. The online guidance provides schools and re-engagement </w:t>
      </w:r>
      <w:r w:rsidR="008A6790">
        <w:rPr>
          <w:rFonts w:ascii="Calibri" w:eastAsia="Times New Roman" w:hAnsi="Calibri" w:cs="Times New Roman"/>
        </w:rPr>
        <w:t>program providers with evidence-</w:t>
      </w:r>
      <w:r w:rsidRPr="002F3FF8">
        <w:rPr>
          <w:rFonts w:ascii="Calibri" w:eastAsia="Times New Roman" w:hAnsi="Calibri" w:cs="Times New Roman"/>
        </w:rPr>
        <w:t>based best practice approaches to re-engagement</w:t>
      </w:r>
      <w:r w:rsidR="00555FEB">
        <w:rPr>
          <w:rFonts w:ascii="Calibri" w:eastAsia="Times New Roman" w:hAnsi="Calibri" w:cs="Times New Roman"/>
        </w:rPr>
        <w:t>,</w:t>
      </w:r>
      <w:r w:rsidRPr="002F3FF8">
        <w:rPr>
          <w:rFonts w:ascii="Calibri" w:eastAsia="Times New Roman" w:hAnsi="Calibri" w:cs="Times New Roman"/>
        </w:rPr>
        <w:t xml:space="preserve"> whilst encouraging local solutions and innovation </w:t>
      </w:r>
      <w:r w:rsidR="00555FEB">
        <w:rPr>
          <w:rFonts w:ascii="Calibri" w:eastAsia="Times New Roman" w:hAnsi="Calibri" w:cs="Times New Roman"/>
        </w:rPr>
        <w:t xml:space="preserve">in </w:t>
      </w:r>
      <w:r w:rsidRPr="002F3FF8">
        <w:rPr>
          <w:rFonts w:ascii="Calibri" w:eastAsia="Times New Roman" w:hAnsi="Calibri" w:cs="Times New Roman"/>
        </w:rPr>
        <w:t xml:space="preserve">the way the re-engagement programs operate. </w:t>
      </w:r>
    </w:p>
    <w:p w14:paraId="44FB0848" w14:textId="77777777" w:rsidR="002F3FF8" w:rsidRPr="002F3FF8" w:rsidRDefault="002F3FF8" w:rsidP="00647A76">
      <w:pPr>
        <w:autoSpaceDE w:val="0"/>
        <w:autoSpaceDN w:val="0"/>
        <w:adjustRightInd w:val="0"/>
        <w:spacing w:before="120"/>
        <w:jc w:val="both"/>
        <w:rPr>
          <w:rFonts w:ascii="Calibri" w:eastAsia="Times New Roman" w:hAnsi="Calibri" w:cs="Times New Roman"/>
        </w:rPr>
      </w:pPr>
      <w:r w:rsidRPr="002F3FF8">
        <w:rPr>
          <w:rFonts w:ascii="Calibri" w:eastAsia="Times New Roman" w:hAnsi="Calibri" w:cs="Times New Roman"/>
        </w:rPr>
        <w:lastRenderedPageBreak/>
        <w:t xml:space="preserve">Following an Expression of Interest process conducted with schools in 2012, </w:t>
      </w:r>
      <w:proofErr w:type="spellStart"/>
      <w:r w:rsidRPr="002F3FF8">
        <w:rPr>
          <w:rFonts w:ascii="Calibri" w:eastAsia="Times New Roman" w:hAnsi="Calibri" w:cs="Times New Roman"/>
        </w:rPr>
        <w:t>DEECD</w:t>
      </w:r>
      <w:proofErr w:type="spellEnd"/>
      <w:r w:rsidRPr="002F3FF8">
        <w:rPr>
          <w:rFonts w:ascii="Calibri" w:eastAsia="Times New Roman" w:hAnsi="Calibri" w:cs="Times New Roman"/>
        </w:rPr>
        <w:t xml:space="preserve"> selected five sites involving twenty Victorian </w:t>
      </w:r>
      <w:r w:rsidR="00470A37">
        <w:rPr>
          <w:rFonts w:ascii="Calibri" w:eastAsia="Times New Roman" w:hAnsi="Calibri" w:cs="Times New Roman"/>
        </w:rPr>
        <w:t>G</w:t>
      </w:r>
      <w:r w:rsidRPr="002F3FF8">
        <w:rPr>
          <w:rFonts w:ascii="Calibri" w:eastAsia="Times New Roman" w:hAnsi="Calibri" w:cs="Times New Roman"/>
        </w:rPr>
        <w:t>overnment schools to pilot and assess effective programs for disengaged students. These pilots commenced in Term 1 2013 and will run through the 2013 school year, with outcomes intended to inform future policy directions and strengthen education provision for disengaged childre</w:t>
      </w:r>
      <w:r w:rsidR="005A1A3A">
        <w:rPr>
          <w:rFonts w:ascii="Calibri" w:eastAsia="Times New Roman" w:hAnsi="Calibri" w:cs="Times New Roman"/>
        </w:rPr>
        <w:t>n and young people in Victoria.</w:t>
      </w:r>
    </w:p>
    <w:p w14:paraId="6D799E0D" w14:textId="4B29EED9" w:rsidR="002F3FF8" w:rsidRPr="002F3FF8" w:rsidRDefault="002F3FF8" w:rsidP="00DE0473">
      <w:pPr>
        <w:pStyle w:val="Heading4"/>
        <w:rPr>
          <w:rFonts w:eastAsia="Times New Roman"/>
        </w:rPr>
      </w:pPr>
      <w:r w:rsidRPr="002F3FF8">
        <w:rPr>
          <w:rFonts w:eastAsia="Times New Roman"/>
        </w:rPr>
        <w:t>Out-of-</w:t>
      </w:r>
      <w:r w:rsidR="00470A37">
        <w:rPr>
          <w:rFonts w:eastAsia="Times New Roman"/>
        </w:rPr>
        <w:t>H</w:t>
      </w:r>
      <w:r w:rsidRPr="002F3FF8">
        <w:rPr>
          <w:rFonts w:eastAsia="Times New Roman"/>
        </w:rPr>
        <w:t xml:space="preserve">ome </w:t>
      </w:r>
      <w:r w:rsidR="00470A37">
        <w:rPr>
          <w:rFonts w:eastAsia="Times New Roman"/>
        </w:rPr>
        <w:t>C</w:t>
      </w:r>
      <w:r w:rsidR="00C43A95">
        <w:rPr>
          <w:rFonts w:eastAsia="Times New Roman"/>
        </w:rPr>
        <w:t>are Partnering A</w:t>
      </w:r>
      <w:r w:rsidRPr="002F3FF8">
        <w:rPr>
          <w:rFonts w:eastAsia="Times New Roman"/>
        </w:rPr>
        <w:t>greement</w:t>
      </w:r>
    </w:p>
    <w:p w14:paraId="60F39064" w14:textId="472628F4" w:rsidR="000E614E" w:rsidRPr="005A1A3A" w:rsidRDefault="002F3FF8" w:rsidP="00647A76">
      <w:pPr>
        <w:autoSpaceDE w:val="0"/>
        <w:autoSpaceDN w:val="0"/>
        <w:adjustRightInd w:val="0"/>
        <w:spacing w:before="120"/>
        <w:jc w:val="both"/>
        <w:rPr>
          <w:rFonts w:ascii="Calibri" w:eastAsia="Times New Roman" w:hAnsi="Calibri" w:cs="Times New Roman"/>
        </w:rPr>
      </w:pPr>
      <w:r w:rsidRPr="002F3FF8">
        <w:rPr>
          <w:rFonts w:ascii="Calibri" w:eastAsia="Times New Roman" w:hAnsi="Calibri" w:cs="Times New Roman"/>
        </w:rPr>
        <w:t xml:space="preserve">The </w:t>
      </w:r>
      <w:r w:rsidRPr="00C43A95">
        <w:rPr>
          <w:rFonts w:ascii="Calibri" w:eastAsia="Times New Roman" w:hAnsi="Calibri" w:cs="Times New Roman"/>
          <w:i/>
        </w:rPr>
        <w:t>Out-of-Home Care Education Commitment: A Partnering Agreement</w:t>
      </w:r>
      <w:r w:rsidRPr="002F3FF8">
        <w:rPr>
          <w:rFonts w:ascii="Calibri" w:eastAsia="Times New Roman" w:hAnsi="Calibri" w:cs="Times New Roman"/>
        </w:rPr>
        <w:t xml:space="preserve"> is a c</w:t>
      </w:r>
      <w:r w:rsidR="00C43A95">
        <w:rPr>
          <w:rFonts w:ascii="Calibri" w:eastAsia="Times New Roman" w:hAnsi="Calibri" w:cs="Times New Roman"/>
        </w:rPr>
        <w:t>ommitment across the Victorian G</w:t>
      </w:r>
      <w:r w:rsidRPr="002F3FF8">
        <w:rPr>
          <w:rFonts w:ascii="Calibri" w:eastAsia="Times New Roman" w:hAnsi="Calibri" w:cs="Times New Roman"/>
        </w:rPr>
        <w:t xml:space="preserve">overnment, Catholic and </w:t>
      </w:r>
      <w:r w:rsidR="00470A37">
        <w:rPr>
          <w:rFonts w:ascii="Calibri" w:eastAsia="Times New Roman" w:hAnsi="Calibri" w:cs="Times New Roman"/>
        </w:rPr>
        <w:t>Independent</w:t>
      </w:r>
      <w:r w:rsidRPr="002F3FF8">
        <w:rPr>
          <w:rFonts w:ascii="Calibri" w:eastAsia="Times New Roman" w:hAnsi="Calibri" w:cs="Times New Roman"/>
        </w:rPr>
        <w:t xml:space="preserve"> school sectors and the Victorian Department of Human Services to provide increased levels of support and responsiveness to the educational needs of children and young people in out-of-home care. </w:t>
      </w:r>
      <w:r w:rsidR="000E614E">
        <w:rPr>
          <w:rFonts w:ascii="Calibri" w:eastAsia="Times New Roman" w:hAnsi="Calibri" w:cs="Times New Roman"/>
        </w:rPr>
        <w:t xml:space="preserve"> A</w:t>
      </w:r>
      <w:r w:rsidRPr="002F3FF8">
        <w:rPr>
          <w:rFonts w:ascii="Calibri" w:eastAsia="Times New Roman" w:hAnsi="Calibri" w:cs="Times New Roman"/>
        </w:rPr>
        <w:t>n Education Support Guarantee for children and young people in out-of-home care has been established to commit schools and education-related health and wellbeing services and programs to provide increased levels of support for children and young people in out-of-home care. This includes a commitment that every school student who has been living in out-of-home care for a period of three months or longer will receive an educational needs assessment. These assessments identify the</w:t>
      </w:r>
      <w:r w:rsidR="00824EF5">
        <w:rPr>
          <w:rFonts w:ascii="Calibri" w:eastAsia="Times New Roman" w:hAnsi="Calibri" w:cs="Times New Roman"/>
        </w:rPr>
        <w:t xml:space="preserve"> student’s</w:t>
      </w:r>
      <w:r w:rsidRPr="002F3FF8">
        <w:rPr>
          <w:rFonts w:ascii="Calibri" w:eastAsia="Times New Roman" w:hAnsi="Calibri" w:cs="Times New Roman"/>
        </w:rPr>
        <w:t xml:space="preserve"> individual learning needs and inform Individual Education Plans </w:t>
      </w:r>
      <w:r w:rsidR="00824EF5">
        <w:rPr>
          <w:rFonts w:ascii="Calibri" w:eastAsia="Times New Roman" w:hAnsi="Calibri" w:cs="Times New Roman"/>
        </w:rPr>
        <w:t>that</w:t>
      </w:r>
      <w:r w:rsidRPr="002F3FF8">
        <w:rPr>
          <w:rFonts w:ascii="Calibri" w:eastAsia="Times New Roman" w:hAnsi="Calibri" w:cs="Times New Roman"/>
        </w:rPr>
        <w:t xml:space="preserve"> describe a set of strategies to address the particular educational nee</w:t>
      </w:r>
      <w:r w:rsidR="005A1A3A">
        <w:rPr>
          <w:rFonts w:ascii="Calibri" w:eastAsia="Times New Roman" w:hAnsi="Calibri" w:cs="Times New Roman"/>
        </w:rPr>
        <w:t>ds of the young person</w:t>
      </w:r>
      <w:r w:rsidR="001916DF">
        <w:rPr>
          <w:rFonts w:ascii="Calibri" w:eastAsia="Times New Roman" w:hAnsi="Calibri" w:cs="Times New Roman"/>
        </w:rPr>
        <w:t>.</w:t>
      </w:r>
    </w:p>
    <w:p w14:paraId="7AF73C91" w14:textId="77777777" w:rsidR="00173C5A" w:rsidRPr="00173C5A" w:rsidRDefault="00AB7ADE" w:rsidP="00DE0473">
      <w:pPr>
        <w:pStyle w:val="Heading4"/>
      </w:pPr>
      <w:r>
        <w:t>The Student Mapping Tool</w:t>
      </w:r>
    </w:p>
    <w:p w14:paraId="79DB8A9F" w14:textId="4002BBA2" w:rsidR="00173C5A" w:rsidRPr="00173C5A" w:rsidRDefault="00173C5A" w:rsidP="00647A76">
      <w:pPr>
        <w:spacing w:before="120"/>
        <w:jc w:val="both"/>
      </w:pPr>
      <w:r w:rsidRPr="00173C5A">
        <w:t xml:space="preserve">The Student Mapping Tool is an important early intervention tool available to Victorian Government schools which assists schools to identify those students who are at risk of disengaging or not making a successful transition to further education, training or employment, and to monitor, track and evaluate the interventions being used. It highlights </w:t>
      </w:r>
      <w:r w:rsidR="00D221DB" w:rsidRPr="00173C5A">
        <w:t>factors that</w:t>
      </w:r>
      <w:r w:rsidRPr="00173C5A">
        <w:t xml:space="preserve"> have been show</w:t>
      </w:r>
      <w:r w:rsidR="0069483B">
        <w:t>n</w:t>
      </w:r>
      <w:r w:rsidRPr="00173C5A">
        <w:t xml:space="preserve"> to increase the risk of student</w:t>
      </w:r>
      <w:r w:rsidR="00750A1E">
        <w:t xml:space="preserve"> disengagement and early leaving</w:t>
      </w:r>
      <w:r w:rsidRPr="00173C5A">
        <w:t xml:space="preserve">. </w:t>
      </w:r>
    </w:p>
    <w:p w14:paraId="7661F104" w14:textId="77777777" w:rsidR="00173C5A" w:rsidRPr="00647A76" w:rsidRDefault="00173C5A" w:rsidP="00DE0473">
      <w:pPr>
        <w:pStyle w:val="Heading4"/>
      </w:pPr>
      <w:r w:rsidRPr="00647A76">
        <w:t xml:space="preserve">Victorian Education Strategy for </w:t>
      </w:r>
      <w:proofErr w:type="spellStart"/>
      <w:r w:rsidRPr="00647A76">
        <w:t>Koorie</w:t>
      </w:r>
      <w:proofErr w:type="spellEnd"/>
      <w:r w:rsidRPr="00647A76">
        <w:t xml:space="preserve"> Students</w:t>
      </w:r>
    </w:p>
    <w:p w14:paraId="26681F04" w14:textId="40F36BFC" w:rsidR="00173C5A" w:rsidRPr="003869D7" w:rsidRDefault="00173C5A" w:rsidP="00647A76">
      <w:pPr>
        <w:spacing w:before="120"/>
        <w:jc w:val="both"/>
        <w:rPr>
          <w:lang w:val="en-US"/>
        </w:rPr>
      </w:pPr>
      <w:r w:rsidRPr="003869D7">
        <w:rPr>
          <w:lang w:val="en-US"/>
        </w:rPr>
        <w:t xml:space="preserve">The </w:t>
      </w:r>
      <w:proofErr w:type="spellStart"/>
      <w:r w:rsidRPr="003869D7">
        <w:rPr>
          <w:lang w:val="en-US"/>
        </w:rPr>
        <w:t>Wannik</w:t>
      </w:r>
      <w:proofErr w:type="spellEnd"/>
      <w:r w:rsidRPr="003869D7">
        <w:rPr>
          <w:lang w:val="en-US"/>
        </w:rPr>
        <w:t xml:space="preserve"> Education Strategy </w:t>
      </w:r>
      <w:r w:rsidR="0072132F">
        <w:rPr>
          <w:lang w:val="en-US"/>
        </w:rPr>
        <w:t xml:space="preserve">has </w:t>
      </w:r>
      <w:r w:rsidR="0088352F" w:rsidRPr="003869D7">
        <w:rPr>
          <w:lang w:val="en-US"/>
        </w:rPr>
        <w:t xml:space="preserve">aimed </w:t>
      </w:r>
      <w:r w:rsidRPr="003869D7">
        <w:rPr>
          <w:lang w:val="en-US"/>
        </w:rPr>
        <w:t xml:space="preserve">to deliver the best possible education to Victoria's </w:t>
      </w:r>
      <w:proofErr w:type="spellStart"/>
      <w:r w:rsidRPr="003869D7">
        <w:rPr>
          <w:lang w:val="en-US"/>
        </w:rPr>
        <w:t>Koorie</w:t>
      </w:r>
      <w:proofErr w:type="spellEnd"/>
      <w:r w:rsidRPr="003869D7">
        <w:rPr>
          <w:lang w:val="en-US"/>
        </w:rPr>
        <w:t xml:space="preserve"> students.  The strategy</w:t>
      </w:r>
      <w:r w:rsidR="0088352F" w:rsidRPr="003869D7">
        <w:rPr>
          <w:lang w:val="en-US"/>
        </w:rPr>
        <w:t xml:space="preserve"> has sought to</w:t>
      </w:r>
      <w:r w:rsidR="00824EF5" w:rsidRPr="003869D7">
        <w:rPr>
          <w:lang w:val="en-US"/>
        </w:rPr>
        <w:t>:</w:t>
      </w:r>
    </w:p>
    <w:p w14:paraId="037A99F9" w14:textId="77777777" w:rsidR="001916DF" w:rsidRPr="003869D7" w:rsidRDefault="00173C5A" w:rsidP="003957AD">
      <w:pPr>
        <w:pStyle w:val="ListParagraph"/>
        <w:numPr>
          <w:ilvl w:val="0"/>
          <w:numId w:val="22"/>
        </w:numPr>
        <w:jc w:val="both"/>
        <w:rPr>
          <w:lang w:val="en-US"/>
        </w:rPr>
      </w:pPr>
      <w:r w:rsidRPr="003869D7">
        <w:rPr>
          <w:lang w:val="en-US"/>
        </w:rPr>
        <w:t xml:space="preserve">reform the government school system’s education of </w:t>
      </w:r>
      <w:proofErr w:type="spellStart"/>
      <w:r w:rsidRPr="003869D7">
        <w:rPr>
          <w:lang w:val="en-US"/>
        </w:rPr>
        <w:t>Koorie</w:t>
      </w:r>
      <w:proofErr w:type="spellEnd"/>
      <w:r w:rsidRPr="003869D7">
        <w:rPr>
          <w:lang w:val="en-US"/>
        </w:rPr>
        <w:t xml:space="preserve"> students</w:t>
      </w:r>
      <w:r w:rsidR="0069483B" w:rsidRPr="003869D7">
        <w:rPr>
          <w:lang w:val="en-US"/>
        </w:rPr>
        <w:t>;</w:t>
      </w:r>
    </w:p>
    <w:p w14:paraId="11719DCE" w14:textId="77777777" w:rsidR="001916DF" w:rsidRPr="003869D7" w:rsidRDefault="00173C5A" w:rsidP="003957AD">
      <w:pPr>
        <w:pStyle w:val="ListParagraph"/>
        <w:numPr>
          <w:ilvl w:val="0"/>
          <w:numId w:val="22"/>
        </w:numPr>
        <w:jc w:val="both"/>
        <w:rPr>
          <w:lang w:val="en-US"/>
        </w:rPr>
      </w:pPr>
      <w:r w:rsidRPr="003869D7">
        <w:rPr>
          <w:lang w:val="en-US"/>
        </w:rPr>
        <w:t>support greater student engagement</w:t>
      </w:r>
      <w:r w:rsidR="0069483B" w:rsidRPr="003869D7">
        <w:rPr>
          <w:lang w:val="en-US"/>
        </w:rPr>
        <w:t>;</w:t>
      </w:r>
    </w:p>
    <w:p w14:paraId="4EBFB217" w14:textId="77777777" w:rsidR="001916DF" w:rsidRPr="003869D7" w:rsidRDefault="00173C5A" w:rsidP="003957AD">
      <w:pPr>
        <w:pStyle w:val="ListParagraph"/>
        <w:numPr>
          <w:ilvl w:val="0"/>
          <w:numId w:val="22"/>
        </w:numPr>
        <w:jc w:val="both"/>
        <w:rPr>
          <w:lang w:val="en-US"/>
        </w:rPr>
      </w:pPr>
      <w:r w:rsidRPr="003869D7">
        <w:rPr>
          <w:lang w:val="en-US"/>
        </w:rPr>
        <w:t>provide more literacy and numeracy support</w:t>
      </w:r>
      <w:r w:rsidR="0069483B" w:rsidRPr="003869D7">
        <w:rPr>
          <w:lang w:val="en-US"/>
        </w:rPr>
        <w:t>;</w:t>
      </w:r>
    </w:p>
    <w:p w14:paraId="2B1FF66C" w14:textId="77777777" w:rsidR="001916DF" w:rsidRPr="003869D7" w:rsidRDefault="00173C5A" w:rsidP="003957AD">
      <w:pPr>
        <w:pStyle w:val="ListParagraph"/>
        <w:numPr>
          <w:ilvl w:val="0"/>
          <w:numId w:val="22"/>
        </w:numPr>
        <w:jc w:val="both"/>
        <w:rPr>
          <w:lang w:val="en-US"/>
        </w:rPr>
      </w:pPr>
      <w:r w:rsidRPr="003869D7">
        <w:rPr>
          <w:lang w:val="en-US"/>
        </w:rPr>
        <w:t>provide support and encouragement for high-achieving students</w:t>
      </w:r>
      <w:r w:rsidR="0069483B" w:rsidRPr="003869D7">
        <w:rPr>
          <w:lang w:val="en-US"/>
        </w:rPr>
        <w:t>;</w:t>
      </w:r>
    </w:p>
    <w:p w14:paraId="043D4D74" w14:textId="77777777" w:rsidR="001916DF" w:rsidRPr="003869D7" w:rsidRDefault="00173C5A" w:rsidP="003957AD">
      <w:pPr>
        <w:pStyle w:val="ListParagraph"/>
        <w:numPr>
          <w:ilvl w:val="0"/>
          <w:numId w:val="22"/>
        </w:numPr>
        <w:jc w:val="both"/>
        <w:rPr>
          <w:lang w:val="en-US"/>
        </w:rPr>
      </w:pPr>
      <w:r w:rsidRPr="003869D7">
        <w:rPr>
          <w:lang w:val="en-US"/>
        </w:rPr>
        <w:t xml:space="preserve">expand and develop the </w:t>
      </w:r>
      <w:proofErr w:type="spellStart"/>
      <w:r w:rsidRPr="003869D7">
        <w:rPr>
          <w:lang w:val="en-US"/>
        </w:rPr>
        <w:t>Koorie</w:t>
      </w:r>
      <w:proofErr w:type="spellEnd"/>
      <w:r w:rsidRPr="003869D7">
        <w:rPr>
          <w:lang w:val="en-US"/>
        </w:rPr>
        <w:t xml:space="preserve"> support workforce</w:t>
      </w:r>
      <w:r w:rsidR="0069483B" w:rsidRPr="003869D7">
        <w:rPr>
          <w:lang w:val="en-US"/>
        </w:rPr>
        <w:t>;</w:t>
      </w:r>
    </w:p>
    <w:p w14:paraId="3ED101CE" w14:textId="77777777" w:rsidR="001916DF" w:rsidRPr="003869D7" w:rsidRDefault="00173C5A" w:rsidP="003957AD">
      <w:pPr>
        <w:pStyle w:val="ListParagraph"/>
        <w:numPr>
          <w:ilvl w:val="0"/>
          <w:numId w:val="22"/>
        </w:numPr>
        <w:jc w:val="both"/>
        <w:rPr>
          <w:lang w:val="en-US"/>
        </w:rPr>
      </w:pPr>
      <w:r w:rsidRPr="003869D7">
        <w:rPr>
          <w:lang w:val="en-US"/>
        </w:rPr>
        <w:t xml:space="preserve">renew </w:t>
      </w:r>
      <w:r w:rsidR="0069483B" w:rsidRPr="003869D7">
        <w:rPr>
          <w:lang w:val="en-US"/>
        </w:rPr>
        <w:t xml:space="preserve">the </w:t>
      </w:r>
      <w:r w:rsidRPr="003869D7">
        <w:rPr>
          <w:lang w:val="en-US"/>
        </w:rPr>
        <w:t>focus on parental engagement</w:t>
      </w:r>
      <w:r w:rsidR="0069483B" w:rsidRPr="003869D7">
        <w:rPr>
          <w:lang w:val="en-US"/>
        </w:rPr>
        <w:t>; and</w:t>
      </w:r>
    </w:p>
    <w:p w14:paraId="733F0B2F" w14:textId="77777777" w:rsidR="00173C5A" w:rsidRDefault="00E9442A" w:rsidP="003957AD">
      <w:pPr>
        <w:pStyle w:val="ListParagraph"/>
        <w:numPr>
          <w:ilvl w:val="0"/>
          <w:numId w:val="22"/>
        </w:numPr>
        <w:spacing w:after="120"/>
        <w:ind w:hanging="357"/>
        <w:jc w:val="both"/>
        <w:rPr>
          <w:lang w:val="en-US"/>
        </w:rPr>
      </w:pPr>
      <w:proofErr w:type="gramStart"/>
      <w:r w:rsidRPr="003869D7">
        <w:rPr>
          <w:lang w:val="en-US"/>
        </w:rPr>
        <w:t>share</w:t>
      </w:r>
      <w:proofErr w:type="gramEnd"/>
      <w:r w:rsidRPr="003869D7">
        <w:rPr>
          <w:lang w:val="en-US"/>
        </w:rPr>
        <w:t xml:space="preserve"> responsibility appropriately across Government.</w:t>
      </w:r>
    </w:p>
    <w:p w14:paraId="5676F76C" w14:textId="12C1CCB4" w:rsidR="003167BF" w:rsidRPr="003167BF" w:rsidRDefault="00091E8D" w:rsidP="000B2D80">
      <w:pPr>
        <w:spacing w:after="120"/>
        <w:jc w:val="both"/>
        <w:rPr>
          <w:lang w:val="en-US"/>
        </w:rPr>
      </w:pPr>
      <w:r w:rsidRPr="00915171">
        <w:t xml:space="preserve">Victoria’s </w:t>
      </w:r>
      <w:proofErr w:type="spellStart"/>
      <w:r w:rsidRPr="00915171">
        <w:t>Koorie</w:t>
      </w:r>
      <w:proofErr w:type="spellEnd"/>
      <w:r w:rsidRPr="00915171">
        <w:t xml:space="preserve"> Strategy Unit is now leading the development of a new, portfolio-wide </w:t>
      </w:r>
      <w:proofErr w:type="spellStart"/>
      <w:r w:rsidRPr="00915171">
        <w:t>Koorie</w:t>
      </w:r>
      <w:proofErr w:type="spellEnd"/>
      <w:r w:rsidRPr="00915171">
        <w:t xml:space="preserve"> Strategy as a 12-18 month priority</w:t>
      </w:r>
      <w:r w:rsidR="000B2D80" w:rsidRPr="00915171">
        <w:t xml:space="preserve"> </w:t>
      </w:r>
      <w:r w:rsidR="00382772" w:rsidRPr="00915171">
        <w:t xml:space="preserve">that </w:t>
      </w:r>
      <w:r w:rsidR="002A430B" w:rsidRPr="00915171">
        <w:t>will link</w:t>
      </w:r>
      <w:r w:rsidRPr="00915171">
        <w:t xml:space="preserve"> with various other strategies </w:t>
      </w:r>
      <w:r w:rsidR="001A3FE6" w:rsidRPr="00915171">
        <w:t xml:space="preserve">already </w:t>
      </w:r>
      <w:r w:rsidRPr="00915171">
        <w:t xml:space="preserve">in place or in development across </w:t>
      </w:r>
      <w:r w:rsidR="0088352F" w:rsidRPr="00915171">
        <w:t>Victoria</w:t>
      </w:r>
      <w:r w:rsidR="00382772" w:rsidRPr="00915171">
        <w:t>.</w:t>
      </w:r>
      <w:r w:rsidRPr="00915171">
        <w:t xml:space="preserve"> </w:t>
      </w:r>
    </w:p>
    <w:p w14:paraId="0B32F398" w14:textId="77777777" w:rsidR="00173C5A" w:rsidRPr="00173C5A" w:rsidRDefault="00173C5A" w:rsidP="00DE0473">
      <w:pPr>
        <w:pStyle w:val="Heading4"/>
      </w:pPr>
      <w:r w:rsidRPr="00173C5A">
        <w:t>The Program</w:t>
      </w:r>
      <w:r w:rsidR="00AB7ADE">
        <w:t xml:space="preserve"> for Students with Disabilities</w:t>
      </w:r>
    </w:p>
    <w:p w14:paraId="3CB7D447" w14:textId="00B01D33" w:rsidR="001916DF" w:rsidRDefault="00173C5A" w:rsidP="00647A76">
      <w:pPr>
        <w:spacing w:before="120"/>
        <w:jc w:val="both"/>
      </w:pPr>
      <w:r w:rsidRPr="00173C5A">
        <w:t>The Program for Students with Disabilities aims to maximise student potential growth in education and learning, ensure</w:t>
      </w:r>
      <w:r w:rsidR="006D01A8">
        <w:t>s</w:t>
      </w:r>
      <w:r w:rsidRPr="00173C5A">
        <w:t xml:space="preserve"> students with disabilities </w:t>
      </w:r>
      <w:r w:rsidR="006D01A8">
        <w:t>can</w:t>
      </w:r>
      <w:r w:rsidRPr="00173C5A">
        <w:t xml:space="preserve"> participate in all aspects of school life</w:t>
      </w:r>
      <w:r w:rsidR="006D01A8">
        <w:t>,</w:t>
      </w:r>
      <w:r w:rsidRPr="00173C5A">
        <w:t xml:space="preserve"> and</w:t>
      </w:r>
      <w:r w:rsidR="00470659">
        <w:t xml:space="preserve"> </w:t>
      </w:r>
      <w:r w:rsidR="00750A1E">
        <w:t>provide</w:t>
      </w:r>
      <w:r w:rsidR="006D01A8">
        <w:t>s</w:t>
      </w:r>
      <w:r w:rsidR="00750A1E">
        <w:t xml:space="preserve"> capacity for them to pursue their </w:t>
      </w:r>
      <w:r w:rsidR="00470659">
        <w:t>individual</w:t>
      </w:r>
      <w:r w:rsidRPr="00173C5A">
        <w:t xml:space="preserve"> aspirations. There are three specific objectives which together will achieve this goal for the Program </w:t>
      </w:r>
      <w:r w:rsidR="00ED604C">
        <w:t>for Students with Disabilities:</w:t>
      </w:r>
    </w:p>
    <w:p w14:paraId="73577B43" w14:textId="77777777" w:rsidR="001916DF" w:rsidRDefault="00173C5A" w:rsidP="003957AD">
      <w:pPr>
        <w:pStyle w:val="ListParagraph"/>
        <w:numPr>
          <w:ilvl w:val="0"/>
          <w:numId w:val="21"/>
        </w:numPr>
        <w:jc w:val="both"/>
      </w:pPr>
      <w:r w:rsidRPr="001916DF">
        <w:rPr>
          <w:i/>
          <w:iCs/>
        </w:rPr>
        <w:lastRenderedPageBreak/>
        <w:t xml:space="preserve">Student learning </w:t>
      </w:r>
      <w:r w:rsidRPr="00173C5A">
        <w:t>– Student potential for growth and development in (academic) discipline-based, personal and interpersonal learning, and independence in learning is maximised and is consistent with their goals and aspirations</w:t>
      </w:r>
      <w:r w:rsidR="00676B9A">
        <w:t xml:space="preserve">; </w:t>
      </w:r>
    </w:p>
    <w:p w14:paraId="7E20A083" w14:textId="77777777" w:rsidR="001916DF" w:rsidRDefault="00173C5A" w:rsidP="003957AD">
      <w:pPr>
        <w:pStyle w:val="ListParagraph"/>
        <w:numPr>
          <w:ilvl w:val="0"/>
          <w:numId w:val="21"/>
        </w:numPr>
        <w:jc w:val="both"/>
      </w:pPr>
      <w:r w:rsidRPr="001916DF">
        <w:rPr>
          <w:i/>
          <w:iCs/>
        </w:rPr>
        <w:t xml:space="preserve">Student engagement and wellbeing </w:t>
      </w:r>
      <w:r w:rsidRPr="00173C5A">
        <w:t>– Students are motivated and are able to participate fully in their education and wider school life</w:t>
      </w:r>
      <w:r w:rsidR="00676B9A">
        <w:t>; and</w:t>
      </w:r>
      <w:r w:rsidRPr="00173C5A">
        <w:t xml:space="preserve"> </w:t>
      </w:r>
    </w:p>
    <w:p w14:paraId="186E9A5B" w14:textId="25065651" w:rsidR="00750A1E" w:rsidRPr="00173C5A" w:rsidRDefault="00173C5A" w:rsidP="00DE0473">
      <w:pPr>
        <w:pStyle w:val="ListParagraph"/>
        <w:numPr>
          <w:ilvl w:val="0"/>
          <w:numId w:val="21"/>
        </w:numPr>
        <w:jc w:val="both"/>
      </w:pPr>
      <w:r w:rsidRPr="001916DF">
        <w:rPr>
          <w:i/>
          <w:iCs/>
        </w:rPr>
        <w:t xml:space="preserve">Student pathways and transitions </w:t>
      </w:r>
      <w:r w:rsidRPr="00173C5A">
        <w:t>– Students successfully transition to, throughout and from school, and the pathways selected maximise their potential for growth and development while they attend school and after they leave school.</w:t>
      </w:r>
    </w:p>
    <w:p w14:paraId="4C5B9279" w14:textId="77777777" w:rsidR="00173C5A" w:rsidRPr="00173C5A" w:rsidRDefault="00173C5A" w:rsidP="00DE0473">
      <w:pPr>
        <w:pStyle w:val="Heading4"/>
        <w:spacing w:after="120"/>
      </w:pPr>
      <w:r w:rsidRPr="00173C5A">
        <w:t>School University Liaison Officers (</w:t>
      </w:r>
      <w:proofErr w:type="spellStart"/>
      <w:r w:rsidRPr="00173C5A">
        <w:t>SULOs</w:t>
      </w:r>
      <w:proofErr w:type="spellEnd"/>
      <w:r w:rsidRPr="00173C5A">
        <w:t>)</w:t>
      </w:r>
    </w:p>
    <w:p w14:paraId="25E5AB96" w14:textId="6DB88964" w:rsidR="00470659" w:rsidRDefault="00173C5A" w:rsidP="000703C7">
      <w:pPr>
        <w:spacing w:after="120"/>
        <w:jc w:val="both"/>
      </w:pPr>
      <w:r w:rsidRPr="00173C5A">
        <w:t>School University Liaison Officers (</w:t>
      </w:r>
      <w:proofErr w:type="spellStart"/>
      <w:r w:rsidRPr="00173C5A">
        <w:t>SULOs</w:t>
      </w:r>
      <w:proofErr w:type="spellEnd"/>
      <w:r w:rsidRPr="00173C5A">
        <w:t xml:space="preserve">) are located across the four </w:t>
      </w:r>
      <w:proofErr w:type="spellStart"/>
      <w:r w:rsidRPr="00173C5A">
        <w:t>DEECD</w:t>
      </w:r>
      <w:proofErr w:type="spellEnd"/>
      <w:r w:rsidRPr="00173C5A">
        <w:t xml:space="preserve"> regions to support successful Victorian school-university partnership activities funded through the competitive grants process (partnerships component) of the Commonwealth Government’s Higher Education Participation and Partnerships Program (</w:t>
      </w:r>
      <w:proofErr w:type="spellStart"/>
      <w:r w:rsidRPr="00173C5A">
        <w:t>HEPPP</w:t>
      </w:r>
      <w:proofErr w:type="spellEnd"/>
      <w:r w:rsidRPr="00173C5A">
        <w:t>)</w:t>
      </w:r>
      <w:r w:rsidR="002318CE">
        <w:t>.</w:t>
      </w:r>
      <w:r w:rsidR="00824EF5">
        <w:t xml:space="preserve"> I</w:t>
      </w:r>
      <w:r w:rsidRPr="00173C5A">
        <w:t>n particular</w:t>
      </w:r>
      <w:r w:rsidR="00824EF5">
        <w:t>,</w:t>
      </w:r>
      <w:r w:rsidRPr="00173C5A">
        <w:t xml:space="preserve"> </w:t>
      </w:r>
      <w:r w:rsidR="000C1EFB">
        <w:t xml:space="preserve">this is </w:t>
      </w:r>
      <w:r w:rsidRPr="00173C5A">
        <w:t xml:space="preserve">the </w:t>
      </w:r>
      <w:r w:rsidRPr="00173C5A">
        <w:rPr>
          <w:i/>
          <w:iCs/>
        </w:rPr>
        <w:t>Learn, Experience, Access Professions (LEAP)</w:t>
      </w:r>
      <w:r w:rsidRPr="00173C5A">
        <w:t xml:space="preserve"> program, hosted by Monash University and involving all Victorian universities (and Victorian campuses of the Australian Catholic University).</w:t>
      </w:r>
    </w:p>
    <w:p w14:paraId="67E660AC" w14:textId="77777777" w:rsidR="000B2D80" w:rsidRPr="00173C5A" w:rsidRDefault="000B2D80" w:rsidP="000703C7">
      <w:pPr>
        <w:spacing w:after="120"/>
        <w:jc w:val="both"/>
      </w:pPr>
    </w:p>
    <w:p w14:paraId="76F45D60" w14:textId="77777777" w:rsidR="00173C5A" w:rsidRPr="00173C5A" w:rsidRDefault="00173C5A" w:rsidP="002318CE">
      <w:pPr>
        <w:spacing w:after="120"/>
        <w:jc w:val="both"/>
      </w:pPr>
      <w:r w:rsidRPr="00173C5A">
        <w:t xml:space="preserve">The </w:t>
      </w:r>
      <w:proofErr w:type="spellStart"/>
      <w:r w:rsidRPr="00173C5A">
        <w:t>SULOs</w:t>
      </w:r>
      <w:proofErr w:type="spellEnd"/>
      <w:r w:rsidRPr="00173C5A">
        <w:t>’ work:</w:t>
      </w:r>
    </w:p>
    <w:p w14:paraId="17AF1B72" w14:textId="77777777" w:rsidR="001916DF" w:rsidRDefault="00470659" w:rsidP="003957AD">
      <w:pPr>
        <w:pStyle w:val="ListParagraph"/>
        <w:numPr>
          <w:ilvl w:val="0"/>
          <w:numId w:val="20"/>
        </w:numPr>
        <w:spacing w:after="120"/>
        <w:ind w:left="426" w:hanging="426"/>
        <w:jc w:val="both"/>
      </w:pPr>
      <w:r>
        <w:t>improves</w:t>
      </w:r>
      <w:r w:rsidR="00173C5A" w:rsidRPr="00173C5A">
        <w:t xml:space="preserve"> the quality and quantum of school-university partnership activity;</w:t>
      </w:r>
    </w:p>
    <w:p w14:paraId="33BCA9B9" w14:textId="77777777" w:rsidR="001916DF" w:rsidRDefault="00470659" w:rsidP="003957AD">
      <w:pPr>
        <w:pStyle w:val="ListParagraph"/>
        <w:numPr>
          <w:ilvl w:val="0"/>
          <w:numId w:val="20"/>
        </w:numPr>
        <w:spacing w:after="120"/>
        <w:ind w:left="426" w:hanging="426"/>
        <w:jc w:val="both"/>
      </w:pPr>
      <w:r>
        <w:t>increases</w:t>
      </w:r>
      <w:r w:rsidR="00173C5A" w:rsidRPr="00173C5A">
        <w:t xml:space="preserve"> the number of students from low SES schools aspiring to, and participating in higher education;</w:t>
      </w:r>
    </w:p>
    <w:p w14:paraId="67C7F8B8" w14:textId="77777777" w:rsidR="001916DF" w:rsidRDefault="00470659" w:rsidP="003957AD">
      <w:pPr>
        <w:pStyle w:val="ListParagraph"/>
        <w:numPr>
          <w:ilvl w:val="0"/>
          <w:numId w:val="20"/>
        </w:numPr>
        <w:spacing w:after="120"/>
        <w:ind w:left="426" w:hanging="426"/>
        <w:jc w:val="both"/>
      </w:pPr>
      <w:r>
        <w:t>builds</w:t>
      </w:r>
      <w:r w:rsidR="00173C5A" w:rsidRPr="00173C5A">
        <w:t xml:space="preserve"> the capacity of schools, teachers and parents/carers to engage with school-university partnership activities; and</w:t>
      </w:r>
    </w:p>
    <w:p w14:paraId="7D9D94DD" w14:textId="77777777" w:rsidR="00173C5A" w:rsidRDefault="00470659" w:rsidP="003957AD">
      <w:pPr>
        <w:pStyle w:val="ListParagraph"/>
        <w:numPr>
          <w:ilvl w:val="0"/>
          <w:numId w:val="20"/>
        </w:numPr>
        <w:spacing w:after="120"/>
        <w:ind w:left="426" w:hanging="426"/>
        <w:jc w:val="both"/>
      </w:pPr>
      <w:proofErr w:type="gramStart"/>
      <w:r>
        <w:t>engages</w:t>
      </w:r>
      <w:proofErr w:type="gramEnd"/>
      <w:r w:rsidR="00173C5A" w:rsidRPr="00173C5A">
        <w:t xml:space="preserve"> with universities to improve their capacity to engage with schools.</w:t>
      </w:r>
    </w:p>
    <w:p w14:paraId="2164E350" w14:textId="2050982B" w:rsidR="00173C5A" w:rsidRPr="00B4249C" w:rsidRDefault="00173C5A" w:rsidP="00647A76">
      <w:pPr>
        <w:spacing w:before="120"/>
        <w:jc w:val="both"/>
      </w:pPr>
      <w:r w:rsidRPr="00173C5A">
        <w:t xml:space="preserve">The </w:t>
      </w:r>
      <w:proofErr w:type="spellStart"/>
      <w:r w:rsidRPr="00173C5A">
        <w:t>SULOs</w:t>
      </w:r>
      <w:proofErr w:type="spellEnd"/>
      <w:r w:rsidRPr="00173C5A">
        <w:t xml:space="preserve"> support low SES schools to work with students, teachers, careers practitioners and parents/carers to raise aspirations</w:t>
      </w:r>
      <w:r w:rsidR="000C1EFB">
        <w:t>.</w:t>
      </w:r>
      <w:r w:rsidRPr="00173C5A">
        <w:t xml:space="preserve"> </w:t>
      </w:r>
      <w:r w:rsidR="000C1EFB">
        <w:t xml:space="preserve">In 2013, they </w:t>
      </w:r>
      <w:r w:rsidRPr="00173C5A">
        <w:t>will conduct information sessions on topics such as Special Entry Access Schemes (SEAS), financial assistance and scholarships, and with the support of schools work dire</w:t>
      </w:r>
      <w:r w:rsidR="00B4249C">
        <w:t>ctly with students and parents.</w:t>
      </w:r>
    </w:p>
    <w:p w14:paraId="367145A9" w14:textId="77777777" w:rsidR="00173C5A" w:rsidRPr="00173C5A" w:rsidRDefault="00173C5A" w:rsidP="00DE0473">
      <w:pPr>
        <w:pStyle w:val="Heading4"/>
      </w:pPr>
      <w:r w:rsidRPr="00173C5A">
        <w:t>The School Focused Youth Se</w:t>
      </w:r>
      <w:r w:rsidR="00B4249C">
        <w:t>rvice</w:t>
      </w:r>
    </w:p>
    <w:p w14:paraId="7ECAE96B" w14:textId="77777777" w:rsidR="00322D03" w:rsidRPr="00322D03" w:rsidRDefault="00322D03" w:rsidP="00322D03">
      <w:pPr>
        <w:spacing w:before="120"/>
        <w:jc w:val="both"/>
      </w:pPr>
      <w:r w:rsidRPr="00322D03">
        <w:t xml:space="preserve">Over the past twelve months, a new set of guidelines have been developed to deliver a reframed School Focused Youth Service. Providers of the reframed School Focused Youth Service program </w:t>
      </w:r>
      <w:r>
        <w:t>now use</w:t>
      </w:r>
      <w:r w:rsidRPr="00322D03">
        <w:t xml:space="preserve"> a range of approaches that include short and long-term responses to address identified needs, and the coordination of community based responses to support young people identified as at risk.</w:t>
      </w:r>
    </w:p>
    <w:p w14:paraId="4969A95A" w14:textId="43E518AF" w:rsidR="00322D03" w:rsidRPr="00322D03" w:rsidRDefault="00322D03" w:rsidP="00322D03">
      <w:pPr>
        <w:spacing w:before="120"/>
        <w:jc w:val="both"/>
      </w:pPr>
      <w:r w:rsidRPr="00322D03">
        <w:t xml:space="preserve">Key features of </w:t>
      </w:r>
      <w:r w:rsidR="003A4613">
        <w:t xml:space="preserve">the </w:t>
      </w:r>
      <w:r w:rsidRPr="00322D03">
        <w:t xml:space="preserve">School Focused Youth Service now include: </w:t>
      </w:r>
    </w:p>
    <w:p w14:paraId="7592C8B8" w14:textId="77777777" w:rsidR="00322D03" w:rsidRPr="00322D03" w:rsidRDefault="00322D03" w:rsidP="003957AD">
      <w:pPr>
        <w:numPr>
          <w:ilvl w:val="0"/>
          <w:numId w:val="26"/>
        </w:numPr>
        <w:spacing w:before="120"/>
        <w:jc w:val="both"/>
      </w:pPr>
      <w:r w:rsidRPr="00322D03">
        <w:t>provision of a service that complements the provision of  Student Support Services, through preventative and early targeted interventions</w:t>
      </w:r>
      <w:r>
        <w:t>;</w:t>
      </w:r>
      <w:r w:rsidRPr="00322D03">
        <w:t xml:space="preserve"> </w:t>
      </w:r>
    </w:p>
    <w:p w14:paraId="1B2B31AF" w14:textId="77777777" w:rsidR="00322D03" w:rsidRPr="00322D03" w:rsidRDefault="00322D03" w:rsidP="003957AD">
      <w:pPr>
        <w:numPr>
          <w:ilvl w:val="0"/>
          <w:numId w:val="26"/>
        </w:numPr>
        <w:spacing w:before="120"/>
        <w:jc w:val="both"/>
      </w:pPr>
      <w:r w:rsidRPr="00322D03">
        <w:t>alignment with an area based governance model linked to Student Support Services networks</w:t>
      </w:r>
      <w:r>
        <w:t>;</w:t>
      </w:r>
    </w:p>
    <w:p w14:paraId="631DBD32" w14:textId="01E4066E" w:rsidR="00322D03" w:rsidRPr="00322D03" w:rsidRDefault="00322D03" w:rsidP="003957AD">
      <w:pPr>
        <w:numPr>
          <w:ilvl w:val="0"/>
          <w:numId w:val="26"/>
        </w:numPr>
        <w:spacing w:before="120"/>
        <w:jc w:val="both"/>
      </w:pPr>
      <w:r w:rsidRPr="00322D03">
        <w:t>a rigorous approach to identifying need</w:t>
      </w:r>
      <w:r w:rsidR="009025B0">
        <w:t>s</w:t>
      </w:r>
      <w:r w:rsidRPr="00322D03">
        <w:t xml:space="preserve"> which are evidence based</w:t>
      </w:r>
      <w:r>
        <w:t>;</w:t>
      </w:r>
      <w:r w:rsidRPr="00322D03">
        <w:t xml:space="preserve"> </w:t>
      </w:r>
    </w:p>
    <w:p w14:paraId="06F010F7" w14:textId="77777777" w:rsidR="00322D03" w:rsidRPr="00322D03" w:rsidRDefault="00322D03" w:rsidP="003957AD">
      <w:pPr>
        <w:numPr>
          <w:ilvl w:val="0"/>
          <w:numId w:val="26"/>
        </w:numPr>
        <w:spacing w:before="120"/>
        <w:jc w:val="both"/>
      </w:pPr>
      <w:r w:rsidRPr="00322D03">
        <w:t>establishing and strengthening partnerships with local agencies so that coordinated responses can be delivered in a timely manner</w:t>
      </w:r>
      <w:r>
        <w:t>;</w:t>
      </w:r>
    </w:p>
    <w:p w14:paraId="42C7997D" w14:textId="77777777" w:rsidR="00322D03" w:rsidRPr="00322D03" w:rsidRDefault="00322D03" w:rsidP="003957AD">
      <w:pPr>
        <w:numPr>
          <w:ilvl w:val="0"/>
          <w:numId w:val="26"/>
        </w:numPr>
        <w:spacing w:before="120"/>
        <w:jc w:val="both"/>
      </w:pPr>
      <w:r w:rsidRPr="00322D03">
        <w:lastRenderedPageBreak/>
        <w:t>programs and interventions which deliver measureable outcomes</w:t>
      </w:r>
      <w:r>
        <w:t>; and</w:t>
      </w:r>
    </w:p>
    <w:p w14:paraId="7E582E5E" w14:textId="77777777" w:rsidR="00322D03" w:rsidRPr="00322D03" w:rsidRDefault="00322D03" w:rsidP="003957AD">
      <w:pPr>
        <w:numPr>
          <w:ilvl w:val="0"/>
          <w:numId w:val="26"/>
        </w:numPr>
        <w:spacing w:before="120"/>
        <w:jc w:val="both"/>
      </w:pPr>
      <w:proofErr w:type="gramStart"/>
      <w:r w:rsidRPr="00322D03">
        <w:t>provision</w:t>
      </w:r>
      <w:proofErr w:type="gramEnd"/>
      <w:r w:rsidRPr="00322D03">
        <w:t xml:space="preserve"> of advice and linkage to local services through case co-ordination, rather than individualised case management.</w:t>
      </w:r>
    </w:p>
    <w:p w14:paraId="17F7C3D0" w14:textId="171392F5" w:rsidR="00322D03" w:rsidRPr="00322D03" w:rsidRDefault="00322D03" w:rsidP="00322D03">
      <w:pPr>
        <w:spacing w:before="120"/>
        <w:jc w:val="both"/>
      </w:pPr>
      <w:r w:rsidRPr="00322D03">
        <w:t>Through the School Focused Youth Service, schools and community organisations support at risk young people who require prevention or early intervention strategies to assist their learning, development, health and wellbeing.</w:t>
      </w:r>
    </w:p>
    <w:p w14:paraId="171FB930" w14:textId="1BD08799" w:rsidR="00322D03" w:rsidRPr="00322D03" w:rsidRDefault="00322D03" w:rsidP="00322D03">
      <w:pPr>
        <w:spacing w:before="120"/>
        <w:jc w:val="both"/>
      </w:pPr>
      <w:r w:rsidRPr="00322D03">
        <w:t xml:space="preserve">The </w:t>
      </w:r>
      <w:r>
        <w:t>o</w:t>
      </w:r>
      <w:r w:rsidR="00A23C6E">
        <w:t>bjective</w:t>
      </w:r>
      <w:r w:rsidRPr="00322D03">
        <w:t xml:space="preserve"> of the School Focused Youth Service </w:t>
      </w:r>
      <w:r w:rsidR="00A23C6E">
        <w:t>is</w:t>
      </w:r>
      <w:r w:rsidRPr="00322D03">
        <w:t xml:space="preserve"> to ensure that at risk young people are well supported in their communities, risk factors are addressed or mitigated, and they continue to be engaged a</w:t>
      </w:r>
      <w:r w:rsidR="00A23C6E">
        <w:t xml:space="preserve">nd connected to education. This is </w:t>
      </w:r>
      <w:r w:rsidRPr="00322D03">
        <w:t>achieved by:</w:t>
      </w:r>
    </w:p>
    <w:p w14:paraId="3592D9AE" w14:textId="29EEB966" w:rsidR="00322D03" w:rsidRDefault="00322D03" w:rsidP="003957AD">
      <w:pPr>
        <w:numPr>
          <w:ilvl w:val="0"/>
          <w:numId w:val="26"/>
        </w:numPr>
        <w:spacing w:before="120"/>
        <w:jc w:val="both"/>
      </w:pPr>
      <w:r w:rsidRPr="00322D03">
        <w:t>creating partnerships and pathways between schools and community organisations to support at risk young people</w:t>
      </w:r>
      <w:r w:rsidR="00A23C6E">
        <w:t>; and</w:t>
      </w:r>
    </w:p>
    <w:p w14:paraId="328A36D1" w14:textId="356E925A" w:rsidR="00173C5A" w:rsidRDefault="00322D03" w:rsidP="003957AD">
      <w:pPr>
        <w:numPr>
          <w:ilvl w:val="0"/>
          <w:numId w:val="26"/>
        </w:numPr>
        <w:spacing w:before="120"/>
        <w:jc w:val="both"/>
      </w:pPr>
      <w:proofErr w:type="gramStart"/>
      <w:r w:rsidRPr="00322D03">
        <w:t>coordinating</w:t>
      </w:r>
      <w:proofErr w:type="gramEnd"/>
      <w:r w:rsidRPr="00322D03">
        <w:t xml:space="preserve"> the provision of community based services in partnership with schools and community agencies to support schools to address the needs of at risk young people.</w:t>
      </w:r>
    </w:p>
    <w:p w14:paraId="7B65C245" w14:textId="77777777" w:rsidR="00173C5A" w:rsidRPr="00173C5A" w:rsidRDefault="00B4249C" w:rsidP="00DE0473">
      <w:pPr>
        <w:pStyle w:val="Heading4"/>
      </w:pPr>
      <w:r>
        <w:t>Regional Youth Affairs Networks</w:t>
      </w:r>
    </w:p>
    <w:p w14:paraId="09DAC2D0" w14:textId="77777777" w:rsidR="00173C5A" w:rsidRPr="00173C5A" w:rsidRDefault="00173C5A" w:rsidP="00647A76">
      <w:pPr>
        <w:spacing w:before="120"/>
        <w:jc w:val="both"/>
      </w:pPr>
      <w:r w:rsidRPr="00173C5A">
        <w:rPr>
          <w:lang w:val="en-US"/>
        </w:rPr>
        <w:t>Regional Youth Affairs Networks (</w:t>
      </w:r>
      <w:proofErr w:type="spellStart"/>
      <w:r w:rsidRPr="00173C5A">
        <w:rPr>
          <w:lang w:val="en-US"/>
        </w:rPr>
        <w:t>RYANs</w:t>
      </w:r>
      <w:proofErr w:type="spellEnd"/>
      <w:r w:rsidRPr="00173C5A">
        <w:rPr>
          <w:lang w:val="en-US"/>
        </w:rPr>
        <w:t>) bring together community members, youth service providers, young people and all levels of government with an interest in improving the lives of young Victorians.</w:t>
      </w:r>
    </w:p>
    <w:p w14:paraId="28704EB3" w14:textId="77777777" w:rsidR="00173C5A" w:rsidRPr="00173C5A" w:rsidRDefault="00173C5A" w:rsidP="00DE0473">
      <w:pPr>
        <w:pStyle w:val="Heading4"/>
      </w:pPr>
      <w:r w:rsidRPr="00173C5A">
        <w:t>Youth Partnerships Initiative</w:t>
      </w:r>
    </w:p>
    <w:p w14:paraId="7787F826" w14:textId="34E4B9C7" w:rsidR="002F3FF8" w:rsidRDefault="002F3FF8" w:rsidP="000C1EFB">
      <w:pPr>
        <w:spacing w:before="120" w:after="120"/>
        <w:jc w:val="both"/>
      </w:pPr>
      <w:r>
        <w:t>Youth Partnerships is a whole of Government initiative that is testing new locally driven responses to vulnerable young people through seven demonstration sites in metro</w:t>
      </w:r>
      <w:r w:rsidR="002318CE">
        <w:t xml:space="preserve">politan and regional Victoria. </w:t>
      </w:r>
      <w:r>
        <w:t>The outcome of the Youth Partnerships initiative is to provide advice to Government on system reforms that will improve responses to vulnerable young people that have disengaged or are at risk of disengaging from learning.</w:t>
      </w:r>
    </w:p>
    <w:p w14:paraId="3647C2D1" w14:textId="1C792C2B" w:rsidR="002F3FF8" w:rsidRDefault="002F3FF8" w:rsidP="000C1EFB">
      <w:pPr>
        <w:spacing w:after="120"/>
        <w:jc w:val="both"/>
      </w:pPr>
      <w:r>
        <w:t>A range of activities to support vulnerable young people aged 10-</w:t>
      </w:r>
      <w:r w:rsidR="002318CE">
        <w:t>18 years are being undertaken at</w:t>
      </w:r>
      <w:r>
        <w:t xml:space="preserve"> the Youth Partnerships Demonstration Sites, including:  </w:t>
      </w:r>
    </w:p>
    <w:p w14:paraId="7A098CE3" w14:textId="486503D7" w:rsidR="002F3FF8" w:rsidRDefault="00E310B7" w:rsidP="003957AD">
      <w:pPr>
        <w:pStyle w:val="ListParagraph"/>
        <w:numPr>
          <w:ilvl w:val="0"/>
          <w:numId w:val="25"/>
        </w:numPr>
        <w:ind w:left="426" w:hanging="426"/>
        <w:jc w:val="both"/>
      </w:pPr>
      <w:r>
        <w:t>d</w:t>
      </w:r>
      <w:r w:rsidR="002F3FF8">
        <w:t>elivery of outreach models of education delivery for children and young people living in out</w:t>
      </w:r>
      <w:r w:rsidR="00E170FB">
        <w:t>-</w:t>
      </w:r>
      <w:r w:rsidR="002F3FF8">
        <w:t>of</w:t>
      </w:r>
      <w:r w:rsidR="00E170FB">
        <w:t>-</w:t>
      </w:r>
      <w:r w:rsidR="002F3FF8">
        <w:t xml:space="preserve">home care or transitional housing arrangements who are at risk of not attending, or </w:t>
      </w:r>
      <w:r>
        <w:t>currently not attending, school;</w:t>
      </w:r>
    </w:p>
    <w:p w14:paraId="5B6ECCCF" w14:textId="7520ADD3" w:rsidR="002F3FF8" w:rsidRDefault="00E310B7" w:rsidP="003957AD">
      <w:pPr>
        <w:pStyle w:val="ListParagraph"/>
        <w:numPr>
          <w:ilvl w:val="0"/>
          <w:numId w:val="14"/>
        </w:numPr>
        <w:ind w:left="426" w:hanging="426"/>
        <w:jc w:val="both"/>
      </w:pPr>
      <w:r>
        <w:t>a</w:t>
      </w:r>
      <w:r w:rsidR="002F3FF8">
        <w:t xml:space="preserve"> coordinated process to identify and successfully engage with young people at risk of not completing an educ</w:t>
      </w:r>
      <w:r>
        <w:t>ation and training pathway;</w:t>
      </w:r>
    </w:p>
    <w:p w14:paraId="44B41410" w14:textId="4154F408" w:rsidR="002F3FF8" w:rsidRDefault="00E310B7" w:rsidP="003957AD">
      <w:pPr>
        <w:pStyle w:val="ListParagraph"/>
        <w:numPr>
          <w:ilvl w:val="0"/>
          <w:numId w:val="14"/>
        </w:numPr>
        <w:ind w:left="426" w:hanging="426"/>
        <w:jc w:val="both"/>
      </w:pPr>
      <w:r>
        <w:t>a</w:t>
      </w:r>
      <w:r w:rsidR="002F3FF8">
        <w:t xml:space="preserve"> referral and transition process to enable the identification and transition of </w:t>
      </w:r>
      <w:r w:rsidR="00E170FB">
        <w:t xml:space="preserve">at-risk </w:t>
      </w:r>
      <w:r w:rsidR="002F3FF8">
        <w:t xml:space="preserve">young people into </w:t>
      </w:r>
      <w:r>
        <w:t>a personalised learning program;</w:t>
      </w:r>
    </w:p>
    <w:p w14:paraId="4B72951C" w14:textId="162289B6" w:rsidR="002F3FF8" w:rsidRDefault="00E310B7" w:rsidP="003957AD">
      <w:pPr>
        <w:pStyle w:val="ListParagraph"/>
        <w:numPr>
          <w:ilvl w:val="0"/>
          <w:numId w:val="14"/>
        </w:numPr>
        <w:ind w:left="426" w:hanging="426"/>
        <w:jc w:val="both"/>
      </w:pPr>
      <w:r>
        <w:t>d</w:t>
      </w:r>
      <w:r w:rsidR="002F3FF8">
        <w:t>evelopment of place</w:t>
      </w:r>
      <w:r w:rsidR="00E170FB">
        <w:t>-</w:t>
      </w:r>
      <w:r w:rsidR="002F3FF8">
        <w:t>based governance models to improve the delivery of education and sup</w:t>
      </w:r>
      <w:r>
        <w:t>port to vulnerable young people; and</w:t>
      </w:r>
    </w:p>
    <w:p w14:paraId="05CF3136" w14:textId="7DE4AA45" w:rsidR="002F3FF8" w:rsidRDefault="00E310B7" w:rsidP="003957AD">
      <w:pPr>
        <w:pStyle w:val="ListParagraph"/>
        <w:numPr>
          <w:ilvl w:val="0"/>
          <w:numId w:val="14"/>
        </w:numPr>
        <w:spacing w:after="120"/>
        <w:ind w:left="425" w:hanging="425"/>
        <w:jc w:val="both"/>
      </w:pPr>
      <w:proofErr w:type="gramStart"/>
      <w:r>
        <w:t>c</w:t>
      </w:r>
      <w:r w:rsidR="002F3FF8">
        <w:t>onsistent</w:t>
      </w:r>
      <w:proofErr w:type="gramEnd"/>
      <w:r w:rsidR="002F3FF8">
        <w:t xml:space="preserve"> methods for sharing personal information between services working with young people.</w:t>
      </w:r>
    </w:p>
    <w:p w14:paraId="479F19C1" w14:textId="7F4EE30B" w:rsidR="0088352F" w:rsidRDefault="002F3FF8" w:rsidP="004F1B7A">
      <w:pPr>
        <w:spacing w:after="120"/>
        <w:jc w:val="both"/>
      </w:pPr>
      <w:r>
        <w:t>The Youth Partnerships initiative has been extended to the end of June 2014. This extension will allow the Secretariat to provide more comprehensive and robust advice to government on system reform that will improve responses to vulnerable young people.</w:t>
      </w:r>
    </w:p>
    <w:p w14:paraId="6E1F1D0A" w14:textId="77777777" w:rsidR="004F1B7A" w:rsidRDefault="004F1B7A" w:rsidP="00DE0473">
      <w:pPr>
        <w:pStyle w:val="Heading4"/>
        <w:spacing w:after="120"/>
      </w:pPr>
      <w:r w:rsidRPr="007B6922">
        <w:lastRenderedPageBreak/>
        <w:t>Local Solutions Year 12 Retention Fund</w:t>
      </w:r>
    </w:p>
    <w:p w14:paraId="39977E69" w14:textId="77777777" w:rsidR="004F1B7A" w:rsidRDefault="004F1B7A" w:rsidP="004F1B7A">
      <w:pPr>
        <w:spacing w:after="120"/>
        <w:jc w:val="both"/>
      </w:pPr>
      <w:r w:rsidRPr="00104595">
        <w:rPr>
          <w:rFonts w:cs="Arial"/>
          <w:color w:val="000000"/>
          <w:lang w:val="en-US"/>
        </w:rPr>
        <w:t>The Local Solutions Year 12 Retention Fund is an innovative Victorian initiative that supports Victorian secondary, P–12 colleges and special schools to address retention rates in regional and rural communities</w:t>
      </w:r>
      <w:r w:rsidRPr="00104595">
        <w:t xml:space="preserve">. </w:t>
      </w:r>
    </w:p>
    <w:p w14:paraId="47F68E43" w14:textId="77777777" w:rsidR="004F1B7A" w:rsidRDefault="004F1B7A" w:rsidP="004F1B7A">
      <w:pPr>
        <w:spacing w:after="120"/>
        <w:jc w:val="both"/>
      </w:pPr>
      <w:r w:rsidRPr="002F732C">
        <w:t xml:space="preserve">Rural and regional student retention rates are significantly lower </w:t>
      </w:r>
      <w:r>
        <w:t>compared with</w:t>
      </w:r>
      <w:r w:rsidRPr="002F732C">
        <w:t xml:space="preserve"> metropolitan schools due to a range of factors including access, demographics</w:t>
      </w:r>
      <w:r>
        <w:t>,</w:t>
      </w:r>
      <w:r w:rsidRPr="002F732C">
        <w:t xml:space="preserve"> and family and student aspirations. The Fund </w:t>
      </w:r>
      <w:r>
        <w:t xml:space="preserve">is </w:t>
      </w:r>
      <w:r w:rsidRPr="002F732C">
        <w:t>support</w:t>
      </w:r>
      <w:r>
        <w:t>ing</w:t>
      </w:r>
      <w:r w:rsidRPr="002F732C">
        <w:t xml:space="preserve"> individual </w:t>
      </w:r>
      <w:r>
        <w:t xml:space="preserve">schools and clusters of </w:t>
      </w:r>
      <w:r w:rsidRPr="002F732C">
        <w:t xml:space="preserve">schools in </w:t>
      </w:r>
      <w:r>
        <w:t>these</w:t>
      </w:r>
      <w:r w:rsidRPr="002F732C">
        <w:t xml:space="preserve"> </w:t>
      </w:r>
      <w:r>
        <w:t>regions</w:t>
      </w:r>
      <w:r w:rsidRPr="002F732C">
        <w:t xml:space="preserve"> to design and deliver programs and initiatives that improve school retention rates and expand on the range of path</w:t>
      </w:r>
      <w:r>
        <w:t>way options for senior students</w:t>
      </w:r>
      <w:r w:rsidRPr="00920495">
        <w:t xml:space="preserve"> </w:t>
      </w:r>
      <w:r>
        <w:t>t</w:t>
      </w:r>
      <w:r w:rsidRPr="002F732C">
        <w:t>hrough local</w:t>
      </w:r>
      <w:r>
        <w:t>ly driven,</w:t>
      </w:r>
      <w:r w:rsidRPr="002F732C">
        <w:t xml:space="preserve"> flex</w:t>
      </w:r>
      <w:r>
        <w:t>ible responses.</w:t>
      </w:r>
      <w:r w:rsidRPr="002F732C">
        <w:t xml:space="preserve"> </w:t>
      </w:r>
    </w:p>
    <w:p w14:paraId="22A2F774" w14:textId="77777777" w:rsidR="004F1B7A" w:rsidRDefault="004F1B7A" w:rsidP="004F1B7A">
      <w:pPr>
        <w:spacing w:after="120"/>
        <w:jc w:val="both"/>
      </w:pPr>
      <w:r>
        <w:t>Victoria</w:t>
      </w:r>
      <w:r w:rsidRPr="005108FF">
        <w:t xml:space="preserve"> has provided $5 million over four years </w:t>
      </w:r>
      <w:r>
        <w:t xml:space="preserve">from the beginning of 2012 </w:t>
      </w:r>
      <w:r w:rsidRPr="005108FF">
        <w:t xml:space="preserve">for the </w:t>
      </w:r>
      <w:r>
        <w:t>Fund to support t</w:t>
      </w:r>
      <w:r w:rsidRPr="005108FF">
        <w:t>wo rounds of two-year grants</w:t>
      </w:r>
      <w:r>
        <w:t xml:space="preserve"> to</w:t>
      </w:r>
      <w:r w:rsidRPr="005108FF">
        <w:t xml:space="preserve"> Government, Catholic and Independent</w:t>
      </w:r>
      <w:r>
        <w:t>,</w:t>
      </w:r>
      <w:r w:rsidRPr="005108FF">
        <w:t xml:space="preserve"> P-12 and secondary schools (including specialist schools)</w:t>
      </w:r>
      <w:r>
        <w:t xml:space="preserve"> in regional and rural Victoria.</w:t>
      </w:r>
    </w:p>
    <w:p w14:paraId="19C469E2" w14:textId="77777777" w:rsidR="004F1B7A" w:rsidRDefault="004F1B7A" w:rsidP="004F1B7A">
      <w:pPr>
        <w:spacing w:after="120"/>
        <w:jc w:val="both"/>
      </w:pPr>
      <w:r>
        <w:t>Round one</w:t>
      </w:r>
      <w:r w:rsidRPr="005108FF">
        <w:t xml:space="preserve"> </w:t>
      </w:r>
      <w:proofErr w:type="gramStart"/>
      <w:r w:rsidRPr="005108FF">
        <w:t>applications</w:t>
      </w:r>
      <w:proofErr w:type="gramEnd"/>
      <w:r w:rsidRPr="005108FF">
        <w:t xml:space="preserve"> were encouraged from schools </w:t>
      </w:r>
      <w:r>
        <w:t xml:space="preserve">across sectors </w:t>
      </w:r>
      <w:r w:rsidRPr="005108FF">
        <w:t xml:space="preserve">within the same community. </w:t>
      </w:r>
      <w:r>
        <w:t xml:space="preserve">There were </w:t>
      </w:r>
      <w:r w:rsidRPr="002F732C">
        <w:t>37 schools granted funding from round one that supported projects across a broad range of areas</w:t>
      </w:r>
      <w:r>
        <w:t xml:space="preserve"> including</w:t>
      </w:r>
      <w:r w:rsidRPr="005108FF">
        <w:t>:</w:t>
      </w:r>
    </w:p>
    <w:p w14:paraId="01A7CCBC" w14:textId="77777777" w:rsidR="004F1B7A" w:rsidRDefault="004F1B7A" w:rsidP="003957AD">
      <w:pPr>
        <w:pStyle w:val="ListParagraph"/>
        <w:numPr>
          <w:ilvl w:val="0"/>
          <w:numId w:val="27"/>
        </w:numPr>
        <w:spacing w:after="120"/>
        <w:jc w:val="both"/>
      </w:pPr>
      <w:r>
        <w:t>t</w:t>
      </w:r>
      <w:r w:rsidRPr="005108FF">
        <w:t>argeted project</w:t>
      </w:r>
      <w:r>
        <w:t>s</w:t>
      </w:r>
      <w:r w:rsidRPr="005108FF">
        <w:t xml:space="preserve"> to engage at-risk students within </w:t>
      </w:r>
      <w:r>
        <w:t xml:space="preserve">both </w:t>
      </w:r>
      <w:r w:rsidRPr="005108FF">
        <w:t>mainstream</w:t>
      </w:r>
      <w:r>
        <w:t xml:space="preserve"> and alternative</w:t>
      </w:r>
      <w:r w:rsidRPr="005108FF">
        <w:t xml:space="preserve"> settings</w:t>
      </w:r>
      <w:r>
        <w:t>;</w:t>
      </w:r>
      <w:r w:rsidRPr="005108FF">
        <w:t xml:space="preserve"> </w:t>
      </w:r>
    </w:p>
    <w:p w14:paraId="42DE2800" w14:textId="77777777" w:rsidR="004F1B7A" w:rsidRDefault="004F1B7A" w:rsidP="003957AD">
      <w:pPr>
        <w:pStyle w:val="ListParagraph"/>
        <w:numPr>
          <w:ilvl w:val="0"/>
          <w:numId w:val="27"/>
        </w:numPr>
        <w:spacing w:after="120"/>
        <w:jc w:val="both"/>
      </w:pPr>
      <w:r>
        <w:t>e</w:t>
      </w:r>
      <w:r w:rsidRPr="005108FF">
        <w:t xml:space="preserve">xpansion of vocational provision in </w:t>
      </w:r>
      <w:r>
        <w:t xml:space="preserve">both </w:t>
      </w:r>
      <w:r w:rsidRPr="005108FF">
        <w:t>mainstream</w:t>
      </w:r>
      <w:r>
        <w:t xml:space="preserve"> and </w:t>
      </w:r>
      <w:r w:rsidRPr="005108FF">
        <w:t>alternative settings</w:t>
      </w:r>
      <w:r>
        <w:t>;</w:t>
      </w:r>
    </w:p>
    <w:p w14:paraId="70E29514" w14:textId="77777777" w:rsidR="004F1B7A" w:rsidRDefault="004F1B7A" w:rsidP="003957AD">
      <w:pPr>
        <w:pStyle w:val="ListParagraph"/>
        <w:numPr>
          <w:ilvl w:val="0"/>
          <w:numId w:val="27"/>
        </w:numPr>
        <w:spacing w:after="120"/>
        <w:jc w:val="both"/>
      </w:pPr>
      <w:r>
        <w:t>a</w:t>
      </w:r>
      <w:r w:rsidRPr="005108FF">
        <w:t>cademic/pathways enrichment</w:t>
      </w:r>
      <w:r>
        <w:t>; and</w:t>
      </w:r>
    </w:p>
    <w:p w14:paraId="4A137F12" w14:textId="77777777" w:rsidR="004F1B7A" w:rsidRDefault="004F1B7A" w:rsidP="003957AD">
      <w:pPr>
        <w:pStyle w:val="ListParagraph"/>
        <w:numPr>
          <w:ilvl w:val="0"/>
          <w:numId w:val="27"/>
        </w:numPr>
        <w:spacing w:after="120"/>
        <w:jc w:val="both"/>
      </w:pPr>
      <w:proofErr w:type="gramStart"/>
      <w:r>
        <w:t>e</w:t>
      </w:r>
      <w:r w:rsidRPr="005108FF">
        <w:t>xpansion</w:t>
      </w:r>
      <w:proofErr w:type="gramEnd"/>
      <w:r w:rsidRPr="005108FF">
        <w:t xml:space="preserve"> of curriculum provision. </w:t>
      </w:r>
    </w:p>
    <w:p w14:paraId="324FA365" w14:textId="77C7D601" w:rsidR="004F1B7A" w:rsidRPr="005108FF" w:rsidRDefault="004F1B7A" w:rsidP="004F1B7A">
      <w:pPr>
        <w:spacing w:after="120"/>
        <w:jc w:val="both"/>
      </w:pPr>
      <w:r w:rsidRPr="005108FF">
        <w:t xml:space="preserve">An analysis of the progress reports </w:t>
      </w:r>
      <w:r>
        <w:t xml:space="preserve">in 2012 </w:t>
      </w:r>
      <w:r w:rsidRPr="005108FF">
        <w:t>from the</w:t>
      </w:r>
      <w:r>
        <w:t xml:space="preserve"> participating schools has indicated</w:t>
      </w:r>
      <w:r w:rsidRPr="005108FF">
        <w:t xml:space="preserve"> that </w:t>
      </w:r>
      <w:r>
        <w:t>all</w:t>
      </w:r>
      <w:r w:rsidRPr="005108FF">
        <w:t xml:space="preserve"> projects are progressing </w:t>
      </w:r>
      <w:r>
        <w:t>well toward their project outcomes</w:t>
      </w:r>
      <w:r w:rsidRPr="005108FF">
        <w:t xml:space="preserve">.  Schools </w:t>
      </w:r>
      <w:r>
        <w:t xml:space="preserve">from round one </w:t>
      </w:r>
      <w:r w:rsidRPr="005108FF">
        <w:t xml:space="preserve">will be </w:t>
      </w:r>
      <w:r w:rsidR="009025B0">
        <w:t xml:space="preserve">submitting </w:t>
      </w:r>
      <w:r w:rsidRPr="005108FF">
        <w:t>their final report in November</w:t>
      </w:r>
      <w:r>
        <w:t xml:space="preserve"> 2013</w:t>
      </w:r>
      <w:r w:rsidRPr="005108FF">
        <w:t xml:space="preserve">.  </w:t>
      </w:r>
      <w:r>
        <w:t>E</w:t>
      </w:r>
      <w:r w:rsidRPr="005108FF">
        <w:t xml:space="preserve">valuation of </w:t>
      </w:r>
      <w:r>
        <w:t>all r</w:t>
      </w:r>
      <w:r w:rsidRPr="005108FF">
        <w:t xml:space="preserve">ound </w:t>
      </w:r>
      <w:r>
        <w:t>one</w:t>
      </w:r>
      <w:r w:rsidRPr="005108FF">
        <w:t xml:space="preserve"> </w:t>
      </w:r>
      <w:proofErr w:type="gramStart"/>
      <w:r w:rsidRPr="005108FF">
        <w:t>projects</w:t>
      </w:r>
      <w:proofErr w:type="gramEnd"/>
      <w:r>
        <w:t xml:space="preserve"> will be conducted</w:t>
      </w:r>
      <w:r w:rsidRPr="005108FF">
        <w:t xml:space="preserve"> by the University of Melbourne.</w:t>
      </w:r>
    </w:p>
    <w:p w14:paraId="79F5B69F" w14:textId="77777777" w:rsidR="0088352F" w:rsidRDefault="004F1B7A" w:rsidP="002318CE">
      <w:pPr>
        <w:spacing w:after="120"/>
      </w:pPr>
      <w:r w:rsidRPr="005108FF">
        <w:t xml:space="preserve">Applications for </w:t>
      </w:r>
      <w:r>
        <w:t>projects to be supported by round two</w:t>
      </w:r>
      <w:r w:rsidRPr="005108FF">
        <w:t xml:space="preserve"> funding will open in September 2013.</w:t>
      </w:r>
    </w:p>
    <w:p w14:paraId="48063664" w14:textId="626BE6A6" w:rsidR="00656988" w:rsidRPr="00084183" w:rsidRDefault="00084183" w:rsidP="00DE0473">
      <w:pPr>
        <w:pStyle w:val="Heading4"/>
        <w:spacing w:after="120"/>
      </w:pPr>
      <w:r>
        <w:t>Youth Foyers</w:t>
      </w:r>
    </w:p>
    <w:p w14:paraId="316176B8" w14:textId="77777777" w:rsidR="00084183" w:rsidRPr="00084183" w:rsidRDefault="00084183" w:rsidP="002318CE">
      <w:pPr>
        <w:autoSpaceDE w:val="0"/>
        <w:autoSpaceDN w:val="0"/>
        <w:adjustRightInd w:val="0"/>
        <w:spacing w:after="120"/>
        <w:jc w:val="both"/>
        <w:rPr>
          <w:rFonts w:cs="Calibri"/>
          <w:color w:val="000000"/>
        </w:rPr>
      </w:pPr>
      <w:r w:rsidRPr="00084183">
        <w:rPr>
          <w:rFonts w:cs="Calibri"/>
          <w:color w:val="000000"/>
        </w:rPr>
        <w:t xml:space="preserve">The Victorian Government has invested $29.1 million for three 40 bed Youth Foyers in Melbourne and regional Victoria. A highly successful support model for homeless youth internationally, the Youth Foyers </w:t>
      </w:r>
      <w:r w:rsidR="007B6922">
        <w:rPr>
          <w:rFonts w:cs="Calibri"/>
          <w:color w:val="000000"/>
        </w:rPr>
        <w:t xml:space="preserve">are </w:t>
      </w:r>
      <w:r w:rsidRPr="00084183">
        <w:rPr>
          <w:rFonts w:cs="Calibri"/>
          <w:color w:val="000000"/>
        </w:rPr>
        <w:t xml:space="preserve">supervised by staff 24 hours a day. </w:t>
      </w:r>
    </w:p>
    <w:p w14:paraId="031439E7" w14:textId="77777777" w:rsidR="00084183" w:rsidRPr="00084183" w:rsidRDefault="00084183" w:rsidP="00647A76">
      <w:pPr>
        <w:autoSpaceDE w:val="0"/>
        <w:autoSpaceDN w:val="0"/>
        <w:adjustRightInd w:val="0"/>
        <w:spacing w:before="120"/>
        <w:jc w:val="both"/>
        <w:rPr>
          <w:rFonts w:cs="Calibri"/>
          <w:color w:val="000000"/>
        </w:rPr>
      </w:pPr>
      <w:r w:rsidRPr="00084183">
        <w:rPr>
          <w:rFonts w:cs="Calibri"/>
          <w:color w:val="000000"/>
        </w:rPr>
        <w:t xml:space="preserve">They provide education, training and general support to young people aged between 16 and 25 who are homeless or at risk of homelessness to help them participate in education, employment and training, with medium-term accommodation in a safe and supportive environment for up to two years, both on-site and in-community support.  </w:t>
      </w:r>
    </w:p>
    <w:p w14:paraId="39FE0A37" w14:textId="77777777" w:rsidR="00656988" w:rsidRPr="00084183" w:rsidRDefault="00084183" w:rsidP="00647A76">
      <w:pPr>
        <w:autoSpaceDE w:val="0"/>
        <w:autoSpaceDN w:val="0"/>
        <w:adjustRightInd w:val="0"/>
        <w:spacing w:before="120"/>
        <w:jc w:val="both"/>
        <w:rPr>
          <w:rFonts w:cs="Calibri"/>
          <w:color w:val="000000"/>
        </w:rPr>
      </w:pPr>
      <w:r w:rsidRPr="00084183">
        <w:rPr>
          <w:rFonts w:cs="Calibri"/>
          <w:color w:val="000000"/>
        </w:rPr>
        <w:t>The Foyers will be supported by a consortium of support agencies, including homelessness services, education providers, and housing managers with links to health and welfare services. Holmesglen Youth Foyer commences operation in mid</w:t>
      </w:r>
      <w:r w:rsidR="00E170FB">
        <w:rPr>
          <w:rFonts w:cs="Calibri"/>
          <w:color w:val="000000"/>
        </w:rPr>
        <w:t>-</w:t>
      </w:r>
      <w:r w:rsidRPr="00084183">
        <w:rPr>
          <w:rFonts w:cs="Calibri"/>
          <w:color w:val="000000"/>
        </w:rPr>
        <w:t>2013. Construction of a purpose built Foyer at Broadmeadows has commenced and is expected to be completed late 2013. A third Youth Foyer will be built in rural Victoria</w:t>
      </w:r>
      <w:r w:rsidR="00E170FB">
        <w:rPr>
          <w:rFonts w:cs="Calibri"/>
          <w:color w:val="000000"/>
        </w:rPr>
        <w:t>.</w:t>
      </w:r>
    </w:p>
    <w:p w14:paraId="61DABBC5" w14:textId="77777777" w:rsidR="00084183" w:rsidRPr="00084183" w:rsidRDefault="00084183" w:rsidP="00DE0473">
      <w:pPr>
        <w:pStyle w:val="Heading4"/>
      </w:pPr>
      <w:r>
        <w:t>Springboard</w:t>
      </w:r>
    </w:p>
    <w:p w14:paraId="1F62529B" w14:textId="77777777" w:rsidR="00084183" w:rsidRDefault="00084183" w:rsidP="00647A76">
      <w:pPr>
        <w:spacing w:before="120"/>
        <w:jc w:val="both"/>
      </w:pPr>
      <w:r>
        <w:t xml:space="preserve">The Victorian Government has invested $16.9 million in the Springboard program to help young people leaving residential out-of-home care to access education and employment. </w:t>
      </w:r>
    </w:p>
    <w:p w14:paraId="1A07B637" w14:textId="5079A1D3" w:rsidR="00084183" w:rsidRDefault="00084183" w:rsidP="00647A76">
      <w:pPr>
        <w:spacing w:before="120"/>
        <w:jc w:val="both"/>
      </w:pPr>
      <w:r>
        <w:t>Springboard provides one-on-one support to develop young people’s skills through education, training and work experience so they may gain secure, long-term employment.</w:t>
      </w:r>
      <w:r w:rsidR="001916DF">
        <w:t xml:space="preserve"> </w:t>
      </w:r>
      <w:r>
        <w:t>Springboard assists</w:t>
      </w:r>
      <w:r w:rsidR="007B6922">
        <w:t xml:space="preserve"> over 250 </w:t>
      </w:r>
      <w:r>
        <w:t>young people per</w:t>
      </w:r>
      <w:r w:rsidR="007B6922">
        <w:t xml:space="preserve"> year</w:t>
      </w:r>
      <w:r>
        <w:t xml:space="preserve">. </w:t>
      </w:r>
    </w:p>
    <w:p w14:paraId="34E60E69" w14:textId="77777777" w:rsidR="00167D3D" w:rsidRPr="00647A76" w:rsidRDefault="00167D3D" w:rsidP="003C339B">
      <w:pPr>
        <w:pStyle w:val="Heading3"/>
        <w:ind w:left="0"/>
        <w:jc w:val="both"/>
        <w:rPr>
          <w:rFonts w:asciiTheme="minorHAnsi" w:hAnsiTheme="minorHAnsi"/>
        </w:rPr>
      </w:pPr>
      <w:r w:rsidRPr="00647A76">
        <w:rPr>
          <w:rFonts w:asciiTheme="minorHAnsi" w:hAnsiTheme="minorHAnsi"/>
        </w:rPr>
        <w:lastRenderedPageBreak/>
        <w:t>Progress/ impact as a result of the YAT NP</w:t>
      </w:r>
    </w:p>
    <w:p w14:paraId="01514646" w14:textId="684FBBB9" w:rsidR="00A05899" w:rsidRDefault="004D5D53" w:rsidP="009C0623">
      <w:pPr>
        <w:pStyle w:val="Heading2"/>
        <w:spacing w:before="360"/>
        <w:jc w:val="both"/>
      </w:pPr>
      <w:bookmarkStart w:id="11" w:name="_Toc320003798"/>
      <w:bookmarkStart w:id="12" w:name="_Toc384042850"/>
      <w:r>
        <w:t>Maximising Engagement, Attainment and Successful Transitions</w:t>
      </w:r>
      <w:bookmarkEnd w:id="11"/>
      <w:bookmarkEnd w:id="12"/>
      <w:r>
        <w:t xml:space="preserve"> </w:t>
      </w:r>
    </w:p>
    <w:p w14:paraId="1563481E" w14:textId="719EB518" w:rsidR="008E31EE" w:rsidRPr="00BE6608" w:rsidRDefault="008E31EE" w:rsidP="00837063">
      <w:pPr>
        <w:pStyle w:val="Heading4"/>
      </w:pPr>
      <w:r w:rsidRPr="00BE6608">
        <w:t xml:space="preserve">Table 1: </w:t>
      </w:r>
      <w:r w:rsidR="00BE6608">
        <w:t xml:space="preserve">Overall </w:t>
      </w:r>
      <w:r w:rsidRPr="00BE6608">
        <w:t xml:space="preserve">2012 </w:t>
      </w:r>
      <w:r w:rsidR="00BE6608" w:rsidRPr="00BE6608">
        <w:t>Funding Allocations</w:t>
      </w:r>
      <w:r w:rsidRPr="00BE6608">
        <w:t xml:space="preserve"> to YAT NP </w:t>
      </w:r>
      <w:r w:rsidR="00BE6608" w:rsidRPr="00BE6608">
        <w:t>initiatives</w:t>
      </w:r>
    </w:p>
    <w:tbl>
      <w:tblPr>
        <w:tblStyle w:val="TableGrid"/>
        <w:tblW w:w="0" w:type="auto"/>
        <w:tblInd w:w="108" w:type="dxa"/>
        <w:tblLook w:val="04A0" w:firstRow="1" w:lastRow="0" w:firstColumn="1" w:lastColumn="0" w:noHBand="0" w:noVBand="1"/>
        <w:tblDescription w:val="Table 1: Overall 2012 Funding Allocations to YAT NP initiatives"/>
      </w:tblPr>
      <w:tblGrid>
        <w:gridCol w:w="1014"/>
        <w:gridCol w:w="3130"/>
        <w:gridCol w:w="3134"/>
        <w:gridCol w:w="2236"/>
      </w:tblGrid>
      <w:tr w:rsidR="00930E6E" w:rsidRPr="00DB470E" w14:paraId="32126DB4" w14:textId="77777777" w:rsidTr="00793CB6">
        <w:trPr>
          <w:trHeight w:val="617"/>
          <w:tblHeader/>
        </w:trPr>
        <w:tc>
          <w:tcPr>
            <w:tcW w:w="1014" w:type="dxa"/>
            <w:shd w:val="clear" w:color="auto" w:fill="D6E3BC" w:themeFill="accent3" w:themeFillTint="66"/>
          </w:tcPr>
          <w:p w14:paraId="26018E20" w14:textId="77777777" w:rsidR="00A05899" w:rsidRPr="00B4016E" w:rsidRDefault="00F125C1" w:rsidP="003C339B">
            <w:pPr>
              <w:spacing w:after="40"/>
              <w:jc w:val="both"/>
              <w:rPr>
                <w:b/>
              </w:rPr>
            </w:pPr>
            <w:r w:rsidRPr="00B4016E">
              <w:rPr>
                <w:b/>
              </w:rPr>
              <w:t>Year</w:t>
            </w:r>
          </w:p>
        </w:tc>
        <w:tc>
          <w:tcPr>
            <w:tcW w:w="3130" w:type="dxa"/>
            <w:shd w:val="clear" w:color="auto" w:fill="D6E3BC" w:themeFill="accent3" w:themeFillTint="66"/>
          </w:tcPr>
          <w:p w14:paraId="24B618ED" w14:textId="77777777" w:rsidR="00A05899" w:rsidRPr="00B4016E" w:rsidRDefault="00F125C1" w:rsidP="003C339B">
            <w:pPr>
              <w:spacing w:after="40"/>
              <w:jc w:val="both"/>
              <w:rPr>
                <w:b/>
              </w:rPr>
            </w:pPr>
            <w:r w:rsidRPr="00B4016E">
              <w:rPr>
                <w:b/>
              </w:rPr>
              <w:t>Multiple Learning Pathways</w:t>
            </w:r>
          </w:p>
        </w:tc>
        <w:tc>
          <w:tcPr>
            <w:tcW w:w="3134" w:type="dxa"/>
            <w:shd w:val="clear" w:color="auto" w:fill="D6E3BC" w:themeFill="accent3" w:themeFillTint="66"/>
          </w:tcPr>
          <w:p w14:paraId="78E6FD05" w14:textId="77777777" w:rsidR="00A05899" w:rsidRPr="00B4016E" w:rsidRDefault="00F125C1" w:rsidP="003C339B">
            <w:pPr>
              <w:spacing w:after="40"/>
              <w:jc w:val="both"/>
              <w:rPr>
                <w:b/>
              </w:rPr>
            </w:pPr>
            <w:r w:rsidRPr="00B4016E">
              <w:rPr>
                <w:b/>
              </w:rPr>
              <w:t>Mentoring</w:t>
            </w:r>
          </w:p>
        </w:tc>
        <w:tc>
          <w:tcPr>
            <w:tcW w:w="2236" w:type="dxa"/>
            <w:shd w:val="clear" w:color="auto" w:fill="D6E3BC" w:themeFill="accent3" w:themeFillTint="66"/>
          </w:tcPr>
          <w:p w14:paraId="5085A4DC" w14:textId="77777777" w:rsidR="00A05899" w:rsidRPr="00B4016E" w:rsidRDefault="00F125C1" w:rsidP="003C339B">
            <w:pPr>
              <w:spacing w:after="40"/>
              <w:jc w:val="both"/>
              <w:rPr>
                <w:b/>
              </w:rPr>
            </w:pPr>
            <w:r w:rsidRPr="00B4016E">
              <w:rPr>
                <w:b/>
              </w:rPr>
              <w:t>Career Development</w:t>
            </w:r>
          </w:p>
        </w:tc>
      </w:tr>
      <w:tr w:rsidR="00930E6E" w:rsidRPr="00DB470E" w14:paraId="6301129D" w14:textId="77777777" w:rsidTr="00F81216">
        <w:trPr>
          <w:trHeight w:val="341"/>
        </w:trPr>
        <w:tc>
          <w:tcPr>
            <w:tcW w:w="1014" w:type="dxa"/>
            <w:shd w:val="clear" w:color="auto" w:fill="D9D9D9" w:themeFill="background1" w:themeFillShade="D9"/>
          </w:tcPr>
          <w:p w14:paraId="08076DCF" w14:textId="77777777" w:rsidR="00A05899" w:rsidRPr="00B4016E" w:rsidRDefault="00F125C1" w:rsidP="003C339B">
            <w:pPr>
              <w:spacing w:after="40"/>
              <w:jc w:val="both"/>
              <w:rPr>
                <w:b/>
                <w:sz w:val="20"/>
                <w:szCs w:val="20"/>
              </w:rPr>
            </w:pPr>
            <w:r w:rsidRPr="00B4016E">
              <w:rPr>
                <w:b/>
                <w:sz w:val="20"/>
                <w:szCs w:val="20"/>
              </w:rPr>
              <w:t>201</w:t>
            </w:r>
            <w:r w:rsidR="00F300BD" w:rsidRPr="00B4016E">
              <w:rPr>
                <w:b/>
                <w:sz w:val="20"/>
                <w:szCs w:val="20"/>
              </w:rPr>
              <w:t>2</w:t>
            </w:r>
          </w:p>
        </w:tc>
        <w:tc>
          <w:tcPr>
            <w:tcW w:w="3130" w:type="dxa"/>
          </w:tcPr>
          <w:p w14:paraId="200C4264" w14:textId="3E8D7E00" w:rsidR="00A05899" w:rsidRDefault="00F125C1" w:rsidP="003C339B">
            <w:pPr>
              <w:spacing w:after="40"/>
              <w:jc w:val="both"/>
            </w:pPr>
            <w:r w:rsidRPr="00F125C1">
              <w:t>$</w:t>
            </w:r>
            <w:r w:rsidR="009C0623">
              <w:t>8,948,000</w:t>
            </w:r>
          </w:p>
        </w:tc>
        <w:tc>
          <w:tcPr>
            <w:tcW w:w="3134" w:type="dxa"/>
          </w:tcPr>
          <w:p w14:paraId="115BC5E8" w14:textId="1F222C0C" w:rsidR="00A05899" w:rsidRDefault="00F125C1" w:rsidP="004F77C8">
            <w:pPr>
              <w:spacing w:after="40"/>
              <w:jc w:val="both"/>
            </w:pPr>
            <w:r w:rsidRPr="004F77C8">
              <w:t>$</w:t>
            </w:r>
            <w:r w:rsidR="004F77C8" w:rsidRPr="004F77C8">
              <w:t>364,961</w:t>
            </w:r>
          </w:p>
        </w:tc>
        <w:tc>
          <w:tcPr>
            <w:tcW w:w="2236" w:type="dxa"/>
          </w:tcPr>
          <w:p w14:paraId="08C40504" w14:textId="7B22712D" w:rsidR="00A05899" w:rsidRDefault="00F125C1" w:rsidP="00880984">
            <w:pPr>
              <w:spacing w:after="40"/>
              <w:jc w:val="both"/>
            </w:pPr>
            <w:r w:rsidRPr="00880984">
              <w:t>$</w:t>
            </w:r>
            <w:r w:rsidR="009C0623" w:rsidRPr="00880984">
              <w:t>3,</w:t>
            </w:r>
            <w:r w:rsidR="00880984" w:rsidRPr="00880984">
              <w:t>215,540</w:t>
            </w:r>
          </w:p>
        </w:tc>
      </w:tr>
    </w:tbl>
    <w:p w14:paraId="3B33F8A9" w14:textId="77777777" w:rsidR="001916DF" w:rsidRDefault="001916DF" w:rsidP="003C339B">
      <w:pPr>
        <w:spacing w:line="240" w:lineRule="auto"/>
        <w:jc w:val="both"/>
        <w:rPr>
          <w:color w:val="000000"/>
        </w:rPr>
      </w:pPr>
      <w:bookmarkStart w:id="13" w:name="OLE_LINK1"/>
    </w:p>
    <w:p w14:paraId="440C29C7" w14:textId="3E90E09E" w:rsidR="000B2D80" w:rsidRDefault="00CC78E3" w:rsidP="009C0623">
      <w:pPr>
        <w:jc w:val="both"/>
      </w:pPr>
      <w:proofErr w:type="spellStart"/>
      <w:r>
        <w:rPr>
          <w:color w:val="000000"/>
        </w:rPr>
        <w:t>NPYAT</w:t>
      </w:r>
      <w:proofErr w:type="spellEnd"/>
      <w:r>
        <w:rPr>
          <w:color w:val="000000"/>
        </w:rPr>
        <w:t xml:space="preserve"> f</w:t>
      </w:r>
      <w:r w:rsidRPr="00EB3526">
        <w:rPr>
          <w:color w:val="000000"/>
        </w:rPr>
        <w:t>unding for Maximising Engagement, Attainment and Successful Transiti</w:t>
      </w:r>
      <w:r>
        <w:rPr>
          <w:color w:val="000000"/>
        </w:rPr>
        <w:t>ons (</w:t>
      </w:r>
      <w:proofErr w:type="spellStart"/>
      <w:r>
        <w:rPr>
          <w:color w:val="000000"/>
        </w:rPr>
        <w:t>MEAST</w:t>
      </w:r>
      <w:proofErr w:type="spellEnd"/>
      <w:r>
        <w:rPr>
          <w:color w:val="000000"/>
        </w:rPr>
        <w:t>) in Victoria was allocated across</w:t>
      </w:r>
      <w:r w:rsidRPr="00EB3526">
        <w:rPr>
          <w:color w:val="000000"/>
        </w:rPr>
        <w:t xml:space="preserve"> four </w:t>
      </w:r>
      <w:r>
        <w:rPr>
          <w:color w:val="000000"/>
        </w:rPr>
        <w:t>initiative</w:t>
      </w:r>
      <w:r w:rsidRPr="00EB3526">
        <w:rPr>
          <w:color w:val="000000"/>
        </w:rPr>
        <w:t>s.</w:t>
      </w:r>
      <w:r w:rsidR="00535098">
        <w:rPr>
          <w:color w:val="000000"/>
        </w:rPr>
        <w:t xml:space="preserve"> In the table above, Workplace Learning Coordinators and Apprenticeship Support Officer initiatives are stated in the ‘</w:t>
      </w:r>
      <w:r w:rsidR="00535098" w:rsidRPr="00535098">
        <w:rPr>
          <w:i/>
        </w:rPr>
        <w:t>Multiple Learning Pathways</w:t>
      </w:r>
      <w:r w:rsidR="00535098">
        <w:rPr>
          <w:i/>
        </w:rPr>
        <w:t>’</w:t>
      </w:r>
      <w:r w:rsidR="00535098">
        <w:t xml:space="preserve"> category. The Careers Mentoring Network initiative is stated </w:t>
      </w:r>
      <w:r w:rsidR="00F70EB3">
        <w:t xml:space="preserve">in the </w:t>
      </w:r>
      <w:r w:rsidR="00F70EB3" w:rsidRPr="00F70EB3">
        <w:rPr>
          <w:i/>
        </w:rPr>
        <w:t>‘Mentoring’</w:t>
      </w:r>
      <w:r w:rsidR="00F70EB3">
        <w:t xml:space="preserve"> category, and all other Victorian </w:t>
      </w:r>
      <w:proofErr w:type="spellStart"/>
      <w:r w:rsidR="00F70EB3">
        <w:t>MEAST</w:t>
      </w:r>
      <w:proofErr w:type="spellEnd"/>
      <w:r w:rsidR="00F70EB3">
        <w:t xml:space="preserve"> programs are placed under ‘</w:t>
      </w:r>
      <w:r w:rsidR="00F70EB3" w:rsidRPr="00F70EB3">
        <w:rPr>
          <w:i/>
        </w:rPr>
        <w:t>Career Development’</w:t>
      </w:r>
      <w:r w:rsidR="00F70EB3">
        <w:rPr>
          <w:i/>
        </w:rPr>
        <w:t xml:space="preserve">. </w:t>
      </w:r>
      <w:r w:rsidR="00F70EB3" w:rsidRPr="00F70EB3">
        <w:t xml:space="preserve">Funding for </w:t>
      </w:r>
      <w:proofErr w:type="spellStart"/>
      <w:r w:rsidR="00F70EB3" w:rsidRPr="00F70EB3">
        <w:t>Koorie</w:t>
      </w:r>
      <w:proofErr w:type="spellEnd"/>
      <w:r w:rsidR="00F70EB3" w:rsidRPr="00F70EB3">
        <w:t xml:space="preserve"> Transition Officers is stated in the ‘Career Development’ category.</w:t>
      </w:r>
    </w:p>
    <w:p w14:paraId="558AFC8D" w14:textId="77777777" w:rsidR="00837063" w:rsidRDefault="00837063" w:rsidP="009C0623">
      <w:pPr>
        <w:jc w:val="both"/>
      </w:pPr>
    </w:p>
    <w:bookmarkEnd w:id="13"/>
    <w:p w14:paraId="21AB8BA0" w14:textId="77777777" w:rsidR="00CC78E3" w:rsidRPr="0088352F" w:rsidRDefault="00CC78E3" w:rsidP="003957AD">
      <w:pPr>
        <w:pStyle w:val="Heading3"/>
        <w:numPr>
          <w:ilvl w:val="0"/>
          <w:numId w:val="15"/>
        </w:numPr>
        <w:jc w:val="both"/>
        <w:rPr>
          <w:rFonts w:asciiTheme="minorHAnsi" w:hAnsiTheme="minorHAnsi"/>
          <w:sz w:val="24"/>
          <w:szCs w:val="24"/>
        </w:rPr>
      </w:pPr>
      <w:r w:rsidRPr="0088352F">
        <w:rPr>
          <w:rFonts w:asciiTheme="minorHAnsi" w:hAnsiTheme="minorHAnsi"/>
          <w:sz w:val="24"/>
          <w:szCs w:val="24"/>
        </w:rPr>
        <w:t>W</w:t>
      </w:r>
      <w:r w:rsidR="00F82724" w:rsidRPr="0088352F">
        <w:rPr>
          <w:rFonts w:asciiTheme="minorHAnsi" w:hAnsiTheme="minorHAnsi"/>
          <w:sz w:val="24"/>
          <w:szCs w:val="24"/>
        </w:rPr>
        <w:t>orkplace Learning Coordinators</w:t>
      </w:r>
      <w:r w:rsidRPr="0088352F">
        <w:rPr>
          <w:rFonts w:asciiTheme="minorHAnsi" w:hAnsiTheme="minorHAnsi"/>
          <w:sz w:val="24"/>
          <w:szCs w:val="24"/>
        </w:rPr>
        <w:t xml:space="preserve"> (</w:t>
      </w:r>
      <w:proofErr w:type="spellStart"/>
      <w:r w:rsidRPr="0088352F">
        <w:rPr>
          <w:rFonts w:asciiTheme="minorHAnsi" w:hAnsiTheme="minorHAnsi"/>
          <w:sz w:val="24"/>
          <w:szCs w:val="24"/>
        </w:rPr>
        <w:t>WLCs</w:t>
      </w:r>
      <w:proofErr w:type="spellEnd"/>
      <w:r w:rsidRPr="0088352F">
        <w:rPr>
          <w:rFonts w:asciiTheme="minorHAnsi" w:hAnsiTheme="minorHAnsi"/>
          <w:sz w:val="24"/>
          <w:szCs w:val="24"/>
        </w:rPr>
        <w:t>)</w:t>
      </w:r>
    </w:p>
    <w:p w14:paraId="283F258E" w14:textId="77777777" w:rsidR="000B2D80" w:rsidRDefault="00CC78E3" w:rsidP="00DE0473">
      <w:pPr>
        <w:pStyle w:val="Heading4"/>
        <w:spacing w:before="240"/>
      </w:pPr>
      <w:r w:rsidRPr="0023065C">
        <w:t>Purpose of initiative:</w:t>
      </w:r>
    </w:p>
    <w:p w14:paraId="35652B3F" w14:textId="19909127" w:rsidR="00CC78E3" w:rsidRPr="000B2D80" w:rsidRDefault="00E170FB" w:rsidP="000B2D80">
      <w:pPr>
        <w:spacing w:after="120"/>
        <w:jc w:val="both"/>
        <w:rPr>
          <w:b/>
          <w:color w:val="000000"/>
        </w:rPr>
      </w:pPr>
      <w:r>
        <w:t>Twenty-four</w:t>
      </w:r>
      <w:r w:rsidR="00CC78E3" w:rsidRPr="00991CB0">
        <w:t xml:space="preserve"> providers were contracted in 31 areas of Victoria (providing state-wide coverage broadly aligned with Local Government Areas) to deliver the Workplace Learning Coordinators initiative with the objectives of increasing:</w:t>
      </w:r>
    </w:p>
    <w:p w14:paraId="0538D2E0" w14:textId="77777777" w:rsidR="00CC78E3" w:rsidRPr="00991CB0" w:rsidRDefault="00CC78E3" w:rsidP="003957AD">
      <w:pPr>
        <w:numPr>
          <w:ilvl w:val="0"/>
          <w:numId w:val="6"/>
        </w:numPr>
        <w:spacing w:after="120"/>
        <w:ind w:left="426" w:hanging="426"/>
        <w:jc w:val="both"/>
      </w:pPr>
      <w:r w:rsidRPr="00991CB0">
        <w:t>the number of young people aged 15-19 undertaking workplace learning placements, especially within those industries that provide strong vocational outcomes for young people;</w:t>
      </w:r>
    </w:p>
    <w:p w14:paraId="6FFE9DAF" w14:textId="77777777" w:rsidR="00CC78E3" w:rsidRPr="00991CB0" w:rsidRDefault="00CC78E3" w:rsidP="003957AD">
      <w:pPr>
        <w:numPr>
          <w:ilvl w:val="0"/>
          <w:numId w:val="6"/>
        </w:numPr>
        <w:spacing w:after="120"/>
        <w:ind w:left="426" w:hanging="426"/>
        <w:jc w:val="both"/>
      </w:pPr>
      <w:r w:rsidRPr="00991CB0">
        <w:t>alignment between Victorian Certificate of Applied Learning (</w:t>
      </w:r>
      <w:proofErr w:type="spellStart"/>
      <w:r w:rsidRPr="00991CB0">
        <w:t>VCAL</w:t>
      </w:r>
      <w:proofErr w:type="spellEnd"/>
      <w:r w:rsidRPr="00991CB0">
        <w:t>)  and VET provision, and local industry needs; and</w:t>
      </w:r>
    </w:p>
    <w:p w14:paraId="55458E63" w14:textId="6AD28849" w:rsidR="00CC78E3" w:rsidRPr="002318CE" w:rsidRDefault="00CC78E3" w:rsidP="003957AD">
      <w:pPr>
        <w:numPr>
          <w:ilvl w:val="0"/>
          <w:numId w:val="6"/>
        </w:numPr>
        <w:spacing w:after="120"/>
        <w:ind w:left="426" w:hanging="426"/>
        <w:jc w:val="both"/>
      </w:pPr>
      <w:proofErr w:type="gramStart"/>
      <w:r w:rsidRPr="00991CB0">
        <w:t>the</w:t>
      </w:r>
      <w:proofErr w:type="gramEnd"/>
      <w:r w:rsidRPr="00991CB0">
        <w:t xml:space="preserve"> number of </w:t>
      </w:r>
      <w:proofErr w:type="spellStart"/>
      <w:r w:rsidRPr="00991CB0">
        <w:t>Koorie</w:t>
      </w:r>
      <w:proofErr w:type="spellEnd"/>
      <w:r w:rsidRPr="00991CB0">
        <w:t xml:space="preserve"> young people aged 15-19 undertaking workplace learning placements. </w:t>
      </w:r>
    </w:p>
    <w:p w14:paraId="68745E01" w14:textId="77777777" w:rsidR="00CC78E3" w:rsidRPr="00991CB0" w:rsidRDefault="00CC78E3" w:rsidP="000B2D80">
      <w:pPr>
        <w:spacing w:after="120"/>
        <w:jc w:val="both"/>
      </w:pPr>
      <w:r w:rsidRPr="00991CB0">
        <w:t xml:space="preserve">In addition to generating additional workplace learning placements, functions of the </w:t>
      </w:r>
      <w:proofErr w:type="spellStart"/>
      <w:r w:rsidRPr="00991CB0">
        <w:t>WLC</w:t>
      </w:r>
      <w:proofErr w:type="spellEnd"/>
      <w:r w:rsidRPr="00991CB0">
        <w:t xml:space="preserve"> include:</w:t>
      </w:r>
    </w:p>
    <w:p w14:paraId="534737BC" w14:textId="77777777" w:rsidR="00CC78E3" w:rsidRPr="00991CB0" w:rsidRDefault="00CC78E3" w:rsidP="003957AD">
      <w:pPr>
        <w:numPr>
          <w:ilvl w:val="0"/>
          <w:numId w:val="6"/>
        </w:numPr>
        <w:spacing w:after="120"/>
        <w:ind w:left="426" w:hanging="426"/>
        <w:jc w:val="both"/>
      </w:pPr>
      <w:r w:rsidRPr="00991CB0">
        <w:t>provi</w:t>
      </w:r>
      <w:r w:rsidR="002F472E">
        <w:t xml:space="preserve">ding </w:t>
      </w:r>
      <w:r w:rsidRPr="00991CB0">
        <w:t>a contact point for employers and an information dissemination role;</w:t>
      </w:r>
    </w:p>
    <w:p w14:paraId="6E320C4C" w14:textId="77777777" w:rsidR="00CC78E3" w:rsidRPr="00991CB0" w:rsidRDefault="00CC78E3" w:rsidP="003957AD">
      <w:pPr>
        <w:numPr>
          <w:ilvl w:val="0"/>
          <w:numId w:val="6"/>
        </w:numPr>
        <w:spacing w:after="120"/>
        <w:ind w:left="426" w:hanging="426"/>
        <w:jc w:val="both"/>
      </w:pPr>
      <w:r w:rsidRPr="00991CB0">
        <w:t>expansion of the range of placements to better cater for diverse needs; and</w:t>
      </w:r>
    </w:p>
    <w:p w14:paraId="7D06EA22" w14:textId="6DAD2081" w:rsidR="00ED604C" w:rsidRPr="00DE0473" w:rsidRDefault="00CC78E3" w:rsidP="00DE0473">
      <w:pPr>
        <w:numPr>
          <w:ilvl w:val="0"/>
          <w:numId w:val="6"/>
        </w:numPr>
        <w:spacing w:after="120"/>
        <w:ind w:left="426" w:hanging="426"/>
        <w:jc w:val="both"/>
      </w:pPr>
      <w:proofErr w:type="gramStart"/>
      <w:r w:rsidRPr="00991CB0">
        <w:t>capacity</w:t>
      </w:r>
      <w:proofErr w:type="gramEnd"/>
      <w:r w:rsidRPr="00991CB0">
        <w:t xml:space="preserve"> building.</w:t>
      </w:r>
    </w:p>
    <w:p w14:paraId="0D51275F" w14:textId="77777777" w:rsidR="00CC78E3" w:rsidRPr="00991CB0" w:rsidRDefault="00084183" w:rsidP="00DE0473">
      <w:pPr>
        <w:pStyle w:val="Heading4"/>
        <w:spacing w:before="240"/>
      </w:pPr>
      <w:r>
        <w:t xml:space="preserve">Funding: </w:t>
      </w:r>
    </w:p>
    <w:p w14:paraId="7D601524" w14:textId="77777777" w:rsidR="00CC78E3" w:rsidRPr="00084183" w:rsidRDefault="00CC78E3" w:rsidP="003C339B">
      <w:pPr>
        <w:spacing w:after="120"/>
        <w:jc w:val="both"/>
      </w:pPr>
      <w:proofErr w:type="gramStart"/>
      <w:r w:rsidRPr="00991CB0">
        <w:t>$19.961 mill</w:t>
      </w:r>
      <w:r w:rsidR="00084183">
        <w:t>ion for the period 2010-2013</w:t>
      </w:r>
      <w:r w:rsidR="00E170FB">
        <w:t>.</w:t>
      </w:r>
      <w:proofErr w:type="gramEnd"/>
    </w:p>
    <w:p w14:paraId="6A17F7AB" w14:textId="77777777" w:rsidR="00CC78E3" w:rsidRPr="00991CB0" w:rsidRDefault="00084183" w:rsidP="00DE0473">
      <w:pPr>
        <w:pStyle w:val="Heading4"/>
        <w:spacing w:before="240"/>
      </w:pPr>
      <w:r>
        <w:t>Timing:</w:t>
      </w:r>
    </w:p>
    <w:p w14:paraId="3485430C" w14:textId="77777777" w:rsidR="00CC78E3" w:rsidRPr="00991CB0" w:rsidRDefault="00CC78E3" w:rsidP="003C339B">
      <w:pPr>
        <w:spacing w:after="120" w:line="240" w:lineRule="auto"/>
        <w:jc w:val="both"/>
        <w:rPr>
          <w:color w:val="000000"/>
        </w:rPr>
      </w:pPr>
      <w:r w:rsidRPr="00991CB0">
        <w:rPr>
          <w:color w:val="000000"/>
        </w:rPr>
        <w:t>2 July 2010 – 31 December 2013</w:t>
      </w:r>
      <w:r w:rsidR="00E170FB">
        <w:rPr>
          <w:color w:val="000000"/>
        </w:rPr>
        <w:t>.</w:t>
      </w:r>
    </w:p>
    <w:p w14:paraId="7769FAB9" w14:textId="77777777" w:rsidR="00CC78E3" w:rsidRPr="00991CB0" w:rsidRDefault="00084183" w:rsidP="00DE0473">
      <w:pPr>
        <w:pStyle w:val="Heading4"/>
        <w:spacing w:before="240"/>
      </w:pPr>
      <w:r>
        <w:t>Action to date:</w:t>
      </w:r>
    </w:p>
    <w:p w14:paraId="37C48378" w14:textId="77777777" w:rsidR="00CC78E3" w:rsidRDefault="00CC78E3" w:rsidP="003C339B">
      <w:pPr>
        <w:spacing w:after="120"/>
        <w:jc w:val="both"/>
      </w:pPr>
      <w:proofErr w:type="spellStart"/>
      <w:r>
        <w:t>WLC</w:t>
      </w:r>
      <w:proofErr w:type="spellEnd"/>
      <w:r>
        <w:t xml:space="preserve"> Providers were recontracted in 2012 with greater definition provided </w:t>
      </w:r>
      <w:r w:rsidR="00E170FB">
        <w:t xml:space="preserve">around </w:t>
      </w:r>
      <w:r>
        <w:t>reporting of outcomes for non-school provid</w:t>
      </w:r>
      <w:r w:rsidR="00ED604C">
        <w:t xml:space="preserve">ers and targeted cohorts.  </w:t>
      </w:r>
    </w:p>
    <w:p w14:paraId="08F45A9B" w14:textId="446397A5" w:rsidR="00CC78E3" w:rsidRPr="00ED604C" w:rsidRDefault="00CC78E3" w:rsidP="003C339B">
      <w:pPr>
        <w:spacing w:after="120"/>
        <w:jc w:val="both"/>
      </w:pPr>
      <w:proofErr w:type="spellStart"/>
      <w:r>
        <w:lastRenderedPageBreak/>
        <w:t>WLC</w:t>
      </w:r>
      <w:proofErr w:type="spellEnd"/>
      <w:r>
        <w:t xml:space="preserve"> providers attended a joint planning forum with Local Learning and Employment Networks in February to strengthen their relationships </w:t>
      </w:r>
      <w:r w:rsidR="002318CE">
        <w:t xml:space="preserve">and work on shared objectives. </w:t>
      </w:r>
      <w:r>
        <w:t>A key outcome was the development of joint plans around work placements and pathways into business and industry, part</w:t>
      </w:r>
      <w:r w:rsidR="00ED604C">
        <w:t>icularly around skill</w:t>
      </w:r>
      <w:r w:rsidR="00E170FB">
        <w:t>s</w:t>
      </w:r>
      <w:r w:rsidR="00ED604C">
        <w:t xml:space="preserve"> shortage.</w:t>
      </w:r>
    </w:p>
    <w:p w14:paraId="21448EC7" w14:textId="77777777" w:rsidR="00CC78E3" w:rsidRPr="00991CB0" w:rsidRDefault="00ED604C" w:rsidP="00DE0473">
      <w:pPr>
        <w:pStyle w:val="Heading4"/>
        <w:spacing w:before="240"/>
      </w:pPr>
      <w:r>
        <w:t>Outcomes to date:</w:t>
      </w:r>
    </w:p>
    <w:p w14:paraId="7A348182" w14:textId="5CAAA69C" w:rsidR="00CC78E3" w:rsidRDefault="00CC78E3" w:rsidP="00DE0473">
      <w:pPr>
        <w:spacing w:after="240"/>
        <w:jc w:val="both"/>
        <w:rPr>
          <w:color w:val="000000"/>
        </w:rPr>
      </w:pPr>
      <w:r>
        <w:t>T</w:t>
      </w:r>
      <w:r w:rsidRPr="00991CB0">
        <w:t xml:space="preserve">he </w:t>
      </w:r>
      <w:proofErr w:type="spellStart"/>
      <w:r w:rsidRPr="00991CB0">
        <w:t>WLC</w:t>
      </w:r>
      <w:proofErr w:type="spellEnd"/>
      <w:r w:rsidRPr="00991CB0">
        <w:t xml:space="preserve"> 201</w:t>
      </w:r>
      <w:r>
        <w:t>2</w:t>
      </w:r>
      <w:r w:rsidRPr="00991CB0">
        <w:t xml:space="preserve"> Annual Reports demonstrated the </w:t>
      </w:r>
      <w:r>
        <w:t xml:space="preserve">work </w:t>
      </w:r>
      <w:r w:rsidRPr="00991CB0">
        <w:t xml:space="preserve">placement outcomes represented in the tables below. </w:t>
      </w:r>
      <w:r w:rsidRPr="00991CB0">
        <w:rPr>
          <w:color w:val="000000"/>
        </w:rPr>
        <w:t xml:space="preserve">While overall placements fell short of the goals established, </w:t>
      </w:r>
      <w:r>
        <w:rPr>
          <w:color w:val="000000"/>
        </w:rPr>
        <w:t>29</w:t>
      </w:r>
      <w:r w:rsidRPr="00991CB0">
        <w:rPr>
          <w:color w:val="000000"/>
        </w:rPr>
        <w:t xml:space="preserve"> of the 31 providers achieved </w:t>
      </w:r>
      <w:r>
        <w:rPr>
          <w:color w:val="000000"/>
        </w:rPr>
        <w:t>100</w:t>
      </w:r>
      <w:r w:rsidRPr="00991CB0">
        <w:rPr>
          <w:color w:val="000000"/>
        </w:rPr>
        <w:t xml:space="preserve"> per cent </w:t>
      </w:r>
      <w:r>
        <w:rPr>
          <w:color w:val="000000"/>
        </w:rPr>
        <w:t>or more of</w:t>
      </w:r>
      <w:r w:rsidRPr="00991CB0">
        <w:rPr>
          <w:color w:val="000000"/>
        </w:rPr>
        <w:t xml:space="preserve"> their </w:t>
      </w:r>
      <w:r>
        <w:rPr>
          <w:color w:val="000000"/>
        </w:rPr>
        <w:t>overall</w:t>
      </w:r>
      <w:r w:rsidRPr="00991CB0">
        <w:rPr>
          <w:color w:val="000000"/>
        </w:rPr>
        <w:t xml:space="preserve"> targets, and there were </w:t>
      </w:r>
      <w:r w:rsidR="002F472E">
        <w:rPr>
          <w:color w:val="000000"/>
        </w:rPr>
        <w:t xml:space="preserve">positive </w:t>
      </w:r>
      <w:r w:rsidRPr="00991CB0">
        <w:rPr>
          <w:color w:val="000000"/>
        </w:rPr>
        <w:t>results in relation to disadv</w:t>
      </w:r>
      <w:r w:rsidR="00A65E89">
        <w:rPr>
          <w:color w:val="000000"/>
        </w:rPr>
        <w:t>antaged cohorts.</w:t>
      </w:r>
      <w:r w:rsidR="00612115">
        <w:rPr>
          <w:color w:val="000000"/>
        </w:rPr>
        <w:t xml:space="preserve"> </w:t>
      </w:r>
      <w:r w:rsidR="00AC6F1B">
        <w:rPr>
          <w:color w:val="000000"/>
        </w:rPr>
        <w:t xml:space="preserve">Tables 2 and 3 provide evidence that </w:t>
      </w:r>
      <w:r w:rsidR="00612115" w:rsidRPr="00612115">
        <w:rPr>
          <w:color w:val="000000"/>
        </w:rPr>
        <w:t>Workplace Learning Coordinators have exceeded their targets in generating workplace learning opportunities for young people from disadvantaged groups (30.3 per cent higher) together with significant attainment above targets for Structured Workplace Learning (5.2 per cent higher) and School Based Apprenticeships and Traineeships (42.6 per cent higher)</w:t>
      </w:r>
    </w:p>
    <w:p w14:paraId="4B59447F" w14:textId="4DDDE639" w:rsidR="00CC78E3" w:rsidRPr="00991CB0" w:rsidRDefault="008E31EE" w:rsidP="00837063">
      <w:pPr>
        <w:pStyle w:val="Heading4"/>
      </w:pPr>
      <w:r>
        <w:t>Table 2</w:t>
      </w:r>
      <w:r w:rsidR="00CC78E3" w:rsidRPr="00991CB0">
        <w:t xml:space="preserve">: </w:t>
      </w:r>
      <w:proofErr w:type="spellStart"/>
      <w:r w:rsidR="00CC78E3" w:rsidRPr="00991CB0">
        <w:t>WLC</w:t>
      </w:r>
      <w:proofErr w:type="spellEnd"/>
      <w:r w:rsidR="00CC78E3" w:rsidRPr="00991CB0">
        <w:t xml:space="preserve"> overall placement outcomes by type of placement, 201</w:t>
      </w:r>
      <w:r w:rsidR="00CC78E3">
        <w:t>2</w:t>
      </w:r>
    </w:p>
    <w:tbl>
      <w:tblPr>
        <w:tblW w:w="9639"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90"/>
        <w:gridCol w:w="1837"/>
        <w:gridCol w:w="1843"/>
        <w:gridCol w:w="1134"/>
        <w:gridCol w:w="1984"/>
        <w:gridCol w:w="851"/>
      </w:tblGrid>
      <w:tr w:rsidR="00CC78E3" w:rsidRPr="00991CB0" w14:paraId="2128DE0C" w14:textId="77777777" w:rsidTr="00AC6F1B">
        <w:trPr>
          <w:trHeight w:val="782"/>
        </w:trPr>
        <w:tc>
          <w:tcPr>
            <w:tcW w:w="1990"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3AA5A81C" w14:textId="77777777" w:rsidR="00CC78E3" w:rsidRPr="00991CB0" w:rsidRDefault="00CC78E3" w:rsidP="00C9696A">
            <w:pPr>
              <w:spacing w:line="240" w:lineRule="auto"/>
              <w:rPr>
                <w:b/>
                <w:color w:val="000000"/>
                <w:sz w:val="20"/>
                <w:szCs w:val="20"/>
              </w:rPr>
            </w:pPr>
            <w:r>
              <w:rPr>
                <w:b/>
                <w:color w:val="000000"/>
                <w:sz w:val="20"/>
                <w:szCs w:val="20"/>
              </w:rPr>
              <w:t>Work P</w:t>
            </w:r>
            <w:r w:rsidRPr="00E77EE0">
              <w:rPr>
                <w:b/>
                <w:color w:val="000000"/>
                <w:sz w:val="20"/>
                <w:szCs w:val="20"/>
              </w:rPr>
              <w:t>lacement</w:t>
            </w:r>
          </w:p>
        </w:tc>
        <w:tc>
          <w:tcPr>
            <w:tcW w:w="1837"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14:paraId="002F0A33" w14:textId="77777777" w:rsidR="00CC78E3" w:rsidRPr="00991CB0" w:rsidRDefault="00CC78E3" w:rsidP="00C9696A">
            <w:pPr>
              <w:spacing w:line="240" w:lineRule="auto"/>
              <w:rPr>
                <w:b/>
                <w:color w:val="000000"/>
                <w:sz w:val="20"/>
                <w:szCs w:val="20"/>
              </w:rPr>
            </w:pPr>
            <w:r w:rsidRPr="00991CB0">
              <w:rPr>
                <w:b/>
                <w:color w:val="000000"/>
                <w:sz w:val="20"/>
                <w:szCs w:val="20"/>
              </w:rPr>
              <w:t>Structured Workplace Learning (</w:t>
            </w:r>
            <w:proofErr w:type="spellStart"/>
            <w:r w:rsidRPr="00991CB0">
              <w:rPr>
                <w:b/>
                <w:color w:val="000000"/>
                <w:sz w:val="20"/>
                <w:szCs w:val="20"/>
              </w:rPr>
              <w:t>SWL</w:t>
            </w:r>
            <w:proofErr w:type="spellEnd"/>
            <w:r w:rsidRPr="00991CB0">
              <w:rPr>
                <w:b/>
                <w:color w:val="000000"/>
                <w:sz w:val="20"/>
                <w:szCs w:val="20"/>
              </w:rPr>
              <w:t>)</w:t>
            </w:r>
          </w:p>
        </w:tc>
        <w:tc>
          <w:tcPr>
            <w:tcW w:w="1843"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14:paraId="27A6F9B5" w14:textId="77777777" w:rsidR="00CC78E3" w:rsidRPr="00991CB0" w:rsidRDefault="00CC78E3" w:rsidP="00C9696A">
            <w:pPr>
              <w:spacing w:line="240" w:lineRule="auto"/>
              <w:rPr>
                <w:b/>
                <w:color w:val="000000"/>
                <w:sz w:val="20"/>
                <w:szCs w:val="20"/>
              </w:rPr>
            </w:pPr>
            <w:r w:rsidRPr="00991CB0">
              <w:rPr>
                <w:b/>
                <w:color w:val="000000"/>
                <w:sz w:val="20"/>
                <w:szCs w:val="20"/>
              </w:rPr>
              <w:t>School-Based Apprenticeship and Traineeship (</w:t>
            </w:r>
            <w:proofErr w:type="spellStart"/>
            <w:r w:rsidRPr="00991CB0">
              <w:rPr>
                <w:b/>
                <w:color w:val="000000"/>
                <w:sz w:val="20"/>
                <w:szCs w:val="20"/>
              </w:rPr>
              <w:t>SBAT</w:t>
            </w:r>
            <w:proofErr w:type="spellEnd"/>
            <w:r w:rsidRPr="00991CB0">
              <w:rPr>
                <w:b/>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14:paraId="4BC64A8E" w14:textId="77777777" w:rsidR="00CC78E3" w:rsidRPr="00991CB0" w:rsidRDefault="00CC78E3" w:rsidP="00C9696A">
            <w:pPr>
              <w:spacing w:line="240" w:lineRule="auto"/>
              <w:rPr>
                <w:b/>
                <w:color w:val="000000"/>
                <w:sz w:val="20"/>
                <w:szCs w:val="20"/>
              </w:rPr>
            </w:pPr>
            <w:r w:rsidRPr="00991CB0">
              <w:rPr>
                <w:b/>
                <w:color w:val="000000"/>
                <w:sz w:val="20"/>
                <w:szCs w:val="20"/>
              </w:rPr>
              <w:t>Work Experience (WE)</w:t>
            </w:r>
          </w:p>
        </w:tc>
        <w:tc>
          <w:tcPr>
            <w:tcW w:w="1984"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1126FB7C" w14:textId="77777777" w:rsidR="00CC78E3" w:rsidRPr="00653708" w:rsidRDefault="00CC78E3" w:rsidP="00C9696A">
            <w:pPr>
              <w:spacing w:line="240" w:lineRule="auto"/>
            </w:pPr>
            <w:r w:rsidRPr="00E77EE0">
              <w:rPr>
                <w:b/>
                <w:color w:val="000000"/>
                <w:sz w:val="20"/>
                <w:szCs w:val="20"/>
              </w:rPr>
              <w:t xml:space="preserve">Non-school placements (ACE, TAFE &amp; other </w:t>
            </w:r>
            <w:proofErr w:type="spellStart"/>
            <w:r w:rsidRPr="00E77EE0">
              <w:rPr>
                <w:b/>
                <w:color w:val="000000"/>
                <w:sz w:val="20"/>
                <w:szCs w:val="20"/>
              </w:rPr>
              <w:t>RTOs</w:t>
            </w:r>
            <w:proofErr w:type="spellEnd"/>
            <w:r w:rsidRPr="00E77EE0">
              <w:rPr>
                <w:b/>
                <w:color w:val="000000"/>
                <w:sz w:val="20"/>
                <w:szCs w:val="20"/>
              </w:rPr>
              <w:t>)</w:t>
            </w:r>
          </w:p>
        </w:tc>
        <w:tc>
          <w:tcPr>
            <w:tcW w:w="851"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1F8A8BFB" w14:textId="77777777" w:rsidR="00CC78E3" w:rsidRPr="00E77EE0" w:rsidRDefault="00CC78E3" w:rsidP="00C9696A">
            <w:pPr>
              <w:spacing w:line="240" w:lineRule="auto"/>
              <w:rPr>
                <w:b/>
                <w:color w:val="000000"/>
                <w:sz w:val="20"/>
                <w:szCs w:val="20"/>
              </w:rPr>
            </w:pPr>
            <w:r>
              <w:rPr>
                <w:b/>
                <w:color w:val="000000"/>
                <w:sz w:val="20"/>
                <w:szCs w:val="20"/>
              </w:rPr>
              <w:t>Total</w:t>
            </w:r>
          </w:p>
        </w:tc>
      </w:tr>
      <w:tr w:rsidR="00CC78E3" w:rsidRPr="00991CB0" w14:paraId="49E67865" w14:textId="77777777" w:rsidTr="00AC6F1B">
        <w:trPr>
          <w:trHeight w:val="393"/>
        </w:trPr>
        <w:tc>
          <w:tcPr>
            <w:tcW w:w="199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7DB3F3D" w14:textId="77777777" w:rsidR="00CC78E3" w:rsidRPr="00B4016E" w:rsidRDefault="00CC78E3" w:rsidP="003C339B">
            <w:pPr>
              <w:spacing w:line="240" w:lineRule="auto"/>
              <w:jc w:val="both"/>
              <w:rPr>
                <w:b/>
                <w:color w:val="000000"/>
                <w:sz w:val="20"/>
                <w:szCs w:val="20"/>
              </w:rPr>
            </w:pPr>
            <w:r w:rsidRPr="00B4016E">
              <w:rPr>
                <w:b/>
                <w:color w:val="000000"/>
                <w:sz w:val="20"/>
                <w:szCs w:val="20"/>
              </w:rPr>
              <w:t xml:space="preserve">Outcomes achieved </w:t>
            </w:r>
          </w:p>
        </w:tc>
        <w:tc>
          <w:tcPr>
            <w:tcW w:w="1837" w:type="dxa"/>
            <w:tcBorders>
              <w:top w:val="single" w:sz="4" w:space="0" w:color="auto"/>
              <w:left w:val="single" w:sz="4" w:space="0" w:color="auto"/>
              <w:bottom w:val="single" w:sz="4" w:space="0" w:color="auto"/>
              <w:right w:val="single" w:sz="4" w:space="0" w:color="auto"/>
            </w:tcBorders>
            <w:hideMark/>
          </w:tcPr>
          <w:p w14:paraId="7115C892" w14:textId="77777777" w:rsidR="00CC78E3" w:rsidRPr="00991CB0" w:rsidRDefault="00CC78E3" w:rsidP="003C339B">
            <w:pPr>
              <w:spacing w:line="240" w:lineRule="auto"/>
              <w:jc w:val="both"/>
              <w:rPr>
                <w:color w:val="000000"/>
                <w:sz w:val="20"/>
                <w:szCs w:val="20"/>
              </w:rPr>
            </w:pPr>
            <w:r>
              <w:rPr>
                <w:color w:val="000000"/>
                <w:sz w:val="20"/>
                <w:szCs w:val="20"/>
              </w:rPr>
              <w:t>7503</w:t>
            </w:r>
          </w:p>
        </w:tc>
        <w:tc>
          <w:tcPr>
            <w:tcW w:w="1843" w:type="dxa"/>
            <w:tcBorders>
              <w:top w:val="single" w:sz="4" w:space="0" w:color="auto"/>
              <w:left w:val="single" w:sz="4" w:space="0" w:color="auto"/>
              <w:bottom w:val="single" w:sz="4" w:space="0" w:color="auto"/>
              <w:right w:val="single" w:sz="4" w:space="0" w:color="auto"/>
            </w:tcBorders>
            <w:hideMark/>
          </w:tcPr>
          <w:p w14:paraId="6BBC78D4" w14:textId="77777777" w:rsidR="00CC78E3" w:rsidRPr="00991CB0" w:rsidRDefault="00CC78E3" w:rsidP="003C339B">
            <w:pPr>
              <w:spacing w:line="240" w:lineRule="auto"/>
              <w:jc w:val="both"/>
              <w:rPr>
                <w:color w:val="000000"/>
                <w:sz w:val="20"/>
                <w:szCs w:val="20"/>
              </w:rPr>
            </w:pPr>
            <w:r>
              <w:rPr>
                <w:color w:val="000000"/>
                <w:sz w:val="20"/>
                <w:szCs w:val="20"/>
              </w:rPr>
              <w:t>1811</w:t>
            </w:r>
          </w:p>
        </w:tc>
        <w:tc>
          <w:tcPr>
            <w:tcW w:w="1134" w:type="dxa"/>
            <w:tcBorders>
              <w:top w:val="single" w:sz="4" w:space="0" w:color="auto"/>
              <w:left w:val="single" w:sz="4" w:space="0" w:color="auto"/>
              <w:bottom w:val="single" w:sz="4" w:space="0" w:color="auto"/>
              <w:right w:val="single" w:sz="4" w:space="0" w:color="auto"/>
            </w:tcBorders>
            <w:hideMark/>
          </w:tcPr>
          <w:p w14:paraId="38745D85" w14:textId="77777777" w:rsidR="00CC78E3" w:rsidRPr="00991CB0" w:rsidRDefault="00CC78E3" w:rsidP="003C339B">
            <w:pPr>
              <w:spacing w:line="240" w:lineRule="auto"/>
              <w:jc w:val="both"/>
              <w:rPr>
                <w:color w:val="000000"/>
                <w:sz w:val="20"/>
                <w:szCs w:val="20"/>
              </w:rPr>
            </w:pPr>
            <w:r>
              <w:rPr>
                <w:color w:val="000000"/>
                <w:sz w:val="20"/>
                <w:szCs w:val="20"/>
              </w:rPr>
              <w:t>5259</w:t>
            </w:r>
          </w:p>
        </w:tc>
        <w:tc>
          <w:tcPr>
            <w:tcW w:w="1984" w:type="dxa"/>
            <w:tcBorders>
              <w:top w:val="single" w:sz="4" w:space="0" w:color="auto"/>
              <w:left w:val="single" w:sz="4" w:space="0" w:color="auto"/>
              <w:bottom w:val="single" w:sz="4" w:space="0" w:color="auto"/>
              <w:right w:val="single" w:sz="4" w:space="0" w:color="auto"/>
            </w:tcBorders>
          </w:tcPr>
          <w:p w14:paraId="63347E92" w14:textId="77777777" w:rsidR="00CC78E3" w:rsidRPr="00E77EE0" w:rsidRDefault="00CC78E3" w:rsidP="003C339B">
            <w:pPr>
              <w:spacing w:line="240" w:lineRule="auto"/>
              <w:jc w:val="both"/>
              <w:rPr>
                <w:color w:val="000000"/>
                <w:sz w:val="20"/>
                <w:szCs w:val="20"/>
              </w:rPr>
            </w:pPr>
            <w:r w:rsidRPr="00E77EE0">
              <w:rPr>
                <w:color w:val="000000"/>
                <w:sz w:val="20"/>
                <w:szCs w:val="20"/>
              </w:rPr>
              <w:t>1448</w:t>
            </w:r>
          </w:p>
        </w:tc>
        <w:tc>
          <w:tcPr>
            <w:tcW w:w="851" w:type="dxa"/>
            <w:tcBorders>
              <w:top w:val="single" w:sz="4" w:space="0" w:color="auto"/>
              <w:left w:val="single" w:sz="4" w:space="0" w:color="auto"/>
              <w:bottom w:val="single" w:sz="4" w:space="0" w:color="auto"/>
              <w:right w:val="single" w:sz="4" w:space="0" w:color="auto"/>
            </w:tcBorders>
          </w:tcPr>
          <w:p w14:paraId="6FE89D46" w14:textId="77777777" w:rsidR="00CC78E3" w:rsidRPr="00E77EE0" w:rsidRDefault="00CC78E3" w:rsidP="003C339B">
            <w:pPr>
              <w:spacing w:line="240" w:lineRule="auto"/>
              <w:jc w:val="both"/>
              <w:rPr>
                <w:color w:val="000000"/>
                <w:sz w:val="20"/>
                <w:szCs w:val="20"/>
              </w:rPr>
            </w:pPr>
            <w:r>
              <w:rPr>
                <w:color w:val="000000"/>
                <w:sz w:val="20"/>
                <w:szCs w:val="20"/>
              </w:rPr>
              <w:t>14883</w:t>
            </w:r>
          </w:p>
        </w:tc>
      </w:tr>
      <w:tr w:rsidR="00CC78E3" w:rsidRPr="00991CB0" w14:paraId="15D79F77" w14:textId="77777777" w:rsidTr="00AC6F1B">
        <w:trPr>
          <w:trHeight w:val="337"/>
        </w:trPr>
        <w:tc>
          <w:tcPr>
            <w:tcW w:w="199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9A59F2C" w14:textId="77777777" w:rsidR="00CC78E3" w:rsidRPr="00B4016E" w:rsidRDefault="00CC78E3" w:rsidP="003C339B">
            <w:pPr>
              <w:spacing w:line="240" w:lineRule="auto"/>
              <w:jc w:val="both"/>
              <w:rPr>
                <w:b/>
                <w:color w:val="000000"/>
                <w:sz w:val="20"/>
                <w:szCs w:val="20"/>
              </w:rPr>
            </w:pPr>
            <w:r w:rsidRPr="00B4016E">
              <w:rPr>
                <w:b/>
                <w:color w:val="000000"/>
                <w:sz w:val="20"/>
                <w:szCs w:val="20"/>
              </w:rPr>
              <w:t>Targets</w:t>
            </w:r>
          </w:p>
        </w:tc>
        <w:tc>
          <w:tcPr>
            <w:tcW w:w="1837" w:type="dxa"/>
            <w:tcBorders>
              <w:top w:val="single" w:sz="4" w:space="0" w:color="auto"/>
              <w:left w:val="single" w:sz="4" w:space="0" w:color="auto"/>
              <w:bottom w:val="single" w:sz="4" w:space="0" w:color="auto"/>
              <w:right w:val="single" w:sz="4" w:space="0" w:color="auto"/>
            </w:tcBorders>
            <w:hideMark/>
          </w:tcPr>
          <w:p w14:paraId="51D824B7" w14:textId="77777777" w:rsidR="00CC78E3" w:rsidRPr="00991CB0" w:rsidRDefault="00CC78E3" w:rsidP="003C339B">
            <w:pPr>
              <w:spacing w:line="240" w:lineRule="auto"/>
              <w:jc w:val="both"/>
              <w:rPr>
                <w:color w:val="000000"/>
                <w:sz w:val="20"/>
                <w:szCs w:val="20"/>
              </w:rPr>
            </w:pPr>
            <w:r>
              <w:rPr>
                <w:color w:val="000000"/>
                <w:sz w:val="20"/>
                <w:szCs w:val="20"/>
              </w:rPr>
              <w:t>7128</w:t>
            </w:r>
          </w:p>
        </w:tc>
        <w:tc>
          <w:tcPr>
            <w:tcW w:w="1843" w:type="dxa"/>
            <w:tcBorders>
              <w:top w:val="single" w:sz="4" w:space="0" w:color="auto"/>
              <w:left w:val="single" w:sz="4" w:space="0" w:color="auto"/>
              <w:bottom w:val="single" w:sz="4" w:space="0" w:color="auto"/>
              <w:right w:val="single" w:sz="4" w:space="0" w:color="auto"/>
            </w:tcBorders>
            <w:hideMark/>
          </w:tcPr>
          <w:p w14:paraId="6C055020" w14:textId="77777777" w:rsidR="00CC78E3" w:rsidRPr="00991CB0" w:rsidRDefault="00CC78E3" w:rsidP="003C339B">
            <w:pPr>
              <w:spacing w:line="240" w:lineRule="auto"/>
              <w:jc w:val="both"/>
              <w:rPr>
                <w:color w:val="000000"/>
                <w:sz w:val="20"/>
                <w:szCs w:val="20"/>
              </w:rPr>
            </w:pPr>
            <w:r>
              <w:rPr>
                <w:color w:val="000000"/>
                <w:sz w:val="20"/>
                <w:szCs w:val="20"/>
              </w:rPr>
              <w:t>1270</w:t>
            </w:r>
          </w:p>
        </w:tc>
        <w:tc>
          <w:tcPr>
            <w:tcW w:w="1134" w:type="dxa"/>
            <w:tcBorders>
              <w:top w:val="single" w:sz="4" w:space="0" w:color="auto"/>
              <w:left w:val="single" w:sz="4" w:space="0" w:color="auto"/>
              <w:bottom w:val="single" w:sz="4" w:space="0" w:color="auto"/>
              <w:right w:val="single" w:sz="4" w:space="0" w:color="auto"/>
            </w:tcBorders>
            <w:hideMark/>
          </w:tcPr>
          <w:p w14:paraId="22DFDF0D" w14:textId="77777777" w:rsidR="00CC78E3" w:rsidRPr="00991CB0" w:rsidRDefault="00CC78E3" w:rsidP="003C339B">
            <w:pPr>
              <w:spacing w:line="240" w:lineRule="auto"/>
              <w:jc w:val="both"/>
              <w:rPr>
                <w:color w:val="000000"/>
                <w:sz w:val="20"/>
                <w:szCs w:val="20"/>
              </w:rPr>
            </w:pPr>
            <w:r>
              <w:rPr>
                <w:color w:val="000000"/>
                <w:sz w:val="20"/>
                <w:szCs w:val="20"/>
              </w:rPr>
              <w:t>6291</w:t>
            </w:r>
          </w:p>
        </w:tc>
        <w:tc>
          <w:tcPr>
            <w:tcW w:w="1984" w:type="dxa"/>
            <w:tcBorders>
              <w:top w:val="single" w:sz="4" w:space="0" w:color="auto"/>
              <w:left w:val="single" w:sz="4" w:space="0" w:color="auto"/>
              <w:bottom w:val="single" w:sz="4" w:space="0" w:color="auto"/>
              <w:right w:val="single" w:sz="4" w:space="0" w:color="auto"/>
            </w:tcBorders>
          </w:tcPr>
          <w:p w14:paraId="017CC021" w14:textId="77777777" w:rsidR="00CC78E3" w:rsidRPr="00E77EE0" w:rsidRDefault="00CC78E3" w:rsidP="003C339B">
            <w:pPr>
              <w:spacing w:line="240" w:lineRule="auto"/>
              <w:jc w:val="both"/>
              <w:rPr>
                <w:color w:val="000000"/>
                <w:sz w:val="20"/>
                <w:szCs w:val="20"/>
              </w:rPr>
            </w:pPr>
            <w:r w:rsidRPr="00E77EE0">
              <w:rPr>
                <w:color w:val="000000"/>
                <w:sz w:val="20"/>
                <w:szCs w:val="20"/>
              </w:rPr>
              <w:t>1634</w:t>
            </w:r>
          </w:p>
        </w:tc>
        <w:tc>
          <w:tcPr>
            <w:tcW w:w="851" w:type="dxa"/>
            <w:tcBorders>
              <w:top w:val="single" w:sz="4" w:space="0" w:color="auto"/>
              <w:left w:val="single" w:sz="4" w:space="0" w:color="auto"/>
              <w:bottom w:val="single" w:sz="4" w:space="0" w:color="auto"/>
              <w:right w:val="single" w:sz="4" w:space="0" w:color="auto"/>
            </w:tcBorders>
          </w:tcPr>
          <w:p w14:paraId="29E373A1" w14:textId="77777777" w:rsidR="00CC78E3" w:rsidRPr="00E77EE0" w:rsidRDefault="00CC78E3" w:rsidP="003C339B">
            <w:pPr>
              <w:spacing w:line="240" w:lineRule="auto"/>
              <w:jc w:val="both"/>
              <w:rPr>
                <w:color w:val="000000"/>
                <w:sz w:val="20"/>
                <w:szCs w:val="20"/>
              </w:rPr>
            </w:pPr>
            <w:r>
              <w:rPr>
                <w:color w:val="000000"/>
                <w:sz w:val="20"/>
                <w:szCs w:val="20"/>
              </w:rPr>
              <w:t>15608</w:t>
            </w:r>
          </w:p>
        </w:tc>
      </w:tr>
    </w:tbl>
    <w:p w14:paraId="09D1FA9E" w14:textId="6D0C020B" w:rsidR="002318CE" w:rsidRDefault="002318CE">
      <w:pPr>
        <w:spacing w:after="200"/>
        <w:rPr>
          <w:color w:val="000000"/>
        </w:rPr>
      </w:pPr>
    </w:p>
    <w:p w14:paraId="7508A165" w14:textId="2254418B" w:rsidR="00CC78E3" w:rsidRPr="00991CB0" w:rsidRDefault="008E31EE" w:rsidP="00837063">
      <w:pPr>
        <w:pStyle w:val="Heading4"/>
      </w:pPr>
      <w:r>
        <w:t>Table 3</w:t>
      </w:r>
      <w:r w:rsidR="00CC78E3" w:rsidRPr="00991CB0">
        <w:t xml:space="preserve">: </w:t>
      </w:r>
      <w:proofErr w:type="spellStart"/>
      <w:r w:rsidR="00CC78E3" w:rsidRPr="00991CB0">
        <w:t>WLC</w:t>
      </w:r>
      <w:proofErr w:type="spellEnd"/>
      <w:r w:rsidR="00CC78E3" w:rsidRPr="00991CB0">
        <w:t xml:space="preserve"> placement outcomes for targeted sub-groups, 201</w:t>
      </w:r>
      <w:r w:rsidR="00CC78E3">
        <w:t>2</w:t>
      </w:r>
    </w:p>
    <w:tbl>
      <w:tblPr>
        <w:tblW w:w="9428"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2"/>
        <w:gridCol w:w="1276"/>
        <w:gridCol w:w="1701"/>
        <w:gridCol w:w="992"/>
        <w:gridCol w:w="1560"/>
        <w:gridCol w:w="910"/>
        <w:gridCol w:w="1147"/>
      </w:tblGrid>
      <w:tr w:rsidR="00CC78E3" w:rsidRPr="00991CB0" w14:paraId="3BB0A691" w14:textId="77777777" w:rsidTr="002318CE">
        <w:trPr>
          <w:trHeight w:val="648"/>
        </w:trPr>
        <w:tc>
          <w:tcPr>
            <w:tcW w:w="1842"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672484CE" w14:textId="77777777" w:rsidR="00CC78E3" w:rsidRPr="00991CB0" w:rsidRDefault="00CC78E3" w:rsidP="00E96356">
            <w:pPr>
              <w:spacing w:line="240" w:lineRule="auto"/>
              <w:rPr>
                <w:b/>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7F07C4A6" w14:textId="77777777" w:rsidR="00CC78E3" w:rsidRPr="00991CB0" w:rsidRDefault="00CC78E3" w:rsidP="00C9696A">
            <w:pPr>
              <w:spacing w:line="240" w:lineRule="auto"/>
              <w:rPr>
                <w:b/>
                <w:color w:val="000000"/>
                <w:sz w:val="20"/>
                <w:szCs w:val="20"/>
              </w:rPr>
            </w:pPr>
            <w:proofErr w:type="spellStart"/>
            <w:r w:rsidRPr="00991CB0">
              <w:rPr>
                <w:b/>
                <w:color w:val="000000"/>
                <w:sz w:val="20"/>
                <w:szCs w:val="20"/>
              </w:rPr>
              <w:t>Koorie</w:t>
            </w:r>
            <w:proofErr w:type="spellEnd"/>
            <w:r w:rsidRPr="00991CB0">
              <w:rPr>
                <w:b/>
                <w:color w:val="000000"/>
                <w:sz w:val="20"/>
                <w:szCs w:val="20"/>
              </w:rPr>
              <w:t xml:space="preserve"> placements</w:t>
            </w:r>
          </w:p>
        </w:tc>
        <w:tc>
          <w:tcPr>
            <w:tcW w:w="1701"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14:paraId="68101122" w14:textId="77777777" w:rsidR="00CC78E3" w:rsidRPr="00991CB0" w:rsidRDefault="00CC78E3" w:rsidP="00C9696A">
            <w:pPr>
              <w:spacing w:line="240" w:lineRule="auto"/>
              <w:rPr>
                <w:b/>
                <w:color w:val="000000"/>
                <w:sz w:val="20"/>
                <w:szCs w:val="20"/>
              </w:rPr>
            </w:pPr>
            <w:r w:rsidRPr="00991CB0">
              <w:rPr>
                <w:b/>
                <w:color w:val="000000"/>
                <w:sz w:val="20"/>
                <w:szCs w:val="20"/>
              </w:rPr>
              <w:t>Newly arrived/Refugees</w:t>
            </w:r>
          </w:p>
        </w:tc>
        <w:tc>
          <w:tcPr>
            <w:tcW w:w="992"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14:paraId="4B6E36B8" w14:textId="77777777" w:rsidR="00CC78E3" w:rsidRPr="00991CB0" w:rsidRDefault="00CC78E3" w:rsidP="00C9696A">
            <w:pPr>
              <w:spacing w:line="240" w:lineRule="auto"/>
              <w:rPr>
                <w:b/>
                <w:color w:val="000000"/>
                <w:sz w:val="20"/>
                <w:szCs w:val="20"/>
              </w:rPr>
            </w:pPr>
            <w:r w:rsidRPr="00991CB0">
              <w:rPr>
                <w:b/>
                <w:color w:val="000000"/>
                <w:sz w:val="20"/>
                <w:szCs w:val="20"/>
              </w:rPr>
              <w:t>Disability</w:t>
            </w:r>
          </w:p>
        </w:tc>
        <w:tc>
          <w:tcPr>
            <w:tcW w:w="1560"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14:paraId="5E3603DD" w14:textId="77777777" w:rsidR="00CC78E3" w:rsidRPr="00991CB0" w:rsidRDefault="00CC78E3" w:rsidP="00C9696A">
            <w:pPr>
              <w:spacing w:line="240" w:lineRule="auto"/>
              <w:rPr>
                <w:b/>
                <w:color w:val="000000"/>
                <w:sz w:val="20"/>
                <w:szCs w:val="20"/>
              </w:rPr>
            </w:pPr>
            <w:r w:rsidRPr="00991CB0">
              <w:rPr>
                <w:b/>
                <w:color w:val="000000"/>
                <w:sz w:val="20"/>
                <w:szCs w:val="20"/>
              </w:rPr>
              <w:t>At risk of early school leaving</w:t>
            </w:r>
          </w:p>
        </w:tc>
        <w:tc>
          <w:tcPr>
            <w:tcW w:w="910"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14:paraId="593F1903" w14:textId="77777777" w:rsidR="00CC78E3" w:rsidRPr="00991CB0" w:rsidRDefault="00CC78E3" w:rsidP="00C9696A">
            <w:pPr>
              <w:spacing w:line="240" w:lineRule="auto"/>
              <w:rPr>
                <w:b/>
                <w:color w:val="000000"/>
                <w:sz w:val="20"/>
                <w:szCs w:val="20"/>
              </w:rPr>
            </w:pPr>
            <w:proofErr w:type="spellStart"/>
            <w:r w:rsidRPr="00991CB0">
              <w:rPr>
                <w:b/>
                <w:color w:val="000000"/>
                <w:sz w:val="20"/>
                <w:szCs w:val="20"/>
              </w:rPr>
              <w:t>CALD</w:t>
            </w:r>
            <w:proofErr w:type="spellEnd"/>
          </w:p>
        </w:tc>
        <w:tc>
          <w:tcPr>
            <w:tcW w:w="1147"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64AF7F39" w14:textId="77777777" w:rsidR="00CC78E3" w:rsidRPr="00991CB0" w:rsidRDefault="00CC78E3" w:rsidP="00C9696A">
            <w:pPr>
              <w:spacing w:line="240" w:lineRule="auto"/>
              <w:rPr>
                <w:b/>
                <w:color w:val="000000"/>
                <w:sz w:val="20"/>
                <w:szCs w:val="20"/>
              </w:rPr>
            </w:pPr>
            <w:r>
              <w:rPr>
                <w:b/>
                <w:color w:val="000000"/>
                <w:sz w:val="20"/>
                <w:szCs w:val="20"/>
              </w:rPr>
              <w:t>Total</w:t>
            </w:r>
          </w:p>
        </w:tc>
      </w:tr>
      <w:tr w:rsidR="00CC78E3" w:rsidRPr="00991CB0" w14:paraId="457E73F2" w14:textId="77777777" w:rsidTr="00F81216">
        <w:trPr>
          <w:trHeight w:val="503"/>
        </w:trPr>
        <w:tc>
          <w:tcPr>
            <w:tcW w:w="184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2F2E1FF" w14:textId="77777777" w:rsidR="00CC78E3" w:rsidRPr="00B4016E" w:rsidRDefault="00CC78E3" w:rsidP="00E96356">
            <w:pPr>
              <w:spacing w:line="240" w:lineRule="auto"/>
              <w:rPr>
                <w:b/>
                <w:color w:val="000000"/>
                <w:sz w:val="20"/>
                <w:szCs w:val="20"/>
              </w:rPr>
            </w:pPr>
            <w:r w:rsidRPr="00B4016E">
              <w:rPr>
                <w:b/>
                <w:color w:val="000000"/>
                <w:sz w:val="20"/>
                <w:szCs w:val="20"/>
              </w:rPr>
              <w:t xml:space="preserve">Total placement outcomes achieved </w:t>
            </w:r>
          </w:p>
        </w:tc>
        <w:tc>
          <w:tcPr>
            <w:tcW w:w="1276" w:type="dxa"/>
            <w:tcBorders>
              <w:top w:val="single" w:sz="4" w:space="0" w:color="auto"/>
              <w:left w:val="single" w:sz="4" w:space="0" w:color="auto"/>
              <w:bottom w:val="single" w:sz="4" w:space="0" w:color="auto"/>
              <w:right w:val="single" w:sz="4" w:space="0" w:color="auto"/>
            </w:tcBorders>
          </w:tcPr>
          <w:p w14:paraId="3AD49488" w14:textId="77777777" w:rsidR="00CC78E3" w:rsidRPr="00991CB0" w:rsidRDefault="00CC78E3" w:rsidP="003C339B">
            <w:pPr>
              <w:spacing w:line="240" w:lineRule="auto"/>
              <w:jc w:val="both"/>
              <w:rPr>
                <w:color w:val="000000"/>
                <w:sz w:val="20"/>
                <w:szCs w:val="20"/>
              </w:rPr>
            </w:pPr>
            <w:r>
              <w:rPr>
                <w:color w:val="000000"/>
                <w:sz w:val="20"/>
                <w:szCs w:val="20"/>
              </w:rPr>
              <w:t>469</w:t>
            </w:r>
          </w:p>
        </w:tc>
        <w:tc>
          <w:tcPr>
            <w:tcW w:w="1701" w:type="dxa"/>
            <w:tcBorders>
              <w:top w:val="single" w:sz="4" w:space="0" w:color="auto"/>
              <w:left w:val="single" w:sz="4" w:space="0" w:color="auto"/>
              <w:bottom w:val="single" w:sz="4" w:space="0" w:color="auto"/>
              <w:right w:val="single" w:sz="4" w:space="0" w:color="auto"/>
            </w:tcBorders>
          </w:tcPr>
          <w:p w14:paraId="0852F549" w14:textId="77777777" w:rsidR="00CC78E3" w:rsidRPr="00991CB0" w:rsidRDefault="00CC78E3" w:rsidP="003C339B">
            <w:pPr>
              <w:spacing w:line="240" w:lineRule="auto"/>
              <w:jc w:val="both"/>
              <w:rPr>
                <w:color w:val="000000"/>
                <w:sz w:val="20"/>
                <w:szCs w:val="20"/>
              </w:rPr>
            </w:pPr>
            <w:r>
              <w:rPr>
                <w:color w:val="000000"/>
                <w:sz w:val="20"/>
                <w:szCs w:val="20"/>
              </w:rPr>
              <w:t>814</w:t>
            </w:r>
          </w:p>
        </w:tc>
        <w:tc>
          <w:tcPr>
            <w:tcW w:w="992" w:type="dxa"/>
            <w:tcBorders>
              <w:top w:val="single" w:sz="4" w:space="0" w:color="auto"/>
              <w:left w:val="single" w:sz="4" w:space="0" w:color="auto"/>
              <w:bottom w:val="single" w:sz="4" w:space="0" w:color="auto"/>
              <w:right w:val="single" w:sz="4" w:space="0" w:color="auto"/>
            </w:tcBorders>
          </w:tcPr>
          <w:p w14:paraId="7198ADC2" w14:textId="77777777" w:rsidR="00CC78E3" w:rsidRPr="00991CB0" w:rsidRDefault="00CC78E3" w:rsidP="003C339B">
            <w:pPr>
              <w:spacing w:line="240" w:lineRule="auto"/>
              <w:jc w:val="both"/>
              <w:rPr>
                <w:color w:val="000000"/>
                <w:sz w:val="20"/>
                <w:szCs w:val="20"/>
              </w:rPr>
            </w:pPr>
            <w:r>
              <w:rPr>
                <w:color w:val="000000"/>
                <w:sz w:val="20"/>
                <w:szCs w:val="20"/>
              </w:rPr>
              <w:t>893</w:t>
            </w:r>
          </w:p>
        </w:tc>
        <w:tc>
          <w:tcPr>
            <w:tcW w:w="1560" w:type="dxa"/>
            <w:tcBorders>
              <w:top w:val="single" w:sz="4" w:space="0" w:color="auto"/>
              <w:left w:val="single" w:sz="4" w:space="0" w:color="auto"/>
              <w:bottom w:val="single" w:sz="4" w:space="0" w:color="auto"/>
              <w:right w:val="single" w:sz="4" w:space="0" w:color="auto"/>
            </w:tcBorders>
          </w:tcPr>
          <w:p w14:paraId="094EED2E" w14:textId="77777777" w:rsidR="00CC78E3" w:rsidRPr="00991CB0" w:rsidRDefault="00CC78E3" w:rsidP="003C339B">
            <w:pPr>
              <w:spacing w:line="240" w:lineRule="auto"/>
              <w:jc w:val="both"/>
              <w:rPr>
                <w:color w:val="000000"/>
                <w:sz w:val="20"/>
                <w:szCs w:val="20"/>
              </w:rPr>
            </w:pPr>
            <w:r>
              <w:rPr>
                <w:color w:val="000000"/>
                <w:sz w:val="20"/>
                <w:szCs w:val="20"/>
              </w:rPr>
              <w:t>1654</w:t>
            </w:r>
          </w:p>
        </w:tc>
        <w:tc>
          <w:tcPr>
            <w:tcW w:w="910" w:type="dxa"/>
            <w:tcBorders>
              <w:top w:val="single" w:sz="4" w:space="0" w:color="auto"/>
              <w:left w:val="single" w:sz="4" w:space="0" w:color="auto"/>
              <w:bottom w:val="single" w:sz="4" w:space="0" w:color="auto"/>
              <w:right w:val="single" w:sz="4" w:space="0" w:color="auto"/>
            </w:tcBorders>
          </w:tcPr>
          <w:p w14:paraId="33EDC15F" w14:textId="77777777" w:rsidR="00CC78E3" w:rsidRPr="00991CB0" w:rsidRDefault="00CC78E3" w:rsidP="003C339B">
            <w:pPr>
              <w:spacing w:line="240" w:lineRule="auto"/>
              <w:jc w:val="both"/>
              <w:rPr>
                <w:color w:val="000000"/>
                <w:sz w:val="20"/>
                <w:szCs w:val="20"/>
              </w:rPr>
            </w:pPr>
            <w:r>
              <w:rPr>
                <w:color w:val="000000"/>
                <w:sz w:val="20"/>
                <w:szCs w:val="20"/>
              </w:rPr>
              <w:t>138</w:t>
            </w:r>
          </w:p>
        </w:tc>
        <w:tc>
          <w:tcPr>
            <w:tcW w:w="1147" w:type="dxa"/>
            <w:tcBorders>
              <w:top w:val="single" w:sz="4" w:space="0" w:color="auto"/>
              <w:left w:val="single" w:sz="4" w:space="0" w:color="auto"/>
              <w:bottom w:val="single" w:sz="4" w:space="0" w:color="auto"/>
              <w:right w:val="single" w:sz="4" w:space="0" w:color="auto"/>
            </w:tcBorders>
          </w:tcPr>
          <w:p w14:paraId="4320342D" w14:textId="77777777" w:rsidR="00CC78E3" w:rsidRDefault="00CC78E3" w:rsidP="003C339B">
            <w:pPr>
              <w:spacing w:line="240" w:lineRule="auto"/>
              <w:jc w:val="both"/>
              <w:rPr>
                <w:color w:val="000000"/>
                <w:sz w:val="20"/>
                <w:szCs w:val="20"/>
              </w:rPr>
            </w:pPr>
            <w:r>
              <w:rPr>
                <w:color w:val="000000"/>
                <w:sz w:val="20"/>
                <w:szCs w:val="20"/>
              </w:rPr>
              <w:t>3968</w:t>
            </w:r>
          </w:p>
        </w:tc>
      </w:tr>
      <w:tr w:rsidR="00CC78E3" w:rsidRPr="00991CB0" w14:paraId="6024A0D9" w14:textId="77777777" w:rsidTr="002318CE">
        <w:trPr>
          <w:trHeight w:val="466"/>
        </w:trPr>
        <w:tc>
          <w:tcPr>
            <w:tcW w:w="184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F32DD56" w14:textId="77777777" w:rsidR="00CC78E3" w:rsidRPr="00B4016E" w:rsidRDefault="00CC78E3" w:rsidP="003C339B">
            <w:pPr>
              <w:spacing w:line="240" w:lineRule="auto"/>
              <w:jc w:val="both"/>
              <w:rPr>
                <w:b/>
                <w:color w:val="000000"/>
                <w:sz w:val="20"/>
                <w:szCs w:val="20"/>
              </w:rPr>
            </w:pPr>
            <w:r w:rsidRPr="00B4016E">
              <w:rPr>
                <w:b/>
                <w:color w:val="000000"/>
                <w:sz w:val="20"/>
                <w:szCs w:val="20"/>
              </w:rPr>
              <w:t>Targets</w:t>
            </w:r>
          </w:p>
        </w:tc>
        <w:tc>
          <w:tcPr>
            <w:tcW w:w="1276" w:type="dxa"/>
            <w:tcBorders>
              <w:top w:val="single" w:sz="4" w:space="0" w:color="auto"/>
              <w:left w:val="single" w:sz="4" w:space="0" w:color="auto"/>
              <w:bottom w:val="single" w:sz="4" w:space="0" w:color="auto"/>
              <w:right w:val="single" w:sz="4" w:space="0" w:color="auto"/>
            </w:tcBorders>
          </w:tcPr>
          <w:p w14:paraId="7D61FE96" w14:textId="77777777" w:rsidR="00CC78E3" w:rsidRPr="00991CB0" w:rsidRDefault="00CC78E3" w:rsidP="003C339B">
            <w:pPr>
              <w:spacing w:line="240" w:lineRule="auto"/>
              <w:jc w:val="both"/>
              <w:rPr>
                <w:color w:val="000000"/>
                <w:sz w:val="20"/>
                <w:szCs w:val="20"/>
              </w:rPr>
            </w:pPr>
            <w:r>
              <w:rPr>
                <w:color w:val="000000"/>
                <w:sz w:val="20"/>
                <w:szCs w:val="20"/>
              </w:rPr>
              <w:t>465</w:t>
            </w:r>
          </w:p>
        </w:tc>
        <w:tc>
          <w:tcPr>
            <w:tcW w:w="1701" w:type="dxa"/>
            <w:tcBorders>
              <w:top w:val="single" w:sz="4" w:space="0" w:color="auto"/>
              <w:left w:val="single" w:sz="4" w:space="0" w:color="auto"/>
              <w:bottom w:val="single" w:sz="4" w:space="0" w:color="auto"/>
              <w:right w:val="single" w:sz="4" w:space="0" w:color="auto"/>
            </w:tcBorders>
          </w:tcPr>
          <w:p w14:paraId="3370B23C" w14:textId="77777777" w:rsidR="00CC78E3" w:rsidRPr="00991CB0" w:rsidRDefault="00CC78E3" w:rsidP="003C339B">
            <w:pPr>
              <w:spacing w:line="240" w:lineRule="auto"/>
              <w:jc w:val="both"/>
              <w:rPr>
                <w:color w:val="000000"/>
                <w:sz w:val="20"/>
                <w:szCs w:val="20"/>
              </w:rPr>
            </w:pPr>
            <w:r>
              <w:rPr>
                <w:color w:val="000000"/>
                <w:sz w:val="20"/>
                <w:szCs w:val="20"/>
              </w:rPr>
              <w:t>558</w:t>
            </w:r>
          </w:p>
        </w:tc>
        <w:tc>
          <w:tcPr>
            <w:tcW w:w="992" w:type="dxa"/>
            <w:tcBorders>
              <w:top w:val="single" w:sz="4" w:space="0" w:color="auto"/>
              <w:left w:val="single" w:sz="4" w:space="0" w:color="auto"/>
              <w:bottom w:val="single" w:sz="4" w:space="0" w:color="auto"/>
              <w:right w:val="single" w:sz="4" w:space="0" w:color="auto"/>
            </w:tcBorders>
          </w:tcPr>
          <w:p w14:paraId="0572774D" w14:textId="77777777" w:rsidR="00CC78E3" w:rsidRPr="00991CB0" w:rsidRDefault="00CC78E3" w:rsidP="003C339B">
            <w:pPr>
              <w:spacing w:line="240" w:lineRule="auto"/>
              <w:jc w:val="both"/>
              <w:rPr>
                <w:color w:val="000000"/>
                <w:sz w:val="20"/>
                <w:szCs w:val="20"/>
              </w:rPr>
            </w:pPr>
            <w:r>
              <w:rPr>
                <w:color w:val="000000"/>
                <w:sz w:val="20"/>
                <w:szCs w:val="20"/>
              </w:rPr>
              <w:t>661</w:t>
            </w:r>
          </w:p>
        </w:tc>
        <w:tc>
          <w:tcPr>
            <w:tcW w:w="1560" w:type="dxa"/>
            <w:tcBorders>
              <w:top w:val="single" w:sz="4" w:space="0" w:color="auto"/>
              <w:left w:val="single" w:sz="4" w:space="0" w:color="auto"/>
              <w:bottom w:val="single" w:sz="4" w:space="0" w:color="auto"/>
              <w:right w:val="single" w:sz="4" w:space="0" w:color="auto"/>
            </w:tcBorders>
          </w:tcPr>
          <w:p w14:paraId="13576DBD" w14:textId="77777777" w:rsidR="00CC78E3" w:rsidRPr="00991CB0" w:rsidRDefault="00CC78E3" w:rsidP="003C339B">
            <w:pPr>
              <w:spacing w:line="240" w:lineRule="auto"/>
              <w:jc w:val="both"/>
              <w:rPr>
                <w:color w:val="000000"/>
                <w:sz w:val="20"/>
                <w:szCs w:val="20"/>
              </w:rPr>
            </w:pPr>
            <w:r>
              <w:rPr>
                <w:color w:val="000000"/>
                <w:sz w:val="20"/>
                <w:szCs w:val="20"/>
              </w:rPr>
              <w:t>1255</w:t>
            </w:r>
          </w:p>
        </w:tc>
        <w:tc>
          <w:tcPr>
            <w:tcW w:w="910" w:type="dxa"/>
            <w:tcBorders>
              <w:top w:val="single" w:sz="4" w:space="0" w:color="auto"/>
              <w:left w:val="single" w:sz="4" w:space="0" w:color="auto"/>
              <w:bottom w:val="single" w:sz="4" w:space="0" w:color="auto"/>
              <w:right w:val="single" w:sz="4" w:space="0" w:color="auto"/>
            </w:tcBorders>
          </w:tcPr>
          <w:p w14:paraId="1C1997F2" w14:textId="77777777" w:rsidR="00CC78E3" w:rsidRPr="00991CB0" w:rsidRDefault="00CC78E3" w:rsidP="003C339B">
            <w:pPr>
              <w:spacing w:line="240" w:lineRule="auto"/>
              <w:jc w:val="both"/>
              <w:rPr>
                <w:color w:val="000000"/>
                <w:sz w:val="20"/>
                <w:szCs w:val="20"/>
              </w:rPr>
            </w:pPr>
            <w:r>
              <w:rPr>
                <w:color w:val="000000"/>
                <w:sz w:val="20"/>
                <w:szCs w:val="20"/>
              </w:rPr>
              <w:t>106</w:t>
            </w:r>
          </w:p>
        </w:tc>
        <w:tc>
          <w:tcPr>
            <w:tcW w:w="1147" w:type="dxa"/>
            <w:tcBorders>
              <w:top w:val="single" w:sz="4" w:space="0" w:color="auto"/>
              <w:left w:val="single" w:sz="4" w:space="0" w:color="auto"/>
              <w:bottom w:val="single" w:sz="4" w:space="0" w:color="auto"/>
              <w:right w:val="single" w:sz="4" w:space="0" w:color="auto"/>
            </w:tcBorders>
          </w:tcPr>
          <w:p w14:paraId="1CE6DFCE" w14:textId="77777777" w:rsidR="00CC78E3" w:rsidRDefault="00CC78E3" w:rsidP="003C339B">
            <w:pPr>
              <w:spacing w:line="240" w:lineRule="auto"/>
              <w:jc w:val="both"/>
              <w:rPr>
                <w:color w:val="000000"/>
                <w:sz w:val="20"/>
                <w:szCs w:val="20"/>
              </w:rPr>
            </w:pPr>
            <w:r>
              <w:rPr>
                <w:color w:val="000000"/>
                <w:sz w:val="20"/>
                <w:szCs w:val="20"/>
              </w:rPr>
              <w:t>3045</w:t>
            </w:r>
          </w:p>
        </w:tc>
      </w:tr>
    </w:tbl>
    <w:p w14:paraId="1862E577" w14:textId="77777777" w:rsidR="00142B68" w:rsidRPr="0088352F" w:rsidRDefault="00142B68" w:rsidP="003957AD">
      <w:pPr>
        <w:pStyle w:val="Heading3"/>
        <w:numPr>
          <w:ilvl w:val="0"/>
          <w:numId w:val="15"/>
        </w:numPr>
        <w:spacing w:before="360"/>
        <w:ind w:left="357" w:hanging="357"/>
        <w:jc w:val="both"/>
        <w:rPr>
          <w:rFonts w:asciiTheme="minorHAnsi" w:hAnsiTheme="minorHAnsi"/>
          <w:sz w:val="24"/>
          <w:szCs w:val="24"/>
        </w:rPr>
      </w:pPr>
      <w:r w:rsidRPr="0088352F">
        <w:rPr>
          <w:rFonts w:asciiTheme="minorHAnsi" w:hAnsiTheme="minorHAnsi"/>
          <w:sz w:val="24"/>
          <w:szCs w:val="24"/>
        </w:rPr>
        <w:t>A</w:t>
      </w:r>
      <w:r w:rsidR="00F82724" w:rsidRPr="0088352F">
        <w:rPr>
          <w:rFonts w:asciiTheme="minorHAnsi" w:hAnsiTheme="minorHAnsi"/>
          <w:sz w:val="24"/>
          <w:szCs w:val="24"/>
        </w:rPr>
        <w:t>pprenticeship Support Officers</w:t>
      </w:r>
    </w:p>
    <w:p w14:paraId="050B998E" w14:textId="4AC590BB" w:rsidR="00E170FB" w:rsidRPr="00A65E89" w:rsidRDefault="00A65E89" w:rsidP="00DE0473">
      <w:pPr>
        <w:pStyle w:val="Heading4"/>
      </w:pPr>
      <w:r>
        <w:t>Purpose of initiative:</w:t>
      </w:r>
    </w:p>
    <w:p w14:paraId="2D12FA7F" w14:textId="02374C95" w:rsidR="00E170FB" w:rsidRPr="00B4016E" w:rsidRDefault="00E170FB" w:rsidP="00B4016E">
      <w:pPr>
        <w:spacing w:after="120"/>
        <w:rPr>
          <w:color w:val="000000"/>
        </w:rPr>
      </w:pPr>
      <w:r>
        <w:rPr>
          <w:color w:val="000000"/>
        </w:rPr>
        <w:t>The Apprenticeship Support Officer (</w:t>
      </w:r>
      <w:proofErr w:type="spellStart"/>
      <w:r>
        <w:rPr>
          <w:color w:val="000000"/>
        </w:rPr>
        <w:t>ASO</w:t>
      </w:r>
      <w:proofErr w:type="spellEnd"/>
      <w:r>
        <w:rPr>
          <w:color w:val="000000"/>
        </w:rPr>
        <w:t xml:space="preserve">) program aims to increase the proportion of young people aged 15 – 24 years who successfully complete their apprenticeships by providing them </w:t>
      </w:r>
      <w:r w:rsidR="002318CE">
        <w:rPr>
          <w:color w:val="000000"/>
        </w:rPr>
        <w:t>with pastoral</w:t>
      </w:r>
      <w:r w:rsidR="002F472E">
        <w:rPr>
          <w:color w:val="000000"/>
        </w:rPr>
        <w:t xml:space="preserve"> care </w:t>
      </w:r>
      <w:r>
        <w:rPr>
          <w:color w:val="000000"/>
        </w:rPr>
        <w:t>during the first 12 months of their</w:t>
      </w:r>
      <w:r w:rsidR="002F472E">
        <w:rPr>
          <w:color w:val="000000"/>
        </w:rPr>
        <w:t xml:space="preserve"> </w:t>
      </w:r>
      <w:r w:rsidR="002318CE">
        <w:rPr>
          <w:color w:val="000000"/>
        </w:rPr>
        <w:t>apprenticeship.</w:t>
      </w:r>
    </w:p>
    <w:p w14:paraId="4C20AB82" w14:textId="77777777" w:rsidR="00E170FB" w:rsidRDefault="00E170FB" w:rsidP="00DE0473">
      <w:pPr>
        <w:pStyle w:val="Heading4"/>
      </w:pPr>
      <w:r>
        <w:t>Funding:</w:t>
      </w:r>
    </w:p>
    <w:p w14:paraId="3CD2B085" w14:textId="2F7D99DB" w:rsidR="00E170FB" w:rsidRPr="00B4016E" w:rsidRDefault="00E170FB" w:rsidP="00B4016E">
      <w:pPr>
        <w:keepNext/>
        <w:spacing w:after="120"/>
        <w:rPr>
          <w:color w:val="000000"/>
        </w:rPr>
      </w:pPr>
      <w:proofErr w:type="gramStart"/>
      <w:r>
        <w:rPr>
          <w:color w:val="000000"/>
        </w:rPr>
        <w:t>$14.428 mi</w:t>
      </w:r>
      <w:r w:rsidR="00B4016E">
        <w:rPr>
          <w:color w:val="000000"/>
        </w:rPr>
        <w:t>llion for the period 2010-2013.</w:t>
      </w:r>
      <w:proofErr w:type="gramEnd"/>
    </w:p>
    <w:p w14:paraId="79CAA891" w14:textId="77777777" w:rsidR="00E170FB" w:rsidRDefault="00E170FB" w:rsidP="00DE0473">
      <w:pPr>
        <w:pStyle w:val="Heading4"/>
      </w:pPr>
      <w:r>
        <w:t>Timing:</w:t>
      </w:r>
    </w:p>
    <w:p w14:paraId="3496A306" w14:textId="6CAA3A98" w:rsidR="00E170FB" w:rsidRPr="00B4016E" w:rsidRDefault="00E170FB" w:rsidP="00B4016E">
      <w:pPr>
        <w:spacing w:after="120"/>
        <w:rPr>
          <w:color w:val="000000"/>
        </w:rPr>
      </w:pPr>
      <w:r>
        <w:rPr>
          <w:color w:val="000000"/>
        </w:rPr>
        <w:t>The program will conclude on 31 December 2013 with a final evaluation on the success of the program to be conduc</w:t>
      </w:r>
      <w:r w:rsidR="00B4016E">
        <w:rPr>
          <w:color w:val="000000"/>
        </w:rPr>
        <w:t>ted in the second half of 2013.</w:t>
      </w:r>
    </w:p>
    <w:p w14:paraId="1540A27A" w14:textId="464B26B7" w:rsidR="00E170FB" w:rsidRPr="00A65E89" w:rsidRDefault="00E310B7" w:rsidP="00DE0473">
      <w:pPr>
        <w:pStyle w:val="Heading4"/>
      </w:pPr>
      <w:r>
        <w:t>Action to date</w:t>
      </w:r>
    </w:p>
    <w:p w14:paraId="6BA5DF62" w14:textId="2AEBC685" w:rsidR="00E170FB" w:rsidRPr="008F5205" w:rsidRDefault="00907217" w:rsidP="003957AD">
      <w:pPr>
        <w:numPr>
          <w:ilvl w:val="0"/>
          <w:numId w:val="6"/>
        </w:numPr>
        <w:spacing w:after="120"/>
        <w:ind w:left="426" w:hanging="426"/>
        <w:jc w:val="both"/>
      </w:pPr>
      <w:r>
        <w:t>In 2012, approximately 83% or</w:t>
      </w:r>
      <w:r w:rsidR="00E170FB" w:rsidRPr="008F5205">
        <w:t xml:space="preserve"> more than 12,300 eligible apprentices participated in the Apprenticeship Support Officer Program compared with 90% of 14,500 eligible apprentices in 2011. The lower </w:t>
      </w:r>
      <w:r w:rsidR="00E170FB" w:rsidRPr="008F5205">
        <w:lastRenderedPageBreak/>
        <w:t xml:space="preserve">participation rate in the </w:t>
      </w:r>
      <w:proofErr w:type="spellStart"/>
      <w:r w:rsidR="00E170FB" w:rsidRPr="008F5205">
        <w:t>ASO</w:t>
      </w:r>
      <w:proofErr w:type="spellEnd"/>
      <w:r w:rsidR="00E170FB" w:rsidRPr="008F5205">
        <w:t xml:space="preserve"> Program can be attributed in part to the commencement of the Commonwealth mentoring programs (4%) during the year. </w:t>
      </w:r>
    </w:p>
    <w:p w14:paraId="5577B43A" w14:textId="77777777" w:rsidR="00E170FB" w:rsidRPr="008F5205" w:rsidRDefault="00E170FB" w:rsidP="003957AD">
      <w:pPr>
        <w:numPr>
          <w:ilvl w:val="0"/>
          <w:numId w:val="6"/>
        </w:numPr>
        <w:spacing w:after="120"/>
        <w:ind w:left="426" w:hanging="426"/>
        <w:jc w:val="both"/>
      </w:pPr>
      <w:r w:rsidRPr="008F5205">
        <w:t>The 27 Apprenticeship Support Officers (</w:t>
      </w:r>
      <w:proofErr w:type="spellStart"/>
      <w:r w:rsidRPr="008F5205">
        <w:t>ASOs</w:t>
      </w:r>
      <w:proofErr w:type="spellEnd"/>
      <w:r w:rsidRPr="008F5205">
        <w:t xml:space="preserve">) collectively undertook more than 32,000 phone calls and over 7,800 visits across Victoria.  </w:t>
      </w:r>
    </w:p>
    <w:p w14:paraId="6C49F80C" w14:textId="278F83CB" w:rsidR="00E170FB" w:rsidRPr="008F5205" w:rsidRDefault="002F472E" w:rsidP="003957AD">
      <w:pPr>
        <w:numPr>
          <w:ilvl w:val="0"/>
          <w:numId w:val="6"/>
        </w:numPr>
        <w:spacing w:after="120"/>
        <w:ind w:left="426" w:hanging="426"/>
        <w:jc w:val="both"/>
      </w:pPr>
      <w:r>
        <w:t>Adopting t</w:t>
      </w:r>
      <w:r w:rsidR="00586500" w:rsidRPr="008F5205">
        <w:t xml:space="preserve">he </w:t>
      </w:r>
      <w:proofErr w:type="spellStart"/>
      <w:r w:rsidR="00EB2A03">
        <w:t>Allen</w:t>
      </w:r>
      <w:r w:rsidR="00EB2A03" w:rsidRPr="008F5205">
        <w:t>s</w:t>
      </w:r>
      <w:proofErr w:type="spellEnd"/>
      <w:r w:rsidR="00E170FB" w:rsidRPr="008F5205">
        <w:t xml:space="preserve"> Consulting Group recommendation to better focus resources </w:t>
      </w:r>
      <w:r w:rsidR="00586500" w:rsidRPr="008F5205">
        <w:t>by only visiting apprentices at medium or high risk</w:t>
      </w:r>
      <w:r>
        <w:t xml:space="preserve"> (which</w:t>
      </w:r>
      <w:r w:rsidR="00586500" w:rsidRPr="008F5205">
        <w:t xml:space="preserve"> </w:t>
      </w:r>
      <w:r w:rsidR="00E170FB" w:rsidRPr="008F5205">
        <w:t xml:space="preserve">accounts for the lower number of visits </w:t>
      </w:r>
      <w:r w:rsidR="00586500" w:rsidRPr="008F5205">
        <w:t xml:space="preserve">when the data is </w:t>
      </w:r>
      <w:r w:rsidR="00E170FB" w:rsidRPr="008F5205">
        <w:t>compared to 2011</w:t>
      </w:r>
      <w:r>
        <w:t>)</w:t>
      </w:r>
      <w:r w:rsidR="00E170FB" w:rsidRPr="008F5205">
        <w:t>.</w:t>
      </w:r>
    </w:p>
    <w:p w14:paraId="6CBDE289" w14:textId="77777777" w:rsidR="00E170FB" w:rsidRPr="008F5205" w:rsidRDefault="002F472E" w:rsidP="003957AD">
      <w:pPr>
        <w:numPr>
          <w:ilvl w:val="0"/>
          <w:numId w:val="6"/>
        </w:numPr>
        <w:spacing w:after="120"/>
        <w:ind w:left="426" w:hanging="426"/>
        <w:jc w:val="both"/>
      </w:pPr>
      <w:r>
        <w:t>T</w:t>
      </w:r>
      <w:r w:rsidR="00E170FB" w:rsidRPr="008F5205">
        <w:t>argeted support was provided to apprentices</w:t>
      </w:r>
      <w:r>
        <w:t xml:space="preserve"> rated</w:t>
      </w:r>
      <w:r w:rsidR="00E170FB" w:rsidRPr="008F5205">
        <w:t xml:space="preserve"> at medium </w:t>
      </w:r>
      <w:r w:rsidR="00586500" w:rsidRPr="008F5205">
        <w:t xml:space="preserve">or </w:t>
      </w:r>
      <w:r w:rsidR="00E170FB" w:rsidRPr="008F5205">
        <w:t xml:space="preserve">high risk. This change in approach gave </w:t>
      </w:r>
      <w:proofErr w:type="spellStart"/>
      <w:r w:rsidR="00E170FB" w:rsidRPr="008F5205">
        <w:t>ASOs</w:t>
      </w:r>
      <w:proofErr w:type="spellEnd"/>
      <w:r w:rsidR="00E170FB" w:rsidRPr="008F5205">
        <w:t xml:space="preserve"> greater flexibility in providing more tailored services to apprentices in need. It also allowed </w:t>
      </w:r>
      <w:proofErr w:type="spellStart"/>
      <w:r w:rsidR="00E170FB" w:rsidRPr="008F5205">
        <w:t>ASOs</w:t>
      </w:r>
      <w:proofErr w:type="spellEnd"/>
      <w:r w:rsidR="00E170FB" w:rsidRPr="008F5205">
        <w:t xml:space="preserve"> the time to work with apprentices with multiple issues, while apprentices were referred to specialist service providers for more complex issues.</w:t>
      </w:r>
    </w:p>
    <w:p w14:paraId="4BA89D7A" w14:textId="77777777" w:rsidR="00E170FB" w:rsidRPr="00647A76" w:rsidRDefault="00E170FB" w:rsidP="003957AD">
      <w:pPr>
        <w:numPr>
          <w:ilvl w:val="0"/>
          <w:numId w:val="6"/>
        </w:numPr>
        <w:spacing w:after="120"/>
        <w:ind w:left="426" w:hanging="426"/>
        <w:jc w:val="both"/>
      </w:pPr>
      <w:r w:rsidRPr="008F5205">
        <w:t xml:space="preserve">Apprentices </w:t>
      </w:r>
      <w:r w:rsidR="00586500" w:rsidRPr="008F5205">
        <w:t xml:space="preserve">who </w:t>
      </w:r>
      <w:r w:rsidRPr="008F5205">
        <w:t xml:space="preserve">commenced in 2011 and 2012 received a contact between the 9-12 month </w:t>
      </w:r>
      <w:proofErr w:type="gramStart"/>
      <w:r w:rsidRPr="008F5205">
        <w:t>point</w:t>
      </w:r>
      <w:proofErr w:type="gramEnd"/>
      <w:r w:rsidRPr="008F5205">
        <w:t xml:space="preserve"> of their apprenticeship in 2012. Many apprentices at this stage of their first year did not require further</w:t>
      </w:r>
      <w:r w:rsidRPr="00647A76">
        <w:t xml:space="preserve"> </w:t>
      </w:r>
      <w:proofErr w:type="gramStart"/>
      <w:r w:rsidRPr="00647A76">
        <w:t>support,</w:t>
      </w:r>
      <w:proofErr w:type="gramEnd"/>
      <w:r w:rsidRPr="00647A76">
        <w:t xml:space="preserve"> however a small percentage were identified as requiring support due to new issues that had emerged at this stage of their apprenticeship. </w:t>
      </w:r>
    </w:p>
    <w:p w14:paraId="1A199CD0" w14:textId="057A2B86" w:rsidR="00E170FB" w:rsidRPr="00B4016E" w:rsidRDefault="00E170FB" w:rsidP="003957AD">
      <w:pPr>
        <w:numPr>
          <w:ilvl w:val="0"/>
          <w:numId w:val="6"/>
        </w:numPr>
        <w:spacing w:after="120"/>
        <w:ind w:left="426" w:hanging="426"/>
        <w:jc w:val="both"/>
      </w:pPr>
      <w:r w:rsidRPr="00647A76">
        <w:t xml:space="preserve">The rapport established between apprentices and </w:t>
      </w:r>
      <w:proofErr w:type="spellStart"/>
      <w:r w:rsidRPr="00647A76">
        <w:t>ASOs</w:t>
      </w:r>
      <w:proofErr w:type="spellEnd"/>
      <w:r w:rsidRPr="00647A76">
        <w:t xml:space="preserve"> saw many apprentices make contact with the </w:t>
      </w:r>
      <w:proofErr w:type="spellStart"/>
      <w:r w:rsidRPr="00647A76">
        <w:t>ASO</w:t>
      </w:r>
      <w:proofErr w:type="spellEnd"/>
      <w:r w:rsidRPr="00647A76">
        <w:t xml:space="preserve"> after the 12 month point of their apprenticeship for assistance. </w:t>
      </w:r>
    </w:p>
    <w:p w14:paraId="63A18B30" w14:textId="7A35D38F" w:rsidR="00E170FB" w:rsidRDefault="00E310B7" w:rsidP="00DE0473">
      <w:pPr>
        <w:pStyle w:val="Heading4"/>
      </w:pPr>
      <w:r>
        <w:t>Outcomes to date</w:t>
      </w:r>
    </w:p>
    <w:p w14:paraId="4765900C" w14:textId="77777777" w:rsidR="00E170FB" w:rsidRPr="00647A76" w:rsidRDefault="00E170FB" w:rsidP="003957AD">
      <w:pPr>
        <w:numPr>
          <w:ilvl w:val="0"/>
          <w:numId w:val="6"/>
        </w:numPr>
        <w:spacing w:after="120"/>
        <w:ind w:left="426" w:hanging="426"/>
        <w:jc w:val="both"/>
      </w:pPr>
      <w:r w:rsidRPr="00647A76">
        <w:t xml:space="preserve">The economic downturn has meant lower apprentice commencement figures in comparison to 2011. Anecdotal feedback from </w:t>
      </w:r>
      <w:proofErr w:type="spellStart"/>
      <w:r w:rsidRPr="00647A76">
        <w:t>ASOs</w:t>
      </w:r>
      <w:proofErr w:type="spellEnd"/>
      <w:r w:rsidRPr="00647A76">
        <w:t xml:space="preserve"> is that the wind-down in work is impacting on apprentice attrition rates.</w:t>
      </w:r>
      <w:r>
        <w:t xml:space="preserve"> </w:t>
      </w:r>
    </w:p>
    <w:p w14:paraId="1E53ED82" w14:textId="77777777" w:rsidR="00E170FB" w:rsidRPr="00647A76" w:rsidRDefault="00E170FB" w:rsidP="003957AD">
      <w:pPr>
        <w:numPr>
          <w:ilvl w:val="0"/>
          <w:numId w:val="6"/>
        </w:numPr>
        <w:spacing w:after="120"/>
        <w:ind w:left="426" w:hanging="426"/>
        <w:jc w:val="both"/>
      </w:pPr>
      <w:r w:rsidRPr="00647A76">
        <w:t xml:space="preserve">The introduction of the Commonwealth funded Mentoring and Careers Advisors Program in 2012 has required collaboration with the </w:t>
      </w:r>
      <w:proofErr w:type="spellStart"/>
      <w:r w:rsidRPr="00647A76">
        <w:t>ASO</w:t>
      </w:r>
      <w:proofErr w:type="spellEnd"/>
      <w:r w:rsidRPr="00647A76">
        <w:t xml:space="preserve"> Program </w:t>
      </w:r>
      <w:r w:rsidR="00586500" w:rsidRPr="00647A76">
        <w:t>M</w:t>
      </w:r>
      <w:r w:rsidRPr="00647A76">
        <w:t xml:space="preserve">anagers to maximise the range of support options available to apprentices and to mitigate any potential confusion by employers and apprentices in relation to the role of service providers. </w:t>
      </w:r>
    </w:p>
    <w:p w14:paraId="59A98699" w14:textId="60046E8D" w:rsidR="00E170FB" w:rsidRPr="00B4016E" w:rsidRDefault="00E170FB" w:rsidP="003957AD">
      <w:pPr>
        <w:numPr>
          <w:ilvl w:val="0"/>
          <w:numId w:val="6"/>
        </w:numPr>
        <w:spacing w:after="120"/>
        <w:ind w:left="426" w:hanging="426"/>
        <w:jc w:val="both"/>
      </w:pPr>
      <w:r w:rsidRPr="00647A76">
        <w:t xml:space="preserve">The main issues raised by apprentices towards the end of their first year and post program were similar. Health Care Cards, </w:t>
      </w:r>
      <w:proofErr w:type="spellStart"/>
      <w:r w:rsidRPr="00647A76">
        <w:t>RTO</w:t>
      </w:r>
      <w:proofErr w:type="spellEnd"/>
      <w:r w:rsidRPr="00647A76">
        <w:t xml:space="preserve"> enrolment and wage entitlements were major issues.</w:t>
      </w:r>
    </w:p>
    <w:p w14:paraId="579D8B13" w14:textId="50455212" w:rsidR="00E170FB" w:rsidRDefault="0001318D" w:rsidP="00DE0473">
      <w:pPr>
        <w:pStyle w:val="Heading4"/>
      </w:pPr>
      <w:r>
        <w:t>Planned adjustments (if any)</w:t>
      </w:r>
    </w:p>
    <w:p w14:paraId="15380513" w14:textId="2AE2212B" w:rsidR="00E170FB" w:rsidRDefault="00E170FB" w:rsidP="00F81216">
      <w:pPr>
        <w:spacing w:after="120"/>
        <w:jc w:val="both"/>
        <w:rPr>
          <w:color w:val="000000"/>
        </w:rPr>
      </w:pPr>
      <w:r>
        <w:rPr>
          <w:color w:val="000000"/>
        </w:rPr>
        <w:t>The 2013 Program will continue retention contacts for the 2012 cohort and commencements to March 2013.  Commencements after March will be provided with a Transition Document outlining relevant supp</w:t>
      </w:r>
      <w:r w:rsidR="00A35972">
        <w:rPr>
          <w:color w:val="000000"/>
        </w:rPr>
        <w:t xml:space="preserve">ort services for apprenticeships </w:t>
      </w:r>
      <w:r>
        <w:rPr>
          <w:color w:val="000000"/>
        </w:rPr>
        <w:t>and personal support</w:t>
      </w:r>
      <w:r w:rsidR="00A35972">
        <w:rPr>
          <w:color w:val="000000"/>
        </w:rPr>
        <w:t xml:space="preserve"> after the program finishes on 31 December 2013</w:t>
      </w:r>
      <w:r w:rsidR="00A65E89">
        <w:rPr>
          <w:color w:val="000000"/>
        </w:rPr>
        <w:t xml:space="preserve">. </w:t>
      </w:r>
    </w:p>
    <w:p w14:paraId="0132C183" w14:textId="7760A272" w:rsidR="00E170FB" w:rsidRPr="00A65E89" w:rsidRDefault="00E170FB" w:rsidP="00B4016E">
      <w:pPr>
        <w:spacing w:after="120"/>
        <w:rPr>
          <w:color w:val="000000"/>
        </w:rPr>
      </w:pPr>
      <w:r>
        <w:rPr>
          <w:color w:val="000000"/>
        </w:rPr>
        <w:t>The successful modification of the 2012 program to reduce the number of visits based on appr</w:t>
      </w:r>
      <w:r w:rsidR="002F472E">
        <w:rPr>
          <w:color w:val="000000"/>
        </w:rPr>
        <w:t>entice risk will remain in 2013, providing focus on those most at need.</w:t>
      </w:r>
      <w:r w:rsidR="00A65E89">
        <w:rPr>
          <w:color w:val="000000"/>
        </w:rPr>
        <w:t xml:space="preserve"> </w:t>
      </w:r>
    </w:p>
    <w:p w14:paraId="133681F4" w14:textId="77777777" w:rsidR="000F4A63" w:rsidRPr="00647A76" w:rsidRDefault="000F4A63" w:rsidP="003957AD">
      <w:pPr>
        <w:pStyle w:val="Heading3"/>
        <w:numPr>
          <w:ilvl w:val="0"/>
          <w:numId w:val="15"/>
        </w:numPr>
        <w:jc w:val="both"/>
        <w:rPr>
          <w:rFonts w:asciiTheme="minorHAnsi" w:hAnsiTheme="minorHAnsi"/>
        </w:rPr>
      </w:pPr>
      <w:bookmarkStart w:id="14" w:name="_Toc357161832"/>
      <w:bookmarkEnd w:id="14"/>
      <w:r w:rsidRPr="00647A76">
        <w:rPr>
          <w:rFonts w:asciiTheme="minorHAnsi" w:hAnsiTheme="minorHAnsi"/>
        </w:rPr>
        <w:t>C</w:t>
      </w:r>
      <w:r w:rsidR="00F82724" w:rsidRPr="00647A76">
        <w:rPr>
          <w:rFonts w:asciiTheme="minorHAnsi" w:hAnsiTheme="minorHAnsi"/>
        </w:rPr>
        <w:t>areer Development Services</w:t>
      </w:r>
    </w:p>
    <w:p w14:paraId="2D242C6F" w14:textId="77777777" w:rsidR="000F4A63" w:rsidRPr="006D479D" w:rsidRDefault="000F4A63" w:rsidP="00DE0473">
      <w:pPr>
        <w:pStyle w:val="Heading4"/>
      </w:pPr>
      <w:r w:rsidRPr="006D479D">
        <w:t>Purpose of initiative:</w:t>
      </w:r>
    </w:p>
    <w:p w14:paraId="5FC9658B" w14:textId="77777777" w:rsidR="000F4A63" w:rsidRPr="006D479D" w:rsidRDefault="000F4A63" w:rsidP="002318CE">
      <w:pPr>
        <w:spacing w:after="120"/>
        <w:jc w:val="both"/>
        <w:rPr>
          <w:color w:val="000000"/>
        </w:rPr>
      </w:pPr>
      <w:r w:rsidRPr="006D479D">
        <w:rPr>
          <w:color w:val="000000"/>
        </w:rPr>
        <w:t>The</w:t>
      </w:r>
      <w:r>
        <w:rPr>
          <w:color w:val="000000"/>
        </w:rPr>
        <w:t xml:space="preserve"> Improved</w:t>
      </w:r>
      <w:r w:rsidRPr="006D479D">
        <w:rPr>
          <w:color w:val="000000"/>
        </w:rPr>
        <w:t xml:space="preserve"> Careers Development</w:t>
      </w:r>
      <w:r>
        <w:rPr>
          <w:color w:val="000000"/>
        </w:rPr>
        <w:t xml:space="preserve"> Services (</w:t>
      </w:r>
      <w:proofErr w:type="spellStart"/>
      <w:r>
        <w:rPr>
          <w:color w:val="000000"/>
        </w:rPr>
        <w:t>ICDS</w:t>
      </w:r>
      <w:proofErr w:type="spellEnd"/>
      <w:r>
        <w:rPr>
          <w:color w:val="000000"/>
        </w:rPr>
        <w:t>)</w:t>
      </w:r>
      <w:r w:rsidRPr="006D479D">
        <w:rPr>
          <w:color w:val="000000"/>
        </w:rPr>
        <w:t xml:space="preserve"> initiative is divided into four streams:</w:t>
      </w:r>
    </w:p>
    <w:p w14:paraId="4C496511" w14:textId="5A689C1D" w:rsidR="000F4A63" w:rsidRPr="006D479D" w:rsidRDefault="0001318D" w:rsidP="003957AD">
      <w:pPr>
        <w:numPr>
          <w:ilvl w:val="0"/>
          <w:numId w:val="11"/>
        </w:numPr>
        <w:spacing w:after="120"/>
        <w:ind w:left="426" w:hanging="426"/>
        <w:jc w:val="both"/>
        <w:rPr>
          <w:color w:val="000000"/>
        </w:rPr>
      </w:pPr>
      <w:r>
        <w:rPr>
          <w:color w:val="000000"/>
        </w:rPr>
        <w:t>d</w:t>
      </w:r>
      <w:r w:rsidR="000F4A63" w:rsidRPr="006D479D">
        <w:rPr>
          <w:color w:val="000000"/>
        </w:rPr>
        <w:t xml:space="preserve">evelopment of </w:t>
      </w:r>
      <w:r w:rsidR="008F5205">
        <w:rPr>
          <w:color w:val="000000"/>
        </w:rPr>
        <w:t xml:space="preserve">a </w:t>
      </w:r>
      <w:r w:rsidR="000F4A63" w:rsidRPr="006D479D">
        <w:rPr>
          <w:color w:val="000000"/>
        </w:rPr>
        <w:t xml:space="preserve">Careers Curriculum Framework </w:t>
      </w:r>
      <w:r w:rsidR="008F5205">
        <w:rPr>
          <w:color w:val="000000"/>
        </w:rPr>
        <w:t>(</w:t>
      </w:r>
      <w:proofErr w:type="spellStart"/>
      <w:r w:rsidR="008F5205">
        <w:rPr>
          <w:color w:val="000000"/>
        </w:rPr>
        <w:t>CCF</w:t>
      </w:r>
      <w:proofErr w:type="spellEnd"/>
      <w:r w:rsidR="008F5205">
        <w:rPr>
          <w:color w:val="000000"/>
        </w:rPr>
        <w:t xml:space="preserve">) </w:t>
      </w:r>
      <w:r w:rsidR="000F4A63" w:rsidRPr="006D479D">
        <w:rPr>
          <w:color w:val="000000"/>
        </w:rPr>
        <w:t>(Years 7 to 12) to introduce a clear</w:t>
      </w:r>
      <w:r w:rsidR="000F4A63">
        <w:rPr>
          <w:color w:val="000000"/>
        </w:rPr>
        <w:t xml:space="preserve"> and comprehensive</w:t>
      </w:r>
      <w:r w:rsidR="000F4A63" w:rsidRPr="006D479D">
        <w:rPr>
          <w:color w:val="000000"/>
        </w:rPr>
        <w:t xml:space="preserve"> careers </w:t>
      </w:r>
      <w:r w:rsidR="000F4A63">
        <w:rPr>
          <w:color w:val="000000"/>
        </w:rPr>
        <w:t>education</w:t>
      </w:r>
      <w:r w:rsidR="008F5205">
        <w:rPr>
          <w:color w:val="000000"/>
        </w:rPr>
        <w:t xml:space="preserve"> pathway</w:t>
      </w:r>
      <w:r w:rsidR="000F4A63">
        <w:rPr>
          <w:color w:val="000000"/>
        </w:rPr>
        <w:t xml:space="preserve"> for all young people from </w:t>
      </w:r>
      <w:r w:rsidR="008F5205">
        <w:rPr>
          <w:color w:val="000000"/>
        </w:rPr>
        <w:t>Y</w:t>
      </w:r>
      <w:r w:rsidR="000F4A63">
        <w:rPr>
          <w:color w:val="000000"/>
        </w:rPr>
        <w:t xml:space="preserve">ears 7-12 in schools and for young learners with VET providers and Learn </w:t>
      </w:r>
      <w:r w:rsidR="008F5205">
        <w:rPr>
          <w:color w:val="000000"/>
        </w:rPr>
        <w:t>L</w:t>
      </w:r>
      <w:r w:rsidR="000F4A63">
        <w:rPr>
          <w:color w:val="000000"/>
        </w:rPr>
        <w:t>ocal organisations</w:t>
      </w:r>
      <w:r>
        <w:rPr>
          <w:color w:val="000000"/>
        </w:rPr>
        <w:t>;</w:t>
      </w:r>
    </w:p>
    <w:p w14:paraId="36B71E0F" w14:textId="5F921D3E" w:rsidR="000F4A63" w:rsidRPr="006D479D" w:rsidRDefault="000F4A63" w:rsidP="003957AD">
      <w:pPr>
        <w:numPr>
          <w:ilvl w:val="0"/>
          <w:numId w:val="11"/>
        </w:numPr>
        <w:spacing w:after="120"/>
        <w:ind w:left="426" w:hanging="426"/>
        <w:jc w:val="both"/>
        <w:rPr>
          <w:color w:val="000000"/>
        </w:rPr>
      </w:pPr>
      <w:r w:rsidRPr="006D479D">
        <w:rPr>
          <w:color w:val="000000"/>
        </w:rPr>
        <w:lastRenderedPageBreak/>
        <w:t>Professional Develo</w:t>
      </w:r>
      <w:r>
        <w:rPr>
          <w:color w:val="000000"/>
        </w:rPr>
        <w:t>pment for Career Practitioners –</w:t>
      </w:r>
      <w:r w:rsidR="008A3B80">
        <w:rPr>
          <w:color w:val="000000"/>
        </w:rPr>
        <w:t xml:space="preserve"> </w:t>
      </w:r>
      <w:r w:rsidRPr="006D479D">
        <w:rPr>
          <w:color w:val="000000"/>
        </w:rPr>
        <w:t xml:space="preserve">increase the number of careers practitioners with </w:t>
      </w:r>
      <w:r>
        <w:rPr>
          <w:color w:val="000000"/>
        </w:rPr>
        <w:t>relevant careers qualifications throug</w:t>
      </w:r>
      <w:r w:rsidR="0001318D">
        <w:rPr>
          <w:color w:val="000000"/>
        </w:rPr>
        <w:t>h the provision of Study Grants;</w:t>
      </w:r>
    </w:p>
    <w:p w14:paraId="2A08F9F8" w14:textId="2A318927" w:rsidR="000F4A63" w:rsidRPr="006D479D" w:rsidRDefault="000F4A63" w:rsidP="003957AD">
      <w:pPr>
        <w:numPr>
          <w:ilvl w:val="0"/>
          <w:numId w:val="11"/>
        </w:numPr>
        <w:spacing w:after="120"/>
        <w:ind w:left="426" w:hanging="426"/>
        <w:jc w:val="both"/>
        <w:rPr>
          <w:color w:val="000000"/>
        </w:rPr>
      </w:pPr>
      <w:r w:rsidRPr="006D479D">
        <w:rPr>
          <w:color w:val="000000"/>
        </w:rPr>
        <w:t>Regional Career Development Officers</w:t>
      </w:r>
      <w:r>
        <w:rPr>
          <w:color w:val="000000"/>
        </w:rPr>
        <w:t xml:space="preserve"> located across the state</w:t>
      </w:r>
      <w:r w:rsidRPr="006D479D">
        <w:rPr>
          <w:color w:val="000000"/>
        </w:rPr>
        <w:t xml:space="preserve"> to support education and training providers in all sectors to work towards continuous improvement in career development services available to stud</w:t>
      </w:r>
      <w:r w:rsidR="0001318D">
        <w:rPr>
          <w:color w:val="000000"/>
        </w:rPr>
        <w:t>ents, and families of students; and</w:t>
      </w:r>
    </w:p>
    <w:p w14:paraId="356A74BD" w14:textId="689EC1AD" w:rsidR="000F4A63" w:rsidRPr="006D479D" w:rsidRDefault="000F4A63" w:rsidP="003957AD">
      <w:pPr>
        <w:numPr>
          <w:ilvl w:val="0"/>
          <w:numId w:val="11"/>
        </w:numPr>
        <w:spacing w:after="200"/>
        <w:ind w:left="426" w:hanging="426"/>
        <w:jc w:val="both"/>
        <w:rPr>
          <w:color w:val="000000"/>
        </w:rPr>
      </w:pPr>
      <w:r w:rsidRPr="006D479D">
        <w:rPr>
          <w:color w:val="000000"/>
        </w:rPr>
        <w:t xml:space="preserve">Careers Mentoring Network Initiative </w:t>
      </w:r>
      <w:r>
        <w:rPr>
          <w:color w:val="000000"/>
        </w:rPr>
        <w:t>–</w:t>
      </w:r>
      <w:r w:rsidR="002318CE">
        <w:rPr>
          <w:color w:val="000000"/>
        </w:rPr>
        <w:t xml:space="preserve"> </w:t>
      </w:r>
      <w:r w:rsidRPr="006D479D">
        <w:rPr>
          <w:color w:val="000000"/>
        </w:rPr>
        <w:t xml:space="preserve">improve the lifelong learning and employment prospects of current students from three targeted groups: </w:t>
      </w:r>
      <w:proofErr w:type="spellStart"/>
      <w:r w:rsidRPr="006D479D">
        <w:rPr>
          <w:color w:val="000000"/>
        </w:rPr>
        <w:t>Koorie</w:t>
      </w:r>
      <w:proofErr w:type="spellEnd"/>
      <w:r w:rsidRPr="006D479D">
        <w:rPr>
          <w:color w:val="000000"/>
        </w:rPr>
        <w:t xml:space="preserve"> students, English as a</w:t>
      </w:r>
      <w:r>
        <w:rPr>
          <w:color w:val="000000"/>
        </w:rPr>
        <w:t>n Additional</w:t>
      </w:r>
      <w:r w:rsidRPr="006D479D">
        <w:rPr>
          <w:color w:val="000000"/>
        </w:rPr>
        <w:t xml:space="preserve"> Language </w:t>
      </w:r>
      <w:r>
        <w:rPr>
          <w:color w:val="000000"/>
        </w:rPr>
        <w:t>(</w:t>
      </w:r>
      <w:proofErr w:type="spellStart"/>
      <w:r>
        <w:rPr>
          <w:color w:val="000000"/>
        </w:rPr>
        <w:t>EAL</w:t>
      </w:r>
      <w:proofErr w:type="spellEnd"/>
      <w:r>
        <w:rPr>
          <w:color w:val="000000"/>
        </w:rPr>
        <w:t xml:space="preserve">) </w:t>
      </w:r>
      <w:r w:rsidRPr="006D479D">
        <w:rPr>
          <w:color w:val="000000"/>
        </w:rPr>
        <w:t xml:space="preserve">and </w:t>
      </w:r>
      <w:proofErr w:type="gramStart"/>
      <w:r w:rsidRPr="006D479D">
        <w:rPr>
          <w:color w:val="000000"/>
        </w:rPr>
        <w:t>Culturally</w:t>
      </w:r>
      <w:proofErr w:type="gramEnd"/>
      <w:r w:rsidRPr="006D479D">
        <w:rPr>
          <w:color w:val="000000"/>
        </w:rPr>
        <w:t xml:space="preserve"> and Linguistically Diverse students including refugees, and students from low SES families experiencing intergenerational p</w:t>
      </w:r>
      <w:r w:rsidR="00793CB6">
        <w:rPr>
          <w:color w:val="000000"/>
        </w:rPr>
        <w:t>overty and unemployment.</w:t>
      </w:r>
    </w:p>
    <w:p w14:paraId="500D41BD" w14:textId="77777777" w:rsidR="000F4A63" w:rsidRPr="006D479D" w:rsidRDefault="000F4A63" w:rsidP="00DE0473">
      <w:pPr>
        <w:pStyle w:val="Heading4"/>
      </w:pPr>
      <w:r w:rsidRPr="006D479D">
        <w:t>Funding:</w:t>
      </w:r>
    </w:p>
    <w:p w14:paraId="279FC9A7" w14:textId="77777777" w:rsidR="000F4A63" w:rsidRPr="00223523" w:rsidRDefault="000F4A63" w:rsidP="003C339B">
      <w:pPr>
        <w:spacing w:after="120"/>
        <w:jc w:val="both"/>
        <w:rPr>
          <w:color w:val="000000"/>
        </w:rPr>
      </w:pPr>
      <w:r w:rsidRPr="00223523">
        <w:rPr>
          <w:color w:val="000000"/>
        </w:rPr>
        <w:t>$</w:t>
      </w:r>
      <w:r>
        <w:rPr>
          <w:color w:val="000000"/>
        </w:rPr>
        <w:t>9.862</w:t>
      </w:r>
      <w:r w:rsidRPr="00223523">
        <w:rPr>
          <w:color w:val="000000"/>
        </w:rPr>
        <w:t xml:space="preserve"> million for the period 2010-2013</w:t>
      </w:r>
    </w:p>
    <w:p w14:paraId="3807C4EA" w14:textId="77777777" w:rsidR="000F4A63" w:rsidRDefault="000F4A63" w:rsidP="00DE0473">
      <w:pPr>
        <w:pStyle w:val="Heading4"/>
      </w:pPr>
      <w:r w:rsidRPr="0023065C">
        <w:t>Timing:</w:t>
      </w:r>
      <w:r w:rsidRPr="003F58CA">
        <w:t xml:space="preserve"> </w:t>
      </w:r>
    </w:p>
    <w:p w14:paraId="1D1A1628" w14:textId="77777777" w:rsidR="000F4A63" w:rsidRDefault="000F4A63" w:rsidP="00A65E89">
      <w:pPr>
        <w:spacing w:after="120"/>
        <w:jc w:val="both"/>
        <w:rPr>
          <w:color w:val="000000" w:themeColor="text1"/>
        </w:rPr>
      </w:pPr>
      <w:r w:rsidRPr="00A067D5">
        <w:rPr>
          <w:color w:val="000000" w:themeColor="text1"/>
        </w:rPr>
        <w:t xml:space="preserve">Different elements related to the </w:t>
      </w:r>
      <w:proofErr w:type="spellStart"/>
      <w:r w:rsidRPr="00A067D5">
        <w:rPr>
          <w:color w:val="000000" w:themeColor="text1"/>
        </w:rPr>
        <w:t>ICDS</w:t>
      </w:r>
      <w:proofErr w:type="spellEnd"/>
      <w:r w:rsidRPr="00A067D5">
        <w:rPr>
          <w:color w:val="000000" w:themeColor="text1"/>
        </w:rPr>
        <w:t xml:space="preserve"> initiative have commenced at different times:</w:t>
      </w:r>
    </w:p>
    <w:p w14:paraId="411BFEF0" w14:textId="49EE3250" w:rsidR="000F4A63" w:rsidRPr="00A65E89" w:rsidRDefault="000F4A63" w:rsidP="003957AD">
      <w:pPr>
        <w:numPr>
          <w:ilvl w:val="0"/>
          <w:numId w:val="4"/>
        </w:numPr>
        <w:spacing w:after="120"/>
        <w:jc w:val="both"/>
        <w:rPr>
          <w:color w:val="000000" w:themeColor="text1"/>
        </w:rPr>
      </w:pPr>
      <w:r w:rsidRPr="00A067D5">
        <w:rPr>
          <w:color w:val="000000" w:themeColor="text1"/>
        </w:rPr>
        <w:t>The Careers Curriculum Framework was launched online in March 2011.</w:t>
      </w:r>
    </w:p>
    <w:p w14:paraId="03CF360F" w14:textId="174911DB" w:rsidR="000F4A63" w:rsidRPr="00A65E89" w:rsidRDefault="000F4A63" w:rsidP="003957AD">
      <w:pPr>
        <w:numPr>
          <w:ilvl w:val="0"/>
          <w:numId w:val="4"/>
        </w:numPr>
        <w:spacing w:after="120"/>
        <w:jc w:val="both"/>
        <w:rPr>
          <w:color w:val="000000" w:themeColor="text1"/>
        </w:rPr>
      </w:pPr>
      <w:r w:rsidRPr="00A067D5">
        <w:rPr>
          <w:color w:val="000000" w:themeColor="text1"/>
        </w:rPr>
        <w:t>Intakes for the Study Grants for Careers Practitioners commenced in mid-2010. There have been five intakes in total (one in 2010, two in 2011, one in 2012 and one in 2013).</w:t>
      </w:r>
    </w:p>
    <w:p w14:paraId="69C64985" w14:textId="470B3169" w:rsidR="000F4A63" w:rsidRPr="00A65E89" w:rsidRDefault="000F4A63" w:rsidP="003957AD">
      <w:pPr>
        <w:numPr>
          <w:ilvl w:val="0"/>
          <w:numId w:val="4"/>
        </w:numPr>
        <w:spacing w:after="120"/>
        <w:jc w:val="both"/>
        <w:rPr>
          <w:color w:val="000000" w:themeColor="text1"/>
        </w:rPr>
      </w:pPr>
      <w:r w:rsidRPr="00A067D5">
        <w:rPr>
          <w:color w:val="000000" w:themeColor="text1"/>
        </w:rPr>
        <w:t>There was a delay in the initial roll-out of the Careers Mentoring Network Initiative (</w:t>
      </w:r>
      <w:proofErr w:type="spellStart"/>
      <w:r w:rsidRPr="00A067D5">
        <w:rPr>
          <w:color w:val="000000" w:themeColor="text1"/>
        </w:rPr>
        <w:t>CMNI</w:t>
      </w:r>
      <w:proofErr w:type="spellEnd"/>
      <w:r w:rsidRPr="00A067D5">
        <w:rPr>
          <w:color w:val="000000" w:themeColor="text1"/>
        </w:rPr>
        <w:t>) from January 2011 until October 2011 as the governance arrangements were finalised. However, mentoring is now happening in all identified schools</w:t>
      </w:r>
      <w:r>
        <w:rPr>
          <w:color w:val="000000" w:themeColor="text1"/>
        </w:rPr>
        <w:t xml:space="preserve"> </w:t>
      </w:r>
      <w:r w:rsidR="00A65E89">
        <w:rPr>
          <w:color w:val="000000" w:themeColor="text1"/>
        </w:rPr>
        <w:t>across</w:t>
      </w:r>
      <w:r>
        <w:rPr>
          <w:color w:val="000000" w:themeColor="text1"/>
        </w:rPr>
        <w:t xml:space="preserve"> </w:t>
      </w:r>
      <w:r w:rsidR="00A65E89">
        <w:rPr>
          <w:color w:val="000000" w:themeColor="text1"/>
        </w:rPr>
        <w:t>all</w:t>
      </w:r>
      <w:r>
        <w:rPr>
          <w:color w:val="000000" w:themeColor="text1"/>
        </w:rPr>
        <w:t xml:space="preserve"> </w:t>
      </w:r>
      <w:r w:rsidR="00A65E89">
        <w:rPr>
          <w:color w:val="000000" w:themeColor="text1"/>
        </w:rPr>
        <w:t>three identified</w:t>
      </w:r>
      <w:r>
        <w:rPr>
          <w:color w:val="000000" w:themeColor="text1"/>
        </w:rPr>
        <w:t xml:space="preserve"> cohorts - </w:t>
      </w:r>
      <w:proofErr w:type="spellStart"/>
      <w:r>
        <w:rPr>
          <w:color w:val="000000" w:themeColor="text1"/>
        </w:rPr>
        <w:t>Koorie</w:t>
      </w:r>
      <w:proofErr w:type="spellEnd"/>
      <w:r>
        <w:rPr>
          <w:color w:val="000000" w:themeColor="text1"/>
        </w:rPr>
        <w:t>, refugee/</w:t>
      </w:r>
      <w:proofErr w:type="spellStart"/>
      <w:r w:rsidR="00A65E89">
        <w:rPr>
          <w:color w:val="000000" w:themeColor="text1"/>
        </w:rPr>
        <w:t>EAL</w:t>
      </w:r>
      <w:proofErr w:type="spellEnd"/>
      <w:r w:rsidR="00A65E89">
        <w:rPr>
          <w:color w:val="000000" w:themeColor="text1"/>
        </w:rPr>
        <w:t xml:space="preserve"> and</w:t>
      </w:r>
      <w:r>
        <w:rPr>
          <w:color w:val="000000" w:themeColor="text1"/>
        </w:rPr>
        <w:t xml:space="preserve"> low SES</w:t>
      </w:r>
      <w:r w:rsidR="00A65E89">
        <w:rPr>
          <w:color w:val="000000" w:themeColor="text1"/>
        </w:rPr>
        <w:t xml:space="preserve"> students</w:t>
      </w:r>
      <w:r w:rsidRPr="00A067D5">
        <w:rPr>
          <w:color w:val="000000" w:themeColor="text1"/>
        </w:rPr>
        <w:t>.</w:t>
      </w:r>
    </w:p>
    <w:p w14:paraId="76FF5120" w14:textId="77777777" w:rsidR="000F4A63" w:rsidRPr="00ED604C" w:rsidRDefault="000F4A63" w:rsidP="003957AD">
      <w:pPr>
        <w:numPr>
          <w:ilvl w:val="0"/>
          <w:numId w:val="4"/>
        </w:numPr>
        <w:spacing w:after="120"/>
        <w:jc w:val="both"/>
        <w:rPr>
          <w:color w:val="000000" w:themeColor="text1"/>
        </w:rPr>
      </w:pPr>
      <w:proofErr w:type="spellStart"/>
      <w:r w:rsidRPr="00A067D5">
        <w:rPr>
          <w:color w:val="000000" w:themeColor="text1"/>
        </w:rPr>
        <w:t>DEECD</w:t>
      </w:r>
      <w:proofErr w:type="spellEnd"/>
      <w:r w:rsidRPr="00A067D5">
        <w:rPr>
          <w:color w:val="000000" w:themeColor="text1"/>
        </w:rPr>
        <w:t xml:space="preserve"> engaged </w:t>
      </w:r>
      <w:proofErr w:type="spellStart"/>
      <w:r w:rsidRPr="00A067D5">
        <w:rPr>
          <w:color w:val="000000" w:themeColor="text1"/>
        </w:rPr>
        <w:t>Synergistiq</w:t>
      </w:r>
      <w:proofErr w:type="spellEnd"/>
      <w:r w:rsidRPr="00A067D5">
        <w:rPr>
          <w:color w:val="000000" w:themeColor="text1"/>
        </w:rPr>
        <w:t xml:space="preserve"> Pty Ltd in February 2013 to conduct the impact evaluation of Improved Career Development Services (</w:t>
      </w:r>
      <w:proofErr w:type="spellStart"/>
      <w:r w:rsidRPr="00A067D5">
        <w:rPr>
          <w:color w:val="000000" w:themeColor="text1"/>
        </w:rPr>
        <w:t>ICDS</w:t>
      </w:r>
      <w:proofErr w:type="spellEnd"/>
      <w:r w:rsidRPr="00A067D5">
        <w:rPr>
          <w:color w:val="000000" w:themeColor="text1"/>
        </w:rPr>
        <w:t>).  The final report is due at the end of June 2013.</w:t>
      </w:r>
    </w:p>
    <w:p w14:paraId="3BD82259" w14:textId="20C63F7B" w:rsidR="000F4A63" w:rsidRPr="00A067D5" w:rsidRDefault="0001318D" w:rsidP="00DE0473">
      <w:pPr>
        <w:pStyle w:val="Heading4"/>
      </w:pPr>
      <w:r>
        <w:t>Action to date</w:t>
      </w:r>
    </w:p>
    <w:p w14:paraId="6DAA958F" w14:textId="77777777" w:rsidR="000F4A63" w:rsidRPr="00ED604C" w:rsidRDefault="000F4A63" w:rsidP="003957AD">
      <w:pPr>
        <w:numPr>
          <w:ilvl w:val="0"/>
          <w:numId w:val="4"/>
        </w:numPr>
        <w:spacing w:after="120"/>
        <w:ind w:left="426" w:hanging="426"/>
        <w:jc w:val="both"/>
        <w:rPr>
          <w:b/>
          <w:color w:val="000000" w:themeColor="text1"/>
        </w:rPr>
      </w:pPr>
      <w:r w:rsidRPr="00A067D5">
        <w:rPr>
          <w:color w:val="000000" w:themeColor="text1"/>
        </w:rPr>
        <w:t>The final intake for the Study Grants initiative was conducted, with a total of 101 offers made for completion of a Graduate Certificate in Career Development in 2013.</w:t>
      </w:r>
    </w:p>
    <w:p w14:paraId="44387800" w14:textId="77777777" w:rsidR="000F4A63" w:rsidRPr="00ED604C" w:rsidRDefault="000F4A63" w:rsidP="003957AD">
      <w:pPr>
        <w:numPr>
          <w:ilvl w:val="0"/>
          <w:numId w:val="4"/>
        </w:numPr>
        <w:spacing w:after="120"/>
        <w:ind w:left="426" w:hanging="426"/>
        <w:jc w:val="both"/>
        <w:rPr>
          <w:b/>
          <w:color w:val="000000" w:themeColor="text1"/>
        </w:rPr>
      </w:pPr>
      <w:r w:rsidRPr="00A067D5">
        <w:rPr>
          <w:color w:val="000000" w:themeColor="text1"/>
        </w:rPr>
        <w:t xml:space="preserve">The </w:t>
      </w:r>
      <w:proofErr w:type="spellStart"/>
      <w:r w:rsidRPr="00A067D5">
        <w:rPr>
          <w:color w:val="000000" w:themeColor="text1"/>
        </w:rPr>
        <w:t>CMNI</w:t>
      </w:r>
      <w:proofErr w:type="spellEnd"/>
      <w:r w:rsidRPr="00A067D5">
        <w:rPr>
          <w:color w:val="000000" w:themeColor="text1"/>
        </w:rPr>
        <w:t xml:space="preserve"> has consolidated in 2012-13. The structure of the various programs has been refined in order to better meet the developmental needs of Year 7 and 8 students and the socio-cultural considerations of the three target groups. It has also focused more heavily on broader recruitment models for mentors and on parental engagement.</w:t>
      </w:r>
    </w:p>
    <w:p w14:paraId="456064CD" w14:textId="77777777" w:rsidR="000F4A63" w:rsidRPr="00ED604C" w:rsidRDefault="000F4A63" w:rsidP="003957AD">
      <w:pPr>
        <w:numPr>
          <w:ilvl w:val="0"/>
          <w:numId w:val="4"/>
        </w:numPr>
        <w:spacing w:after="120"/>
        <w:ind w:left="426" w:hanging="426"/>
        <w:jc w:val="both"/>
        <w:rPr>
          <w:b/>
          <w:color w:val="000000" w:themeColor="text1"/>
        </w:rPr>
      </w:pPr>
      <w:r w:rsidRPr="00A067D5">
        <w:rPr>
          <w:color w:val="000000" w:themeColor="text1"/>
        </w:rPr>
        <w:t xml:space="preserve">The </w:t>
      </w:r>
      <w:proofErr w:type="spellStart"/>
      <w:r w:rsidRPr="00A067D5">
        <w:rPr>
          <w:color w:val="000000" w:themeColor="text1"/>
        </w:rPr>
        <w:t>CMNI</w:t>
      </w:r>
      <w:proofErr w:type="spellEnd"/>
      <w:r w:rsidRPr="00A067D5">
        <w:rPr>
          <w:color w:val="000000" w:themeColor="text1"/>
        </w:rPr>
        <w:t xml:space="preserve"> program has incorporated matching of students with mentors, trade expos, industry talks, relationship building with local businesses, and the familiarisation of students with interactive career web tools, a speaker program and the </w:t>
      </w:r>
      <w:r>
        <w:rPr>
          <w:color w:val="000000" w:themeColor="text1"/>
        </w:rPr>
        <w:t xml:space="preserve">development of resource guides.  </w:t>
      </w:r>
      <w:r w:rsidRPr="00A067D5">
        <w:rPr>
          <w:color w:val="000000" w:themeColor="text1"/>
        </w:rPr>
        <w:t xml:space="preserve">Parent focus groups have also been incorporated to improve parental engagement in the program. </w:t>
      </w:r>
    </w:p>
    <w:p w14:paraId="1E07ED48" w14:textId="77777777" w:rsidR="000F4A63" w:rsidRPr="00ED604C" w:rsidRDefault="000F4A63" w:rsidP="003957AD">
      <w:pPr>
        <w:numPr>
          <w:ilvl w:val="0"/>
          <w:numId w:val="4"/>
        </w:numPr>
        <w:spacing w:after="120"/>
        <w:ind w:left="426" w:hanging="426"/>
        <w:jc w:val="both"/>
        <w:rPr>
          <w:color w:val="000000" w:themeColor="text1"/>
        </w:rPr>
      </w:pPr>
      <w:proofErr w:type="spellStart"/>
      <w:r w:rsidRPr="00FE741D">
        <w:rPr>
          <w:color w:val="000000" w:themeColor="text1"/>
        </w:rPr>
        <w:t>RCDOs</w:t>
      </w:r>
      <w:proofErr w:type="spellEnd"/>
      <w:r w:rsidRPr="00FE741D">
        <w:rPr>
          <w:color w:val="000000" w:themeColor="text1"/>
        </w:rPr>
        <w:t xml:space="preserve"> </w:t>
      </w:r>
      <w:r>
        <w:rPr>
          <w:color w:val="000000" w:themeColor="text1"/>
        </w:rPr>
        <w:t>have continued to support schools and organisations to benchmark their careers practice and delivered professional learning to enhance the capacity of career practitioners to improve their delivery of career development services to young people.</w:t>
      </w:r>
    </w:p>
    <w:p w14:paraId="3126B0B5" w14:textId="77777777" w:rsidR="000F4A63" w:rsidRPr="00ED604C" w:rsidRDefault="000F4A63" w:rsidP="003957AD">
      <w:pPr>
        <w:numPr>
          <w:ilvl w:val="0"/>
          <w:numId w:val="4"/>
        </w:numPr>
        <w:spacing w:after="120"/>
        <w:ind w:left="426" w:hanging="426"/>
        <w:jc w:val="both"/>
        <w:rPr>
          <w:b/>
          <w:color w:val="000000" w:themeColor="text1"/>
        </w:rPr>
      </w:pPr>
      <w:r w:rsidRPr="00ED604C">
        <w:rPr>
          <w:color w:val="000000" w:themeColor="text1"/>
        </w:rPr>
        <w:t xml:space="preserve">A number of case studies have been developed and located on the </w:t>
      </w:r>
      <w:proofErr w:type="spellStart"/>
      <w:r w:rsidRPr="00ED604C">
        <w:rPr>
          <w:color w:val="000000" w:themeColor="text1"/>
        </w:rPr>
        <w:t>DEECD</w:t>
      </w:r>
      <w:proofErr w:type="spellEnd"/>
      <w:r w:rsidRPr="00ED604C">
        <w:rPr>
          <w:color w:val="000000" w:themeColor="text1"/>
        </w:rPr>
        <w:t xml:space="preserve"> website showcasing different elements of work undertaken by the </w:t>
      </w:r>
      <w:proofErr w:type="spellStart"/>
      <w:r w:rsidRPr="00ED604C">
        <w:rPr>
          <w:color w:val="000000" w:themeColor="text1"/>
        </w:rPr>
        <w:t>RCDOs</w:t>
      </w:r>
      <w:proofErr w:type="spellEnd"/>
      <w:r w:rsidRPr="00ED604C">
        <w:rPr>
          <w:color w:val="000000" w:themeColor="text1"/>
        </w:rPr>
        <w:t xml:space="preserve"> to improve the delivery of career development services to young people in Victoria. </w:t>
      </w:r>
    </w:p>
    <w:p w14:paraId="3455E985" w14:textId="65FA1FD4" w:rsidR="000F4A63" w:rsidRPr="00ED604C" w:rsidRDefault="000F4A63" w:rsidP="003957AD">
      <w:pPr>
        <w:numPr>
          <w:ilvl w:val="0"/>
          <w:numId w:val="4"/>
        </w:numPr>
        <w:spacing w:after="120"/>
        <w:ind w:left="426" w:hanging="426"/>
        <w:jc w:val="both"/>
        <w:rPr>
          <w:b/>
          <w:color w:val="000000" w:themeColor="text1"/>
        </w:rPr>
      </w:pPr>
      <w:r w:rsidRPr="00A067D5">
        <w:rPr>
          <w:color w:val="000000" w:themeColor="text1"/>
        </w:rPr>
        <w:lastRenderedPageBreak/>
        <w:t xml:space="preserve">As a result of the </w:t>
      </w:r>
      <w:proofErr w:type="spellStart"/>
      <w:r w:rsidRPr="00A067D5">
        <w:rPr>
          <w:color w:val="000000" w:themeColor="text1"/>
        </w:rPr>
        <w:t>RCDOs</w:t>
      </w:r>
      <w:proofErr w:type="spellEnd"/>
      <w:r w:rsidRPr="00A067D5">
        <w:rPr>
          <w:color w:val="000000" w:themeColor="text1"/>
        </w:rPr>
        <w:t xml:space="preserve"> work with careers practitioners</w:t>
      </w:r>
      <w:r w:rsidR="00A65E89">
        <w:rPr>
          <w:color w:val="000000" w:themeColor="text1"/>
        </w:rPr>
        <w:t>,</w:t>
      </w:r>
      <w:r w:rsidRPr="00A067D5">
        <w:rPr>
          <w:color w:val="000000" w:themeColor="text1"/>
        </w:rPr>
        <w:t xml:space="preserve"> regional careers groups, and feedback from other stakeholders, </w:t>
      </w:r>
      <w:r w:rsidR="00A65E89">
        <w:rPr>
          <w:color w:val="000000" w:themeColor="text1"/>
        </w:rPr>
        <w:t xml:space="preserve">both </w:t>
      </w:r>
      <w:r w:rsidRPr="00A067D5">
        <w:rPr>
          <w:color w:val="000000" w:themeColor="text1"/>
        </w:rPr>
        <w:t xml:space="preserve">the Career Action Plan templates and guidelines for implementing the </w:t>
      </w:r>
      <w:proofErr w:type="spellStart"/>
      <w:r w:rsidRPr="00A067D5">
        <w:rPr>
          <w:color w:val="000000" w:themeColor="text1"/>
        </w:rPr>
        <w:t>CCF</w:t>
      </w:r>
      <w:proofErr w:type="spellEnd"/>
      <w:r w:rsidRPr="00A067D5">
        <w:rPr>
          <w:color w:val="000000" w:themeColor="text1"/>
        </w:rPr>
        <w:t xml:space="preserve"> for targeted cohorts were further enhanced.</w:t>
      </w:r>
    </w:p>
    <w:p w14:paraId="5EEC5E05" w14:textId="77777777" w:rsidR="000F4A63" w:rsidRPr="00ED604C" w:rsidRDefault="000F4A63" w:rsidP="003957AD">
      <w:pPr>
        <w:numPr>
          <w:ilvl w:val="0"/>
          <w:numId w:val="4"/>
        </w:numPr>
        <w:spacing w:after="120"/>
        <w:ind w:left="426" w:hanging="426"/>
        <w:jc w:val="both"/>
        <w:rPr>
          <w:b/>
          <w:color w:val="000000" w:themeColor="text1"/>
        </w:rPr>
      </w:pPr>
      <w:r w:rsidRPr="00A067D5">
        <w:rPr>
          <w:color w:val="000000" w:themeColor="text1"/>
        </w:rPr>
        <w:t xml:space="preserve">A set of </w:t>
      </w:r>
      <w:proofErr w:type="spellStart"/>
      <w:r w:rsidRPr="00A067D5">
        <w:rPr>
          <w:color w:val="000000" w:themeColor="text1"/>
        </w:rPr>
        <w:t>CCF</w:t>
      </w:r>
      <w:proofErr w:type="spellEnd"/>
      <w:r w:rsidRPr="00A067D5">
        <w:rPr>
          <w:color w:val="000000" w:themeColor="text1"/>
        </w:rPr>
        <w:t xml:space="preserve"> learning outcome mapping documents have been developed to provide teachers, trainers, careers practitioners and </w:t>
      </w:r>
      <w:proofErr w:type="spellStart"/>
      <w:r w:rsidRPr="00A067D5">
        <w:rPr>
          <w:color w:val="000000" w:themeColor="text1"/>
        </w:rPr>
        <w:t>RCDOs</w:t>
      </w:r>
      <w:proofErr w:type="spellEnd"/>
      <w:r w:rsidRPr="00A067D5">
        <w:rPr>
          <w:color w:val="000000" w:themeColor="text1"/>
        </w:rPr>
        <w:t xml:space="preserve"> with an overview of sample activities and resources to assist them with curriculum mapping and documenting strategies for achieving the </w:t>
      </w:r>
      <w:proofErr w:type="spellStart"/>
      <w:r w:rsidRPr="00A067D5">
        <w:rPr>
          <w:color w:val="000000" w:themeColor="text1"/>
        </w:rPr>
        <w:t>CCF</w:t>
      </w:r>
      <w:proofErr w:type="spellEnd"/>
      <w:r w:rsidRPr="00A067D5">
        <w:rPr>
          <w:color w:val="000000" w:themeColor="text1"/>
        </w:rPr>
        <w:t xml:space="preserve"> learning outcomes.</w:t>
      </w:r>
    </w:p>
    <w:p w14:paraId="1F553B5E" w14:textId="5F6477CD" w:rsidR="00A00E3D" w:rsidRPr="00A65E89" w:rsidRDefault="000F4A63" w:rsidP="003957AD">
      <w:pPr>
        <w:numPr>
          <w:ilvl w:val="0"/>
          <w:numId w:val="4"/>
        </w:numPr>
        <w:spacing w:after="120"/>
        <w:ind w:left="426" w:hanging="426"/>
        <w:jc w:val="both"/>
        <w:rPr>
          <w:color w:val="000000" w:themeColor="text1"/>
        </w:rPr>
      </w:pPr>
      <w:r w:rsidRPr="00A067D5">
        <w:rPr>
          <w:color w:val="000000" w:themeColor="text1"/>
        </w:rPr>
        <w:t xml:space="preserve">The </w:t>
      </w:r>
      <w:proofErr w:type="spellStart"/>
      <w:r w:rsidRPr="00A067D5">
        <w:rPr>
          <w:color w:val="000000" w:themeColor="text1"/>
        </w:rPr>
        <w:t>ICDS</w:t>
      </w:r>
      <w:proofErr w:type="spellEnd"/>
      <w:r w:rsidRPr="00A067D5">
        <w:rPr>
          <w:color w:val="000000" w:themeColor="text1"/>
        </w:rPr>
        <w:t xml:space="preserve"> impact evaluation is reviewing the effectiveness, appropriateness and sustainability of the four C</w:t>
      </w:r>
      <w:r w:rsidR="002318CE">
        <w:rPr>
          <w:color w:val="000000" w:themeColor="text1"/>
        </w:rPr>
        <w:t xml:space="preserve">areer Development Initiatives. </w:t>
      </w:r>
      <w:r w:rsidRPr="00A067D5">
        <w:rPr>
          <w:color w:val="000000" w:themeColor="text1"/>
        </w:rPr>
        <w:t xml:space="preserve">In May 2013, </w:t>
      </w:r>
      <w:proofErr w:type="spellStart"/>
      <w:r w:rsidRPr="00A067D5">
        <w:rPr>
          <w:color w:val="000000" w:themeColor="text1"/>
        </w:rPr>
        <w:t>Synergistiq</w:t>
      </w:r>
      <w:proofErr w:type="spellEnd"/>
      <w:r w:rsidRPr="00A067D5">
        <w:rPr>
          <w:color w:val="000000" w:themeColor="text1"/>
        </w:rPr>
        <w:t xml:space="preserve"> commenced extensive site visits in six areas of Victoria (rural and metropolitan), as part of the consultation process to gain the views of a wide range of stakeholders who have been participating in and implementing the careers initiatives.</w:t>
      </w:r>
      <w:r w:rsidR="002318CE">
        <w:rPr>
          <w:color w:val="000000" w:themeColor="text1"/>
        </w:rPr>
        <w:t xml:space="preserve"> </w:t>
      </w:r>
      <w:r>
        <w:rPr>
          <w:color w:val="000000" w:themeColor="text1"/>
        </w:rPr>
        <w:t xml:space="preserve">The evaluation process also includes an online careers survey to all practitioners seeking their feedback on the </w:t>
      </w:r>
      <w:proofErr w:type="spellStart"/>
      <w:r>
        <w:rPr>
          <w:color w:val="000000" w:themeColor="text1"/>
        </w:rPr>
        <w:t>CCF</w:t>
      </w:r>
      <w:proofErr w:type="spellEnd"/>
      <w:r>
        <w:rPr>
          <w:color w:val="000000" w:themeColor="text1"/>
        </w:rPr>
        <w:t xml:space="preserve">, </w:t>
      </w:r>
      <w:proofErr w:type="spellStart"/>
      <w:r>
        <w:rPr>
          <w:color w:val="000000" w:themeColor="text1"/>
        </w:rPr>
        <w:t>RCDOs</w:t>
      </w:r>
      <w:proofErr w:type="spellEnd"/>
      <w:r>
        <w:rPr>
          <w:color w:val="000000" w:themeColor="text1"/>
        </w:rPr>
        <w:t xml:space="preserve"> and Study Grant initiatives.</w:t>
      </w:r>
      <w:r w:rsidRPr="00A067D5">
        <w:rPr>
          <w:color w:val="000000" w:themeColor="text1"/>
        </w:rPr>
        <w:t xml:space="preserve">  </w:t>
      </w:r>
    </w:p>
    <w:p w14:paraId="23D3546D" w14:textId="2DCF651C" w:rsidR="000F4A63" w:rsidRPr="00A067D5" w:rsidRDefault="0001318D" w:rsidP="00DE0473">
      <w:pPr>
        <w:pStyle w:val="Heading4"/>
      </w:pPr>
      <w:r>
        <w:t>Outcomes to date</w:t>
      </w:r>
    </w:p>
    <w:p w14:paraId="7D5A93D0" w14:textId="0DE16987" w:rsidR="000F4A63" w:rsidRPr="00ED604C" w:rsidRDefault="000F4A63" w:rsidP="003957AD">
      <w:pPr>
        <w:numPr>
          <w:ilvl w:val="0"/>
          <w:numId w:val="12"/>
        </w:numPr>
        <w:tabs>
          <w:tab w:val="clear" w:pos="363"/>
        </w:tabs>
        <w:spacing w:after="120"/>
        <w:ind w:left="426" w:hanging="426"/>
        <w:jc w:val="both"/>
        <w:rPr>
          <w:b/>
          <w:color w:val="000000" w:themeColor="text1"/>
        </w:rPr>
      </w:pPr>
      <w:r>
        <w:rPr>
          <w:color w:val="000000" w:themeColor="text1"/>
        </w:rPr>
        <w:t xml:space="preserve">Under the </w:t>
      </w:r>
      <w:proofErr w:type="spellStart"/>
      <w:r>
        <w:rPr>
          <w:color w:val="000000" w:themeColor="text1"/>
        </w:rPr>
        <w:t>NP</w:t>
      </w:r>
      <w:r w:rsidRPr="00A067D5">
        <w:rPr>
          <w:color w:val="000000" w:themeColor="text1"/>
        </w:rPr>
        <w:t>YAT</w:t>
      </w:r>
      <w:proofErr w:type="spellEnd"/>
      <w:r w:rsidRPr="00A067D5">
        <w:rPr>
          <w:color w:val="000000" w:themeColor="text1"/>
        </w:rPr>
        <w:t xml:space="preserve">, </w:t>
      </w:r>
      <w:proofErr w:type="spellStart"/>
      <w:r w:rsidRPr="00A067D5">
        <w:rPr>
          <w:color w:val="000000" w:themeColor="text1"/>
        </w:rPr>
        <w:t>DEECD</w:t>
      </w:r>
      <w:proofErr w:type="spellEnd"/>
      <w:r w:rsidRPr="00A067D5">
        <w:rPr>
          <w:color w:val="000000" w:themeColor="text1"/>
        </w:rPr>
        <w:t xml:space="preserve"> committed to offering 96 Study Grants per year across the four years 2010-2013 </w:t>
      </w:r>
      <w:r w:rsidR="0001318D">
        <w:rPr>
          <w:color w:val="000000" w:themeColor="text1"/>
        </w:rPr>
        <w:t>representing 384 for the whole period</w:t>
      </w:r>
      <w:r w:rsidRPr="00A067D5">
        <w:rPr>
          <w:color w:val="000000" w:themeColor="text1"/>
        </w:rPr>
        <w:t xml:space="preserve">. </w:t>
      </w:r>
      <w:proofErr w:type="spellStart"/>
      <w:r w:rsidRPr="00A067D5">
        <w:rPr>
          <w:color w:val="000000" w:themeColor="text1"/>
        </w:rPr>
        <w:t>DEECD</w:t>
      </w:r>
      <w:proofErr w:type="spellEnd"/>
      <w:r w:rsidRPr="00A067D5">
        <w:rPr>
          <w:color w:val="000000" w:themeColor="text1"/>
        </w:rPr>
        <w:t xml:space="preserve"> has exceeded this target, offering a total of 411 Study Grants. Of these 388 were accepted.</w:t>
      </w:r>
    </w:p>
    <w:p w14:paraId="16E597F0" w14:textId="77777777" w:rsidR="000F4A63" w:rsidRPr="00ED604C" w:rsidRDefault="000F4A63" w:rsidP="003957AD">
      <w:pPr>
        <w:numPr>
          <w:ilvl w:val="0"/>
          <w:numId w:val="12"/>
        </w:numPr>
        <w:tabs>
          <w:tab w:val="clear" w:pos="363"/>
        </w:tabs>
        <w:spacing w:after="120"/>
        <w:ind w:left="426" w:hanging="426"/>
        <w:jc w:val="both"/>
        <w:rPr>
          <w:b/>
          <w:color w:val="000000" w:themeColor="text1"/>
        </w:rPr>
      </w:pPr>
      <w:r w:rsidRPr="00A067D5">
        <w:rPr>
          <w:color w:val="000000" w:themeColor="text1"/>
        </w:rPr>
        <w:t xml:space="preserve">To date, 144 young people have been involved in the </w:t>
      </w:r>
      <w:proofErr w:type="spellStart"/>
      <w:r w:rsidRPr="00A067D5">
        <w:rPr>
          <w:color w:val="000000" w:themeColor="text1"/>
        </w:rPr>
        <w:t>CMNI</w:t>
      </w:r>
      <w:proofErr w:type="spellEnd"/>
      <w:r w:rsidRPr="00A067D5">
        <w:rPr>
          <w:color w:val="000000" w:themeColor="text1"/>
        </w:rPr>
        <w:t>, 85 mentors have been recruited and 28 businesses are actively engaged in the program.</w:t>
      </w:r>
      <w:r>
        <w:rPr>
          <w:b/>
          <w:color w:val="000000" w:themeColor="text1"/>
        </w:rPr>
        <w:t xml:space="preserve">  </w:t>
      </w:r>
      <w:r w:rsidRPr="0015085F">
        <w:rPr>
          <w:color w:val="000000" w:themeColor="text1"/>
        </w:rPr>
        <w:t xml:space="preserve">The </w:t>
      </w:r>
      <w:proofErr w:type="spellStart"/>
      <w:r w:rsidRPr="0015085F">
        <w:rPr>
          <w:color w:val="000000" w:themeColor="text1"/>
        </w:rPr>
        <w:t>CMNI</w:t>
      </w:r>
      <w:proofErr w:type="spellEnd"/>
      <w:r w:rsidRPr="0015085F">
        <w:rPr>
          <w:color w:val="000000" w:themeColor="text1"/>
        </w:rPr>
        <w:t xml:space="preserve"> providers have met their annual targets or in one instance have had them adjusted to reflect difficulties in recruitment.</w:t>
      </w:r>
    </w:p>
    <w:p w14:paraId="010291F5" w14:textId="77777777" w:rsidR="000F4A63" w:rsidRPr="00ED604C" w:rsidRDefault="000F4A63" w:rsidP="003957AD">
      <w:pPr>
        <w:numPr>
          <w:ilvl w:val="0"/>
          <w:numId w:val="12"/>
        </w:numPr>
        <w:tabs>
          <w:tab w:val="clear" w:pos="363"/>
        </w:tabs>
        <w:spacing w:after="120"/>
        <w:ind w:left="426" w:hanging="426"/>
        <w:jc w:val="both"/>
        <w:rPr>
          <w:color w:val="000000" w:themeColor="text1"/>
        </w:rPr>
      </w:pPr>
      <w:r w:rsidRPr="00A067D5">
        <w:rPr>
          <w:color w:val="000000" w:themeColor="text1"/>
        </w:rPr>
        <w:t>The evaluation framework, project plan and site visit schedule for the impact evaluation of Improved Career Development Services were endorsed by the National Partnership on Youth Attainment and Transitions (</w:t>
      </w:r>
      <w:proofErr w:type="spellStart"/>
      <w:r w:rsidRPr="00A067D5">
        <w:rPr>
          <w:color w:val="000000" w:themeColor="text1"/>
        </w:rPr>
        <w:t>NPYAT</w:t>
      </w:r>
      <w:proofErr w:type="spellEnd"/>
      <w:r w:rsidRPr="00A067D5">
        <w:rPr>
          <w:color w:val="000000" w:themeColor="text1"/>
        </w:rPr>
        <w:t>) implementation sub-committee at its meeting on 16 April 2013.</w:t>
      </w:r>
    </w:p>
    <w:p w14:paraId="5AA60738" w14:textId="77777777" w:rsidR="000F4A63" w:rsidRPr="00A067D5" w:rsidRDefault="000F4A63" w:rsidP="003957AD">
      <w:pPr>
        <w:numPr>
          <w:ilvl w:val="0"/>
          <w:numId w:val="12"/>
        </w:numPr>
        <w:tabs>
          <w:tab w:val="clear" w:pos="363"/>
        </w:tabs>
        <w:spacing w:after="120"/>
        <w:ind w:left="426" w:hanging="426"/>
        <w:jc w:val="both"/>
        <w:rPr>
          <w:color w:val="000000" w:themeColor="text1"/>
        </w:rPr>
      </w:pPr>
      <w:r w:rsidRPr="00A067D5">
        <w:rPr>
          <w:color w:val="000000" w:themeColor="text1"/>
        </w:rPr>
        <w:t>The annual Regional Career Development Officers’ Business Plans outline the objectives, performance indicators and strategies over the calendar year. Quarterly reports are submitted based on the Business Plans.  Regional Career Development Officers have been:</w:t>
      </w:r>
    </w:p>
    <w:p w14:paraId="2E6FD76C" w14:textId="77777777" w:rsidR="000F4A63" w:rsidRPr="00A067D5" w:rsidRDefault="000F4A63" w:rsidP="003957AD">
      <w:pPr>
        <w:numPr>
          <w:ilvl w:val="0"/>
          <w:numId w:val="16"/>
        </w:numPr>
        <w:spacing w:after="120"/>
        <w:jc w:val="both"/>
        <w:rPr>
          <w:color w:val="000000" w:themeColor="text1"/>
        </w:rPr>
      </w:pPr>
      <w:r w:rsidRPr="00A067D5">
        <w:rPr>
          <w:color w:val="000000" w:themeColor="text1"/>
        </w:rPr>
        <w:t>working with schools (Government, Catholic and Independent), VET providers and the Learn Local adult community education sector to implement the Careers Curriculum Framework</w:t>
      </w:r>
      <w:r w:rsidR="008A3B80">
        <w:rPr>
          <w:color w:val="000000" w:themeColor="text1"/>
        </w:rPr>
        <w:t>;</w:t>
      </w:r>
      <w:r w:rsidRPr="00A067D5">
        <w:rPr>
          <w:color w:val="000000" w:themeColor="text1"/>
        </w:rPr>
        <w:t xml:space="preserve"> </w:t>
      </w:r>
    </w:p>
    <w:p w14:paraId="13A814A4" w14:textId="2FC9803F" w:rsidR="000F4A63" w:rsidRPr="00A067D5" w:rsidRDefault="000F4A63" w:rsidP="003957AD">
      <w:pPr>
        <w:numPr>
          <w:ilvl w:val="0"/>
          <w:numId w:val="16"/>
        </w:numPr>
        <w:spacing w:after="120"/>
        <w:jc w:val="both"/>
        <w:rPr>
          <w:color w:val="000000" w:themeColor="text1"/>
        </w:rPr>
      </w:pPr>
      <w:r w:rsidRPr="00A067D5">
        <w:rPr>
          <w:color w:val="000000" w:themeColor="text1"/>
        </w:rPr>
        <w:t xml:space="preserve">benchmarking career development programs in schools/organisations (targets comprise </w:t>
      </w:r>
      <w:r w:rsidR="00A00E3D">
        <w:rPr>
          <w:color w:val="000000" w:themeColor="text1"/>
        </w:rPr>
        <w:t>six</w:t>
      </w:r>
      <w:r w:rsidR="00A00E3D" w:rsidRPr="00A067D5">
        <w:rPr>
          <w:color w:val="000000" w:themeColor="text1"/>
        </w:rPr>
        <w:t xml:space="preserve"> </w:t>
      </w:r>
      <w:r w:rsidRPr="00A067D5">
        <w:rPr>
          <w:color w:val="000000" w:themeColor="text1"/>
        </w:rPr>
        <w:t xml:space="preserve">Government schools, </w:t>
      </w:r>
      <w:r w:rsidR="00A00E3D">
        <w:rPr>
          <w:color w:val="000000" w:themeColor="text1"/>
        </w:rPr>
        <w:t>two</w:t>
      </w:r>
      <w:r w:rsidR="00A00E3D" w:rsidRPr="00A067D5">
        <w:rPr>
          <w:color w:val="000000" w:themeColor="text1"/>
        </w:rPr>
        <w:t xml:space="preserve"> </w:t>
      </w:r>
      <w:r w:rsidRPr="00A067D5">
        <w:rPr>
          <w:color w:val="000000" w:themeColor="text1"/>
        </w:rPr>
        <w:t xml:space="preserve">Catholic schools, </w:t>
      </w:r>
      <w:r w:rsidR="002318CE">
        <w:rPr>
          <w:color w:val="000000" w:themeColor="text1"/>
        </w:rPr>
        <w:t>t</w:t>
      </w:r>
      <w:r w:rsidR="00A00E3D">
        <w:rPr>
          <w:color w:val="000000" w:themeColor="text1"/>
        </w:rPr>
        <w:t>wo</w:t>
      </w:r>
      <w:r w:rsidRPr="00A067D5">
        <w:rPr>
          <w:color w:val="000000" w:themeColor="text1"/>
        </w:rPr>
        <w:t xml:space="preserve"> Independent schools, </w:t>
      </w:r>
      <w:r w:rsidR="002318CE">
        <w:rPr>
          <w:color w:val="000000" w:themeColor="text1"/>
        </w:rPr>
        <w:t>t</w:t>
      </w:r>
      <w:r w:rsidR="00A00E3D">
        <w:rPr>
          <w:color w:val="000000" w:themeColor="text1"/>
        </w:rPr>
        <w:t>wo</w:t>
      </w:r>
      <w:r w:rsidRPr="00A067D5">
        <w:rPr>
          <w:color w:val="000000" w:themeColor="text1"/>
        </w:rPr>
        <w:t xml:space="preserve"> VET or Learn Local providers per region for the year);</w:t>
      </w:r>
    </w:p>
    <w:p w14:paraId="322C9937" w14:textId="0AAB0AF8" w:rsidR="000F4A63" w:rsidRPr="00A067D5" w:rsidRDefault="000F4A63" w:rsidP="003957AD">
      <w:pPr>
        <w:numPr>
          <w:ilvl w:val="0"/>
          <w:numId w:val="16"/>
        </w:numPr>
        <w:spacing w:after="120"/>
        <w:jc w:val="both"/>
        <w:rPr>
          <w:color w:val="000000" w:themeColor="text1"/>
        </w:rPr>
      </w:pPr>
      <w:r w:rsidRPr="00A067D5">
        <w:rPr>
          <w:color w:val="000000" w:themeColor="text1"/>
        </w:rPr>
        <w:t>facilitating professional learning for careers practitioners and regional stakeholders, including in the implement</w:t>
      </w:r>
      <w:r w:rsidR="002318CE">
        <w:rPr>
          <w:color w:val="000000" w:themeColor="text1"/>
        </w:rPr>
        <w:t>ation of the Careers Curriculum</w:t>
      </w:r>
      <w:r w:rsidRPr="00A067D5">
        <w:rPr>
          <w:color w:val="000000" w:themeColor="text1"/>
        </w:rPr>
        <w:t xml:space="preserve"> Framework and Career Action Planning and </w:t>
      </w:r>
      <w:proofErr w:type="spellStart"/>
      <w:r w:rsidR="00E96356" w:rsidRPr="00A067D5">
        <w:rPr>
          <w:i/>
          <w:color w:val="000000" w:themeColor="text1"/>
        </w:rPr>
        <w:t>Myfuture</w:t>
      </w:r>
      <w:proofErr w:type="spellEnd"/>
      <w:r w:rsidRPr="00A067D5">
        <w:rPr>
          <w:color w:val="000000" w:themeColor="text1"/>
        </w:rPr>
        <w:t>;</w:t>
      </w:r>
    </w:p>
    <w:p w14:paraId="73FEB150" w14:textId="103F2C5B" w:rsidR="000F4A63" w:rsidRPr="00A067D5" w:rsidRDefault="000F4A63" w:rsidP="003957AD">
      <w:pPr>
        <w:numPr>
          <w:ilvl w:val="0"/>
          <w:numId w:val="16"/>
        </w:numPr>
        <w:spacing w:after="120"/>
        <w:jc w:val="both"/>
        <w:rPr>
          <w:color w:val="000000" w:themeColor="text1"/>
        </w:rPr>
      </w:pPr>
      <w:r w:rsidRPr="00A067D5">
        <w:rPr>
          <w:color w:val="000000" w:themeColor="text1"/>
        </w:rPr>
        <w:t>implementin</w:t>
      </w:r>
      <w:r w:rsidR="002318CE">
        <w:rPr>
          <w:color w:val="000000" w:themeColor="text1"/>
        </w:rPr>
        <w:t>g customised Careers Curriculum</w:t>
      </w:r>
      <w:r w:rsidRPr="00A067D5">
        <w:rPr>
          <w:color w:val="000000" w:themeColor="text1"/>
        </w:rPr>
        <w:t xml:space="preserve"> and Career Action Plans</w:t>
      </w:r>
      <w:r w:rsidR="00500247">
        <w:rPr>
          <w:color w:val="000000" w:themeColor="text1"/>
        </w:rPr>
        <w:t>;</w:t>
      </w:r>
    </w:p>
    <w:p w14:paraId="0CE53E34" w14:textId="77777777" w:rsidR="000F4A63" w:rsidRPr="00A067D5" w:rsidRDefault="000F4A63" w:rsidP="003957AD">
      <w:pPr>
        <w:numPr>
          <w:ilvl w:val="0"/>
          <w:numId w:val="16"/>
        </w:numPr>
        <w:spacing w:after="120"/>
        <w:jc w:val="both"/>
        <w:rPr>
          <w:color w:val="000000" w:themeColor="text1"/>
        </w:rPr>
      </w:pPr>
      <w:r w:rsidRPr="00A067D5">
        <w:rPr>
          <w:color w:val="000000" w:themeColor="text1"/>
        </w:rPr>
        <w:t>facilitating parental engagement in career development workshops; and</w:t>
      </w:r>
    </w:p>
    <w:p w14:paraId="51901932" w14:textId="77777777" w:rsidR="000F4A63" w:rsidRPr="00ED604C" w:rsidRDefault="000F4A63" w:rsidP="003957AD">
      <w:pPr>
        <w:numPr>
          <w:ilvl w:val="0"/>
          <w:numId w:val="16"/>
        </w:numPr>
        <w:spacing w:after="120"/>
        <w:ind w:left="1071" w:hanging="357"/>
        <w:jc w:val="both"/>
        <w:rPr>
          <w:color w:val="000000" w:themeColor="text1"/>
        </w:rPr>
      </w:pPr>
      <w:proofErr w:type="gramStart"/>
      <w:r>
        <w:rPr>
          <w:color w:val="000000" w:themeColor="text1"/>
        </w:rPr>
        <w:t>ad</w:t>
      </w:r>
      <w:r w:rsidRPr="00A067D5">
        <w:rPr>
          <w:color w:val="000000" w:themeColor="text1"/>
        </w:rPr>
        <w:t>vocating</w:t>
      </w:r>
      <w:proofErr w:type="gramEnd"/>
      <w:r w:rsidRPr="00A067D5">
        <w:rPr>
          <w:color w:val="000000" w:themeColor="text1"/>
        </w:rPr>
        <w:t xml:space="preserve"> for support for </w:t>
      </w:r>
      <w:r w:rsidR="000F1D9E">
        <w:rPr>
          <w:color w:val="000000" w:themeColor="text1"/>
        </w:rPr>
        <w:t xml:space="preserve">a </w:t>
      </w:r>
      <w:r w:rsidRPr="00A067D5">
        <w:rPr>
          <w:color w:val="000000" w:themeColor="text1"/>
        </w:rPr>
        <w:t>whole school approach to career development from senior leadership.</w:t>
      </w:r>
    </w:p>
    <w:p w14:paraId="202377DF" w14:textId="77777777" w:rsidR="000F4A63" w:rsidRPr="00E84494" w:rsidRDefault="000F4A63" w:rsidP="003957AD">
      <w:pPr>
        <w:numPr>
          <w:ilvl w:val="0"/>
          <w:numId w:val="13"/>
        </w:numPr>
        <w:spacing w:after="120"/>
        <w:ind w:left="426" w:hanging="426"/>
        <w:jc w:val="both"/>
        <w:rPr>
          <w:color w:val="000000" w:themeColor="text1"/>
        </w:rPr>
      </w:pPr>
      <w:r w:rsidRPr="00A067D5">
        <w:rPr>
          <w:color w:val="000000" w:themeColor="text1"/>
        </w:rPr>
        <w:t>The Engaging Pare</w:t>
      </w:r>
      <w:r>
        <w:rPr>
          <w:color w:val="000000" w:themeColor="text1"/>
        </w:rPr>
        <w:t>nts in Career Conversations (</w:t>
      </w:r>
      <w:proofErr w:type="spellStart"/>
      <w:r>
        <w:rPr>
          <w:color w:val="000000" w:themeColor="text1"/>
        </w:rPr>
        <w:t>EPiCC</w:t>
      </w:r>
      <w:proofErr w:type="spellEnd"/>
      <w:r>
        <w:rPr>
          <w:color w:val="000000" w:themeColor="text1"/>
        </w:rPr>
        <w:t>) F</w:t>
      </w:r>
      <w:r w:rsidRPr="00A067D5">
        <w:rPr>
          <w:color w:val="000000" w:themeColor="text1"/>
        </w:rPr>
        <w:t xml:space="preserve">ramework professional development </w:t>
      </w:r>
      <w:r w:rsidR="00200711">
        <w:rPr>
          <w:color w:val="000000" w:themeColor="text1"/>
        </w:rPr>
        <w:t>f</w:t>
      </w:r>
      <w:r>
        <w:rPr>
          <w:color w:val="000000" w:themeColor="text1"/>
        </w:rPr>
        <w:t>orum</w:t>
      </w:r>
      <w:r w:rsidRPr="00A067D5">
        <w:rPr>
          <w:color w:val="000000" w:themeColor="text1"/>
        </w:rPr>
        <w:t xml:space="preserve"> on 26 April 2013 provided an opportunity for </w:t>
      </w:r>
      <w:proofErr w:type="spellStart"/>
      <w:r w:rsidRPr="00A067D5">
        <w:rPr>
          <w:color w:val="000000" w:themeColor="text1"/>
        </w:rPr>
        <w:t>RCDOs</w:t>
      </w:r>
      <w:proofErr w:type="spellEnd"/>
      <w:r w:rsidRPr="00A067D5">
        <w:rPr>
          <w:color w:val="000000" w:themeColor="text1"/>
        </w:rPr>
        <w:t xml:space="preserve"> to deliver or chair</w:t>
      </w:r>
      <w:r>
        <w:rPr>
          <w:color w:val="000000" w:themeColor="text1"/>
        </w:rPr>
        <w:t xml:space="preserve"> workshops on the use of the </w:t>
      </w:r>
      <w:proofErr w:type="spellStart"/>
      <w:r>
        <w:rPr>
          <w:color w:val="000000" w:themeColor="text1"/>
        </w:rPr>
        <w:t>EPi</w:t>
      </w:r>
      <w:r w:rsidRPr="00A067D5">
        <w:rPr>
          <w:color w:val="000000" w:themeColor="text1"/>
        </w:rPr>
        <w:t>CC</w:t>
      </w:r>
      <w:proofErr w:type="spellEnd"/>
      <w:r w:rsidRPr="00A067D5">
        <w:rPr>
          <w:color w:val="000000" w:themeColor="text1"/>
        </w:rPr>
        <w:t xml:space="preserve"> framework with four specific cohorts – </w:t>
      </w:r>
      <w:proofErr w:type="spellStart"/>
      <w:r>
        <w:rPr>
          <w:color w:val="000000" w:themeColor="text1"/>
        </w:rPr>
        <w:t>Koorie</w:t>
      </w:r>
      <w:proofErr w:type="spellEnd"/>
      <w:r w:rsidRPr="00A067D5">
        <w:rPr>
          <w:color w:val="000000" w:themeColor="text1"/>
        </w:rPr>
        <w:t xml:space="preserve"> students, students from low SES backgrounds, students </w:t>
      </w:r>
      <w:r w:rsidRPr="00A067D5">
        <w:rPr>
          <w:color w:val="000000" w:themeColor="text1"/>
        </w:rPr>
        <w:lastRenderedPageBreak/>
        <w:t>with a disability and students with English as an Additional Language.</w:t>
      </w:r>
      <w:r>
        <w:rPr>
          <w:color w:val="000000" w:themeColor="text1"/>
        </w:rPr>
        <w:t xml:space="preserve">  Feedback from the Forum will be used to finalise the Framework which will be available online for </w:t>
      </w:r>
      <w:r w:rsidR="000F1D9E">
        <w:rPr>
          <w:color w:val="000000" w:themeColor="text1"/>
        </w:rPr>
        <w:t>S</w:t>
      </w:r>
      <w:r>
        <w:rPr>
          <w:color w:val="000000" w:themeColor="text1"/>
        </w:rPr>
        <w:t xml:space="preserve">emester </w:t>
      </w:r>
      <w:r w:rsidR="000F1D9E">
        <w:rPr>
          <w:color w:val="000000" w:themeColor="text1"/>
        </w:rPr>
        <w:t>Two</w:t>
      </w:r>
      <w:r>
        <w:rPr>
          <w:color w:val="000000" w:themeColor="text1"/>
        </w:rPr>
        <w:t>, 2013.</w:t>
      </w:r>
    </w:p>
    <w:p w14:paraId="10CB1C65" w14:textId="11A508E2" w:rsidR="008B74C8" w:rsidRPr="000B2D80" w:rsidRDefault="000F4A63" w:rsidP="003957AD">
      <w:pPr>
        <w:numPr>
          <w:ilvl w:val="0"/>
          <w:numId w:val="13"/>
        </w:numPr>
        <w:spacing w:after="120"/>
        <w:ind w:left="426" w:hanging="426"/>
        <w:jc w:val="both"/>
        <w:rPr>
          <w:color w:val="000000" w:themeColor="text1"/>
        </w:rPr>
      </w:pPr>
      <w:proofErr w:type="spellStart"/>
      <w:r w:rsidRPr="008B74C8">
        <w:rPr>
          <w:color w:val="000000" w:themeColor="text1"/>
        </w:rPr>
        <w:t>RCDOS</w:t>
      </w:r>
      <w:proofErr w:type="spellEnd"/>
      <w:r w:rsidRPr="008B74C8">
        <w:rPr>
          <w:color w:val="000000" w:themeColor="text1"/>
        </w:rPr>
        <w:t xml:space="preserve"> have trialled the </w:t>
      </w:r>
      <w:proofErr w:type="spellStart"/>
      <w:r w:rsidRPr="008B74C8">
        <w:rPr>
          <w:color w:val="000000" w:themeColor="text1"/>
        </w:rPr>
        <w:t>EPiCC</w:t>
      </w:r>
      <w:proofErr w:type="spellEnd"/>
      <w:r w:rsidRPr="008B74C8">
        <w:rPr>
          <w:color w:val="000000" w:themeColor="text1"/>
        </w:rPr>
        <w:t xml:space="preserve"> resources in a number of schools and will continue to be involved in customising the final product and helping career practitioners in schools/organisations to use it with parent groups.</w:t>
      </w:r>
    </w:p>
    <w:p w14:paraId="3FFAC929" w14:textId="77777777" w:rsidR="008B74C8" w:rsidRDefault="0001318D" w:rsidP="00C40C26">
      <w:pPr>
        <w:pStyle w:val="Heading4"/>
      </w:pPr>
      <w:r w:rsidRPr="008B74C8">
        <w:t>Planned adjustments</w:t>
      </w:r>
    </w:p>
    <w:p w14:paraId="594252BD" w14:textId="1303F14E" w:rsidR="000F4A63" w:rsidRPr="008B74C8" w:rsidRDefault="00E9442A" w:rsidP="008B74C8">
      <w:pPr>
        <w:spacing w:after="120"/>
        <w:jc w:val="both"/>
        <w:rPr>
          <w:color w:val="000000" w:themeColor="text1"/>
        </w:rPr>
      </w:pPr>
      <w:r w:rsidRPr="008B74C8">
        <w:rPr>
          <w:color w:val="000000" w:themeColor="text1"/>
        </w:rPr>
        <w:t xml:space="preserve">One of the providers of the </w:t>
      </w:r>
      <w:proofErr w:type="spellStart"/>
      <w:r w:rsidRPr="008B74C8">
        <w:rPr>
          <w:color w:val="000000" w:themeColor="text1"/>
        </w:rPr>
        <w:t>CMNI</w:t>
      </w:r>
      <w:proofErr w:type="spellEnd"/>
      <w:r w:rsidRPr="008B74C8">
        <w:rPr>
          <w:color w:val="000000" w:themeColor="text1"/>
        </w:rPr>
        <w:t xml:space="preserve"> program, </w:t>
      </w:r>
      <w:r w:rsidR="000F4A63" w:rsidRPr="008B74C8">
        <w:rPr>
          <w:color w:val="000000" w:themeColor="text1"/>
        </w:rPr>
        <w:t>Berry Street</w:t>
      </w:r>
      <w:r w:rsidRPr="008B74C8">
        <w:rPr>
          <w:color w:val="000000" w:themeColor="text1"/>
        </w:rPr>
        <w:t>,</w:t>
      </w:r>
      <w:r w:rsidR="000F4A63" w:rsidRPr="008B74C8">
        <w:rPr>
          <w:color w:val="000000" w:themeColor="text1"/>
        </w:rPr>
        <w:t xml:space="preserve"> was given approval by the </w:t>
      </w:r>
      <w:proofErr w:type="spellStart"/>
      <w:r w:rsidR="000F4A63" w:rsidRPr="008B74C8">
        <w:rPr>
          <w:color w:val="000000" w:themeColor="text1"/>
        </w:rPr>
        <w:t>NPYAT</w:t>
      </w:r>
      <w:proofErr w:type="spellEnd"/>
      <w:r w:rsidR="000F4A63" w:rsidRPr="008B74C8">
        <w:rPr>
          <w:color w:val="000000" w:themeColor="text1"/>
        </w:rPr>
        <w:t xml:space="preserve"> Victorian Implementation Subcommittee to adjust its </w:t>
      </w:r>
      <w:proofErr w:type="spellStart"/>
      <w:r w:rsidR="000F4A63" w:rsidRPr="008B74C8">
        <w:rPr>
          <w:color w:val="000000" w:themeColor="text1"/>
        </w:rPr>
        <w:t>CMNI</w:t>
      </w:r>
      <w:proofErr w:type="spellEnd"/>
      <w:r w:rsidR="000F4A63" w:rsidRPr="008B74C8">
        <w:rPr>
          <w:color w:val="000000" w:themeColor="text1"/>
        </w:rPr>
        <w:t xml:space="preserve"> targets and broaden the eligibility criteria in recognition of difficulties in recruiting Koori participants from the area in the relevant year levels.</w:t>
      </w:r>
    </w:p>
    <w:p w14:paraId="606CF719" w14:textId="77777777" w:rsidR="000F4A63" w:rsidRDefault="000F4A63" w:rsidP="002318CE">
      <w:pPr>
        <w:spacing w:after="120"/>
        <w:jc w:val="both"/>
        <w:rPr>
          <w:color w:val="000000" w:themeColor="text1"/>
        </w:rPr>
      </w:pPr>
      <w:proofErr w:type="spellStart"/>
      <w:r w:rsidRPr="00A067D5">
        <w:rPr>
          <w:color w:val="000000" w:themeColor="text1"/>
        </w:rPr>
        <w:t>DEECD</w:t>
      </w:r>
      <w:proofErr w:type="spellEnd"/>
      <w:r w:rsidRPr="00A067D5">
        <w:rPr>
          <w:color w:val="000000" w:themeColor="text1"/>
        </w:rPr>
        <w:t xml:space="preserve"> will seek to further enhance the Careers Curriculum Framework by developing resources for use with Prep to Year 6 and mature age cohorts.</w:t>
      </w:r>
      <w:r>
        <w:rPr>
          <w:color w:val="000000" w:themeColor="text1"/>
        </w:rPr>
        <w:t xml:space="preserve">  This aligns with the lifelong learning approach</w:t>
      </w:r>
      <w:r w:rsidR="00200711">
        <w:rPr>
          <w:color w:val="000000" w:themeColor="text1"/>
        </w:rPr>
        <w:t xml:space="preserve"> to career development</w:t>
      </w:r>
      <w:r>
        <w:rPr>
          <w:color w:val="000000" w:themeColor="text1"/>
        </w:rPr>
        <w:t>.</w:t>
      </w:r>
    </w:p>
    <w:p w14:paraId="035273E3" w14:textId="77777777" w:rsidR="000B2D80" w:rsidRPr="00307970" w:rsidRDefault="000B2D80" w:rsidP="002318CE">
      <w:pPr>
        <w:spacing w:after="120"/>
        <w:jc w:val="both"/>
        <w:rPr>
          <w:sz w:val="16"/>
          <w:szCs w:val="16"/>
        </w:rPr>
      </w:pPr>
    </w:p>
    <w:p w14:paraId="4F505D23" w14:textId="77777777" w:rsidR="002E0BF8" w:rsidRPr="0088352F" w:rsidRDefault="002E0BF8" w:rsidP="003957AD">
      <w:pPr>
        <w:pStyle w:val="Heading3"/>
        <w:numPr>
          <w:ilvl w:val="0"/>
          <w:numId w:val="15"/>
        </w:numPr>
        <w:spacing w:before="0" w:line="23" w:lineRule="atLeast"/>
        <w:jc w:val="both"/>
        <w:rPr>
          <w:rFonts w:asciiTheme="minorHAnsi" w:hAnsiTheme="minorHAnsi"/>
          <w:sz w:val="24"/>
          <w:szCs w:val="24"/>
        </w:rPr>
      </w:pPr>
      <w:proofErr w:type="spellStart"/>
      <w:r w:rsidRPr="0088352F">
        <w:rPr>
          <w:rFonts w:asciiTheme="minorHAnsi" w:hAnsiTheme="minorHAnsi"/>
          <w:sz w:val="24"/>
          <w:szCs w:val="24"/>
        </w:rPr>
        <w:t>K</w:t>
      </w:r>
      <w:r w:rsidR="00F82724" w:rsidRPr="0088352F">
        <w:rPr>
          <w:rFonts w:asciiTheme="minorHAnsi" w:hAnsiTheme="minorHAnsi"/>
          <w:sz w:val="24"/>
          <w:szCs w:val="24"/>
        </w:rPr>
        <w:t>oorie</w:t>
      </w:r>
      <w:proofErr w:type="spellEnd"/>
      <w:r w:rsidR="00F82724" w:rsidRPr="0088352F">
        <w:rPr>
          <w:rFonts w:asciiTheme="minorHAnsi" w:hAnsiTheme="minorHAnsi"/>
          <w:sz w:val="24"/>
          <w:szCs w:val="24"/>
        </w:rPr>
        <w:t xml:space="preserve"> Transition Officers</w:t>
      </w:r>
      <w:r w:rsidR="000F1D9E" w:rsidRPr="0088352F">
        <w:rPr>
          <w:rFonts w:asciiTheme="minorHAnsi" w:hAnsiTheme="minorHAnsi"/>
          <w:sz w:val="24"/>
          <w:szCs w:val="24"/>
        </w:rPr>
        <w:t xml:space="preserve"> (</w:t>
      </w:r>
      <w:proofErr w:type="spellStart"/>
      <w:r w:rsidR="000F1D9E" w:rsidRPr="0088352F">
        <w:rPr>
          <w:rFonts w:asciiTheme="minorHAnsi" w:hAnsiTheme="minorHAnsi"/>
          <w:sz w:val="24"/>
          <w:szCs w:val="24"/>
        </w:rPr>
        <w:t>KTOs</w:t>
      </w:r>
      <w:proofErr w:type="spellEnd"/>
      <w:r w:rsidR="000F1D9E" w:rsidRPr="0088352F">
        <w:rPr>
          <w:rFonts w:asciiTheme="minorHAnsi" w:hAnsiTheme="minorHAnsi"/>
          <w:sz w:val="24"/>
          <w:szCs w:val="24"/>
        </w:rPr>
        <w:t>)</w:t>
      </w:r>
    </w:p>
    <w:p w14:paraId="5911E67F" w14:textId="7FC0B46F" w:rsidR="002E0BF8" w:rsidRPr="0023065C" w:rsidRDefault="0001318D" w:rsidP="00C40C26">
      <w:pPr>
        <w:pStyle w:val="Heading4"/>
      </w:pPr>
      <w:r>
        <w:t>Purpose of initiative</w:t>
      </w:r>
    </w:p>
    <w:p w14:paraId="757DC826" w14:textId="03CFB161" w:rsidR="000F1D9E" w:rsidRPr="0023065C" w:rsidRDefault="00373C9B" w:rsidP="00A65E89">
      <w:pPr>
        <w:spacing w:after="120" w:line="23" w:lineRule="atLeast"/>
        <w:jc w:val="both"/>
        <w:rPr>
          <w:color w:val="000000"/>
        </w:rPr>
      </w:pPr>
      <w:r>
        <w:rPr>
          <w:color w:val="000000"/>
        </w:rPr>
        <w:t>The initiative will</w:t>
      </w:r>
      <w:r w:rsidR="002E0BF8" w:rsidRPr="008F5CEA">
        <w:rPr>
          <w:color w:val="000000"/>
        </w:rPr>
        <w:t xml:space="preserve"> enhance the effectiveness of services and su</w:t>
      </w:r>
      <w:r w:rsidR="002E0BF8">
        <w:rPr>
          <w:color w:val="000000"/>
        </w:rPr>
        <w:t xml:space="preserve">pport for all </w:t>
      </w:r>
      <w:proofErr w:type="spellStart"/>
      <w:r w:rsidR="002E0BF8">
        <w:rPr>
          <w:color w:val="000000"/>
        </w:rPr>
        <w:t>Koorie</w:t>
      </w:r>
      <w:proofErr w:type="spellEnd"/>
      <w:r w:rsidR="002E0BF8">
        <w:rPr>
          <w:color w:val="000000"/>
        </w:rPr>
        <w:t xml:space="preserve"> students</w:t>
      </w:r>
      <w:r w:rsidR="000F1D9E">
        <w:rPr>
          <w:color w:val="000000"/>
        </w:rPr>
        <w:t>.</w:t>
      </w:r>
      <w:r w:rsidR="002E0BF8">
        <w:rPr>
          <w:color w:val="000000"/>
        </w:rPr>
        <w:t xml:space="preserve"> </w:t>
      </w:r>
      <w:proofErr w:type="spellStart"/>
      <w:r w:rsidR="002E0BF8" w:rsidRPr="008F5CEA">
        <w:rPr>
          <w:color w:val="000000"/>
        </w:rPr>
        <w:t>Koorie</w:t>
      </w:r>
      <w:proofErr w:type="spellEnd"/>
      <w:r w:rsidR="002E0BF8" w:rsidRPr="008F5CEA">
        <w:rPr>
          <w:color w:val="000000"/>
        </w:rPr>
        <w:t xml:space="preserve"> Transitions </w:t>
      </w:r>
      <w:r w:rsidR="000F1D9E">
        <w:rPr>
          <w:color w:val="000000"/>
        </w:rPr>
        <w:t xml:space="preserve">Officers </w:t>
      </w:r>
      <w:r w:rsidR="002E0BF8" w:rsidRPr="008F5CEA">
        <w:rPr>
          <w:color w:val="000000"/>
        </w:rPr>
        <w:t xml:space="preserve">will develop relationships with </w:t>
      </w:r>
      <w:proofErr w:type="spellStart"/>
      <w:r w:rsidR="002E0BF8" w:rsidRPr="008F5CEA">
        <w:rPr>
          <w:color w:val="000000"/>
        </w:rPr>
        <w:t>Koorie</w:t>
      </w:r>
      <w:proofErr w:type="spellEnd"/>
      <w:r w:rsidR="002E0BF8" w:rsidRPr="008F5CEA">
        <w:rPr>
          <w:color w:val="000000"/>
        </w:rPr>
        <w:t xml:space="preserve"> young people and their families to increase the number who remain in education or training, improve aspirations to succeed at school, and support post-school pathways.</w:t>
      </w:r>
    </w:p>
    <w:p w14:paraId="757440C1" w14:textId="1F76EEC2" w:rsidR="002E0BF8" w:rsidRPr="0023065C" w:rsidRDefault="0001318D" w:rsidP="00C40C26">
      <w:pPr>
        <w:pStyle w:val="Heading4"/>
      </w:pPr>
      <w:r>
        <w:t>Funding</w:t>
      </w:r>
    </w:p>
    <w:p w14:paraId="7B6F4D5D" w14:textId="59372A6C" w:rsidR="000F1D9E" w:rsidRPr="00223523" w:rsidRDefault="002E0BF8" w:rsidP="00A65E89">
      <w:pPr>
        <w:spacing w:after="120" w:line="23" w:lineRule="atLeast"/>
        <w:jc w:val="both"/>
        <w:rPr>
          <w:color w:val="000000"/>
        </w:rPr>
      </w:pPr>
      <w:r w:rsidRPr="00223523">
        <w:rPr>
          <w:color w:val="000000"/>
        </w:rPr>
        <w:t>$</w:t>
      </w:r>
      <w:r>
        <w:rPr>
          <w:color w:val="000000"/>
        </w:rPr>
        <w:t>3.51</w:t>
      </w:r>
      <w:r w:rsidRPr="00223523">
        <w:rPr>
          <w:color w:val="000000"/>
        </w:rPr>
        <w:t>1 million for the period 2010-2013</w:t>
      </w:r>
    </w:p>
    <w:p w14:paraId="77F7D92D" w14:textId="114F2B01" w:rsidR="002E0BF8" w:rsidRPr="0023065C" w:rsidRDefault="0001318D" w:rsidP="00C40C26">
      <w:pPr>
        <w:pStyle w:val="Heading4"/>
      </w:pPr>
      <w:r>
        <w:t>Timing</w:t>
      </w:r>
    </w:p>
    <w:p w14:paraId="7036FDA9" w14:textId="682B3990" w:rsidR="002E0BF8" w:rsidRPr="00991CB0" w:rsidRDefault="002E0BF8" w:rsidP="00A65E89">
      <w:pPr>
        <w:spacing w:after="120" w:line="23" w:lineRule="atLeast"/>
        <w:jc w:val="both"/>
        <w:rPr>
          <w:color w:val="000000"/>
        </w:rPr>
      </w:pPr>
      <w:r w:rsidRPr="00991CB0">
        <w:rPr>
          <w:color w:val="000000"/>
        </w:rPr>
        <w:t xml:space="preserve">The program became operational from February 2011 and is expected to conclude on 30 December 2013. An evaluation of the program </w:t>
      </w:r>
      <w:r>
        <w:rPr>
          <w:color w:val="000000"/>
        </w:rPr>
        <w:t xml:space="preserve">is </w:t>
      </w:r>
      <w:r w:rsidR="00373C9B">
        <w:rPr>
          <w:color w:val="000000"/>
        </w:rPr>
        <w:t>underway</w:t>
      </w:r>
      <w:r>
        <w:rPr>
          <w:color w:val="000000"/>
        </w:rPr>
        <w:t xml:space="preserve"> with the final report due in July 2013.</w:t>
      </w:r>
      <w:r w:rsidRPr="00991CB0">
        <w:rPr>
          <w:color w:val="000000"/>
        </w:rPr>
        <w:t xml:space="preserve"> </w:t>
      </w:r>
    </w:p>
    <w:p w14:paraId="08AE35B5" w14:textId="77880FAB" w:rsidR="002E0BF8" w:rsidRPr="0023065C" w:rsidRDefault="0001318D" w:rsidP="00C40C26">
      <w:pPr>
        <w:pStyle w:val="Heading4"/>
      </w:pPr>
      <w:r>
        <w:t>Action to date</w:t>
      </w:r>
    </w:p>
    <w:p w14:paraId="5B3AE7EE" w14:textId="02EB5868" w:rsidR="002E0BF8" w:rsidRPr="00A65E89" w:rsidRDefault="002E0BF8" w:rsidP="00A65E89">
      <w:pPr>
        <w:spacing w:after="120" w:line="23" w:lineRule="atLeast"/>
        <w:jc w:val="both"/>
        <w:rPr>
          <w:color w:val="000000"/>
        </w:rPr>
      </w:pPr>
      <w:r w:rsidRPr="00991CB0">
        <w:rPr>
          <w:color w:val="000000"/>
        </w:rPr>
        <w:t xml:space="preserve">An over-arching </w:t>
      </w:r>
      <w:proofErr w:type="spellStart"/>
      <w:r w:rsidRPr="00991CB0">
        <w:rPr>
          <w:color w:val="000000"/>
        </w:rPr>
        <w:t>KTO</w:t>
      </w:r>
      <w:proofErr w:type="spellEnd"/>
      <w:r w:rsidRPr="00991CB0">
        <w:rPr>
          <w:color w:val="000000"/>
        </w:rPr>
        <w:t xml:space="preserve"> Business Plan was developed in July 2011, </w:t>
      </w:r>
      <w:r>
        <w:rPr>
          <w:color w:val="000000"/>
        </w:rPr>
        <w:t>which has driven r</w:t>
      </w:r>
      <w:r w:rsidRPr="00991CB0">
        <w:rPr>
          <w:color w:val="000000"/>
        </w:rPr>
        <w:t xml:space="preserve">egional </w:t>
      </w:r>
      <w:r>
        <w:rPr>
          <w:color w:val="000000"/>
        </w:rPr>
        <w:t>action planning across the life of the program</w:t>
      </w:r>
      <w:r w:rsidR="00A65E89">
        <w:rPr>
          <w:color w:val="000000"/>
        </w:rPr>
        <w:t>.</w:t>
      </w:r>
    </w:p>
    <w:p w14:paraId="7DE089D2" w14:textId="77777777" w:rsidR="002E0BF8" w:rsidRPr="00991CB0" w:rsidRDefault="002E0BF8" w:rsidP="00A65E89">
      <w:pPr>
        <w:spacing w:after="120" w:line="23" w:lineRule="atLeast"/>
        <w:jc w:val="both"/>
        <w:rPr>
          <w:rFonts w:cs="Calibri"/>
          <w:color w:val="000000"/>
        </w:rPr>
      </w:pPr>
      <w:r w:rsidRPr="00991CB0">
        <w:rPr>
          <w:rFonts w:cs="Calibri"/>
          <w:color w:val="000000"/>
        </w:rPr>
        <w:t>Actions identified in the Business Plan and Regional Action Plans fall under the following themes:</w:t>
      </w:r>
    </w:p>
    <w:p w14:paraId="2A1440DD" w14:textId="6EFCE64B" w:rsidR="002E0BF8" w:rsidRPr="00991CB0" w:rsidRDefault="002E0BF8" w:rsidP="003957AD">
      <w:pPr>
        <w:numPr>
          <w:ilvl w:val="0"/>
          <w:numId w:val="4"/>
        </w:numPr>
        <w:tabs>
          <w:tab w:val="num" w:pos="567"/>
        </w:tabs>
        <w:spacing w:after="120" w:line="23" w:lineRule="atLeast"/>
        <w:ind w:left="426" w:hanging="426"/>
        <w:jc w:val="both"/>
        <w:rPr>
          <w:color w:val="000000"/>
        </w:rPr>
      </w:pPr>
      <w:r w:rsidRPr="00991CB0">
        <w:rPr>
          <w:color w:val="000000"/>
        </w:rPr>
        <w:t>Pathways and Transitions</w:t>
      </w:r>
      <w:r w:rsidR="00593D51">
        <w:rPr>
          <w:color w:val="000000"/>
        </w:rPr>
        <w:t>;</w:t>
      </w:r>
    </w:p>
    <w:p w14:paraId="660936A0" w14:textId="771BD0C4" w:rsidR="002E0BF8" w:rsidRPr="00991CB0" w:rsidRDefault="002E0BF8" w:rsidP="003957AD">
      <w:pPr>
        <w:numPr>
          <w:ilvl w:val="0"/>
          <w:numId w:val="4"/>
        </w:numPr>
        <w:tabs>
          <w:tab w:val="num" w:pos="567"/>
        </w:tabs>
        <w:spacing w:after="120" w:line="23" w:lineRule="atLeast"/>
        <w:ind w:left="426" w:hanging="426"/>
        <w:jc w:val="both"/>
        <w:rPr>
          <w:color w:val="000000"/>
        </w:rPr>
      </w:pPr>
      <w:r w:rsidRPr="00991CB0">
        <w:rPr>
          <w:color w:val="000000"/>
        </w:rPr>
        <w:t>Building Education, Training and Employment Provider capacity</w:t>
      </w:r>
      <w:r w:rsidR="00593D51">
        <w:rPr>
          <w:color w:val="000000"/>
        </w:rPr>
        <w:t>;</w:t>
      </w:r>
    </w:p>
    <w:p w14:paraId="0A8177E3" w14:textId="0124E345" w:rsidR="002E0BF8" w:rsidRPr="00991CB0" w:rsidRDefault="002E0BF8" w:rsidP="003957AD">
      <w:pPr>
        <w:numPr>
          <w:ilvl w:val="0"/>
          <w:numId w:val="4"/>
        </w:numPr>
        <w:tabs>
          <w:tab w:val="num" w:pos="567"/>
        </w:tabs>
        <w:spacing w:after="120" w:line="23" w:lineRule="atLeast"/>
        <w:ind w:left="426" w:hanging="426"/>
        <w:jc w:val="both"/>
        <w:rPr>
          <w:color w:val="000000"/>
        </w:rPr>
      </w:pPr>
      <w:r w:rsidRPr="00991CB0">
        <w:rPr>
          <w:color w:val="000000"/>
        </w:rPr>
        <w:t>Support for Parents, Carers, Families and Communities</w:t>
      </w:r>
      <w:r w:rsidR="00593D51">
        <w:rPr>
          <w:color w:val="000000"/>
        </w:rPr>
        <w:t>;</w:t>
      </w:r>
    </w:p>
    <w:p w14:paraId="23E0F830" w14:textId="7F2F8F7A" w:rsidR="002E0BF8" w:rsidRPr="00991CB0" w:rsidRDefault="002E0BF8" w:rsidP="003957AD">
      <w:pPr>
        <w:numPr>
          <w:ilvl w:val="0"/>
          <w:numId w:val="4"/>
        </w:numPr>
        <w:tabs>
          <w:tab w:val="num" w:pos="567"/>
        </w:tabs>
        <w:spacing w:after="120" w:line="23" w:lineRule="atLeast"/>
        <w:ind w:left="426" w:hanging="426"/>
        <w:jc w:val="both"/>
        <w:rPr>
          <w:color w:val="000000"/>
        </w:rPr>
      </w:pPr>
      <w:r w:rsidRPr="00991CB0">
        <w:rPr>
          <w:color w:val="000000"/>
        </w:rPr>
        <w:t xml:space="preserve">Building </w:t>
      </w:r>
      <w:proofErr w:type="spellStart"/>
      <w:r w:rsidRPr="00991CB0">
        <w:rPr>
          <w:color w:val="000000"/>
        </w:rPr>
        <w:t>Koorie</w:t>
      </w:r>
      <w:proofErr w:type="spellEnd"/>
      <w:r w:rsidRPr="00991CB0">
        <w:rPr>
          <w:color w:val="000000"/>
        </w:rPr>
        <w:t xml:space="preserve"> Education Workforce capacity</w:t>
      </w:r>
      <w:r w:rsidR="00593D51">
        <w:rPr>
          <w:color w:val="000000"/>
        </w:rPr>
        <w:t>; and</w:t>
      </w:r>
    </w:p>
    <w:p w14:paraId="32DF2D72" w14:textId="5EA02B1D" w:rsidR="002E0BF8" w:rsidRPr="00A65E89" w:rsidRDefault="002E0BF8" w:rsidP="003957AD">
      <w:pPr>
        <w:numPr>
          <w:ilvl w:val="0"/>
          <w:numId w:val="4"/>
        </w:numPr>
        <w:tabs>
          <w:tab w:val="num" w:pos="567"/>
        </w:tabs>
        <w:spacing w:after="120" w:line="23" w:lineRule="atLeast"/>
        <w:ind w:left="426" w:hanging="426"/>
        <w:jc w:val="both"/>
        <w:rPr>
          <w:color w:val="000000"/>
        </w:rPr>
      </w:pPr>
      <w:r w:rsidRPr="00991CB0">
        <w:rPr>
          <w:color w:val="000000"/>
        </w:rPr>
        <w:t>Partnerships</w:t>
      </w:r>
      <w:r w:rsidR="00593D51">
        <w:rPr>
          <w:color w:val="000000"/>
        </w:rPr>
        <w:t>.</w:t>
      </w:r>
    </w:p>
    <w:p w14:paraId="36DF3080" w14:textId="317D6C43" w:rsidR="002E0BF8" w:rsidRPr="0023065C" w:rsidRDefault="002E0BF8" w:rsidP="00C40C26">
      <w:pPr>
        <w:pStyle w:val="Heading4"/>
      </w:pPr>
      <w:r w:rsidRPr="0023065C">
        <w:t>Outcome</w:t>
      </w:r>
      <w:r w:rsidR="0001318D">
        <w:t>s to date</w:t>
      </w:r>
    </w:p>
    <w:p w14:paraId="2B548048" w14:textId="77777777" w:rsidR="002E0BF8" w:rsidRDefault="002E0BF8" w:rsidP="00A65E89">
      <w:pPr>
        <w:spacing w:after="120" w:line="23" w:lineRule="atLeast"/>
        <w:jc w:val="both"/>
        <w:rPr>
          <w:color w:val="000000"/>
        </w:rPr>
      </w:pPr>
      <w:r w:rsidRPr="00ED3363">
        <w:rPr>
          <w:color w:val="000000"/>
        </w:rPr>
        <w:t>Work has continued</w:t>
      </w:r>
      <w:r>
        <w:rPr>
          <w:color w:val="000000"/>
        </w:rPr>
        <w:t xml:space="preserve"> in career development, frequently in close collaboration with Regional Career Development Officers. Recent activities include:</w:t>
      </w:r>
    </w:p>
    <w:p w14:paraId="63CA2591" w14:textId="77777777" w:rsidR="002E0BF8" w:rsidRDefault="002E0BF8" w:rsidP="003957AD">
      <w:pPr>
        <w:numPr>
          <w:ilvl w:val="0"/>
          <w:numId w:val="5"/>
        </w:numPr>
        <w:spacing w:after="120" w:line="23" w:lineRule="atLeast"/>
        <w:jc w:val="both"/>
        <w:rPr>
          <w:color w:val="000000"/>
        </w:rPr>
      </w:pPr>
      <w:r>
        <w:rPr>
          <w:color w:val="000000"/>
        </w:rPr>
        <w:t xml:space="preserve">facilitation of a state-wide workshop, </w:t>
      </w:r>
      <w:r w:rsidRPr="00ED3363">
        <w:rPr>
          <w:i/>
          <w:color w:val="000000"/>
        </w:rPr>
        <w:t>Engaging Parents in Careers Conversations</w:t>
      </w:r>
      <w:r w:rsidRPr="00ED3363">
        <w:rPr>
          <w:color w:val="000000"/>
        </w:rPr>
        <w:t>, attended by careers practitioners and other stakeholders</w:t>
      </w:r>
      <w:r>
        <w:rPr>
          <w:color w:val="000000"/>
        </w:rPr>
        <w:t>;</w:t>
      </w:r>
    </w:p>
    <w:p w14:paraId="4E25C2CB" w14:textId="5F705967" w:rsidR="002E0BF8" w:rsidRDefault="002E0BF8" w:rsidP="003957AD">
      <w:pPr>
        <w:numPr>
          <w:ilvl w:val="0"/>
          <w:numId w:val="5"/>
        </w:numPr>
        <w:spacing w:after="120" w:line="23" w:lineRule="atLeast"/>
        <w:jc w:val="both"/>
      </w:pPr>
      <w:r w:rsidRPr="00140661">
        <w:t xml:space="preserve">assisting with mapping the </w:t>
      </w:r>
      <w:r w:rsidRPr="00B956ED">
        <w:t>Careers Curriculum Framework</w:t>
      </w:r>
      <w:r w:rsidRPr="00140661">
        <w:t xml:space="preserve"> to initiatives targeted to young </w:t>
      </w:r>
      <w:proofErr w:type="spellStart"/>
      <w:r w:rsidRPr="00140661">
        <w:t>Koorie</w:t>
      </w:r>
      <w:proofErr w:type="spellEnd"/>
      <w:r w:rsidR="005703D8">
        <w:t xml:space="preserve"> people</w:t>
      </w:r>
      <w:r w:rsidRPr="00140661">
        <w:t xml:space="preserve">; </w:t>
      </w:r>
    </w:p>
    <w:p w14:paraId="5F68F5A1" w14:textId="2D4D01D3" w:rsidR="002E0BF8" w:rsidRDefault="000F1D9E" w:rsidP="003957AD">
      <w:pPr>
        <w:numPr>
          <w:ilvl w:val="0"/>
          <w:numId w:val="5"/>
        </w:numPr>
        <w:spacing w:after="120" w:line="23" w:lineRule="atLeast"/>
        <w:jc w:val="both"/>
      </w:pPr>
      <w:r>
        <w:lastRenderedPageBreak/>
        <w:t>d</w:t>
      </w:r>
      <w:r w:rsidR="002E0BF8">
        <w:t xml:space="preserve">evelopment of </w:t>
      </w:r>
      <w:r w:rsidR="002E0BF8" w:rsidRPr="005350CA">
        <w:rPr>
          <w:i/>
        </w:rPr>
        <w:t xml:space="preserve">Spirit </w:t>
      </w:r>
      <w:proofErr w:type="spellStart"/>
      <w:r w:rsidR="002E0BF8" w:rsidRPr="005350CA">
        <w:rPr>
          <w:i/>
        </w:rPr>
        <w:t>Trax</w:t>
      </w:r>
      <w:proofErr w:type="spellEnd"/>
      <w:r w:rsidR="002E0BF8">
        <w:t>, a program delivered by TAFE that provide</w:t>
      </w:r>
      <w:r w:rsidR="005703D8">
        <w:t>s</w:t>
      </w:r>
      <w:r w:rsidR="002E0BF8">
        <w:t xml:space="preserve"> </w:t>
      </w:r>
      <w:r w:rsidR="005703D8">
        <w:t xml:space="preserve">young </w:t>
      </w:r>
      <w:proofErr w:type="spellStart"/>
      <w:r w:rsidR="002E0BF8">
        <w:t>Koorie</w:t>
      </w:r>
      <w:proofErr w:type="spellEnd"/>
      <w:r w:rsidR="002E0BF8">
        <w:t xml:space="preserve"> </w:t>
      </w:r>
      <w:r w:rsidR="005703D8">
        <w:t>people</w:t>
      </w:r>
      <w:r w:rsidR="002E0BF8">
        <w:t xml:space="preserve"> at risk of/or disengaged from school with cultural support to help them re-engage with learning</w:t>
      </w:r>
      <w:r>
        <w:t>;</w:t>
      </w:r>
    </w:p>
    <w:p w14:paraId="58A4091D" w14:textId="255D7DD5" w:rsidR="002E0BF8" w:rsidRDefault="000F1D9E" w:rsidP="00C40C26">
      <w:pPr>
        <w:numPr>
          <w:ilvl w:val="0"/>
          <w:numId w:val="5"/>
        </w:numPr>
        <w:spacing w:after="120" w:line="23" w:lineRule="atLeast"/>
        <w:jc w:val="both"/>
      </w:pPr>
      <w:proofErr w:type="gramStart"/>
      <w:r>
        <w:t>s</w:t>
      </w:r>
      <w:r w:rsidR="002E0BF8">
        <w:t>ome</w:t>
      </w:r>
      <w:proofErr w:type="gramEnd"/>
      <w:r w:rsidR="002E0BF8">
        <w:t xml:space="preserve"> of our schools refer students to the course on a part</w:t>
      </w:r>
      <w:r w:rsidR="00C801AD">
        <w:t>-</w:t>
      </w:r>
      <w:r w:rsidR="002E0BF8">
        <w:t xml:space="preserve">time basis for </w:t>
      </w:r>
      <w:r>
        <w:t xml:space="preserve">one </w:t>
      </w:r>
      <w:r w:rsidR="002E0BF8">
        <w:t>term to help in the re-engagem</w:t>
      </w:r>
      <w:r w:rsidR="002318CE">
        <w:t xml:space="preserve">ent process. </w:t>
      </w:r>
      <w:r w:rsidR="002E0BF8">
        <w:t xml:space="preserve">Since this time we have had some positive outcomes, particularly around social skills and </w:t>
      </w:r>
      <w:r w:rsidR="00C801AD">
        <w:t xml:space="preserve">two </w:t>
      </w:r>
      <w:r w:rsidR="002E0BF8">
        <w:t>students in 2012 were re-engaged in school</w:t>
      </w:r>
      <w:r>
        <w:t>;</w:t>
      </w:r>
    </w:p>
    <w:p w14:paraId="27FE7F65" w14:textId="77777777" w:rsidR="002E0BF8" w:rsidRDefault="002E0BF8" w:rsidP="003957AD">
      <w:pPr>
        <w:numPr>
          <w:ilvl w:val="0"/>
          <w:numId w:val="5"/>
        </w:numPr>
        <w:spacing w:after="120" w:line="23" w:lineRule="atLeast"/>
        <w:jc w:val="both"/>
        <w:rPr>
          <w:color w:val="000000"/>
        </w:rPr>
      </w:pPr>
      <w:r>
        <w:rPr>
          <w:color w:val="000000"/>
        </w:rPr>
        <w:t xml:space="preserve">supporting the </w:t>
      </w:r>
      <w:r w:rsidRPr="00B956ED">
        <w:rPr>
          <w:i/>
          <w:color w:val="000000"/>
        </w:rPr>
        <w:t>Career Mentoring Network Initiative</w:t>
      </w:r>
      <w:r w:rsidRPr="00ED3363">
        <w:rPr>
          <w:color w:val="000000"/>
        </w:rPr>
        <w:t xml:space="preserve">, mapping the activities through </w:t>
      </w:r>
      <w:r>
        <w:rPr>
          <w:color w:val="000000"/>
        </w:rPr>
        <w:t>the C</w:t>
      </w:r>
      <w:r w:rsidRPr="00ED3363">
        <w:rPr>
          <w:color w:val="000000"/>
        </w:rPr>
        <w:t xml:space="preserve">areer </w:t>
      </w:r>
      <w:r>
        <w:rPr>
          <w:color w:val="000000"/>
        </w:rPr>
        <w:t>Curriculum F</w:t>
      </w:r>
      <w:r w:rsidRPr="00ED3363">
        <w:rPr>
          <w:color w:val="000000"/>
        </w:rPr>
        <w:t xml:space="preserve">ramework to the </w:t>
      </w:r>
      <w:proofErr w:type="spellStart"/>
      <w:r w:rsidRPr="00ED3363">
        <w:rPr>
          <w:color w:val="000000"/>
        </w:rPr>
        <w:t>VELS</w:t>
      </w:r>
      <w:proofErr w:type="spellEnd"/>
      <w:r w:rsidRPr="00ED3363">
        <w:rPr>
          <w:color w:val="000000"/>
        </w:rPr>
        <w:t xml:space="preserve"> outcomes of self-development</w:t>
      </w:r>
      <w:r w:rsidR="008C0B99">
        <w:rPr>
          <w:color w:val="000000"/>
        </w:rPr>
        <w:t>,</w:t>
      </w:r>
      <w:r w:rsidRPr="00ED3363">
        <w:rPr>
          <w:color w:val="000000"/>
        </w:rPr>
        <w:t xml:space="preserve"> self-exploration and career exploration</w:t>
      </w:r>
      <w:r>
        <w:rPr>
          <w:color w:val="000000"/>
        </w:rPr>
        <w:t>;</w:t>
      </w:r>
    </w:p>
    <w:p w14:paraId="696A01B5" w14:textId="77777777" w:rsidR="002E0BF8" w:rsidRDefault="002E0BF8" w:rsidP="003957AD">
      <w:pPr>
        <w:numPr>
          <w:ilvl w:val="0"/>
          <w:numId w:val="5"/>
        </w:numPr>
        <w:spacing w:after="120" w:line="23" w:lineRule="atLeast"/>
        <w:jc w:val="both"/>
        <w:rPr>
          <w:color w:val="000000"/>
        </w:rPr>
      </w:pPr>
      <w:r>
        <w:rPr>
          <w:color w:val="000000"/>
        </w:rPr>
        <w:t>c</w:t>
      </w:r>
      <w:r w:rsidRPr="00140661">
        <w:rPr>
          <w:color w:val="000000"/>
        </w:rPr>
        <w:t>ollaborat</w:t>
      </w:r>
      <w:r>
        <w:rPr>
          <w:color w:val="000000"/>
        </w:rPr>
        <w:t xml:space="preserve">ion with the </w:t>
      </w:r>
      <w:proofErr w:type="spellStart"/>
      <w:r>
        <w:rPr>
          <w:color w:val="000000"/>
        </w:rPr>
        <w:t>LLEN’s</w:t>
      </w:r>
      <w:proofErr w:type="spellEnd"/>
      <w:r>
        <w:rPr>
          <w:color w:val="000000"/>
        </w:rPr>
        <w:t xml:space="preserve"> and </w:t>
      </w:r>
      <w:proofErr w:type="spellStart"/>
      <w:r>
        <w:rPr>
          <w:color w:val="000000"/>
        </w:rPr>
        <w:t>Koorie</w:t>
      </w:r>
      <w:proofErr w:type="spellEnd"/>
      <w:r>
        <w:rPr>
          <w:color w:val="000000"/>
        </w:rPr>
        <w:t xml:space="preserve"> E</w:t>
      </w:r>
      <w:r w:rsidRPr="00140661">
        <w:rPr>
          <w:color w:val="000000"/>
        </w:rPr>
        <w:t xml:space="preserve">ngagement </w:t>
      </w:r>
      <w:r>
        <w:rPr>
          <w:color w:val="000000"/>
        </w:rPr>
        <w:t>S</w:t>
      </w:r>
      <w:r w:rsidRPr="00140661">
        <w:rPr>
          <w:color w:val="000000"/>
        </w:rPr>
        <w:t xml:space="preserve">upport </w:t>
      </w:r>
      <w:r>
        <w:rPr>
          <w:color w:val="000000"/>
        </w:rPr>
        <w:t>O</w:t>
      </w:r>
      <w:r w:rsidRPr="00140661">
        <w:rPr>
          <w:color w:val="000000"/>
        </w:rPr>
        <w:t>ff</w:t>
      </w:r>
      <w:r>
        <w:rPr>
          <w:color w:val="000000"/>
        </w:rPr>
        <w:t xml:space="preserve">icers to deliver the </w:t>
      </w:r>
      <w:r w:rsidRPr="00140661">
        <w:rPr>
          <w:i/>
          <w:color w:val="000000"/>
        </w:rPr>
        <w:t xml:space="preserve">Inspiring Young </w:t>
      </w:r>
      <w:proofErr w:type="spellStart"/>
      <w:r w:rsidRPr="00140661">
        <w:rPr>
          <w:i/>
          <w:color w:val="000000"/>
        </w:rPr>
        <w:t>Koorie</w:t>
      </w:r>
      <w:proofErr w:type="spellEnd"/>
      <w:r w:rsidRPr="00140661">
        <w:rPr>
          <w:i/>
          <w:color w:val="000000"/>
        </w:rPr>
        <w:t xml:space="preserve"> People</w:t>
      </w:r>
      <w:r>
        <w:rPr>
          <w:color w:val="000000"/>
        </w:rPr>
        <w:t xml:space="preserve"> project;</w:t>
      </w:r>
    </w:p>
    <w:p w14:paraId="22D0698D" w14:textId="77777777" w:rsidR="002E0BF8" w:rsidRDefault="002E0BF8" w:rsidP="003957AD">
      <w:pPr>
        <w:numPr>
          <w:ilvl w:val="0"/>
          <w:numId w:val="5"/>
        </w:numPr>
        <w:spacing w:after="120" w:line="23" w:lineRule="atLeast"/>
        <w:jc w:val="both"/>
        <w:rPr>
          <w:color w:val="000000"/>
        </w:rPr>
      </w:pPr>
      <w:r>
        <w:rPr>
          <w:color w:val="000000"/>
        </w:rPr>
        <w:t xml:space="preserve">development and delivery of a pilot </w:t>
      </w:r>
      <w:proofErr w:type="spellStart"/>
      <w:r w:rsidRPr="00140661">
        <w:rPr>
          <w:i/>
          <w:color w:val="000000"/>
        </w:rPr>
        <w:t>Koorie</w:t>
      </w:r>
      <w:proofErr w:type="spellEnd"/>
      <w:r w:rsidRPr="00140661">
        <w:rPr>
          <w:i/>
          <w:color w:val="000000"/>
        </w:rPr>
        <w:t xml:space="preserve"> Industry Visits</w:t>
      </w:r>
      <w:r>
        <w:rPr>
          <w:i/>
          <w:color w:val="000000"/>
        </w:rPr>
        <w:t xml:space="preserve"> </w:t>
      </w:r>
      <w:r>
        <w:rPr>
          <w:color w:val="000000"/>
        </w:rPr>
        <w:t>program;</w:t>
      </w:r>
    </w:p>
    <w:p w14:paraId="306E162C" w14:textId="77777777" w:rsidR="002E0BF8" w:rsidRDefault="002E0BF8" w:rsidP="003957AD">
      <w:pPr>
        <w:numPr>
          <w:ilvl w:val="0"/>
          <w:numId w:val="5"/>
        </w:numPr>
        <w:spacing w:after="120" w:line="23" w:lineRule="atLeast"/>
        <w:jc w:val="both"/>
        <w:rPr>
          <w:color w:val="000000"/>
        </w:rPr>
      </w:pPr>
      <w:r>
        <w:rPr>
          <w:color w:val="000000"/>
        </w:rPr>
        <w:t xml:space="preserve">facilitating career pathways in the health sector for </w:t>
      </w:r>
      <w:proofErr w:type="spellStart"/>
      <w:r>
        <w:rPr>
          <w:color w:val="000000"/>
        </w:rPr>
        <w:t>Koorie</w:t>
      </w:r>
      <w:proofErr w:type="spellEnd"/>
      <w:r>
        <w:rPr>
          <w:color w:val="000000"/>
        </w:rPr>
        <w:t xml:space="preserve"> secondary students through a health</w:t>
      </w:r>
      <w:r w:rsidR="00FC6D38">
        <w:rPr>
          <w:color w:val="000000"/>
        </w:rPr>
        <w:t>-</w:t>
      </w:r>
      <w:r>
        <w:rPr>
          <w:color w:val="000000"/>
        </w:rPr>
        <w:t xml:space="preserve">specific </w:t>
      </w:r>
      <w:proofErr w:type="spellStart"/>
      <w:r w:rsidRPr="00140661">
        <w:rPr>
          <w:i/>
          <w:color w:val="000000"/>
        </w:rPr>
        <w:t>Koorie</w:t>
      </w:r>
      <w:proofErr w:type="spellEnd"/>
      <w:r w:rsidRPr="00140661">
        <w:rPr>
          <w:i/>
          <w:color w:val="000000"/>
        </w:rPr>
        <w:t xml:space="preserve"> Industry Visits</w:t>
      </w:r>
      <w:r>
        <w:rPr>
          <w:color w:val="000000"/>
        </w:rPr>
        <w:t xml:space="preserve"> program, and partnerships with the Department of Health;</w:t>
      </w:r>
    </w:p>
    <w:p w14:paraId="0998EFDF" w14:textId="7364D151" w:rsidR="002E0BF8" w:rsidRDefault="002E0BF8" w:rsidP="003957AD">
      <w:pPr>
        <w:numPr>
          <w:ilvl w:val="0"/>
          <w:numId w:val="5"/>
        </w:numPr>
        <w:spacing w:after="120" w:line="23" w:lineRule="atLeast"/>
        <w:jc w:val="both"/>
      </w:pPr>
      <w:r w:rsidRPr="00140661">
        <w:t xml:space="preserve">facilitation of </w:t>
      </w:r>
      <w:r w:rsidRPr="00140661">
        <w:rPr>
          <w:i/>
        </w:rPr>
        <w:t>Lasting Gifts</w:t>
      </w:r>
      <w:r w:rsidRPr="00140661">
        <w:t xml:space="preserve"> program sessions;</w:t>
      </w:r>
    </w:p>
    <w:p w14:paraId="4B370126" w14:textId="77777777" w:rsidR="002E0BF8" w:rsidRDefault="002E0BF8" w:rsidP="003957AD">
      <w:pPr>
        <w:numPr>
          <w:ilvl w:val="0"/>
          <w:numId w:val="5"/>
        </w:numPr>
        <w:spacing w:after="120" w:line="23" w:lineRule="atLeast"/>
        <w:jc w:val="both"/>
        <w:rPr>
          <w:color w:val="000000"/>
        </w:rPr>
      </w:pPr>
      <w:r>
        <w:rPr>
          <w:color w:val="000000"/>
        </w:rPr>
        <w:t xml:space="preserve">delivery of a </w:t>
      </w:r>
      <w:proofErr w:type="spellStart"/>
      <w:r w:rsidRPr="00140661">
        <w:rPr>
          <w:i/>
          <w:color w:val="000000"/>
        </w:rPr>
        <w:t>Koorie</w:t>
      </w:r>
      <w:proofErr w:type="spellEnd"/>
      <w:r w:rsidRPr="00140661">
        <w:rPr>
          <w:i/>
          <w:color w:val="000000"/>
        </w:rPr>
        <w:t xml:space="preserve"> Career Action Plan Workshop</w:t>
      </w:r>
      <w:r w:rsidRPr="00140661">
        <w:rPr>
          <w:color w:val="000000"/>
        </w:rPr>
        <w:t xml:space="preserve"> as a student/family engagement activity, incorporating local </w:t>
      </w:r>
      <w:proofErr w:type="spellStart"/>
      <w:r w:rsidRPr="00140661">
        <w:rPr>
          <w:color w:val="000000"/>
        </w:rPr>
        <w:t>Koorie</w:t>
      </w:r>
      <w:proofErr w:type="spellEnd"/>
      <w:r w:rsidRPr="00140661">
        <w:rPr>
          <w:color w:val="000000"/>
        </w:rPr>
        <w:t xml:space="preserve"> role models and delivered in partnership with </w:t>
      </w:r>
      <w:r>
        <w:rPr>
          <w:color w:val="000000"/>
        </w:rPr>
        <w:t>government and Catholic secondary colleges;</w:t>
      </w:r>
    </w:p>
    <w:p w14:paraId="1833DF0E" w14:textId="77777777" w:rsidR="002E0BF8" w:rsidRDefault="002E0BF8" w:rsidP="003957AD">
      <w:pPr>
        <w:numPr>
          <w:ilvl w:val="0"/>
          <w:numId w:val="5"/>
        </w:numPr>
        <w:spacing w:after="120" w:line="23" w:lineRule="atLeast"/>
        <w:jc w:val="both"/>
        <w:rPr>
          <w:color w:val="000000"/>
        </w:rPr>
      </w:pPr>
      <w:r>
        <w:rPr>
          <w:color w:val="000000"/>
        </w:rPr>
        <w:t xml:space="preserve">Regional analysis of school exit data to better understand reasons for </w:t>
      </w:r>
      <w:proofErr w:type="spellStart"/>
      <w:r>
        <w:rPr>
          <w:color w:val="000000"/>
        </w:rPr>
        <w:t>Koorie</w:t>
      </w:r>
      <w:proofErr w:type="spellEnd"/>
      <w:r>
        <w:rPr>
          <w:color w:val="000000"/>
        </w:rPr>
        <w:t xml:space="preserve"> students leaving school early and their destinations, and to inform priorities and targets for school improvement plans; </w:t>
      </w:r>
      <w:r w:rsidR="000F1D9E">
        <w:rPr>
          <w:color w:val="000000"/>
        </w:rPr>
        <w:t>and</w:t>
      </w:r>
    </w:p>
    <w:p w14:paraId="1900E42B" w14:textId="77777777" w:rsidR="002E0BF8" w:rsidRPr="00565B58" w:rsidRDefault="002E0BF8" w:rsidP="003957AD">
      <w:pPr>
        <w:numPr>
          <w:ilvl w:val="0"/>
          <w:numId w:val="5"/>
        </w:numPr>
        <w:spacing w:after="120" w:line="23" w:lineRule="atLeast"/>
        <w:jc w:val="both"/>
        <w:rPr>
          <w:color w:val="000000"/>
        </w:rPr>
      </w:pPr>
      <w:r>
        <w:rPr>
          <w:color w:val="000000"/>
        </w:rPr>
        <w:t>Supporting the development of School and Community Partnerships.</w:t>
      </w:r>
    </w:p>
    <w:p w14:paraId="523E156B" w14:textId="6568C125" w:rsidR="00E9442A" w:rsidRDefault="002E0BF8" w:rsidP="003957AD">
      <w:pPr>
        <w:numPr>
          <w:ilvl w:val="0"/>
          <w:numId w:val="5"/>
        </w:numPr>
        <w:spacing w:after="120" w:line="23" w:lineRule="atLeast"/>
        <w:jc w:val="both"/>
        <w:rPr>
          <w:color w:val="000000"/>
        </w:rPr>
      </w:pPr>
      <w:r>
        <w:rPr>
          <w:color w:val="000000"/>
        </w:rPr>
        <w:t>Continuation</w:t>
      </w:r>
      <w:r w:rsidRPr="00B956ED">
        <w:rPr>
          <w:color w:val="000000"/>
        </w:rPr>
        <w:t xml:space="preserve"> of networks to support pathways and transitions for </w:t>
      </w:r>
      <w:r w:rsidR="005703D8">
        <w:rPr>
          <w:color w:val="000000"/>
        </w:rPr>
        <w:t xml:space="preserve">young </w:t>
      </w:r>
      <w:proofErr w:type="spellStart"/>
      <w:r w:rsidRPr="00B956ED">
        <w:rPr>
          <w:color w:val="000000"/>
        </w:rPr>
        <w:t>Koorie</w:t>
      </w:r>
      <w:proofErr w:type="spellEnd"/>
      <w:r w:rsidRPr="00B956ED">
        <w:rPr>
          <w:color w:val="000000"/>
        </w:rPr>
        <w:t xml:space="preserve"> people</w:t>
      </w:r>
      <w:r w:rsidR="005703D8">
        <w:rPr>
          <w:color w:val="000000"/>
        </w:rPr>
        <w:t xml:space="preserve"> across the S</w:t>
      </w:r>
      <w:r>
        <w:rPr>
          <w:color w:val="000000"/>
        </w:rPr>
        <w:t>tate</w:t>
      </w:r>
      <w:r w:rsidRPr="00B956ED">
        <w:rPr>
          <w:color w:val="000000"/>
        </w:rPr>
        <w:t xml:space="preserve"> </w:t>
      </w:r>
      <w:r>
        <w:rPr>
          <w:color w:val="000000"/>
        </w:rPr>
        <w:t xml:space="preserve">including the </w:t>
      </w:r>
      <w:proofErr w:type="spellStart"/>
      <w:r w:rsidRPr="00B956ED">
        <w:rPr>
          <w:color w:val="000000"/>
        </w:rPr>
        <w:t>Koorie</w:t>
      </w:r>
      <w:proofErr w:type="spellEnd"/>
      <w:r w:rsidRPr="00B956ED">
        <w:rPr>
          <w:color w:val="000000"/>
        </w:rPr>
        <w:t xml:space="preserve"> Education </w:t>
      </w:r>
      <w:r>
        <w:rPr>
          <w:color w:val="000000"/>
        </w:rPr>
        <w:t xml:space="preserve">and Transition Pathways Network, </w:t>
      </w:r>
      <w:r w:rsidRPr="00B956ED">
        <w:rPr>
          <w:color w:val="000000"/>
        </w:rPr>
        <w:t xml:space="preserve">East and West Grampians </w:t>
      </w:r>
      <w:proofErr w:type="spellStart"/>
      <w:r w:rsidRPr="00B956ED">
        <w:rPr>
          <w:color w:val="000000"/>
        </w:rPr>
        <w:t>KTO</w:t>
      </w:r>
      <w:proofErr w:type="spellEnd"/>
      <w:r w:rsidRPr="00B956ED">
        <w:rPr>
          <w:color w:val="000000"/>
        </w:rPr>
        <w:t xml:space="preserve"> steering groups</w:t>
      </w:r>
      <w:r w:rsidR="002318CE">
        <w:rPr>
          <w:color w:val="000000"/>
        </w:rPr>
        <w:t xml:space="preserve">, </w:t>
      </w:r>
      <w:r>
        <w:rPr>
          <w:color w:val="000000"/>
        </w:rPr>
        <w:t xml:space="preserve">Gippsland Youth Commitment and </w:t>
      </w:r>
      <w:r w:rsidRPr="00B956ED">
        <w:rPr>
          <w:color w:val="000000"/>
        </w:rPr>
        <w:t xml:space="preserve">Hume Region </w:t>
      </w:r>
      <w:proofErr w:type="spellStart"/>
      <w:r w:rsidRPr="00B956ED">
        <w:rPr>
          <w:color w:val="000000"/>
        </w:rPr>
        <w:t>Koorie</w:t>
      </w:r>
      <w:proofErr w:type="spellEnd"/>
      <w:r w:rsidRPr="00B956ED">
        <w:rPr>
          <w:color w:val="000000"/>
        </w:rPr>
        <w:t xml:space="preserve"> Pathways Reference Group.</w:t>
      </w:r>
    </w:p>
    <w:p w14:paraId="32C894DF" w14:textId="73E73C2F" w:rsidR="002E0BF8" w:rsidRDefault="002E0BF8" w:rsidP="00A65E89">
      <w:pPr>
        <w:spacing w:after="120" w:line="23" w:lineRule="atLeast"/>
        <w:jc w:val="both"/>
        <w:rPr>
          <w:color w:val="000000"/>
        </w:rPr>
      </w:pPr>
      <w:r>
        <w:rPr>
          <w:color w:val="000000"/>
        </w:rPr>
        <w:t xml:space="preserve">Networks involve close collaboration with the Local Learning and Employment Networks, schools and employers to support career pathway planning for </w:t>
      </w:r>
      <w:r w:rsidR="005703D8">
        <w:rPr>
          <w:color w:val="000000"/>
        </w:rPr>
        <w:t xml:space="preserve">young </w:t>
      </w:r>
      <w:proofErr w:type="spellStart"/>
      <w:r>
        <w:rPr>
          <w:color w:val="000000"/>
        </w:rPr>
        <w:t>Koorie</w:t>
      </w:r>
      <w:proofErr w:type="spellEnd"/>
      <w:r>
        <w:rPr>
          <w:color w:val="000000"/>
        </w:rPr>
        <w:t xml:space="preserve"> people.  In the Hume region, for example, a recent </w:t>
      </w:r>
      <w:proofErr w:type="spellStart"/>
      <w:r>
        <w:rPr>
          <w:color w:val="000000"/>
        </w:rPr>
        <w:t>Koorie</w:t>
      </w:r>
      <w:proofErr w:type="spellEnd"/>
      <w:r>
        <w:rPr>
          <w:color w:val="000000"/>
        </w:rPr>
        <w:t xml:space="preserve"> Careers Expo resulted in part-time employment for ten </w:t>
      </w:r>
      <w:proofErr w:type="spellStart"/>
      <w:r>
        <w:rPr>
          <w:color w:val="000000"/>
        </w:rPr>
        <w:t>Koorie</w:t>
      </w:r>
      <w:proofErr w:type="spellEnd"/>
      <w:r>
        <w:rPr>
          <w:color w:val="000000"/>
        </w:rPr>
        <w:t xml:space="preserve"> students </w:t>
      </w:r>
      <w:r w:rsidR="003B529B">
        <w:rPr>
          <w:color w:val="000000"/>
        </w:rPr>
        <w:t xml:space="preserve">at </w:t>
      </w:r>
      <w:r>
        <w:rPr>
          <w:color w:val="000000"/>
        </w:rPr>
        <w:t>Coles.</w:t>
      </w:r>
    </w:p>
    <w:p w14:paraId="5403F12C" w14:textId="603BB8D7" w:rsidR="002E0BF8" w:rsidRPr="0023065C" w:rsidRDefault="0001318D" w:rsidP="00C40C26">
      <w:pPr>
        <w:pStyle w:val="Heading4"/>
      </w:pPr>
      <w:r>
        <w:t>Planned adjustments</w:t>
      </w:r>
    </w:p>
    <w:p w14:paraId="36480DBC" w14:textId="6E2EEB11" w:rsidR="00E84494" w:rsidRPr="00F30548" w:rsidRDefault="002E0BF8" w:rsidP="00F30548">
      <w:pPr>
        <w:spacing w:after="120"/>
        <w:jc w:val="both"/>
        <w:rPr>
          <w:highlight w:val="yellow"/>
        </w:rPr>
      </w:pPr>
      <w:r w:rsidRPr="00991CB0">
        <w:t xml:space="preserve">No planned adjustments </w:t>
      </w:r>
      <w:r w:rsidR="0001318D">
        <w:t xml:space="preserve">have been made </w:t>
      </w:r>
      <w:r w:rsidRPr="00991CB0">
        <w:t>at this time.</w:t>
      </w:r>
      <w:bookmarkStart w:id="15" w:name="_Toc275443696"/>
      <w:bookmarkStart w:id="16" w:name="_Toc320003799"/>
    </w:p>
    <w:p w14:paraId="2E936C18" w14:textId="77777777" w:rsidR="00592A44" w:rsidRPr="00A22485" w:rsidRDefault="00592A44" w:rsidP="00592A44">
      <w:pPr>
        <w:pStyle w:val="Heading2"/>
        <w:spacing w:before="0" w:after="0"/>
        <w:jc w:val="both"/>
        <w:rPr>
          <w:sz w:val="24"/>
          <w:szCs w:val="24"/>
        </w:rPr>
      </w:pPr>
    </w:p>
    <w:p w14:paraId="0543BC98" w14:textId="77777777" w:rsidR="00BA6A85" w:rsidRPr="001916DF" w:rsidRDefault="009E0A28" w:rsidP="00A22485">
      <w:pPr>
        <w:pStyle w:val="Heading2"/>
        <w:spacing w:before="0" w:after="120"/>
        <w:jc w:val="both"/>
      </w:pPr>
      <w:bookmarkStart w:id="17" w:name="_Toc384042851"/>
      <w:r>
        <w:t>Indigenous</w:t>
      </w:r>
      <w:bookmarkEnd w:id="15"/>
      <w:r w:rsidR="0029015A">
        <w:t xml:space="preserve"> Reporting</w:t>
      </w:r>
      <w:bookmarkEnd w:id="16"/>
      <w:bookmarkEnd w:id="17"/>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9D9D9" w:themeFill="background1" w:themeFillShade="D9"/>
        <w:tblLook w:val="04A0" w:firstRow="1" w:lastRow="0" w:firstColumn="1" w:lastColumn="0" w:noHBand="0" w:noVBand="1"/>
      </w:tblPr>
      <w:tblGrid>
        <w:gridCol w:w="9968"/>
      </w:tblGrid>
      <w:tr w:rsidR="00BA6A85" w:rsidRPr="003F186B" w14:paraId="64E5B0E4" w14:textId="77777777" w:rsidTr="00E96356">
        <w:tc>
          <w:tcPr>
            <w:tcW w:w="9997" w:type="dxa"/>
            <w:shd w:val="clear" w:color="auto" w:fill="D9D9D9" w:themeFill="background1" w:themeFillShade="D9"/>
          </w:tcPr>
          <w:p w14:paraId="20E56613" w14:textId="19DEC797" w:rsidR="00BA6A85" w:rsidRPr="003F186B" w:rsidRDefault="00BA6A85" w:rsidP="00A22485">
            <w:pPr>
              <w:spacing w:before="120" w:line="240" w:lineRule="auto"/>
              <w:jc w:val="both"/>
            </w:pPr>
            <w:r w:rsidRPr="003F186B">
              <w:rPr>
                <w:b/>
              </w:rPr>
              <w:t>From Schedule B:</w:t>
            </w:r>
            <w:r w:rsidR="00A22485">
              <w:rPr>
                <w:b/>
              </w:rPr>
              <w:t xml:space="preserve">  </w:t>
            </w:r>
            <w:r w:rsidRPr="003F186B">
              <w:t>States and Territories will monitor and report on Indigenous participation annually, noting that this will not be taken into account for reward payments but as a progress measure toward achieving the halving the gap target.</w:t>
            </w:r>
          </w:p>
          <w:p w14:paraId="1B89A864" w14:textId="77777777" w:rsidR="00BA6A85" w:rsidRPr="003F186B" w:rsidRDefault="00BA6A85" w:rsidP="00310950">
            <w:pPr>
              <w:spacing w:after="120" w:line="240" w:lineRule="auto"/>
              <w:jc w:val="both"/>
            </w:pPr>
            <w:r w:rsidRPr="003F186B">
              <w:t>Annual monitoring and reporting of participation of Indigenous students will be the total enrolment of full-time students in Years 11 and 12, and 15-19 year olds without a Year 12 Certificate and not enrolled in school who are enrolled in a VET course (full-time or part time) at Certificate II level or higher.</w:t>
            </w:r>
          </w:p>
          <w:p w14:paraId="0B0DD4BB" w14:textId="77777777" w:rsidR="00BA6A85" w:rsidRPr="003F186B" w:rsidRDefault="00BA6A85" w:rsidP="00310950">
            <w:pPr>
              <w:spacing w:after="120" w:line="240" w:lineRule="auto"/>
              <w:jc w:val="both"/>
            </w:pPr>
            <w:r w:rsidRPr="003F186B">
              <w:t>Annual monitoring and reporting of Indigenous students will also include a separate category of the total enrolment of full-time students in Years 9 and 10, and 15-19 year olds without a Year 12 Certificate and not enrolled in school who are enrolled in a VET course (full -time or part time) at Certificate I level.</w:t>
            </w:r>
          </w:p>
          <w:p w14:paraId="2CA6B997" w14:textId="77777777" w:rsidR="00BA6A85" w:rsidRPr="003F186B" w:rsidRDefault="00BA6A85" w:rsidP="00310950">
            <w:pPr>
              <w:spacing w:after="120" w:line="240" w:lineRule="auto"/>
              <w:jc w:val="both"/>
            </w:pPr>
            <w:r w:rsidRPr="003F186B">
              <w:t>States and Territories will monitor and report annually on a range of leading indicators in addition to participation, such as attendance, retention and trends in administrative data.  This information will also be used to determine the 20-24 year old Indigenous attainment rate in non-Census years, including 2015 and 2020.</w:t>
            </w:r>
          </w:p>
          <w:p w14:paraId="132A9D6A" w14:textId="77777777" w:rsidR="00BA6A85" w:rsidRPr="003F186B" w:rsidRDefault="00BA6A85" w:rsidP="00592A44">
            <w:pPr>
              <w:spacing w:after="120" w:line="240" w:lineRule="auto"/>
              <w:jc w:val="both"/>
            </w:pPr>
            <w:r w:rsidRPr="003F186B">
              <w:t xml:space="preserve">States and Territories will also monitor and report on: school level strategies; leading indicators </w:t>
            </w:r>
            <w:r w:rsidRPr="003F186B">
              <w:lastRenderedPageBreak/>
              <w:t>(participation, attendance and retention); and Year 12 attainment; initially for schools with 30 or more Indigenous students where this equates to 10 per cent or more of total enrolments, to be expanded over time as agreed through State and Territory implementation plans, to schools with 10 per cent or more Indigenous enrolments or more than 30 Indigenous students.</w:t>
            </w:r>
          </w:p>
        </w:tc>
      </w:tr>
    </w:tbl>
    <w:p w14:paraId="5ABFFC4F" w14:textId="77777777" w:rsidR="00BA6A85" w:rsidRPr="003F186B" w:rsidRDefault="00BA6A85" w:rsidP="00310950">
      <w:pPr>
        <w:spacing w:before="120" w:after="120"/>
        <w:jc w:val="both"/>
      </w:pPr>
      <w:r w:rsidRPr="003F186B">
        <w:lastRenderedPageBreak/>
        <w:t xml:space="preserve">The data presented in Section A of this report indicates improvement in Victoria over the last year across a range of performance indicators for Indigenous young people.  </w:t>
      </w:r>
    </w:p>
    <w:p w14:paraId="123F489B" w14:textId="77777777" w:rsidR="00BA6A85" w:rsidRPr="003F186B" w:rsidRDefault="00BA6A85" w:rsidP="00310950">
      <w:pPr>
        <w:spacing w:after="120"/>
        <w:jc w:val="both"/>
      </w:pPr>
      <w:r w:rsidRPr="00BA6A85">
        <w:t xml:space="preserve">These include increased full-time enrolments in schools in </w:t>
      </w:r>
      <w:r w:rsidR="003B529B">
        <w:t>Y</w:t>
      </w:r>
      <w:r w:rsidRPr="00BA6A85">
        <w:t xml:space="preserve">ears 11 and 12, and </w:t>
      </w:r>
      <w:r w:rsidR="003B529B">
        <w:t>Y</w:t>
      </w:r>
      <w:r w:rsidRPr="00BA6A85">
        <w:t xml:space="preserve">ears 9 and 10, as well as vocational education and training (VET) enrolments for 15-19 year olds.  </w:t>
      </w:r>
      <w:r w:rsidR="00151CD0" w:rsidRPr="00151CD0">
        <w:t>The gap in apparent retention from years 7 to 10 has closed, incre</w:t>
      </w:r>
      <w:r w:rsidR="00D942A3">
        <w:t>asing from 81.7% in 2008 to 100</w:t>
      </w:r>
      <w:r w:rsidR="00D942A3" w:rsidRPr="00151CD0">
        <w:t xml:space="preserve"> </w:t>
      </w:r>
      <w:r w:rsidR="00151CD0" w:rsidRPr="00151CD0">
        <w:t>% in 2012. There has also been an increase in apparent retention from years 7 to year 12 (46.4% in 2008 to 51.1 % in 2012).</w:t>
      </w:r>
    </w:p>
    <w:p w14:paraId="20D116FC" w14:textId="77777777" w:rsidR="00BA6A85" w:rsidRPr="003F186B" w:rsidRDefault="00BA6A85" w:rsidP="00310950">
      <w:pPr>
        <w:spacing w:after="120"/>
        <w:jc w:val="both"/>
      </w:pPr>
      <w:r w:rsidRPr="003F186B">
        <w:t>The remainder of this section of Victoria’s annual report provides additional data relating to Indigenous students, in line with the requirements of the National Partnership under Schedule B reproduced above.</w:t>
      </w:r>
    </w:p>
    <w:p w14:paraId="106B8FA0" w14:textId="77777777" w:rsidR="00BA6A85" w:rsidRPr="00BA6A85" w:rsidRDefault="00BA6A85" w:rsidP="00592A44">
      <w:pPr>
        <w:pStyle w:val="Heading3"/>
        <w:ind w:left="0"/>
      </w:pPr>
      <w:r w:rsidRPr="003F186B">
        <w:t>Participation of Indigenous students</w:t>
      </w:r>
    </w:p>
    <w:p w14:paraId="0971AAF2" w14:textId="02408DDE" w:rsidR="00BA6A85" w:rsidRPr="003F186B" w:rsidRDefault="00E56644" w:rsidP="00310950">
      <w:pPr>
        <w:spacing w:after="120"/>
        <w:jc w:val="both"/>
      </w:pPr>
      <w:r>
        <w:t>T</w:t>
      </w:r>
      <w:r w:rsidR="00BA6A85" w:rsidRPr="003F186B">
        <w:t>ables</w:t>
      </w:r>
      <w:r>
        <w:t xml:space="preserve"> 4 and 5 below</w:t>
      </w:r>
      <w:r w:rsidR="00BA6A85" w:rsidRPr="003F186B">
        <w:t xml:space="preserve"> provide </w:t>
      </w:r>
      <w:r w:rsidR="00F167FB" w:rsidRPr="003F186B">
        <w:t>detail</w:t>
      </w:r>
      <w:r w:rsidR="00BA6A85" w:rsidRPr="003F186B">
        <w:t xml:space="preserve"> on the consistently increasing school enrolments for Indigenous students recorded in Victoria, with comparisons given from 2008 to 2012.</w:t>
      </w:r>
    </w:p>
    <w:p w14:paraId="68B7B3C5" w14:textId="77777777" w:rsidR="00BA6A85" w:rsidRPr="00426C18" w:rsidRDefault="00BA6A85" w:rsidP="00A65E89">
      <w:pPr>
        <w:spacing w:after="240"/>
        <w:jc w:val="both"/>
      </w:pPr>
      <w:r w:rsidRPr="00BA6A85">
        <w:t>It should be noted that the Department of Education and Early Childhood Development undertakes data improvement strategies to improve the quality of government school student background information such as the student’s Indigenous status. This approach commenced in 2010 and has seen changes to the school administration system (</w:t>
      </w:r>
      <w:proofErr w:type="spellStart"/>
      <w:r w:rsidRPr="00BA6A85">
        <w:t>CASES21</w:t>
      </w:r>
      <w:proofErr w:type="spellEnd"/>
      <w:r w:rsidRPr="00BA6A85">
        <w:t>) to improve the capture of such data items.  The Department also follows up with government schools that have a high proportion of students with an “Unknown/Not Stated” value for selected items.  The increase in the number of Indigenous students from 2010 is due in part to the success of thes</w:t>
      </w:r>
      <w:r w:rsidR="00426C18">
        <w:t xml:space="preserve">e </w:t>
      </w:r>
      <w:r w:rsidR="00063729">
        <w:t>improvements to data management.</w:t>
      </w:r>
    </w:p>
    <w:p w14:paraId="6A786CB2" w14:textId="0FCFCA69" w:rsidR="00BA6A85" w:rsidRPr="003F186B" w:rsidRDefault="00BA6A85" w:rsidP="00592A44">
      <w:pPr>
        <w:pStyle w:val="Heading4"/>
      </w:pPr>
      <w:r w:rsidRPr="003F186B">
        <w:t>Table 4: Full time equivalent school enrolments by Indigenous students, Years 11 and 12, 2008-2012</w:t>
      </w:r>
    </w:p>
    <w:tbl>
      <w:tblPr>
        <w:tblW w:w="4892" w:type="pct"/>
        <w:tblInd w:w="110" w:type="dxa"/>
        <w:tblLook w:val="04A0" w:firstRow="1" w:lastRow="0" w:firstColumn="1" w:lastColumn="0" w:noHBand="0" w:noVBand="1"/>
      </w:tblPr>
      <w:tblGrid>
        <w:gridCol w:w="2000"/>
        <w:gridCol w:w="2070"/>
        <w:gridCol w:w="1192"/>
        <w:gridCol w:w="1258"/>
        <w:gridCol w:w="1079"/>
        <w:gridCol w:w="1077"/>
        <w:gridCol w:w="1077"/>
      </w:tblGrid>
      <w:tr w:rsidR="00BA6A85" w:rsidRPr="003F186B" w14:paraId="2ACE52DA" w14:textId="77777777" w:rsidTr="0033629A">
        <w:trPr>
          <w:trHeight w:val="269"/>
        </w:trPr>
        <w:tc>
          <w:tcPr>
            <w:tcW w:w="1026" w:type="pct"/>
            <w:tcBorders>
              <w:top w:val="single" w:sz="8" w:space="0" w:color="auto"/>
              <w:left w:val="single" w:sz="8" w:space="0" w:color="auto"/>
              <w:bottom w:val="single" w:sz="4" w:space="0" w:color="auto"/>
              <w:right w:val="nil"/>
            </w:tcBorders>
            <w:shd w:val="clear" w:color="auto" w:fill="D6E3BC" w:themeFill="accent3" w:themeFillTint="66"/>
            <w:noWrap/>
            <w:vAlign w:val="bottom"/>
            <w:hideMark/>
          </w:tcPr>
          <w:p w14:paraId="28EEEA97" w14:textId="77777777" w:rsidR="00BA6A85" w:rsidRPr="003F186B" w:rsidRDefault="00BA6A85" w:rsidP="00BA6A85">
            <w:pPr>
              <w:keepNext/>
              <w:spacing w:line="240" w:lineRule="auto"/>
              <w:rPr>
                <w:rFonts w:eastAsia="Times New Roman" w:cs="Calibri"/>
                <w:b/>
                <w:bCs/>
                <w:color w:val="000000"/>
                <w:sz w:val="20"/>
                <w:szCs w:val="20"/>
                <w:lang w:eastAsia="en-AU"/>
              </w:rPr>
            </w:pPr>
            <w:r w:rsidRPr="003F186B">
              <w:rPr>
                <w:rFonts w:eastAsia="Times New Roman" w:cs="Calibri"/>
                <w:b/>
                <w:bCs/>
                <w:color w:val="000000"/>
                <w:sz w:val="20"/>
                <w:szCs w:val="20"/>
                <w:lang w:eastAsia="en-AU"/>
              </w:rPr>
              <w:t> </w:t>
            </w:r>
          </w:p>
        </w:tc>
        <w:tc>
          <w:tcPr>
            <w:tcW w:w="1061" w:type="pct"/>
            <w:tcBorders>
              <w:top w:val="single" w:sz="8" w:space="0" w:color="auto"/>
              <w:left w:val="nil"/>
              <w:bottom w:val="single" w:sz="4" w:space="0" w:color="auto"/>
              <w:right w:val="single" w:sz="4" w:space="0" w:color="auto"/>
            </w:tcBorders>
            <w:shd w:val="clear" w:color="auto" w:fill="D6E3BC" w:themeFill="accent3" w:themeFillTint="66"/>
            <w:noWrap/>
            <w:vAlign w:val="bottom"/>
            <w:hideMark/>
          </w:tcPr>
          <w:p w14:paraId="70AA7B58" w14:textId="77777777" w:rsidR="00BA6A85" w:rsidRPr="003F186B" w:rsidRDefault="00BA6A85" w:rsidP="00BA6A85">
            <w:pPr>
              <w:keepNext/>
              <w:spacing w:line="240" w:lineRule="auto"/>
              <w:rPr>
                <w:rFonts w:eastAsia="Times New Roman" w:cs="Calibri"/>
                <w:b/>
                <w:bCs/>
                <w:color w:val="000000"/>
                <w:sz w:val="20"/>
                <w:szCs w:val="20"/>
                <w:lang w:eastAsia="en-AU"/>
              </w:rPr>
            </w:pPr>
            <w:r w:rsidRPr="003F186B">
              <w:rPr>
                <w:rFonts w:eastAsia="Times New Roman" w:cs="Calibri"/>
                <w:b/>
                <w:bCs/>
                <w:color w:val="000000"/>
                <w:sz w:val="20"/>
                <w:szCs w:val="20"/>
                <w:lang w:eastAsia="en-AU"/>
              </w:rPr>
              <w:t> </w:t>
            </w:r>
          </w:p>
        </w:tc>
        <w:tc>
          <w:tcPr>
            <w:tcW w:w="611" w:type="pct"/>
            <w:tcBorders>
              <w:top w:val="single" w:sz="4" w:space="0" w:color="auto"/>
              <w:left w:val="nil"/>
              <w:bottom w:val="single" w:sz="4" w:space="0" w:color="auto"/>
              <w:right w:val="single" w:sz="4" w:space="0" w:color="auto"/>
            </w:tcBorders>
            <w:shd w:val="clear" w:color="auto" w:fill="D6E3BC" w:themeFill="accent3" w:themeFillTint="66"/>
            <w:noWrap/>
            <w:vAlign w:val="bottom"/>
            <w:hideMark/>
          </w:tcPr>
          <w:p w14:paraId="574ACCAA" w14:textId="77777777" w:rsidR="00BA6A85" w:rsidRPr="003F186B" w:rsidRDefault="00BA6A85" w:rsidP="00BA6A85">
            <w:pPr>
              <w:keepNext/>
              <w:spacing w:line="240" w:lineRule="auto"/>
              <w:jc w:val="center"/>
              <w:rPr>
                <w:rFonts w:eastAsia="Times New Roman" w:cs="Calibri"/>
                <w:b/>
                <w:bCs/>
                <w:color w:val="000000"/>
                <w:sz w:val="20"/>
                <w:szCs w:val="20"/>
                <w:lang w:eastAsia="en-AU"/>
              </w:rPr>
            </w:pPr>
            <w:r w:rsidRPr="003F186B">
              <w:rPr>
                <w:rFonts w:eastAsia="Times New Roman" w:cs="Calibri"/>
                <w:b/>
                <w:bCs/>
                <w:color w:val="000000"/>
                <w:sz w:val="20"/>
                <w:szCs w:val="20"/>
                <w:lang w:eastAsia="en-AU"/>
              </w:rPr>
              <w:t>Aug 2008</w:t>
            </w:r>
          </w:p>
        </w:tc>
        <w:tc>
          <w:tcPr>
            <w:tcW w:w="645" w:type="pct"/>
            <w:tcBorders>
              <w:top w:val="single" w:sz="4" w:space="0" w:color="auto"/>
              <w:left w:val="single" w:sz="4" w:space="0" w:color="auto"/>
              <w:bottom w:val="single" w:sz="4" w:space="0" w:color="auto"/>
              <w:right w:val="single" w:sz="4" w:space="0" w:color="auto"/>
            </w:tcBorders>
            <w:shd w:val="clear" w:color="auto" w:fill="D6E3BC" w:themeFill="accent3" w:themeFillTint="66"/>
            <w:noWrap/>
            <w:vAlign w:val="bottom"/>
            <w:hideMark/>
          </w:tcPr>
          <w:p w14:paraId="6B9A6C99" w14:textId="77777777" w:rsidR="00BA6A85" w:rsidRPr="003F186B" w:rsidRDefault="00BA6A85" w:rsidP="00BA6A85">
            <w:pPr>
              <w:keepNext/>
              <w:spacing w:line="240" w:lineRule="auto"/>
              <w:jc w:val="center"/>
              <w:rPr>
                <w:rFonts w:eastAsia="Times New Roman" w:cs="Calibri"/>
                <w:b/>
                <w:bCs/>
                <w:color w:val="000000"/>
                <w:sz w:val="20"/>
                <w:szCs w:val="20"/>
                <w:lang w:eastAsia="en-AU"/>
              </w:rPr>
            </w:pPr>
            <w:r w:rsidRPr="003F186B">
              <w:rPr>
                <w:rFonts w:eastAsia="Times New Roman" w:cs="Calibri"/>
                <w:b/>
                <w:bCs/>
                <w:color w:val="000000"/>
                <w:sz w:val="20"/>
                <w:szCs w:val="20"/>
                <w:lang w:eastAsia="en-AU"/>
              </w:rPr>
              <w:t>Aug 2009</w:t>
            </w:r>
          </w:p>
        </w:tc>
        <w:tc>
          <w:tcPr>
            <w:tcW w:w="553" w:type="pct"/>
            <w:tcBorders>
              <w:top w:val="single" w:sz="4" w:space="0" w:color="auto"/>
              <w:left w:val="single" w:sz="4" w:space="0" w:color="auto"/>
              <w:bottom w:val="single" w:sz="4" w:space="0" w:color="auto"/>
              <w:right w:val="single" w:sz="4" w:space="0" w:color="auto"/>
            </w:tcBorders>
            <w:shd w:val="clear" w:color="auto" w:fill="D6E3BC" w:themeFill="accent3" w:themeFillTint="66"/>
            <w:noWrap/>
            <w:vAlign w:val="bottom"/>
            <w:hideMark/>
          </w:tcPr>
          <w:p w14:paraId="1E45176E" w14:textId="77777777" w:rsidR="00BA6A85" w:rsidRPr="003F186B" w:rsidRDefault="00BA6A85" w:rsidP="00BA6A85">
            <w:pPr>
              <w:keepNext/>
              <w:spacing w:line="240" w:lineRule="auto"/>
              <w:jc w:val="center"/>
              <w:rPr>
                <w:rFonts w:eastAsia="Times New Roman" w:cs="Calibri"/>
                <w:b/>
                <w:bCs/>
                <w:color w:val="000000"/>
                <w:sz w:val="20"/>
                <w:szCs w:val="20"/>
                <w:lang w:eastAsia="en-AU"/>
              </w:rPr>
            </w:pPr>
            <w:r w:rsidRPr="003F186B">
              <w:rPr>
                <w:rFonts w:eastAsia="Times New Roman" w:cs="Calibri"/>
                <w:b/>
                <w:bCs/>
                <w:color w:val="000000"/>
                <w:sz w:val="20"/>
                <w:szCs w:val="20"/>
                <w:lang w:eastAsia="en-AU"/>
              </w:rPr>
              <w:t>Aug 2010</w:t>
            </w:r>
          </w:p>
        </w:tc>
        <w:tc>
          <w:tcPr>
            <w:tcW w:w="552" w:type="pct"/>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5BA09560" w14:textId="77777777" w:rsidR="00BA6A85" w:rsidRPr="003F186B" w:rsidRDefault="00BA6A85" w:rsidP="00BA6A85">
            <w:pPr>
              <w:keepNext/>
              <w:spacing w:line="240" w:lineRule="auto"/>
              <w:jc w:val="center"/>
              <w:rPr>
                <w:rFonts w:eastAsia="Times New Roman" w:cs="Calibri"/>
                <w:b/>
                <w:bCs/>
                <w:color w:val="000000"/>
                <w:sz w:val="20"/>
                <w:szCs w:val="20"/>
                <w:lang w:eastAsia="en-AU"/>
              </w:rPr>
            </w:pPr>
            <w:r w:rsidRPr="003F186B">
              <w:rPr>
                <w:rFonts w:eastAsia="Times New Roman" w:cs="Calibri"/>
                <w:b/>
                <w:bCs/>
                <w:color w:val="000000"/>
                <w:sz w:val="20"/>
                <w:szCs w:val="20"/>
                <w:lang w:eastAsia="en-AU"/>
              </w:rPr>
              <w:t>Aug 2011</w:t>
            </w:r>
          </w:p>
        </w:tc>
        <w:tc>
          <w:tcPr>
            <w:tcW w:w="552" w:type="pct"/>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3A8F697A" w14:textId="77777777" w:rsidR="00BA6A85" w:rsidRPr="003F186B" w:rsidRDefault="00BA6A85" w:rsidP="00BA6A85">
            <w:pPr>
              <w:keepNext/>
              <w:spacing w:line="240" w:lineRule="auto"/>
              <w:jc w:val="center"/>
              <w:rPr>
                <w:rFonts w:eastAsia="Times New Roman" w:cs="Calibri"/>
                <w:b/>
                <w:bCs/>
                <w:color w:val="000000"/>
                <w:sz w:val="20"/>
                <w:szCs w:val="20"/>
                <w:lang w:eastAsia="en-AU"/>
              </w:rPr>
            </w:pPr>
            <w:r w:rsidRPr="003F186B">
              <w:rPr>
                <w:rFonts w:eastAsia="Times New Roman" w:cs="Calibri"/>
                <w:b/>
                <w:bCs/>
                <w:color w:val="000000"/>
                <w:sz w:val="20"/>
                <w:szCs w:val="20"/>
                <w:lang w:eastAsia="en-AU"/>
              </w:rPr>
              <w:t>Aug 2012</w:t>
            </w:r>
          </w:p>
        </w:tc>
      </w:tr>
      <w:tr w:rsidR="00BA6A85" w:rsidRPr="003F186B" w14:paraId="72AD25AB" w14:textId="77777777" w:rsidTr="0033629A">
        <w:trPr>
          <w:trHeight w:val="269"/>
        </w:trPr>
        <w:tc>
          <w:tcPr>
            <w:tcW w:w="1026" w:type="pct"/>
            <w:tcBorders>
              <w:top w:val="single" w:sz="4" w:space="0" w:color="auto"/>
              <w:left w:val="single" w:sz="8" w:space="0" w:color="auto"/>
              <w:bottom w:val="nil"/>
              <w:right w:val="nil"/>
            </w:tcBorders>
            <w:shd w:val="clear" w:color="000000" w:fill="D9D9D9"/>
            <w:noWrap/>
            <w:vAlign w:val="bottom"/>
            <w:hideMark/>
          </w:tcPr>
          <w:p w14:paraId="484D2D64" w14:textId="77777777" w:rsidR="00BA6A85" w:rsidRPr="003F186B" w:rsidRDefault="00BA6A85" w:rsidP="00BA6A85">
            <w:pPr>
              <w:keepNext/>
              <w:spacing w:line="240" w:lineRule="auto"/>
              <w:rPr>
                <w:rFonts w:eastAsia="Times New Roman" w:cs="Calibri"/>
                <w:b/>
                <w:bCs/>
                <w:color w:val="000000"/>
                <w:sz w:val="20"/>
                <w:szCs w:val="20"/>
                <w:lang w:eastAsia="en-AU"/>
              </w:rPr>
            </w:pPr>
            <w:r w:rsidRPr="003F186B">
              <w:rPr>
                <w:rFonts w:eastAsia="Times New Roman" w:cs="Calibri"/>
                <w:b/>
                <w:bCs/>
                <w:color w:val="000000"/>
                <w:sz w:val="20"/>
                <w:szCs w:val="20"/>
                <w:lang w:eastAsia="en-AU"/>
              </w:rPr>
              <w:t>Government</w:t>
            </w:r>
          </w:p>
        </w:tc>
        <w:tc>
          <w:tcPr>
            <w:tcW w:w="1061" w:type="pct"/>
            <w:tcBorders>
              <w:top w:val="single" w:sz="4" w:space="0" w:color="auto"/>
              <w:left w:val="nil"/>
              <w:bottom w:val="nil"/>
              <w:right w:val="single" w:sz="4" w:space="0" w:color="auto"/>
            </w:tcBorders>
            <w:shd w:val="clear" w:color="000000" w:fill="D9D9D9"/>
            <w:noWrap/>
            <w:vAlign w:val="bottom"/>
            <w:hideMark/>
          </w:tcPr>
          <w:p w14:paraId="53D33802" w14:textId="77777777" w:rsidR="00BA6A85" w:rsidRPr="003F186B" w:rsidRDefault="00BA6A85" w:rsidP="00BA6A85">
            <w:pPr>
              <w:keepNext/>
              <w:spacing w:line="240" w:lineRule="auto"/>
              <w:rPr>
                <w:rFonts w:eastAsia="Times New Roman" w:cs="Calibri"/>
                <w:b/>
                <w:bCs/>
                <w:color w:val="000000"/>
                <w:sz w:val="20"/>
                <w:szCs w:val="20"/>
                <w:lang w:eastAsia="en-AU"/>
              </w:rPr>
            </w:pPr>
            <w:r w:rsidRPr="003F186B">
              <w:rPr>
                <w:rFonts w:eastAsia="Times New Roman" w:cs="Calibri"/>
                <w:b/>
                <w:bCs/>
                <w:color w:val="000000"/>
                <w:sz w:val="20"/>
                <w:szCs w:val="20"/>
                <w:lang w:eastAsia="en-AU"/>
              </w:rPr>
              <w:t>Year 11</w:t>
            </w:r>
          </w:p>
        </w:tc>
        <w:tc>
          <w:tcPr>
            <w:tcW w:w="611" w:type="pct"/>
            <w:tcBorders>
              <w:top w:val="single" w:sz="4" w:space="0" w:color="auto"/>
              <w:left w:val="nil"/>
              <w:bottom w:val="single" w:sz="4" w:space="0" w:color="auto"/>
              <w:right w:val="single" w:sz="4" w:space="0" w:color="auto"/>
            </w:tcBorders>
            <w:shd w:val="clear" w:color="000000" w:fill="auto"/>
            <w:noWrap/>
            <w:vAlign w:val="bottom"/>
            <w:hideMark/>
          </w:tcPr>
          <w:p w14:paraId="69188708" w14:textId="77777777" w:rsidR="00BA6A85" w:rsidRPr="003F186B" w:rsidRDefault="00BA6A85" w:rsidP="00BA6A85">
            <w:pPr>
              <w:keepNext/>
              <w:spacing w:line="240" w:lineRule="auto"/>
              <w:ind w:right="227"/>
              <w:jc w:val="right"/>
              <w:rPr>
                <w:rFonts w:eastAsia="Times New Roman" w:cs="Calibri"/>
                <w:color w:val="000000"/>
                <w:sz w:val="20"/>
                <w:szCs w:val="20"/>
                <w:lang w:eastAsia="en-AU"/>
              </w:rPr>
            </w:pPr>
            <w:r w:rsidRPr="003F186B">
              <w:rPr>
                <w:rFonts w:eastAsia="Times New Roman" w:cs="Calibri"/>
                <w:color w:val="000000"/>
                <w:sz w:val="20"/>
                <w:szCs w:val="20"/>
                <w:lang w:eastAsia="en-AU"/>
              </w:rPr>
              <w:t>334.2</w:t>
            </w:r>
          </w:p>
        </w:tc>
        <w:tc>
          <w:tcPr>
            <w:tcW w:w="645" w:type="pct"/>
            <w:tcBorders>
              <w:top w:val="single" w:sz="4" w:space="0" w:color="auto"/>
              <w:left w:val="single" w:sz="4" w:space="0" w:color="auto"/>
              <w:bottom w:val="single" w:sz="4" w:space="0" w:color="auto"/>
              <w:right w:val="single" w:sz="4" w:space="0" w:color="auto"/>
            </w:tcBorders>
            <w:shd w:val="clear" w:color="000000" w:fill="auto"/>
            <w:noWrap/>
            <w:vAlign w:val="bottom"/>
            <w:hideMark/>
          </w:tcPr>
          <w:p w14:paraId="6D0123BB" w14:textId="77777777" w:rsidR="00BA6A85" w:rsidRPr="003F186B" w:rsidRDefault="00BA6A85" w:rsidP="00BA6A85">
            <w:pPr>
              <w:keepNext/>
              <w:spacing w:line="240" w:lineRule="auto"/>
              <w:ind w:right="227"/>
              <w:jc w:val="right"/>
              <w:rPr>
                <w:rFonts w:eastAsia="Times New Roman" w:cs="Calibri"/>
                <w:color w:val="000000"/>
                <w:sz w:val="20"/>
                <w:szCs w:val="20"/>
                <w:lang w:eastAsia="en-AU"/>
              </w:rPr>
            </w:pPr>
            <w:r w:rsidRPr="003F186B">
              <w:rPr>
                <w:rFonts w:eastAsia="Times New Roman" w:cs="Calibri"/>
                <w:color w:val="000000"/>
                <w:sz w:val="20"/>
                <w:szCs w:val="20"/>
                <w:lang w:eastAsia="en-AU"/>
              </w:rPr>
              <w:t>356.2</w:t>
            </w:r>
          </w:p>
        </w:tc>
        <w:tc>
          <w:tcPr>
            <w:tcW w:w="553" w:type="pct"/>
            <w:tcBorders>
              <w:top w:val="single" w:sz="4" w:space="0" w:color="auto"/>
              <w:left w:val="single" w:sz="4" w:space="0" w:color="auto"/>
              <w:bottom w:val="single" w:sz="4" w:space="0" w:color="auto"/>
              <w:right w:val="single" w:sz="4" w:space="0" w:color="auto"/>
            </w:tcBorders>
            <w:shd w:val="clear" w:color="000000" w:fill="auto"/>
            <w:noWrap/>
            <w:vAlign w:val="bottom"/>
            <w:hideMark/>
          </w:tcPr>
          <w:p w14:paraId="5FC4B75D" w14:textId="77777777" w:rsidR="00BA6A85" w:rsidRPr="003F186B" w:rsidRDefault="00BA6A85" w:rsidP="00BA6A85">
            <w:pPr>
              <w:keepNext/>
              <w:spacing w:line="240" w:lineRule="auto"/>
              <w:ind w:right="227"/>
              <w:jc w:val="right"/>
              <w:rPr>
                <w:rFonts w:eastAsia="Times New Roman" w:cs="Calibri"/>
                <w:color w:val="000000"/>
                <w:sz w:val="20"/>
                <w:szCs w:val="20"/>
                <w:lang w:eastAsia="en-AU"/>
              </w:rPr>
            </w:pPr>
            <w:r w:rsidRPr="003F186B">
              <w:rPr>
                <w:rFonts w:eastAsia="Times New Roman" w:cs="Calibri"/>
                <w:color w:val="000000"/>
                <w:sz w:val="20"/>
                <w:szCs w:val="20"/>
                <w:lang w:eastAsia="en-AU"/>
              </w:rPr>
              <w:t>406.3</w:t>
            </w:r>
          </w:p>
        </w:tc>
        <w:tc>
          <w:tcPr>
            <w:tcW w:w="552" w:type="pct"/>
            <w:tcBorders>
              <w:top w:val="single" w:sz="4" w:space="0" w:color="auto"/>
              <w:left w:val="single" w:sz="4" w:space="0" w:color="auto"/>
              <w:bottom w:val="single" w:sz="4" w:space="0" w:color="auto"/>
              <w:right w:val="single" w:sz="4" w:space="0" w:color="auto"/>
            </w:tcBorders>
            <w:shd w:val="clear" w:color="000000" w:fill="auto"/>
          </w:tcPr>
          <w:p w14:paraId="18BB6359" w14:textId="77777777" w:rsidR="00BA6A85" w:rsidRPr="003F186B" w:rsidRDefault="00BA6A85" w:rsidP="00BA6A85">
            <w:pPr>
              <w:keepNext/>
              <w:spacing w:line="240" w:lineRule="auto"/>
              <w:ind w:right="227"/>
              <w:jc w:val="right"/>
              <w:rPr>
                <w:rFonts w:eastAsia="Times New Roman" w:cs="Calibri"/>
                <w:color w:val="000000"/>
                <w:sz w:val="20"/>
                <w:szCs w:val="20"/>
                <w:lang w:eastAsia="en-AU"/>
              </w:rPr>
            </w:pPr>
            <w:r w:rsidRPr="003F186B">
              <w:rPr>
                <w:rFonts w:eastAsia="Times New Roman" w:cs="Calibri"/>
                <w:color w:val="000000"/>
                <w:sz w:val="20"/>
                <w:szCs w:val="20"/>
                <w:lang w:eastAsia="en-AU"/>
              </w:rPr>
              <w:t>469.9</w:t>
            </w:r>
          </w:p>
        </w:tc>
        <w:tc>
          <w:tcPr>
            <w:tcW w:w="552" w:type="pct"/>
            <w:tcBorders>
              <w:top w:val="single" w:sz="4" w:space="0" w:color="auto"/>
              <w:left w:val="single" w:sz="4" w:space="0" w:color="auto"/>
              <w:bottom w:val="single" w:sz="4" w:space="0" w:color="auto"/>
              <w:right w:val="single" w:sz="4" w:space="0" w:color="auto"/>
            </w:tcBorders>
            <w:shd w:val="clear" w:color="auto" w:fill="auto"/>
          </w:tcPr>
          <w:p w14:paraId="67DF0AC5" w14:textId="77777777" w:rsidR="00BA6A85" w:rsidRPr="003F186B" w:rsidRDefault="00BA6A85" w:rsidP="00BA6A85">
            <w:pPr>
              <w:keepNext/>
              <w:spacing w:line="240" w:lineRule="auto"/>
              <w:ind w:right="227"/>
              <w:jc w:val="right"/>
              <w:rPr>
                <w:rFonts w:eastAsia="Times New Roman" w:cs="Calibri"/>
                <w:color w:val="000000"/>
                <w:sz w:val="20"/>
                <w:szCs w:val="20"/>
                <w:lang w:eastAsia="en-AU"/>
              </w:rPr>
            </w:pPr>
            <w:r w:rsidRPr="003F186B">
              <w:rPr>
                <w:rFonts w:eastAsia="Times New Roman" w:cs="Calibri"/>
                <w:color w:val="000000"/>
                <w:sz w:val="20"/>
                <w:szCs w:val="20"/>
                <w:lang w:eastAsia="en-AU"/>
              </w:rPr>
              <w:t>451.3</w:t>
            </w:r>
          </w:p>
        </w:tc>
      </w:tr>
      <w:tr w:rsidR="00BA6A85" w:rsidRPr="003F186B" w14:paraId="12730E0B" w14:textId="77777777" w:rsidTr="0033629A">
        <w:trPr>
          <w:trHeight w:val="269"/>
        </w:trPr>
        <w:tc>
          <w:tcPr>
            <w:tcW w:w="1026" w:type="pct"/>
            <w:tcBorders>
              <w:top w:val="nil"/>
              <w:left w:val="single" w:sz="8" w:space="0" w:color="auto"/>
              <w:bottom w:val="nil"/>
              <w:right w:val="nil"/>
            </w:tcBorders>
            <w:shd w:val="clear" w:color="000000" w:fill="D9D9D9"/>
            <w:noWrap/>
            <w:vAlign w:val="bottom"/>
            <w:hideMark/>
          </w:tcPr>
          <w:p w14:paraId="778B05DB" w14:textId="77777777" w:rsidR="00BA6A85" w:rsidRPr="003F186B" w:rsidRDefault="00BA6A85" w:rsidP="00BA6A85">
            <w:pPr>
              <w:keepNext/>
              <w:spacing w:line="240" w:lineRule="auto"/>
              <w:rPr>
                <w:rFonts w:eastAsia="Times New Roman" w:cs="Calibri"/>
                <w:b/>
                <w:bCs/>
                <w:color w:val="000000"/>
                <w:sz w:val="20"/>
                <w:szCs w:val="20"/>
                <w:lang w:eastAsia="en-AU"/>
              </w:rPr>
            </w:pPr>
            <w:r w:rsidRPr="003F186B">
              <w:rPr>
                <w:rFonts w:eastAsia="Times New Roman" w:cs="Calibri"/>
                <w:b/>
                <w:bCs/>
                <w:color w:val="000000"/>
                <w:sz w:val="20"/>
                <w:szCs w:val="20"/>
                <w:lang w:eastAsia="en-AU"/>
              </w:rPr>
              <w:t> </w:t>
            </w:r>
          </w:p>
        </w:tc>
        <w:tc>
          <w:tcPr>
            <w:tcW w:w="1061" w:type="pct"/>
            <w:tcBorders>
              <w:top w:val="nil"/>
              <w:left w:val="nil"/>
              <w:bottom w:val="single" w:sz="4" w:space="0" w:color="auto"/>
              <w:right w:val="single" w:sz="4" w:space="0" w:color="auto"/>
            </w:tcBorders>
            <w:shd w:val="clear" w:color="000000" w:fill="D9D9D9"/>
            <w:noWrap/>
            <w:vAlign w:val="bottom"/>
            <w:hideMark/>
          </w:tcPr>
          <w:p w14:paraId="2B6CA29D" w14:textId="77777777" w:rsidR="00BA6A85" w:rsidRPr="003F186B" w:rsidRDefault="00BA6A85" w:rsidP="00BA6A85">
            <w:pPr>
              <w:keepNext/>
              <w:spacing w:line="240" w:lineRule="auto"/>
              <w:rPr>
                <w:rFonts w:eastAsia="Times New Roman" w:cs="Calibri"/>
                <w:b/>
                <w:bCs/>
                <w:color w:val="000000"/>
                <w:sz w:val="20"/>
                <w:szCs w:val="20"/>
                <w:lang w:eastAsia="en-AU"/>
              </w:rPr>
            </w:pPr>
            <w:r w:rsidRPr="003F186B">
              <w:rPr>
                <w:rFonts w:eastAsia="Times New Roman" w:cs="Calibri"/>
                <w:b/>
                <w:bCs/>
                <w:color w:val="000000"/>
                <w:sz w:val="20"/>
                <w:szCs w:val="20"/>
                <w:lang w:eastAsia="en-AU"/>
              </w:rPr>
              <w:t>Year 12</w:t>
            </w:r>
          </w:p>
        </w:tc>
        <w:tc>
          <w:tcPr>
            <w:tcW w:w="611" w:type="pct"/>
            <w:tcBorders>
              <w:top w:val="single" w:sz="4" w:space="0" w:color="auto"/>
              <w:left w:val="nil"/>
              <w:bottom w:val="single" w:sz="4" w:space="0" w:color="auto"/>
              <w:right w:val="single" w:sz="4" w:space="0" w:color="auto"/>
            </w:tcBorders>
            <w:shd w:val="clear" w:color="000000" w:fill="auto"/>
            <w:noWrap/>
            <w:vAlign w:val="bottom"/>
            <w:hideMark/>
          </w:tcPr>
          <w:p w14:paraId="01A724D9" w14:textId="77777777" w:rsidR="00BA6A85" w:rsidRPr="003F186B" w:rsidRDefault="00BA6A85" w:rsidP="00BA6A85">
            <w:pPr>
              <w:keepNext/>
              <w:spacing w:line="240" w:lineRule="auto"/>
              <w:ind w:right="227"/>
              <w:jc w:val="right"/>
              <w:rPr>
                <w:rFonts w:eastAsia="Times New Roman" w:cs="Calibri"/>
                <w:color w:val="000000"/>
                <w:sz w:val="20"/>
                <w:szCs w:val="20"/>
                <w:lang w:eastAsia="en-AU"/>
              </w:rPr>
            </w:pPr>
            <w:r w:rsidRPr="003F186B">
              <w:rPr>
                <w:rFonts w:eastAsia="Times New Roman" w:cs="Calibri"/>
                <w:color w:val="000000"/>
                <w:sz w:val="20"/>
                <w:szCs w:val="20"/>
                <w:lang w:eastAsia="en-AU"/>
              </w:rPr>
              <w:t>202.3</w:t>
            </w:r>
          </w:p>
        </w:tc>
        <w:tc>
          <w:tcPr>
            <w:tcW w:w="645" w:type="pct"/>
            <w:tcBorders>
              <w:top w:val="single" w:sz="4" w:space="0" w:color="auto"/>
              <w:left w:val="single" w:sz="4" w:space="0" w:color="auto"/>
              <w:bottom w:val="single" w:sz="4" w:space="0" w:color="auto"/>
              <w:right w:val="single" w:sz="4" w:space="0" w:color="auto"/>
            </w:tcBorders>
            <w:shd w:val="clear" w:color="000000" w:fill="auto"/>
            <w:noWrap/>
            <w:vAlign w:val="bottom"/>
            <w:hideMark/>
          </w:tcPr>
          <w:p w14:paraId="043D5B13" w14:textId="77777777" w:rsidR="00BA6A85" w:rsidRPr="003F186B" w:rsidRDefault="00BA6A85" w:rsidP="00BA6A85">
            <w:pPr>
              <w:keepNext/>
              <w:spacing w:line="240" w:lineRule="auto"/>
              <w:ind w:right="227"/>
              <w:jc w:val="right"/>
              <w:rPr>
                <w:rFonts w:eastAsia="Times New Roman" w:cs="Calibri"/>
                <w:color w:val="000000"/>
                <w:sz w:val="20"/>
                <w:szCs w:val="20"/>
                <w:lang w:eastAsia="en-AU"/>
              </w:rPr>
            </w:pPr>
            <w:r w:rsidRPr="003F186B">
              <w:rPr>
                <w:rFonts w:eastAsia="Times New Roman" w:cs="Calibri"/>
                <w:color w:val="000000"/>
                <w:sz w:val="20"/>
                <w:szCs w:val="20"/>
                <w:lang w:eastAsia="en-AU"/>
              </w:rPr>
              <w:t>205.6</w:t>
            </w:r>
          </w:p>
        </w:tc>
        <w:tc>
          <w:tcPr>
            <w:tcW w:w="553" w:type="pct"/>
            <w:tcBorders>
              <w:top w:val="single" w:sz="4" w:space="0" w:color="auto"/>
              <w:left w:val="single" w:sz="4" w:space="0" w:color="auto"/>
              <w:bottom w:val="single" w:sz="4" w:space="0" w:color="auto"/>
              <w:right w:val="single" w:sz="4" w:space="0" w:color="auto"/>
            </w:tcBorders>
            <w:shd w:val="clear" w:color="000000" w:fill="auto"/>
            <w:noWrap/>
            <w:vAlign w:val="bottom"/>
            <w:hideMark/>
          </w:tcPr>
          <w:p w14:paraId="40DB8AE5" w14:textId="77777777" w:rsidR="00BA6A85" w:rsidRPr="003F186B" w:rsidRDefault="00BA6A85" w:rsidP="00BA6A85">
            <w:pPr>
              <w:keepNext/>
              <w:spacing w:line="240" w:lineRule="auto"/>
              <w:ind w:right="227"/>
              <w:jc w:val="right"/>
              <w:rPr>
                <w:rFonts w:eastAsia="Times New Roman" w:cs="Calibri"/>
                <w:color w:val="000000"/>
                <w:sz w:val="20"/>
                <w:szCs w:val="20"/>
                <w:lang w:eastAsia="en-AU"/>
              </w:rPr>
            </w:pPr>
            <w:r w:rsidRPr="003F186B">
              <w:rPr>
                <w:rFonts w:eastAsia="Times New Roman" w:cs="Calibri"/>
                <w:color w:val="000000"/>
                <w:sz w:val="20"/>
                <w:szCs w:val="20"/>
                <w:lang w:eastAsia="en-AU"/>
              </w:rPr>
              <w:t>237.4</w:t>
            </w:r>
          </w:p>
        </w:tc>
        <w:tc>
          <w:tcPr>
            <w:tcW w:w="552" w:type="pct"/>
            <w:tcBorders>
              <w:top w:val="single" w:sz="4" w:space="0" w:color="auto"/>
              <w:left w:val="single" w:sz="4" w:space="0" w:color="auto"/>
              <w:bottom w:val="single" w:sz="4" w:space="0" w:color="auto"/>
              <w:right w:val="single" w:sz="4" w:space="0" w:color="auto"/>
            </w:tcBorders>
            <w:shd w:val="clear" w:color="000000" w:fill="auto"/>
          </w:tcPr>
          <w:p w14:paraId="416C51DD" w14:textId="77777777" w:rsidR="00BA6A85" w:rsidRPr="003F186B" w:rsidRDefault="00BA6A85" w:rsidP="00BA6A85">
            <w:pPr>
              <w:keepNext/>
              <w:spacing w:line="240" w:lineRule="auto"/>
              <w:ind w:right="227"/>
              <w:jc w:val="right"/>
              <w:rPr>
                <w:rFonts w:eastAsia="Times New Roman" w:cs="Calibri"/>
                <w:color w:val="000000"/>
                <w:sz w:val="20"/>
                <w:szCs w:val="20"/>
                <w:lang w:eastAsia="en-AU"/>
              </w:rPr>
            </w:pPr>
            <w:r w:rsidRPr="003F186B">
              <w:rPr>
                <w:rFonts w:eastAsia="Times New Roman" w:cs="Calibri"/>
                <w:color w:val="000000"/>
                <w:sz w:val="20"/>
                <w:szCs w:val="20"/>
                <w:lang w:eastAsia="en-AU"/>
              </w:rPr>
              <w:t>271.7</w:t>
            </w:r>
          </w:p>
        </w:tc>
        <w:tc>
          <w:tcPr>
            <w:tcW w:w="552" w:type="pct"/>
            <w:tcBorders>
              <w:top w:val="single" w:sz="4" w:space="0" w:color="auto"/>
              <w:left w:val="single" w:sz="4" w:space="0" w:color="auto"/>
              <w:bottom w:val="single" w:sz="4" w:space="0" w:color="auto"/>
              <w:right w:val="single" w:sz="4" w:space="0" w:color="auto"/>
            </w:tcBorders>
            <w:shd w:val="clear" w:color="auto" w:fill="auto"/>
          </w:tcPr>
          <w:p w14:paraId="738D6545" w14:textId="77777777" w:rsidR="00BA6A85" w:rsidRPr="003F186B" w:rsidRDefault="00BA6A85" w:rsidP="00BA6A85">
            <w:pPr>
              <w:keepNext/>
              <w:spacing w:line="240" w:lineRule="auto"/>
              <w:ind w:right="227"/>
              <w:jc w:val="right"/>
              <w:rPr>
                <w:rFonts w:eastAsia="Times New Roman" w:cs="Calibri"/>
                <w:color w:val="000000"/>
                <w:sz w:val="20"/>
                <w:szCs w:val="20"/>
                <w:lang w:eastAsia="en-AU"/>
              </w:rPr>
            </w:pPr>
            <w:r w:rsidRPr="003F186B">
              <w:rPr>
                <w:rFonts w:eastAsia="Times New Roman" w:cs="Calibri"/>
                <w:color w:val="000000"/>
                <w:sz w:val="20"/>
                <w:szCs w:val="20"/>
                <w:lang w:eastAsia="en-AU"/>
              </w:rPr>
              <w:t>298.0</w:t>
            </w:r>
          </w:p>
        </w:tc>
      </w:tr>
      <w:tr w:rsidR="00BA6A85" w:rsidRPr="003F186B" w14:paraId="2CEC259F" w14:textId="77777777" w:rsidTr="0033629A">
        <w:trPr>
          <w:trHeight w:val="269"/>
        </w:trPr>
        <w:tc>
          <w:tcPr>
            <w:tcW w:w="1026" w:type="pct"/>
            <w:tcBorders>
              <w:top w:val="nil"/>
              <w:left w:val="single" w:sz="8" w:space="0" w:color="auto"/>
              <w:bottom w:val="single" w:sz="4" w:space="0" w:color="auto"/>
              <w:right w:val="nil"/>
            </w:tcBorders>
            <w:shd w:val="clear" w:color="000000" w:fill="D9D9D9"/>
            <w:noWrap/>
            <w:vAlign w:val="bottom"/>
            <w:hideMark/>
          </w:tcPr>
          <w:p w14:paraId="62EE66C7" w14:textId="77777777" w:rsidR="00BA6A85" w:rsidRPr="003F186B" w:rsidRDefault="00BA6A85" w:rsidP="00BA6A85">
            <w:pPr>
              <w:keepNext/>
              <w:spacing w:line="240" w:lineRule="auto"/>
              <w:rPr>
                <w:rFonts w:eastAsia="Times New Roman" w:cs="Calibri"/>
                <w:b/>
                <w:bCs/>
                <w:color w:val="000000"/>
                <w:sz w:val="20"/>
                <w:szCs w:val="20"/>
                <w:lang w:eastAsia="en-AU"/>
              </w:rPr>
            </w:pPr>
            <w:r w:rsidRPr="003F186B">
              <w:rPr>
                <w:rFonts w:eastAsia="Times New Roman" w:cs="Calibri"/>
                <w:b/>
                <w:bCs/>
                <w:color w:val="000000"/>
                <w:sz w:val="20"/>
                <w:szCs w:val="20"/>
                <w:lang w:eastAsia="en-AU"/>
              </w:rPr>
              <w:t> </w:t>
            </w:r>
          </w:p>
        </w:tc>
        <w:tc>
          <w:tcPr>
            <w:tcW w:w="1061" w:type="pct"/>
            <w:tcBorders>
              <w:top w:val="nil"/>
              <w:left w:val="nil"/>
              <w:bottom w:val="single" w:sz="4" w:space="0" w:color="auto"/>
              <w:right w:val="single" w:sz="4" w:space="0" w:color="auto"/>
            </w:tcBorders>
            <w:shd w:val="clear" w:color="000000" w:fill="D9D9D9"/>
            <w:noWrap/>
            <w:vAlign w:val="bottom"/>
            <w:hideMark/>
          </w:tcPr>
          <w:p w14:paraId="6EE9D5A1" w14:textId="77777777" w:rsidR="00BA6A85" w:rsidRPr="003F186B" w:rsidRDefault="00BA6A85" w:rsidP="00BA6A85">
            <w:pPr>
              <w:keepNext/>
              <w:spacing w:line="240" w:lineRule="auto"/>
              <w:rPr>
                <w:rFonts w:eastAsia="Times New Roman" w:cs="Calibri"/>
                <w:b/>
                <w:bCs/>
                <w:color w:val="000000"/>
                <w:sz w:val="20"/>
                <w:szCs w:val="20"/>
                <w:lang w:eastAsia="en-AU"/>
              </w:rPr>
            </w:pPr>
            <w:r w:rsidRPr="003F186B">
              <w:rPr>
                <w:rFonts w:eastAsia="Times New Roman" w:cs="Calibri"/>
                <w:b/>
                <w:bCs/>
                <w:color w:val="000000"/>
                <w:sz w:val="20"/>
                <w:szCs w:val="20"/>
                <w:lang w:eastAsia="en-AU"/>
              </w:rPr>
              <w:t>Total</w:t>
            </w:r>
          </w:p>
        </w:tc>
        <w:tc>
          <w:tcPr>
            <w:tcW w:w="611" w:type="pct"/>
            <w:tcBorders>
              <w:top w:val="single" w:sz="4" w:space="0" w:color="auto"/>
              <w:left w:val="nil"/>
              <w:bottom w:val="single" w:sz="4" w:space="0" w:color="auto"/>
              <w:right w:val="single" w:sz="4" w:space="0" w:color="auto"/>
            </w:tcBorders>
            <w:shd w:val="clear" w:color="000000" w:fill="auto"/>
            <w:noWrap/>
            <w:vAlign w:val="bottom"/>
            <w:hideMark/>
          </w:tcPr>
          <w:p w14:paraId="1BB56C90" w14:textId="77777777" w:rsidR="00BA6A85" w:rsidRPr="003F186B" w:rsidRDefault="00BA6A85" w:rsidP="00BA6A85">
            <w:pPr>
              <w:keepNext/>
              <w:spacing w:line="240" w:lineRule="auto"/>
              <w:ind w:right="227"/>
              <w:jc w:val="right"/>
              <w:rPr>
                <w:rFonts w:eastAsia="Times New Roman" w:cs="Calibri"/>
                <w:color w:val="000000"/>
                <w:sz w:val="20"/>
                <w:szCs w:val="20"/>
                <w:lang w:eastAsia="en-AU"/>
              </w:rPr>
            </w:pPr>
            <w:r w:rsidRPr="003F186B">
              <w:rPr>
                <w:rFonts w:eastAsia="Times New Roman" w:cs="Calibri"/>
                <w:color w:val="000000"/>
                <w:sz w:val="20"/>
                <w:szCs w:val="20"/>
                <w:lang w:eastAsia="en-AU"/>
              </w:rPr>
              <w:t>536.5</w:t>
            </w:r>
          </w:p>
        </w:tc>
        <w:tc>
          <w:tcPr>
            <w:tcW w:w="645" w:type="pct"/>
            <w:tcBorders>
              <w:top w:val="single" w:sz="4" w:space="0" w:color="auto"/>
              <w:left w:val="single" w:sz="4" w:space="0" w:color="auto"/>
              <w:bottom w:val="single" w:sz="4" w:space="0" w:color="auto"/>
              <w:right w:val="single" w:sz="4" w:space="0" w:color="auto"/>
            </w:tcBorders>
            <w:shd w:val="clear" w:color="000000" w:fill="auto"/>
            <w:noWrap/>
            <w:vAlign w:val="bottom"/>
            <w:hideMark/>
          </w:tcPr>
          <w:p w14:paraId="1A129985" w14:textId="77777777" w:rsidR="00BA6A85" w:rsidRPr="003F186B" w:rsidRDefault="00BA6A85" w:rsidP="00BA6A85">
            <w:pPr>
              <w:keepNext/>
              <w:spacing w:line="240" w:lineRule="auto"/>
              <w:ind w:right="227"/>
              <w:jc w:val="right"/>
              <w:rPr>
                <w:rFonts w:eastAsia="Times New Roman" w:cs="Calibri"/>
                <w:color w:val="000000"/>
                <w:sz w:val="20"/>
                <w:szCs w:val="20"/>
                <w:lang w:eastAsia="en-AU"/>
              </w:rPr>
            </w:pPr>
            <w:r w:rsidRPr="003F186B">
              <w:rPr>
                <w:rFonts w:eastAsia="Times New Roman" w:cs="Calibri"/>
                <w:color w:val="000000"/>
                <w:sz w:val="20"/>
                <w:szCs w:val="20"/>
                <w:lang w:eastAsia="en-AU"/>
              </w:rPr>
              <w:t>561.8</w:t>
            </w:r>
          </w:p>
        </w:tc>
        <w:tc>
          <w:tcPr>
            <w:tcW w:w="553" w:type="pct"/>
            <w:tcBorders>
              <w:top w:val="single" w:sz="4" w:space="0" w:color="auto"/>
              <w:left w:val="single" w:sz="4" w:space="0" w:color="auto"/>
              <w:bottom w:val="single" w:sz="4" w:space="0" w:color="auto"/>
              <w:right w:val="single" w:sz="4" w:space="0" w:color="auto"/>
            </w:tcBorders>
            <w:shd w:val="clear" w:color="000000" w:fill="auto"/>
            <w:noWrap/>
            <w:vAlign w:val="bottom"/>
            <w:hideMark/>
          </w:tcPr>
          <w:p w14:paraId="5698488D" w14:textId="77777777" w:rsidR="00BA6A85" w:rsidRPr="003F186B" w:rsidRDefault="00BA6A85" w:rsidP="00BA6A85">
            <w:pPr>
              <w:keepNext/>
              <w:spacing w:line="240" w:lineRule="auto"/>
              <w:ind w:right="227"/>
              <w:jc w:val="right"/>
              <w:rPr>
                <w:rFonts w:eastAsia="Times New Roman" w:cs="Calibri"/>
                <w:color w:val="000000"/>
                <w:sz w:val="20"/>
                <w:szCs w:val="20"/>
                <w:lang w:eastAsia="en-AU"/>
              </w:rPr>
            </w:pPr>
            <w:r w:rsidRPr="003F186B">
              <w:rPr>
                <w:rFonts w:eastAsia="Times New Roman" w:cs="Calibri"/>
                <w:color w:val="000000"/>
                <w:sz w:val="20"/>
                <w:szCs w:val="20"/>
                <w:lang w:eastAsia="en-AU"/>
              </w:rPr>
              <w:t>643.7</w:t>
            </w:r>
          </w:p>
        </w:tc>
        <w:tc>
          <w:tcPr>
            <w:tcW w:w="552" w:type="pct"/>
            <w:tcBorders>
              <w:top w:val="single" w:sz="4" w:space="0" w:color="auto"/>
              <w:left w:val="single" w:sz="4" w:space="0" w:color="auto"/>
              <w:bottom w:val="single" w:sz="4" w:space="0" w:color="auto"/>
              <w:right w:val="single" w:sz="4" w:space="0" w:color="auto"/>
            </w:tcBorders>
            <w:shd w:val="clear" w:color="000000" w:fill="auto"/>
          </w:tcPr>
          <w:p w14:paraId="2B241CC5" w14:textId="77777777" w:rsidR="00BA6A85" w:rsidRPr="003F186B" w:rsidRDefault="00BA6A85" w:rsidP="00BA6A85">
            <w:pPr>
              <w:keepNext/>
              <w:spacing w:line="240" w:lineRule="auto"/>
              <w:ind w:right="227"/>
              <w:jc w:val="right"/>
              <w:rPr>
                <w:rFonts w:eastAsia="Times New Roman" w:cs="Calibri"/>
                <w:color w:val="000000"/>
                <w:sz w:val="20"/>
                <w:szCs w:val="20"/>
                <w:lang w:eastAsia="en-AU"/>
              </w:rPr>
            </w:pPr>
            <w:r w:rsidRPr="003F186B">
              <w:rPr>
                <w:rFonts w:eastAsia="Times New Roman" w:cs="Calibri"/>
                <w:color w:val="000000"/>
                <w:sz w:val="20"/>
                <w:szCs w:val="20"/>
                <w:lang w:eastAsia="en-AU"/>
              </w:rPr>
              <w:t>741.6</w:t>
            </w:r>
          </w:p>
        </w:tc>
        <w:tc>
          <w:tcPr>
            <w:tcW w:w="552" w:type="pct"/>
            <w:tcBorders>
              <w:top w:val="single" w:sz="4" w:space="0" w:color="auto"/>
              <w:left w:val="single" w:sz="4" w:space="0" w:color="auto"/>
              <w:bottom w:val="single" w:sz="4" w:space="0" w:color="auto"/>
              <w:right w:val="single" w:sz="4" w:space="0" w:color="auto"/>
            </w:tcBorders>
            <w:shd w:val="clear" w:color="auto" w:fill="auto"/>
          </w:tcPr>
          <w:p w14:paraId="2370795A" w14:textId="77777777" w:rsidR="00BA6A85" w:rsidRPr="003F186B" w:rsidRDefault="00BA6A85" w:rsidP="00BA6A85">
            <w:pPr>
              <w:keepNext/>
              <w:spacing w:line="240" w:lineRule="auto"/>
              <w:ind w:right="227"/>
              <w:jc w:val="right"/>
              <w:rPr>
                <w:rFonts w:eastAsia="Times New Roman" w:cs="Calibri"/>
                <w:color w:val="000000"/>
                <w:sz w:val="20"/>
                <w:szCs w:val="20"/>
                <w:lang w:eastAsia="en-AU"/>
              </w:rPr>
            </w:pPr>
            <w:r w:rsidRPr="003F186B">
              <w:rPr>
                <w:rFonts w:eastAsia="Times New Roman" w:cs="Calibri"/>
                <w:color w:val="000000"/>
                <w:sz w:val="20"/>
                <w:szCs w:val="20"/>
                <w:lang w:eastAsia="en-AU"/>
              </w:rPr>
              <w:t>749.3</w:t>
            </w:r>
          </w:p>
        </w:tc>
      </w:tr>
      <w:tr w:rsidR="00BA6A85" w:rsidRPr="003F186B" w14:paraId="08CAEACB" w14:textId="77777777" w:rsidTr="0033629A">
        <w:trPr>
          <w:trHeight w:val="269"/>
        </w:trPr>
        <w:tc>
          <w:tcPr>
            <w:tcW w:w="1026" w:type="pct"/>
            <w:tcBorders>
              <w:top w:val="nil"/>
              <w:left w:val="single" w:sz="8" w:space="0" w:color="auto"/>
              <w:bottom w:val="nil"/>
              <w:right w:val="nil"/>
            </w:tcBorders>
            <w:shd w:val="clear" w:color="000000" w:fill="D9D9D9"/>
            <w:noWrap/>
            <w:vAlign w:val="bottom"/>
            <w:hideMark/>
          </w:tcPr>
          <w:p w14:paraId="7A6C19E1" w14:textId="77777777" w:rsidR="00BA6A85" w:rsidRPr="003F186B" w:rsidRDefault="00BA6A85" w:rsidP="00BA6A85">
            <w:pPr>
              <w:keepNext/>
              <w:spacing w:line="240" w:lineRule="auto"/>
              <w:rPr>
                <w:rFonts w:eastAsia="Times New Roman" w:cs="Calibri"/>
                <w:b/>
                <w:bCs/>
                <w:color w:val="000000"/>
                <w:sz w:val="20"/>
                <w:szCs w:val="20"/>
                <w:lang w:eastAsia="en-AU"/>
              </w:rPr>
            </w:pPr>
            <w:r w:rsidRPr="003F186B">
              <w:rPr>
                <w:rFonts w:eastAsia="Times New Roman" w:cs="Calibri"/>
                <w:b/>
                <w:bCs/>
                <w:color w:val="000000"/>
                <w:sz w:val="20"/>
                <w:szCs w:val="20"/>
                <w:lang w:eastAsia="en-AU"/>
              </w:rPr>
              <w:t>Non-Government</w:t>
            </w:r>
          </w:p>
        </w:tc>
        <w:tc>
          <w:tcPr>
            <w:tcW w:w="1061" w:type="pct"/>
            <w:tcBorders>
              <w:top w:val="nil"/>
              <w:left w:val="nil"/>
              <w:bottom w:val="nil"/>
              <w:right w:val="single" w:sz="4" w:space="0" w:color="auto"/>
            </w:tcBorders>
            <w:shd w:val="clear" w:color="000000" w:fill="D9D9D9"/>
            <w:noWrap/>
            <w:vAlign w:val="bottom"/>
            <w:hideMark/>
          </w:tcPr>
          <w:p w14:paraId="2029B3C4" w14:textId="77777777" w:rsidR="00BA6A85" w:rsidRPr="003F186B" w:rsidRDefault="00BA6A85" w:rsidP="00BA6A85">
            <w:pPr>
              <w:keepNext/>
              <w:spacing w:line="240" w:lineRule="auto"/>
              <w:rPr>
                <w:rFonts w:eastAsia="Times New Roman" w:cs="Calibri"/>
                <w:b/>
                <w:bCs/>
                <w:color w:val="000000"/>
                <w:sz w:val="20"/>
                <w:szCs w:val="20"/>
                <w:lang w:eastAsia="en-AU"/>
              </w:rPr>
            </w:pPr>
            <w:r w:rsidRPr="003F186B">
              <w:rPr>
                <w:rFonts w:eastAsia="Times New Roman" w:cs="Calibri"/>
                <w:b/>
                <w:bCs/>
                <w:color w:val="000000"/>
                <w:sz w:val="20"/>
                <w:szCs w:val="20"/>
                <w:lang w:eastAsia="en-AU"/>
              </w:rPr>
              <w:t>Year 11</w:t>
            </w:r>
          </w:p>
        </w:tc>
        <w:tc>
          <w:tcPr>
            <w:tcW w:w="611" w:type="pct"/>
            <w:tcBorders>
              <w:top w:val="single" w:sz="4" w:space="0" w:color="auto"/>
              <w:left w:val="nil"/>
              <w:bottom w:val="single" w:sz="4" w:space="0" w:color="auto"/>
              <w:right w:val="single" w:sz="4" w:space="0" w:color="auto"/>
            </w:tcBorders>
            <w:shd w:val="clear" w:color="000000" w:fill="auto"/>
            <w:noWrap/>
            <w:vAlign w:val="bottom"/>
            <w:hideMark/>
          </w:tcPr>
          <w:p w14:paraId="7AE236BF" w14:textId="77777777" w:rsidR="00BA6A85" w:rsidRPr="003F186B" w:rsidRDefault="00BA6A85" w:rsidP="00BA6A85">
            <w:pPr>
              <w:keepNext/>
              <w:spacing w:line="240" w:lineRule="auto"/>
              <w:ind w:right="227"/>
              <w:jc w:val="right"/>
              <w:rPr>
                <w:rFonts w:eastAsia="Times New Roman" w:cs="Calibri"/>
                <w:color w:val="000000"/>
                <w:sz w:val="20"/>
                <w:szCs w:val="20"/>
                <w:lang w:eastAsia="en-AU"/>
              </w:rPr>
            </w:pPr>
            <w:r w:rsidRPr="003F186B">
              <w:rPr>
                <w:rFonts w:eastAsia="Times New Roman" w:cs="Calibri"/>
                <w:color w:val="000000"/>
                <w:sz w:val="20"/>
                <w:szCs w:val="20"/>
                <w:lang w:eastAsia="en-AU"/>
              </w:rPr>
              <w:t>56.0</w:t>
            </w:r>
          </w:p>
        </w:tc>
        <w:tc>
          <w:tcPr>
            <w:tcW w:w="645" w:type="pct"/>
            <w:tcBorders>
              <w:top w:val="single" w:sz="4" w:space="0" w:color="auto"/>
              <w:left w:val="single" w:sz="4" w:space="0" w:color="auto"/>
              <w:bottom w:val="single" w:sz="4" w:space="0" w:color="auto"/>
              <w:right w:val="single" w:sz="4" w:space="0" w:color="auto"/>
            </w:tcBorders>
            <w:shd w:val="clear" w:color="000000" w:fill="auto"/>
            <w:noWrap/>
            <w:vAlign w:val="bottom"/>
            <w:hideMark/>
          </w:tcPr>
          <w:p w14:paraId="535B47B4" w14:textId="77777777" w:rsidR="00BA6A85" w:rsidRPr="003F186B" w:rsidRDefault="00BA6A85" w:rsidP="00BA6A85">
            <w:pPr>
              <w:keepNext/>
              <w:spacing w:line="240" w:lineRule="auto"/>
              <w:ind w:right="227"/>
              <w:jc w:val="right"/>
              <w:rPr>
                <w:rFonts w:eastAsia="Times New Roman" w:cs="Calibri"/>
                <w:color w:val="000000"/>
                <w:sz w:val="20"/>
                <w:szCs w:val="20"/>
                <w:lang w:eastAsia="en-AU"/>
              </w:rPr>
            </w:pPr>
            <w:r w:rsidRPr="003F186B">
              <w:rPr>
                <w:rFonts w:eastAsia="Times New Roman" w:cs="Calibri"/>
                <w:color w:val="000000"/>
                <w:sz w:val="20"/>
                <w:szCs w:val="20"/>
                <w:lang w:eastAsia="en-AU"/>
              </w:rPr>
              <w:t>83.0</w:t>
            </w:r>
          </w:p>
        </w:tc>
        <w:tc>
          <w:tcPr>
            <w:tcW w:w="553" w:type="pct"/>
            <w:tcBorders>
              <w:top w:val="single" w:sz="4" w:space="0" w:color="auto"/>
              <w:left w:val="single" w:sz="4" w:space="0" w:color="auto"/>
              <w:bottom w:val="single" w:sz="4" w:space="0" w:color="auto"/>
              <w:right w:val="single" w:sz="4" w:space="0" w:color="auto"/>
            </w:tcBorders>
            <w:shd w:val="clear" w:color="000000" w:fill="auto"/>
            <w:noWrap/>
            <w:vAlign w:val="bottom"/>
            <w:hideMark/>
          </w:tcPr>
          <w:p w14:paraId="6FDAAA11" w14:textId="77777777" w:rsidR="00BA6A85" w:rsidRPr="003F186B" w:rsidRDefault="00BA6A85" w:rsidP="00BA6A85">
            <w:pPr>
              <w:keepNext/>
              <w:spacing w:line="240" w:lineRule="auto"/>
              <w:ind w:right="227"/>
              <w:jc w:val="right"/>
              <w:rPr>
                <w:rFonts w:eastAsia="Times New Roman" w:cs="Calibri"/>
                <w:color w:val="000000"/>
                <w:sz w:val="20"/>
                <w:szCs w:val="20"/>
                <w:lang w:eastAsia="en-AU"/>
              </w:rPr>
            </w:pPr>
            <w:r w:rsidRPr="003F186B">
              <w:rPr>
                <w:rFonts w:eastAsia="Times New Roman" w:cs="Calibri"/>
                <w:color w:val="000000"/>
                <w:sz w:val="20"/>
                <w:szCs w:val="20"/>
                <w:lang w:eastAsia="en-AU"/>
              </w:rPr>
              <w:t>78.6</w:t>
            </w:r>
          </w:p>
        </w:tc>
        <w:tc>
          <w:tcPr>
            <w:tcW w:w="552" w:type="pct"/>
            <w:tcBorders>
              <w:top w:val="single" w:sz="4" w:space="0" w:color="auto"/>
              <w:left w:val="single" w:sz="4" w:space="0" w:color="auto"/>
              <w:bottom w:val="single" w:sz="4" w:space="0" w:color="auto"/>
              <w:right w:val="single" w:sz="4" w:space="0" w:color="auto"/>
            </w:tcBorders>
            <w:shd w:val="clear" w:color="000000" w:fill="auto"/>
          </w:tcPr>
          <w:p w14:paraId="32BB3AAC" w14:textId="77777777" w:rsidR="00BA6A85" w:rsidRPr="003F186B" w:rsidRDefault="00BA6A85" w:rsidP="00BA6A85">
            <w:pPr>
              <w:keepNext/>
              <w:spacing w:line="240" w:lineRule="auto"/>
              <w:ind w:right="227"/>
              <w:jc w:val="right"/>
              <w:rPr>
                <w:rFonts w:eastAsia="Times New Roman" w:cs="Calibri"/>
                <w:color w:val="000000"/>
                <w:sz w:val="20"/>
                <w:szCs w:val="20"/>
                <w:lang w:eastAsia="en-AU"/>
              </w:rPr>
            </w:pPr>
            <w:r w:rsidRPr="003F186B">
              <w:rPr>
                <w:rFonts w:eastAsia="Times New Roman" w:cs="Calibri"/>
                <w:color w:val="000000"/>
                <w:sz w:val="20"/>
                <w:szCs w:val="20"/>
                <w:lang w:eastAsia="en-AU"/>
              </w:rPr>
              <w:t>95.0</w:t>
            </w:r>
          </w:p>
        </w:tc>
        <w:tc>
          <w:tcPr>
            <w:tcW w:w="552" w:type="pct"/>
            <w:tcBorders>
              <w:top w:val="single" w:sz="4" w:space="0" w:color="auto"/>
              <w:left w:val="single" w:sz="4" w:space="0" w:color="auto"/>
              <w:bottom w:val="single" w:sz="4" w:space="0" w:color="auto"/>
              <w:right w:val="single" w:sz="4" w:space="0" w:color="auto"/>
            </w:tcBorders>
            <w:shd w:val="clear" w:color="auto" w:fill="auto"/>
          </w:tcPr>
          <w:p w14:paraId="53C6B2EC" w14:textId="77777777" w:rsidR="00BA6A85" w:rsidRPr="003F186B" w:rsidRDefault="00BA6A85" w:rsidP="00BA6A85">
            <w:pPr>
              <w:keepNext/>
              <w:spacing w:line="240" w:lineRule="auto"/>
              <w:ind w:right="227"/>
              <w:jc w:val="right"/>
              <w:rPr>
                <w:rFonts w:eastAsia="Times New Roman" w:cs="Calibri"/>
                <w:color w:val="000000"/>
                <w:sz w:val="20"/>
                <w:szCs w:val="20"/>
                <w:lang w:eastAsia="en-AU"/>
              </w:rPr>
            </w:pPr>
            <w:r w:rsidRPr="003F186B">
              <w:rPr>
                <w:rFonts w:eastAsia="Times New Roman" w:cs="Calibri"/>
                <w:color w:val="000000"/>
                <w:sz w:val="20"/>
                <w:szCs w:val="20"/>
                <w:lang w:eastAsia="en-AU"/>
              </w:rPr>
              <w:t>110.0</w:t>
            </w:r>
          </w:p>
        </w:tc>
      </w:tr>
      <w:tr w:rsidR="00BA6A85" w:rsidRPr="003F186B" w14:paraId="11B41302" w14:textId="77777777" w:rsidTr="0033629A">
        <w:trPr>
          <w:trHeight w:val="269"/>
        </w:trPr>
        <w:tc>
          <w:tcPr>
            <w:tcW w:w="1026" w:type="pct"/>
            <w:tcBorders>
              <w:top w:val="nil"/>
              <w:left w:val="single" w:sz="8" w:space="0" w:color="auto"/>
              <w:bottom w:val="nil"/>
              <w:right w:val="nil"/>
            </w:tcBorders>
            <w:shd w:val="clear" w:color="000000" w:fill="D9D9D9"/>
            <w:noWrap/>
            <w:vAlign w:val="bottom"/>
            <w:hideMark/>
          </w:tcPr>
          <w:p w14:paraId="6B9E262A" w14:textId="77777777" w:rsidR="00BA6A85" w:rsidRPr="003F186B" w:rsidRDefault="00BA6A85" w:rsidP="00BA6A85">
            <w:pPr>
              <w:spacing w:line="240" w:lineRule="auto"/>
              <w:rPr>
                <w:rFonts w:eastAsia="Times New Roman" w:cs="Calibri"/>
                <w:b/>
                <w:bCs/>
                <w:color w:val="000000"/>
                <w:sz w:val="20"/>
                <w:szCs w:val="20"/>
                <w:lang w:eastAsia="en-AU"/>
              </w:rPr>
            </w:pPr>
            <w:r w:rsidRPr="003F186B">
              <w:rPr>
                <w:rFonts w:eastAsia="Times New Roman" w:cs="Calibri"/>
                <w:b/>
                <w:bCs/>
                <w:color w:val="000000"/>
                <w:sz w:val="20"/>
                <w:szCs w:val="20"/>
                <w:lang w:eastAsia="en-AU"/>
              </w:rPr>
              <w:t> </w:t>
            </w:r>
          </w:p>
        </w:tc>
        <w:tc>
          <w:tcPr>
            <w:tcW w:w="1061" w:type="pct"/>
            <w:tcBorders>
              <w:top w:val="nil"/>
              <w:left w:val="nil"/>
              <w:bottom w:val="single" w:sz="4" w:space="0" w:color="auto"/>
              <w:right w:val="single" w:sz="4" w:space="0" w:color="auto"/>
            </w:tcBorders>
            <w:shd w:val="clear" w:color="000000" w:fill="D9D9D9"/>
            <w:noWrap/>
            <w:vAlign w:val="bottom"/>
            <w:hideMark/>
          </w:tcPr>
          <w:p w14:paraId="2D2B10D8" w14:textId="77777777" w:rsidR="00BA6A85" w:rsidRPr="003F186B" w:rsidRDefault="00BA6A85" w:rsidP="00BA6A85">
            <w:pPr>
              <w:spacing w:line="240" w:lineRule="auto"/>
              <w:rPr>
                <w:rFonts w:eastAsia="Times New Roman" w:cs="Calibri"/>
                <w:b/>
                <w:bCs/>
                <w:color w:val="000000"/>
                <w:sz w:val="20"/>
                <w:szCs w:val="20"/>
                <w:lang w:eastAsia="en-AU"/>
              </w:rPr>
            </w:pPr>
            <w:r w:rsidRPr="003F186B">
              <w:rPr>
                <w:rFonts w:eastAsia="Times New Roman" w:cs="Calibri"/>
                <w:b/>
                <w:bCs/>
                <w:color w:val="000000"/>
                <w:sz w:val="20"/>
                <w:szCs w:val="20"/>
                <w:lang w:eastAsia="en-AU"/>
              </w:rPr>
              <w:t>Year 12</w:t>
            </w:r>
          </w:p>
        </w:tc>
        <w:tc>
          <w:tcPr>
            <w:tcW w:w="611" w:type="pct"/>
            <w:tcBorders>
              <w:top w:val="single" w:sz="4" w:space="0" w:color="auto"/>
              <w:left w:val="nil"/>
              <w:bottom w:val="single" w:sz="4" w:space="0" w:color="auto"/>
              <w:right w:val="single" w:sz="4" w:space="0" w:color="auto"/>
            </w:tcBorders>
            <w:shd w:val="clear" w:color="000000" w:fill="auto"/>
            <w:noWrap/>
            <w:vAlign w:val="bottom"/>
            <w:hideMark/>
          </w:tcPr>
          <w:p w14:paraId="68320469" w14:textId="77777777" w:rsidR="00BA6A85" w:rsidRPr="003F186B" w:rsidRDefault="00BA6A85" w:rsidP="00BA6A85">
            <w:pPr>
              <w:spacing w:line="240" w:lineRule="auto"/>
              <w:ind w:right="227"/>
              <w:jc w:val="right"/>
              <w:rPr>
                <w:rFonts w:eastAsia="Times New Roman" w:cs="Calibri"/>
                <w:color w:val="000000"/>
                <w:sz w:val="20"/>
                <w:szCs w:val="20"/>
                <w:lang w:eastAsia="en-AU"/>
              </w:rPr>
            </w:pPr>
            <w:r w:rsidRPr="003F186B">
              <w:rPr>
                <w:rFonts w:eastAsia="Times New Roman" w:cs="Calibri"/>
                <w:color w:val="000000"/>
                <w:sz w:val="20"/>
                <w:szCs w:val="20"/>
                <w:lang w:eastAsia="en-AU"/>
              </w:rPr>
              <w:t>51.0</w:t>
            </w:r>
          </w:p>
        </w:tc>
        <w:tc>
          <w:tcPr>
            <w:tcW w:w="645" w:type="pct"/>
            <w:tcBorders>
              <w:top w:val="single" w:sz="4" w:space="0" w:color="auto"/>
              <w:left w:val="single" w:sz="4" w:space="0" w:color="auto"/>
              <w:bottom w:val="single" w:sz="4" w:space="0" w:color="auto"/>
              <w:right w:val="single" w:sz="4" w:space="0" w:color="auto"/>
            </w:tcBorders>
            <w:shd w:val="clear" w:color="000000" w:fill="auto"/>
            <w:noWrap/>
            <w:vAlign w:val="bottom"/>
            <w:hideMark/>
          </w:tcPr>
          <w:p w14:paraId="61E01718" w14:textId="77777777" w:rsidR="00BA6A85" w:rsidRPr="003F186B" w:rsidRDefault="00BA6A85" w:rsidP="00BA6A85">
            <w:pPr>
              <w:spacing w:line="240" w:lineRule="auto"/>
              <w:ind w:right="227"/>
              <w:jc w:val="right"/>
              <w:rPr>
                <w:rFonts w:eastAsia="Times New Roman" w:cs="Calibri"/>
                <w:color w:val="000000"/>
                <w:sz w:val="20"/>
                <w:szCs w:val="20"/>
                <w:lang w:eastAsia="en-AU"/>
              </w:rPr>
            </w:pPr>
            <w:r w:rsidRPr="003F186B">
              <w:rPr>
                <w:rFonts w:eastAsia="Times New Roman" w:cs="Calibri"/>
                <w:color w:val="000000"/>
                <w:sz w:val="20"/>
                <w:szCs w:val="20"/>
                <w:lang w:eastAsia="en-AU"/>
              </w:rPr>
              <w:t>47.0</w:t>
            </w:r>
          </w:p>
        </w:tc>
        <w:tc>
          <w:tcPr>
            <w:tcW w:w="553" w:type="pct"/>
            <w:tcBorders>
              <w:top w:val="single" w:sz="4" w:space="0" w:color="auto"/>
              <w:left w:val="single" w:sz="4" w:space="0" w:color="auto"/>
              <w:bottom w:val="single" w:sz="4" w:space="0" w:color="auto"/>
              <w:right w:val="single" w:sz="4" w:space="0" w:color="auto"/>
            </w:tcBorders>
            <w:shd w:val="clear" w:color="000000" w:fill="auto"/>
            <w:noWrap/>
            <w:vAlign w:val="bottom"/>
            <w:hideMark/>
          </w:tcPr>
          <w:p w14:paraId="6CE2E396" w14:textId="77777777" w:rsidR="00BA6A85" w:rsidRPr="003F186B" w:rsidRDefault="00BA6A85" w:rsidP="00BA6A85">
            <w:pPr>
              <w:spacing w:line="240" w:lineRule="auto"/>
              <w:ind w:right="227"/>
              <w:jc w:val="right"/>
              <w:rPr>
                <w:rFonts w:eastAsia="Times New Roman" w:cs="Calibri"/>
                <w:color w:val="000000"/>
                <w:sz w:val="20"/>
                <w:szCs w:val="20"/>
                <w:lang w:eastAsia="en-AU"/>
              </w:rPr>
            </w:pPr>
            <w:r w:rsidRPr="003F186B">
              <w:rPr>
                <w:rFonts w:eastAsia="Times New Roman" w:cs="Calibri"/>
                <w:color w:val="000000"/>
                <w:sz w:val="20"/>
                <w:szCs w:val="20"/>
                <w:lang w:eastAsia="en-AU"/>
              </w:rPr>
              <w:t>51.0</w:t>
            </w:r>
          </w:p>
        </w:tc>
        <w:tc>
          <w:tcPr>
            <w:tcW w:w="552" w:type="pct"/>
            <w:tcBorders>
              <w:top w:val="single" w:sz="4" w:space="0" w:color="auto"/>
              <w:left w:val="single" w:sz="4" w:space="0" w:color="auto"/>
              <w:bottom w:val="single" w:sz="4" w:space="0" w:color="auto"/>
              <w:right w:val="single" w:sz="4" w:space="0" w:color="auto"/>
            </w:tcBorders>
            <w:shd w:val="clear" w:color="000000" w:fill="auto"/>
          </w:tcPr>
          <w:p w14:paraId="5741D299" w14:textId="77777777" w:rsidR="00BA6A85" w:rsidRPr="003F186B" w:rsidRDefault="00BA6A85" w:rsidP="00BA6A85">
            <w:pPr>
              <w:spacing w:line="240" w:lineRule="auto"/>
              <w:ind w:right="227"/>
              <w:jc w:val="right"/>
              <w:rPr>
                <w:rFonts w:eastAsia="Times New Roman" w:cs="Calibri"/>
                <w:color w:val="000000"/>
                <w:sz w:val="20"/>
                <w:szCs w:val="20"/>
                <w:lang w:eastAsia="en-AU"/>
              </w:rPr>
            </w:pPr>
            <w:r w:rsidRPr="003F186B">
              <w:rPr>
                <w:rFonts w:eastAsia="Times New Roman" w:cs="Calibri"/>
                <w:color w:val="000000"/>
                <w:sz w:val="20"/>
                <w:szCs w:val="20"/>
                <w:lang w:eastAsia="en-AU"/>
              </w:rPr>
              <w:t>67.0</w:t>
            </w:r>
          </w:p>
        </w:tc>
        <w:tc>
          <w:tcPr>
            <w:tcW w:w="552" w:type="pct"/>
            <w:tcBorders>
              <w:top w:val="single" w:sz="4" w:space="0" w:color="auto"/>
              <w:left w:val="single" w:sz="4" w:space="0" w:color="auto"/>
              <w:bottom w:val="single" w:sz="4" w:space="0" w:color="auto"/>
              <w:right w:val="single" w:sz="4" w:space="0" w:color="auto"/>
            </w:tcBorders>
            <w:shd w:val="clear" w:color="auto" w:fill="auto"/>
          </w:tcPr>
          <w:p w14:paraId="13392102" w14:textId="77777777" w:rsidR="00BA6A85" w:rsidRPr="003F186B" w:rsidRDefault="00BA6A85" w:rsidP="00BA6A85">
            <w:pPr>
              <w:spacing w:line="240" w:lineRule="auto"/>
              <w:ind w:right="227"/>
              <w:jc w:val="right"/>
              <w:rPr>
                <w:rFonts w:eastAsia="Times New Roman" w:cs="Calibri"/>
                <w:color w:val="000000"/>
                <w:sz w:val="20"/>
                <w:szCs w:val="20"/>
                <w:lang w:eastAsia="en-AU"/>
              </w:rPr>
            </w:pPr>
            <w:r w:rsidRPr="003F186B">
              <w:rPr>
                <w:rFonts w:eastAsia="Times New Roman" w:cs="Calibri"/>
                <w:color w:val="000000"/>
                <w:sz w:val="20"/>
                <w:szCs w:val="20"/>
                <w:lang w:eastAsia="en-AU"/>
              </w:rPr>
              <w:t>82.7</w:t>
            </w:r>
          </w:p>
        </w:tc>
      </w:tr>
      <w:tr w:rsidR="00BA6A85" w:rsidRPr="003F186B" w14:paraId="728E194B" w14:textId="77777777" w:rsidTr="0033629A">
        <w:trPr>
          <w:trHeight w:val="269"/>
        </w:trPr>
        <w:tc>
          <w:tcPr>
            <w:tcW w:w="1026" w:type="pct"/>
            <w:tcBorders>
              <w:top w:val="nil"/>
              <w:left w:val="single" w:sz="8" w:space="0" w:color="auto"/>
              <w:bottom w:val="single" w:sz="4" w:space="0" w:color="auto"/>
              <w:right w:val="nil"/>
            </w:tcBorders>
            <w:shd w:val="clear" w:color="000000" w:fill="D9D9D9"/>
            <w:noWrap/>
            <w:vAlign w:val="bottom"/>
            <w:hideMark/>
          </w:tcPr>
          <w:p w14:paraId="4449FFEE" w14:textId="77777777" w:rsidR="00BA6A85" w:rsidRPr="003F186B" w:rsidRDefault="00BA6A85" w:rsidP="00BA6A85">
            <w:pPr>
              <w:spacing w:line="240" w:lineRule="auto"/>
              <w:rPr>
                <w:rFonts w:eastAsia="Times New Roman" w:cs="Calibri"/>
                <w:b/>
                <w:bCs/>
                <w:color w:val="000000"/>
                <w:sz w:val="20"/>
                <w:szCs w:val="20"/>
                <w:lang w:eastAsia="en-AU"/>
              </w:rPr>
            </w:pPr>
            <w:r w:rsidRPr="003F186B">
              <w:rPr>
                <w:rFonts w:eastAsia="Times New Roman" w:cs="Calibri"/>
                <w:b/>
                <w:bCs/>
                <w:color w:val="000000"/>
                <w:sz w:val="20"/>
                <w:szCs w:val="20"/>
                <w:lang w:eastAsia="en-AU"/>
              </w:rPr>
              <w:t> </w:t>
            </w:r>
          </w:p>
        </w:tc>
        <w:tc>
          <w:tcPr>
            <w:tcW w:w="1061" w:type="pct"/>
            <w:tcBorders>
              <w:top w:val="nil"/>
              <w:left w:val="nil"/>
              <w:bottom w:val="single" w:sz="4" w:space="0" w:color="auto"/>
              <w:right w:val="single" w:sz="4" w:space="0" w:color="auto"/>
            </w:tcBorders>
            <w:shd w:val="clear" w:color="000000" w:fill="D9D9D9"/>
            <w:noWrap/>
            <w:vAlign w:val="bottom"/>
            <w:hideMark/>
          </w:tcPr>
          <w:p w14:paraId="65EC1CE2" w14:textId="77777777" w:rsidR="00BA6A85" w:rsidRPr="003F186B" w:rsidRDefault="00BA6A85" w:rsidP="00BA6A85">
            <w:pPr>
              <w:spacing w:line="240" w:lineRule="auto"/>
              <w:rPr>
                <w:rFonts w:eastAsia="Times New Roman" w:cs="Calibri"/>
                <w:b/>
                <w:bCs/>
                <w:color w:val="000000"/>
                <w:sz w:val="20"/>
                <w:szCs w:val="20"/>
                <w:lang w:eastAsia="en-AU"/>
              </w:rPr>
            </w:pPr>
            <w:r w:rsidRPr="003F186B">
              <w:rPr>
                <w:rFonts w:eastAsia="Times New Roman" w:cs="Calibri"/>
                <w:b/>
                <w:bCs/>
                <w:color w:val="000000"/>
                <w:sz w:val="20"/>
                <w:szCs w:val="20"/>
                <w:lang w:eastAsia="en-AU"/>
              </w:rPr>
              <w:t>Total</w:t>
            </w:r>
          </w:p>
        </w:tc>
        <w:tc>
          <w:tcPr>
            <w:tcW w:w="611" w:type="pct"/>
            <w:tcBorders>
              <w:top w:val="single" w:sz="4" w:space="0" w:color="auto"/>
              <w:left w:val="nil"/>
              <w:bottom w:val="single" w:sz="4" w:space="0" w:color="auto"/>
              <w:right w:val="single" w:sz="4" w:space="0" w:color="auto"/>
            </w:tcBorders>
            <w:shd w:val="clear" w:color="000000" w:fill="auto"/>
            <w:noWrap/>
            <w:vAlign w:val="bottom"/>
            <w:hideMark/>
          </w:tcPr>
          <w:p w14:paraId="2E1CF89F" w14:textId="77777777" w:rsidR="00BA6A85" w:rsidRPr="003F186B" w:rsidRDefault="00BA6A85" w:rsidP="00BA6A85">
            <w:pPr>
              <w:spacing w:line="240" w:lineRule="auto"/>
              <w:ind w:right="227"/>
              <w:jc w:val="right"/>
              <w:rPr>
                <w:rFonts w:eastAsia="Times New Roman" w:cs="Calibri"/>
                <w:color w:val="000000"/>
                <w:sz w:val="20"/>
                <w:szCs w:val="20"/>
                <w:lang w:eastAsia="en-AU"/>
              </w:rPr>
            </w:pPr>
            <w:r w:rsidRPr="003F186B">
              <w:rPr>
                <w:rFonts w:eastAsia="Times New Roman" w:cs="Calibri"/>
                <w:color w:val="000000"/>
                <w:sz w:val="20"/>
                <w:szCs w:val="20"/>
                <w:lang w:eastAsia="en-AU"/>
              </w:rPr>
              <w:t>107.0</w:t>
            </w:r>
          </w:p>
        </w:tc>
        <w:tc>
          <w:tcPr>
            <w:tcW w:w="645" w:type="pct"/>
            <w:tcBorders>
              <w:top w:val="single" w:sz="4" w:space="0" w:color="auto"/>
              <w:left w:val="single" w:sz="4" w:space="0" w:color="auto"/>
              <w:bottom w:val="single" w:sz="4" w:space="0" w:color="auto"/>
              <w:right w:val="single" w:sz="4" w:space="0" w:color="auto"/>
            </w:tcBorders>
            <w:shd w:val="clear" w:color="000000" w:fill="auto"/>
            <w:noWrap/>
            <w:vAlign w:val="bottom"/>
            <w:hideMark/>
          </w:tcPr>
          <w:p w14:paraId="287AC288" w14:textId="77777777" w:rsidR="00BA6A85" w:rsidRPr="003F186B" w:rsidRDefault="00BA6A85" w:rsidP="00BA6A85">
            <w:pPr>
              <w:spacing w:line="240" w:lineRule="auto"/>
              <w:ind w:right="227"/>
              <w:jc w:val="right"/>
              <w:rPr>
                <w:rFonts w:eastAsia="Times New Roman" w:cs="Calibri"/>
                <w:color w:val="000000"/>
                <w:sz w:val="20"/>
                <w:szCs w:val="20"/>
                <w:lang w:eastAsia="en-AU"/>
              </w:rPr>
            </w:pPr>
            <w:r w:rsidRPr="003F186B">
              <w:rPr>
                <w:rFonts w:eastAsia="Times New Roman" w:cs="Calibri"/>
                <w:color w:val="000000"/>
                <w:sz w:val="20"/>
                <w:szCs w:val="20"/>
                <w:lang w:eastAsia="en-AU"/>
              </w:rPr>
              <w:t>130.0</w:t>
            </w:r>
          </w:p>
        </w:tc>
        <w:tc>
          <w:tcPr>
            <w:tcW w:w="553" w:type="pct"/>
            <w:tcBorders>
              <w:top w:val="single" w:sz="4" w:space="0" w:color="auto"/>
              <w:left w:val="single" w:sz="4" w:space="0" w:color="auto"/>
              <w:bottom w:val="single" w:sz="4" w:space="0" w:color="auto"/>
              <w:right w:val="single" w:sz="4" w:space="0" w:color="auto"/>
            </w:tcBorders>
            <w:shd w:val="clear" w:color="000000" w:fill="auto"/>
            <w:noWrap/>
            <w:vAlign w:val="bottom"/>
            <w:hideMark/>
          </w:tcPr>
          <w:p w14:paraId="08859BEC" w14:textId="77777777" w:rsidR="00BA6A85" w:rsidRPr="003F186B" w:rsidRDefault="00BA6A85" w:rsidP="00BA6A85">
            <w:pPr>
              <w:spacing w:line="240" w:lineRule="auto"/>
              <w:ind w:right="227"/>
              <w:jc w:val="right"/>
              <w:rPr>
                <w:rFonts w:eastAsia="Times New Roman" w:cs="Calibri"/>
                <w:color w:val="000000"/>
                <w:sz w:val="20"/>
                <w:szCs w:val="20"/>
                <w:lang w:eastAsia="en-AU"/>
              </w:rPr>
            </w:pPr>
            <w:r w:rsidRPr="003F186B">
              <w:rPr>
                <w:rFonts w:eastAsia="Times New Roman" w:cs="Calibri"/>
                <w:color w:val="000000"/>
                <w:sz w:val="20"/>
                <w:szCs w:val="20"/>
                <w:lang w:eastAsia="en-AU"/>
              </w:rPr>
              <w:t>129.6</w:t>
            </w:r>
          </w:p>
        </w:tc>
        <w:tc>
          <w:tcPr>
            <w:tcW w:w="552" w:type="pct"/>
            <w:tcBorders>
              <w:top w:val="single" w:sz="4" w:space="0" w:color="auto"/>
              <w:left w:val="single" w:sz="4" w:space="0" w:color="auto"/>
              <w:bottom w:val="single" w:sz="4" w:space="0" w:color="auto"/>
              <w:right w:val="single" w:sz="4" w:space="0" w:color="auto"/>
            </w:tcBorders>
            <w:shd w:val="clear" w:color="000000" w:fill="auto"/>
          </w:tcPr>
          <w:p w14:paraId="08BB6F46" w14:textId="77777777" w:rsidR="00BA6A85" w:rsidRPr="003F186B" w:rsidRDefault="00BA6A85" w:rsidP="00BA6A85">
            <w:pPr>
              <w:spacing w:line="240" w:lineRule="auto"/>
              <w:ind w:right="227"/>
              <w:jc w:val="right"/>
              <w:rPr>
                <w:rFonts w:eastAsia="Times New Roman" w:cs="Calibri"/>
                <w:color w:val="000000"/>
                <w:sz w:val="20"/>
                <w:szCs w:val="20"/>
                <w:lang w:eastAsia="en-AU"/>
              </w:rPr>
            </w:pPr>
            <w:r w:rsidRPr="003F186B">
              <w:rPr>
                <w:rFonts w:eastAsia="Times New Roman" w:cs="Calibri"/>
                <w:color w:val="000000"/>
                <w:sz w:val="20"/>
                <w:szCs w:val="20"/>
                <w:lang w:eastAsia="en-AU"/>
              </w:rPr>
              <w:t>162.0</w:t>
            </w:r>
          </w:p>
        </w:tc>
        <w:tc>
          <w:tcPr>
            <w:tcW w:w="552" w:type="pct"/>
            <w:tcBorders>
              <w:top w:val="single" w:sz="4" w:space="0" w:color="auto"/>
              <w:left w:val="single" w:sz="4" w:space="0" w:color="auto"/>
              <w:bottom w:val="single" w:sz="4" w:space="0" w:color="auto"/>
              <w:right w:val="single" w:sz="4" w:space="0" w:color="auto"/>
            </w:tcBorders>
            <w:shd w:val="clear" w:color="auto" w:fill="auto"/>
          </w:tcPr>
          <w:p w14:paraId="19A88F4C" w14:textId="77777777" w:rsidR="00BA6A85" w:rsidRPr="003F186B" w:rsidRDefault="00BA6A85" w:rsidP="00BA6A85">
            <w:pPr>
              <w:spacing w:line="240" w:lineRule="auto"/>
              <w:ind w:right="227"/>
              <w:jc w:val="right"/>
              <w:rPr>
                <w:rFonts w:eastAsia="Times New Roman" w:cs="Calibri"/>
                <w:color w:val="000000"/>
                <w:sz w:val="20"/>
                <w:szCs w:val="20"/>
                <w:lang w:eastAsia="en-AU"/>
              </w:rPr>
            </w:pPr>
            <w:r w:rsidRPr="003F186B">
              <w:rPr>
                <w:rFonts w:eastAsia="Times New Roman" w:cs="Calibri"/>
                <w:color w:val="000000"/>
                <w:sz w:val="20"/>
                <w:szCs w:val="20"/>
                <w:lang w:eastAsia="en-AU"/>
              </w:rPr>
              <w:t>192.7</w:t>
            </w:r>
          </w:p>
        </w:tc>
      </w:tr>
      <w:tr w:rsidR="00BA6A85" w:rsidRPr="003F186B" w14:paraId="325BEEA6" w14:textId="77777777" w:rsidTr="0033629A">
        <w:trPr>
          <w:trHeight w:val="285"/>
        </w:trPr>
        <w:tc>
          <w:tcPr>
            <w:tcW w:w="1026" w:type="pct"/>
            <w:tcBorders>
              <w:top w:val="nil"/>
              <w:left w:val="single" w:sz="8" w:space="0" w:color="auto"/>
              <w:bottom w:val="single" w:sz="8" w:space="0" w:color="auto"/>
              <w:right w:val="nil"/>
            </w:tcBorders>
            <w:shd w:val="clear" w:color="000000" w:fill="D9D9D9"/>
            <w:noWrap/>
            <w:vAlign w:val="bottom"/>
            <w:hideMark/>
          </w:tcPr>
          <w:p w14:paraId="506D4569" w14:textId="77777777" w:rsidR="00BA6A85" w:rsidRPr="003F186B" w:rsidRDefault="00BA6A85" w:rsidP="00BA6A85">
            <w:pPr>
              <w:spacing w:line="240" w:lineRule="auto"/>
              <w:rPr>
                <w:rFonts w:eastAsia="Times New Roman" w:cs="Calibri"/>
                <w:b/>
                <w:bCs/>
                <w:color w:val="000000"/>
                <w:sz w:val="20"/>
                <w:szCs w:val="20"/>
                <w:lang w:eastAsia="en-AU"/>
              </w:rPr>
            </w:pPr>
            <w:r w:rsidRPr="003F186B">
              <w:rPr>
                <w:rFonts w:eastAsia="Times New Roman" w:cs="Calibri"/>
                <w:b/>
                <w:bCs/>
                <w:color w:val="000000"/>
                <w:sz w:val="20"/>
                <w:szCs w:val="20"/>
                <w:lang w:eastAsia="en-AU"/>
              </w:rPr>
              <w:t>TOTAL</w:t>
            </w:r>
          </w:p>
        </w:tc>
        <w:tc>
          <w:tcPr>
            <w:tcW w:w="1061" w:type="pct"/>
            <w:tcBorders>
              <w:top w:val="nil"/>
              <w:left w:val="nil"/>
              <w:bottom w:val="single" w:sz="8" w:space="0" w:color="auto"/>
              <w:right w:val="single" w:sz="4" w:space="0" w:color="auto"/>
            </w:tcBorders>
            <w:shd w:val="clear" w:color="000000" w:fill="D9D9D9"/>
            <w:noWrap/>
            <w:vAlign w:val="bottom"/>
            <w:hideMark/>
          </w:tcPr>
          <w:p w14:paraId="0B0CAE08" w14:textId="77777777" w:rsidR="00BA6A85" w:rsidRPr="003F186B" w:rsidRDefault="00BA6A85" w:rsidP="00BA6A85">
            <w:pPr>
              <w:spacing w:line="240" w:lineRule="auto"/>
              <w:rPr>
                <w:rFonts w:eastAsia="Times New Roman" w:cs="Calibri"/>
                <w:b/>
                <w:bCs/>
                <w:color w:val="000000"/>
                <w:sz w:val="20"/>
                <w:szCs w:val="20"/>
                <w:lang w:eastAsia="en-AU"/>
              </w:rPr>
            </w:pPr>
            <w:r w:rsidRPr="003F186B">
              <w:rPr>
                <w:rFonts w:eastAsia="Times New Roman" w:cs="Calibri"/>
                <w:b/>
                <w:bCs/>
                <w:color w:val="000000"/>
                <w:sz w:val="20"/>
                <w:szCs w:val="20"/>
                <w:lang w:eastAsia="en-AU"/>
              </w:rPr>
              <w:t> </w:t>
            </w:r>
          </w:p>
        </w:tc>
        <w:tc>
          <w:tcPr>
            <w:tcW w:w="611" w:type="pct"/>
            <w:tcBorders>
              <w:top w:val="single" w:sz="4" w:space="0" w:color="auto"/>
              <w:left w:val="nil"/>
              <w:bottom w:val="single" w:sz="4" w:space="0" w:color="auto"/>
              <w:right w:val="single" w:sz="4" w:space="0" w:color="auto"/>
            </w:tcBorders>
            <w:shd w:val="clear" w:color="000000" w:fill="auto"/>
            <w:noWrap/>
            <w:vAlign w:val="bottom"/>
            <w:hideMark/>
          </w:tcPr>
          <w:p w14:paraId="007D1711" w14:textId="77777777" w:rsidR="00BA6A85" w:rsidRPr="003F186B" w:rsidRDefault="00BA6A85" w:rsidP="00BA6A85">
            <w:pPr>
              <w:spacing w:line="240" w:lineRule="auto"/>
              <w:ind w:right="227"/>
              <w:jc w:val="right"/>
              <w:rPr>
                <w:rFonts w:eastAsia="Times New Roman" w:cs="Calibri"/>
                <w:color w:val="000000"/>
                <w:sz w:val="20"/>
                <w:szCs w:val="20"/>
                <w:lang w:eastAsia="en-AU"/>
              </w:rPr>
            </w:pPr>
            <w:r w:rsidRPr="003F186B">
              <w:rPr>
                <w:rFonts w:eastAsia="Times New Roman" w:cs="Calibri"/>
                <w:color w:val="000000"/>
                <w:sz w:val="20"/>
                <w:szCs w:val="20"/>
                <w:lang w:eastAsia="en-AU"/>
              </w:rPr>
              <w:t>643.5</w:t>
            </w:r>
          </w:p>
        </w:tc>
        <w:tc>
          <w:tcPr>
            <w:tcW w:w="645" w:type="pct"/>
            <w:tcBorders>
              <w:top w:val="single" w:sz="4" w:space="0" w:color="auto"/>
              <w:left w:val="single" w:sz="4" w:space="0" w:color="auto"/>
              <w:bottom w:val="single" w:sz="4" w:space="0" w:color="auto"/>
              <w:right w:val="single" w:sz="4" w:space="0" w:color="auto"/>
            </w:tcBorders>
            <w:shd w:val="clear" w:color="000000" w:fill="auto"/>
            <w:noWrap/>
            <w:vAlign w:val="bottom"/>
            <w:hideMark/>
          </w:tcPr>
          <w:p w14:paraId="59EA9674" w14:textId="77777777" w:rsidR="00BA6A85" w:rsidRPr="003F186B" w:rsidRDefault="00BA6A85" w:rsidP="00BA6A85">
            <w:pPr>
              <w:spacing w:line="240" w:lineRule="auto"/>
              <w:ind w:right="227"/>
              <w:jc w:val="right"/>
              <w:rPr>
                <w:rFonts w:eastAsia="Times New Roman" w:cs="Calibri"/>
                <w:color w:val="000000"/>
                <w:sz w:val="20"/>
                <w:szCs w:val="20"/>
                <w:lang w:eastAsia="en-AU"/>
              </w:rPr>
            </w:pPr>
            <w:r w:rsidRPr="003F186B">
              <w:rPr>
                <w:rFonts w:eastAsia="Times New Roman" w:cs="Calibri"/>
                <w:color w:val="000000"/>
                <w:sz w:val="20"/>
                <w:szCs w:val="20"/>
                <w:lang w:eastAsia="en-AU"/>
              </w:rPr>
              <w:t>691.8</w:t>
            </w:r>
          </w:p>
        </w:tc>
        <w:tc>
          <w:tcPr>
            <w:tcW w:w="553" w:type="pct"/>
            <w:tcBorders>
              <w:top w:val="single" w:sz="4" w:space="0" w:color="auto"/>
              <w:left w:val="single" w:sz="4" w:space="0" w:color="auto"/>
              <w:bottom w:val="single" w:sz="4" w:space="0" w:color="auto"/>
              <w:right w:val="single" w:sz="4" w:space="0" w:color="auto"/>
            </w:tcBorders>
            <w:shd w:val="clear" w:color="000000" w:fill="auto"/>
            <w:noWrap/>
            <w:vAlign w:val="bottom"/>
            <w:hideMark/>
          </w:tcPr>
          <w:p w14:paraId="179AD196" w14:textId="77777777" w:rsidR="00BA6A85" w:rsidRPr="003F186B" w:rsidRDefault="00BA6A85" w:rsidP="00BA6A85">
            <w:pPr>
              <w:spacing w:line="240" w:lineRule="auto"/>
              <w:ind w:right="227"/>
              <w:jc w:val="right"/>
              <w:rPr>
                <w:rFonts w:eastAsia="Times New Roman" w:cs="Calibri"/>
                <w:color w:val="000000"/>
                <w:sz w:val="20"/>
                <w:szCs w:val="20"/>
                <w:lang w:eastAsia="en-AU"/>
              </w:rPr>
            </w:pPr>
            <w:r w:rsidRPr="003F186B">
              <w:rPr>
                <w:rFonts w:eastAsia="Times New Roman" w:cs="Calibri"/>
                <w:color w:val="000000"/>
                <w:sz w:val="20"/>
                <w:szCs w:val="20"/>
                <w:lang w:eastAsia="en-AU"/>
              </w:rPr>
              <w:t>773.3</w:t>
            </w:r>
          </w:p>
        </w:tc>
        <w:tc>
          <w:tcPr>
            <w:tcW w:w="552" w:type="pct"/>
            <w:tcBorders>
              <w:top w:val="single" w:sz="4" w:space="0" w:color="auto"/>
              <w:left w:val="single" w:sz="4" w:space="0" w:color="auto"/>
              <w:bottom w:val="single" w:sz="4" w:space="0" w:color="auto"/>
              <w:right w:val="single" w:sz="4" w:space="0" w:color="auto"/>
            </w:tcBorders>
            <w:shd w:val="clear" w:color="000000" w:fill="auto"/>
          </w:tcPr>
          <w:p w14:paraId="29672695" w14:textId="77777777" w:rsidR="00BA6A85" w:rsidRPr="003F186B" w:rsidRDefault="00BA6A85" w:rsidP="00BA6A85">
            <w:pPr>
              <w:spacing w:line="240" w:lineRule="auto"/>
              <w:ind w:right="227"/>
              <w:jc w:val="right"/>
              <w:rPr>
                <w:rFonts w:eastAsia="Times New Roman" w:cs="Calibri"/>
                <w:color w:val="000000"/>
                <w:sz w:val="20"/>
                <w:szCs w:val="20"/>
                <w:lang w:eastAsia="en-AU"/>
              </w:rPr>
            </w:pPr>
            <w:r w:rsidRPr="003F186B">
              <w:rPr>
                <w:rFonts w:eastAsia="Times New Roman" w:cs="Calibri"/>
                <w:color w:val="000000"/>
                <w:sz w:val="20"/>
                <w:szCs w:val="20"/>
                <w:lang w:eastAsia="en-AU"/>
              </w:rPr>
              <w:t>903.6</w:t>
            </w:r>
          </w:p>
        </w:tc>
        <w:tc>
          <w:tcPr>
            <w:tcW w:w="552" w:type="pct"/>
            <w:tcBorders>
              <w:top w:val="single" w:sz="4" w:space="0" w:color="auto"/>
              <w:left w:val="single" w:sz="4" w:space="0" w:color="auto"/>
              <w:bottom w:val="single" w:sz="4" w:space="0" w:color="auto"/>
              <w:right w:val="single" w:sz="4" w:space="0" w:color="auto"/>
            </w:tcBorders>
            <w:shd w:val="clear" w:color="auto" w:fill="auto"/>
          </w:tcPr>
          <w:p w14:paraId="753FF9B8" w14:textId="77777777" w:rsidR="00BA6A85" w:rsidRPr="003F186B" w:rsidRDefault="00BA6A85" w:rsidP="00BA6A85">
            <w:pPr>
              <w:spacing w:line="240" w:lineRule="auto"/>
              <w:ind w:right="227"/>
              <w:jc w:val="right"/>
              <w:rPr>
                <w:rFonts w:eastAsia="Times New Roman" w:cs="Calibri"/>
                <w:color w:val="000000"/>
                <w:sz w:val="20"/>
                <w:szCs w:val="20"/>
                <w:lang w:eastAsia="en-AU"/>
              </w:rPr>
            </w:pPr>
            <w:r w:rsidRPr="003F186B">
              <w:rPr>
                <w:rFonts w:eastAsia="Times New Roman" w:cs="Calibri"/>
                <w:color w:val="000000"/>
                <w:sz w:val="20"/>
                <w:szCs w:val="20"/>
                <w:lang w:eastAsia="en-AU"/>
              </w:rPr>
              <w:t>942.0</w:t>
            </w:r>
          </w:p>
        </w:tc>
      </w:tr>
    </w:tbl>
    <w:p w14:paraId="0C188F1A" w14:textId="031F36EC" w:rsidR="00BA6A85" w:rsidRDefault="00BA6A85" w:rsidP="0033629A">
      <w:pPr>
        <w:spacing w:after="120"/>
        <w:rPr>
          <w:i/>
          <w:color w:val="000000"/>
          <w:sz w:val="20"/>
          <w:szCs w:val="20"/>
        </w:rPr>
      </w:pPr>
      <w:r w:rsidRPr="003F186B">
        <w:rPr>
          <w:i/>
          <w:color w:val="000000"/>
          <w:sz w:val="20"/>
          <w:szCs w:val="20"/>
        </w:rPr>
        <w:t xml:space="preserve">Source: </w:t>
      </w:r>
      <w:proofErr w:type="spellStart"/>
      <w:r w:rsidRPr="003F186B">
        <w:rPr>
          <w:i/>
          <w:color w:val="000000"/>
          <w:sz w:val="20"/>
          <w:szCs w:val="20"/>
        </w:rPr>
        <w:t>DEECD</w:t>
      </w:r>
      <w:proofErr w:type="spellEnd"/>
      <w:r w:rsidRPr="003F186B">
        <w:rPr>
          <w:i/>
          <w:color w:val="000000"/>
          <w:sz w:val="20"/>
          <w:szCs w:val="20"/>
        </w:rPr>
        <w:t xml:space="preserve"> Aug</w:t>
      </w:r>
      <w:r w:rsidR="00426C18">
        <w:rPr>
          <w:i/>
          <w:color w:val="000000"/>
          <w:sz w:val="20"/>
          <w:szCs w:val="20"/>
        </w:rPr>
        <w:t>ust School Census (unpublished)</w:t>
      </w:r>
    </w:p>
    <w:p w14:paraId="25368268" w14:textId="765757CA" w:rsidR="00BA6A85" w:rsidRPr="003F186B" w:rsidRDefault="00BA6A85" w:rsidP="00592A44">
      <w:pPr>
        <w:pStyle w:val="Heading4"/>
      </w:pPr>
      <w:r w:rsidRPr="003F186B">
        <w:t>Table 5: Full time equivalent school enrolments by Indigenous studen</w:t>
      </w:r>
      <w:r w:rsidR="004B0261">
        <w:t>ts, Years 9 and 10</w:t>
      </w:r>
      <w:r w:rsidRPr="003F186B">
        <w:t>, 2008-2012</w:t>
      </w:r>
    </w:p>
    <w:tbl>
      <w:tblPr>
        <w:tblW w:w="4892" w:type="pct"/>
        <w:tblInd w:w="110" w:type="dxa"/>
        <w:tblLook w:val="04A0" w:firstRow="1" w:lastRow="0" w:firstColumn="1" w:lastColumn="0" w:noHBand="0" w:noVBand="1"/>
      </w:tblPr>
      <w:tblGrid>
        <w:gridCol w:w="2002"/>
        <w:gridCol w:w="2070"/>
        <w:gridCol w:w="1192"/>
        <w:gridCol w:w="1258"/>
        <w:gridCol w:w="1079"/>
        <w:gridCol w:w="1077"/>
        <w:gridCol w:w="1075"/>
      </w:tblGrid>
      <w:tr w:rsidR="00BA6A85" w:rsidRPr="003F186B" w14:paraId="7E5DE385" w14:textId="77777777" w:rsidTr="0033629A">
        <w:trPr>
          <w:trHeight w:val="261"/>
        </w:trPr>
        <w:tc>
          <w:tcPr>
            <w:tcW w:w="1027" w:type="pct"/>
            <w:tcBorders>
              <w:top w:val="single" w:sz="8" w:space="0" w:color="auto"/>
              <w:left w:val="single" w:sz="8" w:space="0" w:color="auto"/>
              <w:bottom w:val="single" w:sz="4" w:space="0" w:color="auto"/>
              <w:right w:val="nil"/>
            </w:tcBorders>
            <w:shd w:val="clear" w:color="auto" w:fill="D6E3BC" w:themeFill="accent3" w:themeFillTint="66"/>
            <w:noWrap/>
            <w:vAlign w:val="bottom"/>
            <w:hideMark/>
          </w:tcPr>
          <w:p w14:paraId="37359ED5" w14:textId="77777777" w:rsidR="00BA6A85" w:rsidRPr="003F186B" w:rsidRDefault="00BA6A85" w:rsidP="00BA6A85">
            <w:pPr>
              <w:spacing w:line="240" w:lineRule="auto"/>
              <w:rPr>
                <w:rFonts w:eastAsia="Times New Roman" w:cs="Calibri"/>
                <w:b/>
                <w:bCs/>
                <w:color w:val="000000"/>
                <w:sz w:val="20"/>
                <w:szCs w:val="20"/>
                <w:lang w:eastAsia="en-AU"/>
              </w:rPr>
            </w:pPr>
            <w:r w:rsidRPr="003F186B">
              <w:rPr>
                <w:rFonts w:eastAsia="Times New Roman" w:cs="Calibri"/>
                <w:b/>
                <w:bCs/>
                <w:color w:val="000000"/>
                <w:sz w:val="20"/>
                <w:szCs w:val="20"/>
                <w:lang w:eastAsia="en-AU"/>
              </w:rPr>
              <w:t> </w:t>
            </w:r>
          </w:p>
        </w:tc>
        <w:tc>
          <w:tcPr>
            <w:tcW w:w="1061" w:type="pct"/>
            <w:tcBorders>
              <w:top w:val="single" w:sz="8" w:space="0" w:color="auto"/>
              <w:left w:val="nil"/>
              <w:bottom w:val="single" w:sz="4" w:space="0" w:color="auto"/>
              <w:right w:val="single" w:sz="4" w:space="0" w:color="auto"/>
            </w:tcBorders>
            <w:shd w:val="clear" w:color="auto" w:fill="D6E3BC" w:themeFill="accent3" w:themeFillTint="66"/>
            <w:noWrap/>
            <w:vAlign w:val="bottom"/>
            <w:hideMark/>
          </w:tcPr>
          <w:p w14:paraId="1F1B1D0F" w14:textId="77777777" w:rsidR="00BA6A85" w:rsidRPr="003F186B" w:rsidRDefault="00BA6A85" w:rsidP="00BA6A85">
            <w:pPr>
              <w:spacing w:line="240" w:lineRule="auto"/>
              <w:rPr>
                <w:rFonts w:eastAsia="Times New Roman" w:cs="Calibri"/>
                <w:b/>
                <w:bCs/>
                <w:color w:val="000000"/>
                <w:sz w:val="20"/>
                <w:szCs w:val="20"/>
                <w:lang w:eastAsia="en-AU"/>
              </w:rPr>
            </w:pPr>
            <w:r w:rsidRPr="003F186B">
              <w:rPr>
                <w:rFonts w:eastAsia="Times New Roman" w:cs="Calibri"/>
                <w:b/>
                <w:bCs/>
                <w:color w:val="000000"/>
                <w:sz w:val="20"/>
                <w:szCs w:val="20"/>
                <w:lang w:eastAsia="en-AU"/>
              </w:rPr>
              <w:t> </w:t>
            </w:r>
          </w:p>
        </w:tc>
        <w:tc>
          <w:tcPr>
            <w:tcW w:w="611" w:type="pct"/>
            <w:tcBorders>
              <w:top w:val="single" w:sz="4" w:space="0" w:color="auto"/>
              <w:left w:val="nil"/>
              <w:bottom w:val="single" w:sz="4" w:space="0" w:color="auto"/>
              <w:right w:val="single" w:sz="4" w:space="0" w:color="auto"/>
            </w:tcBorders>
            <w:shd w:val="clear" w:color="auto" w:fill="D6E3BC" w:themeFill="accent3" w:themeFillTint="66"/>
            <w:noWrap/>
            <w:vAlign w:val="bottom"/>
            <w:hideMark/>
          </w:tcPr>
          <w:p w14:paraId="6E368D75" w14:textId="77777777" w:rsidR="00BA6A85" w:rsidRPr="003F186B" w:rsidRDefault="00BA6A85" w:rsidP="00BA6A85">
            <w:pPr>
              <w:spacing w:line="240" w:lineRule="auto"/>
              <w:jc w:val="center"/>
              <w:rPr>
                <w:rFonts w:eastAsia="Times New Roman" w:cs="Calibri"/>
                <w:b/>
                <w:bCs/>
                <w:color w:val="000000"/>
                <w:sz w:val="20"/>
                <w:szCs w:val="20"/>
                <w:lang w:eastAsia="en-AU"/>
              </w:rPr>
            </w:pPr>
            <w:r w:rsidRPr="003F186B">
              <w:rPr>
                <w:rFonts w:eastAsia="Times New Roman" w:cs="Calibri"/>
                <w:b/>
                <w:bCs/>
                <w:color w:val="000000"/>
                <w:sz w:val="20"/>
                <w:szCs w:val="20"/>
                <w:lang w:eastAsia="en-AU"/>
              </w:rPr>
              <w:t>Aug 2008</w:t>
            </w:r>
          </w:p>
        </w:tc>
        <w:tc>
          <w:tcPr>
            <w:tcW w:w="645" w:type="pct"/>
            <w:tcBorders>
              <w:top w:val="single" w:sz="4" w:space="0" w:color="auto"/>
              <w:left w:val="single" w:sz="4" w:space="0" w:color="auto"/>
              <w:bottom w:val="single" w:sz="4" w:space="0" w:color="auto"/>
              <w:right w:val="single" w:sz="4" w:space="0" w:color="auto"/>
            </w:tcBorders>
            <w:shd w:val="clear" w:color="auto" w:fill="D6E3BC" w:themeFill="accent3" w:themeFillTint="66"/>
            <w:noWrap/>
            <w:vAlign w:val="bottom"/>
            <w:hideMark/>
          </w:tcPr>
          <w:p w14:paraId="3DDDA682" w14:textId="77777777" w:rsidR="00BA6A85" w:rsidRPr="003F186B" w:rsidRDefault="00BA6A85" w:rsidP="00BA6A85">
            <w:pPr>
              <w:spacing w:line="240" w:lineRule="auto"/>
              <w:jc w:val="center"/>
              <w:rPr>
                <w:rFonts w:eastAsia="Times New Roman" w:cs="Calibri"/>
                <w:b/>
                <w:bCs/>
                <w:color w:val="000000"/>
                <w:sz w:val="20"/>
                <w:szCs w:val="20"/>
                <w:lang w:eastAsia="en-AU"/>
              </w:rPr>
            </w:pPr>
            <w:r w:rsidRPr="003F186B">
              <w:rPr>
                <w:rFonts w:eastAsia="Times New Roman" w:cs="Calibri"/>
                <w:b/>
                <w:bCs/>
                <w:color w:val="000000"/>
                <w:sz w:val="20"/>
                <w:szCs w:val="20"/>
                <w:lang w:eastAsia="en-AU"/>
              </w:rPr>
              <w:t>Aug 2009</w:t>
            </w:r>
          </w:p>
        </w:tc>
        <w:tc>
          <w:tcPr>
            <w:tcW w:w="553" w:type="pct"/>
            <w:tcBorders>
              <w:top w:val="single" w:sz="4" w:space="0" w:color="auto"/>
              <w:left w:val="single" w:sz="4" w:space="0" w:color="auto"/>
              <w:bottom w:val="single" w:sz="4" w:space="0" w:color="auto"/>
              <w:right w:val="single" w:sz="4" w:space="0" w:color="auto"/>
            </w:tcBorders>
            <w:shd w:val="clear" w:color="auto" w:fill="D6E3BC" w:themeFill="accent3" w:themeFillTint="66"/>
            <w:noWrap/>
            <w:vAlign w:val="bottom"/>
            <w:hideMark/>
          </w:tcPr>
          <w:p w14:paraId="7B499D5E" w14:textId="77777777" w:rsidR="00BA6A85" w:rsidRPr="003F186B" w:rsidRDefault="00BA6A85" w:rsidP="00BA6A85">
            <w:pPr>
              <w:spacing w:line="240" w:lineRule="auto"/>
              <w:jc w:val="center"/>
              <w:rPr>
                <w:rFonts w:eastAsia="Times New Roman" w:cs="Calibri"/>
                <w:b/>
                <w:bCs/>
                <w:color w:val="000000"/>
                <w:sz w:val="20"/>
                <w:szCs w:val="20"/>
                <w:lang w:eastAsia="en-AU"/>
              </w:rPr>
            </w:pPr>
            <w:r w:rsidRPr="003F186B">
              <w:rPr>
                <w:rFonts w:eastAsia="Times New Roman" w:cs="Calibri"/>
                <w:b/>
                <w:bCs/>
                <w:color w:val="000000"/>
                <w:sz w:val="20"/>
                <w:szCs w:val="20"/>
                <w:lang w:eastAsia="en-AU"/>
              </w:rPr>
              <w:t>Aug 2010</w:t>
            </w:r>
          </w:p>
        </w:tc>
        <w:tc>
          <w:tcPr>
            <w:tcW w:w="552" w:type="pct"/>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52271EAD" w14:textId="77777777" w:rsidR="00BA6A85" w:rsidRPr="003F186B" w:rsidRDefault="00BA6A85" w:rsidP="00BA6A85">
            <w:pPr>
              <w:spacing w:line="240" w:lineRule="auto"/>
              <w:jc w:val="center"/>
              <w:rPr>
                <w:rFonts w:eastAsia="Times New Roman" w:cs="Calibri"/>
                <w:b/>
                <w:bCs/>
                <w:color w:val="000000"/>
                <w:sz w:val="20"/>
                <w:szCs w:val="20"/>
                <w:lang w:eastAsia="en-AU"/>
              </w:rPr>
            </w:pPr>
            <w:r w:rsidRPr="003F186B">
              <w:rPr>
                <w:rFonts w:eastAsia="Times New Roman" w:cs="Calibri"/>
                <w:b/>
                <w:bCs/>
                <w:color w:val="000000"/>
                <w:sz w:val="20"/>
                <w:szCs w:val="20"/>
                <w:lang w:eastAsia="en-AU"/>
              </w:rPr>
              <w:t>Aug 2011</w:t>
            </w:r>
          </w:p>
        </w:tc>
        <w:tc>
          <w:tcPr>
            <w:tcW w:w="552" w:type="pct"/>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41D0B288" w14:textId="77777777" w:rsidR="00BA6A85" w:rsidRPr="003F186B" w:rsidRDefault="00BA6A85" w:rsidP="00BA6A85">
            <w:pPr>
              <w:spacing w:line="240" w:lineRule="auto"/>
              <w:jc w:val="center"/>
              <w:rPr>
                <w:rFonts w:eastAsia="Times New Roman" w:cs="Calibri"/>
                <w:b/>
                <w:bCs/>
                <w:color w:val="000000"/>
                <w:sz w:val="20"/>
                <w:szCs w:val="20"/>
                <w:lang w:eastAsia="en-AU"/>
              </w:rPr>
            </w:pPr>
            <w:r w:rsidRPr="003F186B">
              <w:rPr>
                <w:rFonts w:eastAsia="Times New Roman" w:cs="Calibri"/>
                <w:b/>
                <w:bCs/>
                <w:color w:val="000000"/>
                <w:sz w:val="20"/>
                <w:szCs w:val="20"/>
                <w:lang w:eastAsia="en-AU"/>
              </w:rPr>
              <w:t>Aug 2012</w:t>
            </w:r>
          </w:p>
        </w:tc>
      </w:tr>
      <w:tr w:rsidR="00BA6A85" w:rsidRPr="003F186B" w14:paraId="078E76C3" w14:textId="77777777" w:rsidTr="0033629A">
        <w:trPr>
          <w:trHeight w:val="261"/>
        </w:trPr>
        <w:tc>
          <w:tcPr>
            <w:tcW w:w="1027" w:type="pct"/>
            <w:tcBorders>
              <w:top w:val="single" w:sz="4" w:space="0" w:color="auto"/>
              <w:left w:val="single" w:sz="8" w:space="0" w:color="auto"/>
              <w:bottom w:val="nil"/>
              <w:right w:val="nil"/>
            </w:tcBorders>
            <w:shd w:val="clear" w:color="000000" w:fill="D9D9D9"/>
            <w:noWrap/>
            <w:vAlign w:val="bottom"/>
            <w:hideMark/>
          </w:tcPr>
          <w:p w14:paraId="72EE5688" w14:textId="77777777" w:rsidR="00BA6A85" w:rsidRPr="003F186B" w:rsidRDefault="00BA6A85" w:rsidP="00BA6A85">
            <w:pPr>
              <w:spacing w:line="240" w:lineRule="auto"/>
              <w:rPr>
                <w:rFonts w:eastAsia="Times New Roman" w:cs="Calibri"/>
                <w:b/>
                <w:bCs/>
                <w:color w:val="000000"/>
                <w:sz w:val="20"/>
                <w:szCs w:val="20"/>
                <w:lang w:eastAsia="en-AU"/>
              </w:rPr>
            </w:pPr>
            <w:r w:rsidRPr="003F186B">
              <w:rPr>
                <w:rFonts w:eastAsia="Times New Roman" w:cs="Calibri"/>
                <w:b/>
                <w:bCs/>
                <w:color w:val="000000"/>
                <w:sz w:val="20"/>
                <w:szCs w:val="20"/>
                <w:lang w:eastAsia="en-AU"/>
              </w:rPr>
              <w:t>Government</w:t>
            </w:r>
          </w:p>
        </w:tc>
        <w:tc>
          <w:tcPr>
            <w:tcW w:w="1061" w:type="pct"/>
            <w:tcBorders>
              <w:top w:val="single" w:sz="4" w:space="0" w:color="auto"/>
              <w:left w:val="nil"/>
              <w:bottom w:val="nil"/>
              <w:right w:val="single" w:sz="4" w:space="0" w:color="auto"/>
            </w:tcBorders>
            <w:shd w:val="clear" w:color="000000" w:fill="D9D9D9"/>
            <w:noWrap/>
            <w:vAlign w:val="bottom"/>
            <w:hideMark/>
          </w:tcPr>
          <w:p w14:paraId="3C7A8AEE" w14:textId="77777777" w:rsidR="00BA6A85" w:rsidRPr="003F186B" w:rsidRDefault="00BA6A85" w:rsidP="00BA6A85">
            <w:pPr>
              <w:spacing w:line="240" w:lineRule="auto"/>
              <w:rPr>
                <w:rFonts w:eastAsia="Times New Roman" w:cs="Calibri"/>
                <w:b/>
                <w:bCs/>
                <w:color w:val="000000"/>
                <w:sz w:val="20"/>
                <w:szCs w:val="20"/>
                <w:lang w:eastAsia="en-AU"/>
              </w:rPr>
            </w:pPr>
            <w:r w:rsidRPr="003F186B">
              <w:rPr>
                <w:rFonts w:eastAsia="Times New Roman" w:cs="Calibri"/>
                <w:b/>
                <w:bCs/>
                <w:color w:val="000000"/>
                <w:sz w:val="20"/>
                <w:szCs w:val="20"/>
                <w:lang w:eastAsia="en-AU"/>
              </w:rPr>
              <w:t>Year 9</w:t>
            </w:r>
          </w:p>
        </w:tc>
        <w:tc>
          <w:tcPr>
            <w:tcW w:w="611" w:type="pct"/>
            <w:tcBorders>
              <w:top w:val="single" w:sz="4" w:space="0" w:color="auto"/>
              <w:left w:val="nil"/>
              <w:bottom w:val="single" w:sz="4" w:space="0" w:color="auto"/>
              <w:right w:val="single" w:sz="4" w:space="0" w:color="auto"/>
            </w:tcBorders>
            <w:shd w:val="clear" w:color="000000" w:fill="auto"/>
            <w:noWrap/>
            <w:vAlign w:val="bottom"/>
            <w:hideMark/>
          </w:tcPr>
          <w:p w14:paraId="4430991D" w14:textId="77777777" w:rsidR="00BA6A85" w:rsidRPr="003F186B" w:rsidRDefault="00BA6A85" w:rsidP="00BA6A85">
            <w:pPr>
              <w:spacing w:line="240" w:lineRule="auto"/>
              <w:ind w:right="227"/>
              <w:jc w:val="right"/>
              <w:rPr>
                <w:rFonts w:eastAsia="Times New Roman" w:cs="Calibri"/>
                <w:color w:val="000000"/>
                <w:sz w:val="20"/>
                <w:szCs w:val="20"/>
                <w:lang w:eastAsia="en-AU"/>
              </w:rPr>
            </w:pPr>
            <w:r w:rsidRPr="003F186B">
              <w:rPr>
                <w:rFonts w:eastAsia="Times New Roman" w:cs="Calibri"/>
                <w:color w:val="000000"/>
                <w:sz w:val="20"/>
                <w:szCs w:val="20"/>
                <w:lang w:eastAsia="en-AU"/>
              </w:rPr>
              <w:t>585.3</w:t>
            </w:r>
          </w:p>
        </w:tc>
        <w:tc>
          <w:tcPr>
            <w:tcW w:w="645" w:type="pct"/>
            <w:tcBorders>
              <w:top w:val="single" w:sz="4" w:space="0" w:color="auto"/>
              <w:left w:val="single" w:sz="4" w:space="0" w:color="auto"/>
              <w:bottom w:val="single" w:sz="4" w:space="0" w:color="auto"/>
              <w:right w:val="single" w:sz="4" w:space="0" w:color="auto"/>
            </w:tcBorders>
            <w:shd w:val="clear" w:color="000000" w:fill="auto"/>
            <w:noWrap/>
            <w:vAlign w:val="bottom"/>
            <w:hideMark/>
          </w:tcPr>
          <w:p w14:paraId="176EC069" w14:textId="77777777" w:rsidR="00BA6A85" w:rsidRPr="003F186B" w:rsidRDefault="00BA6A85" w:rsidP="00BA6A85">
            <w:pPr>
              <w:spacing w:line="240" w:lineRule="auto"/>
              <w:ind w:right="227"/>
              <w:jc w:val="right"/>
              <w:rPr>
                <w:rFonts w:eastAsia="Times New Roman" w:cs="Calibri"/>
                <w:color w:val="000000"/>
                <w:sz w:val="20"/>
                <w:szCs w:val="20"/>
                <w:lang w:eastAsia="en-AU"/>
              </w:rPr>
            </w:pPr>
            <w:r w:rsidRPr="003F186B">
              <w:rPr>
                <w:rFonts w:eastAsia="Times New Roman" w:cs="Calibri"/>
                <w:color w:val="000000"/>
                <w:sz w:val="20"/>
                <w:szCs w:val="20"/>
                <w:lang w:eastAsia="en-AU"/>
              </w:rPr>
              <w:t>609.9</w:t>
            </w:r>
          </w:p>
        </w:tc>
        <w:tc>
          <w:tcPr>
            <w:tcW w:w="553" w:type="pct"/>
            <w:tcBorders>
              <w:top w:val="single" w:sz="4" w:space="0" w:color="auto"/>
              <w:left w:val="single" w:sz="4" w:space="0" w:color="auto"/>
              <w:bottom w:val="single" w:sz="4" w:space="0" w:color="auto"/>
              <w:right w:val="single" w:sz="4" w:space="0" w:color="auto"/>
            </w:tcBorders>
            <w:shd w:val="clear" w:color="000000" w:fill="auto"/>
            <w:noWrap/>
            <w:vAlign w:val="bottom"/>
            <w:hideMark/>
          </w:tcPr>
          <w:p w14:paraId="0ED82B94" w14:textId="77777777" w:rsidR="00BA6A85" w:rsidRPr="003F186B" w:rsidRDefault="00BA6A85" w:rsidP="00BA6A85">
            <w:pPr>
              <w:spacing w:line="240" w:lineRule="auto"/>
              <w:ind w:right="227"/>
              <w:jc w:val="right"/>
              <w:rPr>
                <w:rFonts w:eastAsia="Times New Roman" w:cs="Calibri"/>
                <w:color w:val="000000"/>
                <w:sz w:val="20"/>
                <w:szCs w:val="20"/>
                <w:lang w:eastAsia="en-AU"/>
              </w:rPr>
            </w:pPr>
            <w:r w:rsidRPr="003F186B">
              <w:rPr>
                <w:rFonts w:eastAsia="Times New Roman" w:cs="Calibri"/>
                <w:color w:val="000000"/>
                <w:sz w:val="20"/>
                <w:szCs w:val="20"/>
                <w:lang w:eastAsia="en-AU"/>
              </w:rPr>
              <w:t>634.5</w:t>
            </w:r>
          </w:p>
        </w:tc>
        <w:tc>
          <w:tcPr>
            <w:tcW w:w="552" w:type="pct"/>
            <w:tcBorders>
              <w:top w:val="single" w:sz="4" w:space="0" w:color="auto"/>
              <w:left w:val="single" w:sz="4" w:space="0" w:color="auto"/>
              <w:bottom w:val="single" w:sz="4" w:space="0" w:color="auto"/>
              <w:right w:val="single" w:sz="4" w:space="0" w:color="auto"/>
            </w:tcBorders>
            <w:shd w:val="clear" w:color="000000" w:fill="auto"/>
          </w:tcPr>
          <w:p w14:paraId="160C7F6C" w14:textId="77777777" w:rsidR="00BA6A85" w:rsidRPr="003F186B" w:rsidRDefault="00BA6A85" w:rsidP="00BA6A85">
            <w:pPr>
              <w:spacing w:line="240" w:lineRule="auto"/>
              <w:ind w:right="227"/>
              <w:jc w:val="right"/>
              <w:rPr>
                <w:rFonts w:eastAsia="Times New Roman" w:cs="Calibri"/>
                <w:color w:val="000000"/>
                <w:sz w:val="20"/>
                <w:szCs w:val="20"/>
                <w:lang w:eastAsia="en-AU"/>
              </w:rPr>
            </w:pPr>
            <w:r w:rsidRPr="003F186B">
              <w:rPr>
                <w:rFonts w:eastAsia="Times New Roman" w:cs="Calibri"/>
                <w:color w:val="000000"/>
                <w:sz w:val="20"/>
                <w:szCs w:val="20"/>
                <w:lang w:eastAsia="en-AU"/>
              </w:rPr>
              <w:t>731.0</w:t>
            </w:r>
          </w:p>
        </w:tc>
        <w:tc>
          <w:tcPr>
            <w:tcW w:w="552" w:type="pct"/>
            <w:tcBorders>
              <w:top w:val="single" w:sz="4" w:space="0" w:color="auto"/>
              <w:left w:val="single" w:sz="4" w:space="0" w:color="auto"/>
              <w:bottom w:val="single" w:sz="4" w:space="0" w:color="auto"/>
              <w:right w:val="single" w:sz="4" w:space="0" w:color="auto"/>
            </w:tcBorders>
            <w:shd w:val="clear" w:color="auto" w:fill="auto"/>
          </w:tcPr>
          <w:p w14:paraId="7880FD9D" w14:textId="77777777" w:rsidR="00BA6A85" w:rsidRPr="003F186B" w:rsidRDefault="00BA6A85" w:rsidP="00BA6A85">
            <w:pPr>
              <w:spacing w:line="240" w:lineRule="auto"/>
              <w:ind w:right="227"/>
              <w:jc w:val="right"/>
              <w:rPr>
                <w:rFonts w:eastAsia="Times New Roman" w:cs="Calibri"/>
                <w:color w:val="000000"/>
                <w:sz w:val="20"/>
                <w:szCs w:val="20"/>
                <w:lang w:eastAsia="en-AU"/>
              </w:rPr>
            </w:pPr>
            <w:r w:rsidRPr="003F186B">
              <w:rPr>
                <w:rFonts w:eastAsia="Times New Roman" w:cs="Calibri"/>
                <w:color w:val="000000"/>
                <w:sz w:val="20"/>
                <w:szCs w:val="20"/>
                <w:lang w:eastAsia="en-AU"/>
              </w:rPr>
              <w:t>690.0</w:t>
            </w:r>
          </w:p>
        </w:tc>
      </w:tr>
      <w:tr w:rsidR="00BA6A85" w:rsidRPr="003F186B" w14:paraId="0D19EB34" w14:textId="77777777" w:rsidTr="0033629A">
        <w:trPr>
          <w:trHeight w:val="261"/>
        </w:trPr>
        <w:tc>
          <w:tcPr>
            <w:tcW w:w="1027" w:type="pct"/>
            <w:tcBorders>
              <w:top w:val="nil"/>
              <w:left w:val="single" w:sz="8" w:space="0" w:color="auto"/>
              <w:bottom w:val="nil"/>
              <w:right w:val="nil"/>
            </w:tcBorders>
            <w:shd w:val="clear" w:color="000000" w:fill="D9D9D9"/>
            <w:noWrap/>
            <w:vAlign w:val="bottom"/>
            <w:hideMark/>
          </w:tcPr>
          <w:p w14:paraId="7F6EBA94" w14:textId="77777777" w:rsidR="00BA6A85" w:rsidRPr="003F186B" w:rsidRDefault="00BA6A85" w:rsidP="00BA6A85">
            <w:pPr>
              <w:spacing w:line="240" w:lineRule="auto"/>
              <w:rPr>
                <w:rFonts w:eastAsia="Times New Roman" w:cs="Calibri"/>
                <w:b/>
                <w:bCs/>
                <w:color w:val="000000"/>
                <w:sz w:val="20"/>
                <w:szCs w:val="20"/>
                <w:lang w:eastAsia="en-AU"/>
              </w:rPr>
            </w:pPr>
            <w:r w:rsidRPr="003F186B">
              <w:rPr>
                <w:rFonts w:eastAsia="Times New Roman" w:cs="Calibri"/>
                <w:b/>
                <w:bCs/>
                <w:color w:val="000000"/>
                <w:sz w:val="20"/>
                <w:szCs w:val="20"/>
                <w:lang w:eastAsia="en-AU"/>
              </w:rPr>
              <w:t> </w:t>
            </w:r>
          </w:p>
        </w:tc>
        <w:tc>
          <w:tcPr>
            <w:tcW w:w="1061" w:type="pct"/>
            <w:tcBorders>
              <w:top w:val="nil"/>
              <w:left w:val="nil"/>
              <w:bottom w:val="single" w:sz="4" w:space="0" w:color="auto"/>
              <w:right w:val="single" w:sz="4" w:space="0" w:color="auto"/>
            </w:tcBorders>
            <w:shd w:val="clear" w:color="000000" w:fill="D9D9D9"/>
            <w:noWrap/>
            <w:vAlign w:val="bottom"/>
            <w:hideMark/>
          </w:tcPr>
          <w:p w14:paraId="55F8B241" w14:textId="77777777" w:rsidR="00BA6A85" w:rsidRPr="003F186B" w:rsidRDefault="00BA6A85" w:rsidP="00BA6A85">
            <w:pPr>
              <w:spacing w:line="240" w:lineRule="auto"/>
              <w:rPr>
                <w:rFonts w:eastAsia="Times New Roman" w:cs="Calibri"/>
                <w:b/>
                <w:bCs/>
                <w:color w:val="000000"/>
                <w:sz w:val="20"/>
                <w:szCs w:val="20"/>
                <w:lang w:eastAsia="en-AU"/>
              </w:rPr>
            </w:pPr>
            <w:r w:rsidRPr="003F186B">
              <w:rPr>
                <w:rFonts w:eastAsia="Times New Roman" w:cs="Calibri"/>
                <w:b/>
                <w:bCs/>
                <w:color w:val="000000"/>
                <w:sz w:val="20"/>
                <w:szCs w:val="20"/>
                <w:lang w:eastAsia="en-AU"/>
              </w:rPr>
              <w:t>Year 10</w:t>
            </w:r>
          </w:p>
        </w:tc>
        <w:tc>
          <w:tcPr>
            <w:tcW w:w="611" w:type="pct"/>
            <w:tcBorders>
              <w:top w:val="single" w:sz="4" w:space="0" w:color="auto"/>
              <w:left w:val="nil"/>
              <w:bottom w:val="single" w:sz="4" w:space="0" w:color="auto"/>
              <w:right w:val="single" w:sz="4" w:space="0" w:color="auto"/>
            </w:tcBorders>
            <w:shd w:val="clear" w:color="000000" w:fill="auto"/>
            <w:noWrap/>
            <w:vAlign w:val="bottom"/>
            <w:hideMark/>
          </w:tcPr>
          <w:p w14:paraId="40DB566F" w14:textId="77777777" w:rsidR="00BA6A85" w:rsidRPr="003F186B" w:rsidRDefault="00BA6A85" w:rsidP="00BA6A85">
            <w:pPr>
              <w:spacing w:line="240" w:lineRule="auto"/>
              <w:ind w:right="227"/>
              <w:jc w:val="right"/>
              <w:rPr>
                <w:rFonts w:eastAsia="Times New Roman" w:cs="Calibri"/>
                <w:color w:val="000000"/>
                <w:sz w:val="20"/>
                <w:szCs w:val="20"/>
                <w:lang w:eastAsia="en-AU"/>
              </w:rPr>
            </w:pPr>
            <w:r w:rsidRPr="003F186B">
              <w:rPr>
                <w:rFonts w:eastAsia="Times New Roman" w:cs="Calibri"/>
                <w:color w:val="000000"/>
                <w:sz w:val="20"/>
                <w:szCs w:val="20"/>
                <w:lang w:eastAsia="en-AU"/>
              </w:rPr>
              <w:t>459.8</w:t>
            </w:r>
          </w:p>
        </w:tc>
        <w:tc>
          <w:tcPr>
            <w:tcW w:w="645" w:type="pct"/>
            <w:tcBorders>
              <w:top w:val="single" w:sz="4" w:space="0" w:color="auto"/>
              <w:left w:val="single" w:sz="4" w:space="0" w:color="auto"/>
              <w:bottom w:val="single" w:sz="4" w:space="0" w:color="auto"/>
              <w:right w:val="single" w:sz="4" w:space="0" w:color="auto"/>
            </w:tcBorders>
            <w:shd w:val="clear" w:color="000000" w:fill="auto"/>
            <w:noWrap/>
            <w:vAlign w:val="bottom"/>
            <w:hideMark/>
          </w:tcPr>
          <w:p w14:paraId="398FAC9A" w14:textId="77777777" w:rsidR="00BA6A85" w:rsidRPr="003F186B" w:rsidRDefault="00BA6A85" w:rsidP="00BA6A85">
            <w:pPr>
              <w:spacing w:line="240" w:lineRule="auto"/>
              <w:ind w:right="227"/>
              <w:jc w:val="right"/>
              <w:rPr>
                <w:rFonts w:eastAsia="Times New Roman" w:cs="Calibri"/>
                <w:color w:val="000000"/>
                <w:sz w:val="20"/>
                <w:szCs w:val="20"/>
                <w:lang w:eastAsia="en-AU"/>
              </w:rPr>
            </w:pPr>
            <w:r w:rsidRPr="003F186B">
              <w:rPr>
                <w:rFonts w:eastAsia="Times New Roman" w:cs="Calibri"/>
                <w:color w:val="000000"/>
                <w:sz w:val="20"/>
                <w:szCs w:val="20"/>
                <w:lang w:eastAsia="en-AU"/>
              </w:rPr>
              <w:t>483.4</w:t>
            </w:r>
          </w:p>
        </w:tc>
        <w:tc>
          <w:tcPr>
            <w:tcW w:w="553" w:type="pct"/>
            <w:tcBorders>
              <w:top w:val="single" w:sz="4" w:space="0" w:color="auto"/>
              <w:left w:val="single" w:sz="4" w:space="0" w:color="auto"/>
              <w:bottom w:val="single" w:sz="4" w:space="0" w:color="auto"/>
              <w:right w:val="single" w:sz="4" w:space="0" w:color="auto"/>
            </w:tcBorders>
            <w:shd w:val="clear" w:color="000000" w:fill="auto"/>
            <w:noWrap/>
            <w:vAlign w:val="bottom"/>
            <w:hideMark/>
          </w:tcPr>
          <w:p w14:paraId="57DD6656" w14:textId="77777777" w:rsidR="00BA6A85" w:rsidRPr="003F186B" w:rsidRDefault="00BA6A85" w:rsidP="00BA6A85">
            <w:pPr>
              <w:spacing w:line="240" w:lineRule="auto"/>
              <w:ind w:right="227"/>
              <w:jc w:val="right"/>
              <w:rPr>
                <w:rFonts w:eastAsia="Times New Roman" w:cs="Calibri"/>
                <w:color w:val="000000"/>
                <w:sz w:val="20"/>
                <w:szCs w:val="20"/>
                <w:lang w:eastAsia="en-AU"/>
              </w:rPr>
            </w:pPr>
            <w:r w:rsidRPr="003F186B">
              <w:rPr>
                <w:rFonts w:eastAsia="Times New Roman" w:cs="Calibri"/>
                <w:color w:val="000000"/>
                <w:sz w:val="20"/>
                <w:szCs w:val="20"/>
                <w:lang w:eastAsia="en-AU"/>
              </w:rPr>
              <w:t>569.7</w:t>
            </w:r>
          </w:p>
        </w:tc>
        <w:tc>
          <w:tcPr>
            <w:tcW w:w="552" w:type="pct"/>
            <w:tcBorders>
              <w:top w:val="single" w:sz="4" w:space="0" w:color="auto"/>
              <w:left w:val="single" w:sz="4" w:space="0" w:color="auto"/>
              <w:bottom w:val="single" w:sz="4" w:space="0" w:color="auto"/>
              <w:right w:val="single" w:sz="4" w:space="0" w:color="auto"/>
            </w:tcBorders>
            <w:shd w:val="clear" w:color="000000" w:fill="auto"/>
          </w:tcPr>
          <w:p w14:paraId="63ABDBA3" w14:textId="77777777" w:rsidR="00BA6A85" w:rsidRPr="003F186B" w:rsidRDefault="00BA6A85" w:rsidP="00BA6A85">
            <w:pPr>
              <w:spacing w:line="240" w:lineRule="auto"/>
              <w:ind w:right="227"/>
              <w:jc w:val="right"/>
              <w:rPr>
                <w:rFonts w:eastAsia="Times New Roman" w:cs="Calibri"/>
                <w:color w:val="000000"/>
                <w:sz w:val="20"/>
                <w:szCs w:val="20"/>
                <w:lang w:eastAsia="en-AU"/>
              </w:rPr>
            </w:pPr>
            <w:r w:rsidRPr="003F186B">
              <w:rPr>
                <w:rFonts w:eastAsia="Times New Roman" w:cs="Calibri"/>
                <w:color w:val="000000"/>
                <w:sz w:val="20"/>
                <w:szCs w:val="20"/>
                <w:lang w:eastAsia="en-AU"/>
              </w:rPr>
              <w:t>544.6</w:t>
            </w:r>
          </w:p>
        </w:tc>
        <w:tc>
          <w:tcPr>
            <w:tcW w:w="552" w:type="pct"/>
            <w:tcBorders>
              <w:top w:val="single" w:sz="4" w:space="0" w:color="auto"/>
              <w:left w:val="single" w:sz="4" w:space="0" w:color="auto"/>
              <w:bottom w:val="single" w:sz="4" w:space="0" w:color="auto"/>
              <w:right w:val="single" w:sz="4" w:space="0" w:color="auto"/>
            </w:tcBorders>
            <w:shd w:val="clear" w:color="auto" w:fill="auto"/>
          </w:tcPr>
          <w:p w14:paraId="5315F9B8" w14:textId="77777777" w:rsidR="00BA6A85" w:rsidRPr="003F186B" w:rsidRDefault="00BA6A85" w:rsidP="00BA6A85">
            <w:pPr>
              <w:spacing w:line="240" w:lineRule="auto"/>
              <w:ind w:right="227"/>
              <w:jc w:val="right"/>
              <w:rPr>
                <w:rFonts w:eastAsia="Times New Roman" w:cs="Calibri"/>
                <w:color w:val="000000"/>
                <w:sz w:val="20"/>
                <w:szCs w:val="20"/>
                <w:lang w:eastAsia="en-AU"/>
              </w:rPr>
            </w:pPr>
            <w:r w:rsidRPr="003F186B">
              <w:rPr>
                <w:rFonts w:eastAsia="Times New Roman" w:cs="Calibri"/>
                <w:color w:val="000000"/>
                <w:sz w:val="20"/>
                <w:szCs w:val="20"/>
                <w:lang w:eastAsia="en-AU"/>
              </w:rPr>
              <w:t>643.0</w:t>
            </w:r>
          </w:p>
        </w:tc>
      </w:tr>
      <w:tr w:rsidR="00BA6A85" w:rsidRPr="003F186B" w14:paraId="2CF0C5B3" w14:textId="77777777" w:rsidTr="0033629A">
        <w:trPr>
          <w:trHeight w:val="261"/>
        </w:trPr>
        <w:tc>
          <w:tcPr>
            <w:tcW w:w="1027" w:type="pct"/>
            <w:tcBorders>
              <w:top w:val="nil"/>
              <w:left w:val="single" w:sz="8" w:space="0" w:color="auto"/>
              <w:bottom w:val="single" w:sz="4" w:space="0" w:color="auto"/>
              <w:right w:val="nil"/>
            </w:tcBorders>
            <w:shd w:val="clear" w:color="000000" w:fill="D9D9D9"/>
            <w:noWrap/>
            <w:vAlign w:val="bottom"/>
            <w:hideMark/>
          </w:tcPr>
          <w:p w14:paraId="3660D7D3" w14:textId="77777777" w:rsidR="00BA6A85" w:rsidRPr="003F186B" w:rsidRDefault="00BA6A85" w:rsidP="00BA6A85">
            <w:pPr>
              <w:spacing w:line="240" w:lineRule="auto"/>
              <w:rPr>
                <w:rFonts w:eastAsia="Times New Roman" w:cs="Calibri"/>
                <w:b/>
                <w:bCs/>
                <w:color w:val="000000"/>
                <w:sz w:val="20"/>
                <w:szCs w:val="20"/>
                <w:lang w:eastAsia="en-AU"/>
              </w:rPr>
            </w:pPr>
            <w:r w:rsidRPr="003F186B">
              <w:rPr>
                <w:rFonts w:eastAsia="Times New Roman" w:cs="Calibri"/>
                <w:b/>
                <w:bCs/>
                <w:color w:val="000000"/>
                <w:sz w:val="20"/>
                <w:szCs w:val="20"/>
                <w:lang w:eastAsia="en-AU"/>
              </w:rPr>
              <w:t> </w:t>
            </w:r>
          </w:p>
        </w:tc>
        <w:tc>
          <w:tcPr>
            <w:tcW w:w="1061" w:type="pct"/>
            <w:tcBorders>
              <w:top w:val="nil"/>
              <w:left w:val="nil"/>
              <w:bottom w:val="single" w:sz="4" w:space="0" w:color="auto"/>
              <w:right w:val="single" w:sz="4" w:space="0" w:color="auto"/>
            </w:tcBorders>
            <w:shd w:val="clear" w:color="000000" w:fill="D9D9D9"/>
            <w:noWrap/>
            <w:vAlign w:val="bottom"/>
            <w:hideMark/>
          </w:tcPr>
          <w:p w14:paraId="3C447A64" w14:textId="77777777" w:rsidR="00BA6A85" w:rsidRPr="003F186B" w:rsidRDefault="00BA6A85" w:rsidP="00BA6A85">
            <w:pPr>
              <w:spacing w:line="240" w:lineRule="auto"/>
              <w:rPr>
                <w:rFonts w:eastAsia="Times New Roman" w:cs="Calibri"/>
                <w:b/>
                <w:bCs/>
                <w:color w:val="000000"/>
                <w:sz w:val="20"/>
                <w:szCs w:val="20"/>
                <w:lang w:eastAsia="en-AU"/>
              </w:rPr>
            </w:pPr>
            <w:r w:rsidRPr="003F186B">
              <w:rPr>
                <w:rFonts w:eastAsia="Times New Roman" w:cs="Calibri"/>
                <w:b/>
                <w:bCs/>
                <w:color w:val="000000"/>
                <w:sz w:val="20"/>
                <w:szCs w:val="20"/>
                <w:lang w:eastAsia="en-AU"/>
              </w:rPr>
              <w:t>Total</w:t>
            </w:r>
          </w:p>
        </w:tc>
        <w:tc>
          <w:tcPr>
            <w:tcW w:w="611" w:type="pct"/>
            <w:tcBorders>
              <w:top w:val="single" w:sz="4" w:space="0" w:color="auto"/>
              <w:left w:val="nil"/>
              <w:bottom w:val="single" w:sz="4" w:space="0" w:color="auto"/>
              <w:right w:val="single" w:sz="4" w:space="0" w:color="auto"/>
            </w:tcBorders>
            <w:shd w:val="clear" w:color="000000" w:fill="auto"/>
            <w:noWrap/>
            <w:vAlign w:val="bottom"/>
            <w:hideMark/>
          </w:tcPr>
          <w:p w14:paraId="2A1825C5" w14:textId="77777777" w:rsidR="00BA6A85" w:rsidRPr="003F186B" w:rsidRDefault="00BA6A85" w:rsidP="00BA6A85">
            <w:pPr>
              <w:spacing w:line="240" w:lineRule="auto"/>
              <w:ind w:right="227"/>
              <w:jc w:val="right"/>
              <w:rPr>
                <w:rFonts w:eastAsia="Times New Roman" w:cs="Calibri"/>
                <w:color w:val="000000"/>
                <w:sz w:val="20"/>
                <w:szCs w:val="20"/>
                <w:lang w:eastAsia="en-AU"/>
              </w:rPr>
            </w:pPr>
            <w:r w:rsidRPr="003F186B">
              <w:rPr>
                <w:rFonts w:eastAsia="Times New Roman" w:cs="Calibri"/>
                <w:color w:val="000000"/>
                <w:sz w:val="20"/>
                <w:szCs w:val="20"/>
                <w:lang w:eastAsia="en-AU"/>
              </w:rPr>
              <w:t>1045.1</w:t>
            </w:r>
          </w:p>
        </w:tc>
        <w:tc>
          <w:tcPr>
            <w:tcW w:w="645" w:type="pct"/>
            <w:tcBorders>
              <w:top w:val="single" w:sz="4" w:space="0" w:color="auto"/>
              <w:left w:val="single" w:sz="4" w:space="0" w:color="auto"/>
              <w:bottom w:val="single" w:sz="4" w:space="0" w:color="auto"/>
              <w:right w:val="single" w:sz="4" w:space="0" w:color="auto"/>
            </w:tcBorders>
            <w:shd w:val="clear" w:color="000000" w:fill="auto"/>
            <w:noWrap/>
            <w:vAlign w:val="bottom"/>
            <w:hideMark/>
          </w:tcPr>
          <w:p w14:paraId="7B6DCF6E" w14:textId="77777777" w:rsidR="00BA6A85" w:rsidRPr="003F186B" w:rsidRDefault="00BA6A85" w:rsidP="00BA6A85">
            <w:pPr>
              <w:spacing w:line="240" w:lineRule="auto"/>
              <w:ind w:right="227"/>
              <w:jc w:val="right"/>
              <w:rPr>
                <w:rFonts w:eastAsia="Times New Roman" w:cs="Calibri"/>
                <w:color w:val="000000"/>
                <w:sz w:val="20"/>
                <w:szCs w:val="20"/>
                <w:lang w:eastAsia="en-AU"/>
              </w:rPr>
            </w:pPr>
            <w:r w:rsidRPr="003F186B">
              <w:rPr>
                <w:rFonts w:eastAsia="Times New Roman" w:cs="Calibri"/>
                <w:color w:val="000000"/>
                <w:sz w:val="20"/>
                <w:szCs w:val="20"/>
                <w:lang w:eastAsia="en-AU"/>
              </w:rPr>
              <w:t>1093.3</w:t>
            </w:r>
          </w:p>
        </w:tc>
        <w:tc>
          <w:tcPr>
            <w:tcW w:w="553" w:type="pct"/>
            <w:tcBorders>
              <w:top w:val="single" w:sz="4" w:space="0" w:color="auto"/>
              <w:left w:val="single" w:sz="4" w:space="0" w:color="auto"/>
              <w:bottom w:val="single" w:sz="4" w:space="0" w:color="auto"/>
              <w:right w:val="single" w:sz="4" w:space="0" w:color="auto"/>
            </w:tcBorders>
            <w:shd w:val="clear" w:color="000000" w:fill="auto"/>
            <w:noWrap/>
            <w:vAlign w:val="bottom"/>
            <w:hideMark/>
          </w:tcPr>
          <w:p w14:paraId="3EBB9922" w14:textId="77777777" w:rsidR="00BA6A85" w:rsidRPr="003F186B" w:rsidRDefault="00BA6A85" w:rsidP="00BA6A85">
            <w:pPr>
              <w:spacing w:line="240" w:lineRule="auto"/>
              <w:ind w:right="227"/>
              <w:jc w:val="right"/>
              <w:rPr>
                <w:rFonts w:eastAsia="Times New Roman" w:cs="Calibri"/>
                <w:color w:val="000000"/>
                <w:sz w:val="20"/>
                <w:szCs w:val="20"/>
                <w:lang w:eastAsia="en-AU"/>
              </w:rPr>
            </w:pPr>
            <w:r w:rsidRPr="003F186B">
              <w:rPr>
                <w:rFonts w:eastAsia="Times New Roman" w:cs="Calibri"/>
                <w:color w:val="000000"/>
                <w:sz w:val="20"/>
                <w:szCs w:val="20"/>
                <w:lang w:eastAsia="en-AU"/>
              </w:rPr>
              <w:t>1204.2</w:t>
            </w:r>
          </w:p>
        </w:tc>
        <w:tc>
          <w:tcPr>
            <w:tcW w:w="552" w:type="pct"/>
            <w:tcBorders>
              <w:top w:val="single" w:sz="4" w:space="0" w:color="auto"/>
              <w:left w:val="single" w:sz="4" w:space="0" w:color="auto"/>
              <w:bottom w:val="single" w:sz="4" w:space="0" w:color="auto"/>
              <w:right w:val="single" w:sz="4" w:space="0" w:color="auto"/>
            </w:tcBorders>
            <w:shd w:val="clear" w:color="000000" w:fill="auto"/>
          </w:tcPr>
          <w:p w14:paraId="3DEE9607" w14:textId="77777777" w:rsidR="00BA6A85" w:rsidRPr="003F186B" w:rsidRDefault="00BA6A85" w:rsidP="00BA6A85">
            <w:pPr>
              <w:spacing w:line="240" w:lineRule="auto"/>
              <w:ind w:right="227"/>
              <w:jc w:val="right"/>
              <w:rPr>
                <w:rFonts w:eastAsia="Times New Roman" w:cs="Calibri"/>
                <w:color w:val="000000"/>
                <w:sz w:val="20"/>
                <w:szCs w:val="20"/>
                <w:lang w:eastAsia="en-AU"/>
              </w:rPr>
            </w:pPr>
            <w:r w:rsidRPr="003F186B">
              <w:rPr>
                <w:rFonts w:eastAsia="Times New Roman" w:cs="Calibri"/>
                <w:color w:val="000000"/>
                <w:sz w:val="20"/>
                <w:szCs w:val="20"/>
                <w:lang w:eastAsia="en-AU"/>
              </w:rPr>
              <w:t>1275.6</w:t>
            </w:r>
          </w:p>
        </w:tc>
        <w:tc>
          <w:tcPr>
            <w:tcW w:w="552" w:type="pct"/>
            <w:tcBorders>
              <w:top w:val="single" w:sz="4" w:space="0" w:color="auto"/>
              <w:left w:val="single" w:sz="4" w:space="0" w:color="auto"/>
              <w:bottom w:val="single" w:sz="4" w:space="0" w:color="auto"/>
              <w:right w:val="single" w:sz="4" w:space="0" w:color="auto"/>
            </w:tcBorders>
            <w:shd w:val="clear" w:color="auto" w:fill="auto"/>
          </w:tcPr>
          <w:p w14:paraId="04FE5ADF" w14:textId="77777777" w:rsidR="00BA6A85" w:rsidRPr="003F186B" w:rsidRDefault="00BA6A85" w:rsidP="00BA6A85">
            <w:pPr>
              <w:spacing w:line="240" w:lineRule="auto"/>
              <w:ind w:right="227"/>
              <w:jc w:val="right"/>
              <w:rPr>
                <w:rFonts w:eastAsia="Times New Roman" w:cs="Calibri"/>
                <w:color w:val="000000"/>
                <w:sz w:val="20"/>
                <w:szCs w:val="20"/>
                <w:lang w:eastAsia="en-AU"/>
              </w:rPr>
            </w:pPr>
            <w:r w:rsidRPr="003F186B">
              <w:rPr>
                <w:rFonts w:eastAsia="Times New Roman" w:cs="Calibri"/>
                <w:color w:val="000000"/>
                <w:sz w:val="20"/>
                <w:szCs w:val="20"/>
                <w:lang w:eastAsia="en-AU"/>
              </w:rPr>
              <w:t>1333.0</w:t>
            </w:r>
          </w:p>
        </w:tc>
      </w:tr>
      <w:tr w:rsidR="00BA6A85" w:rsidRPr="003F186B" w14:paraId="4D545456" w14:textId="77777777" w:rsidTr="0033629A">
        <w:trPr>
          <w:trHeight w:val="261"/>
        </w:trPr>
        <w:tc>
          <w:tcPr>
            <w:tcW w:w="1027" w:type="pct"/>
            <w:tcBorders>
              <w:top w:val="nil"/>
              <w:left w:val="single" w:sz="8" w:space="0" w:color="auto"/>
              <w:bottom w:val="nil"/>
              <w:right w:val="nil"/>
            </w:tcBorders>
            <w:shd w:val="clear" w:color="000000" w:fill="D9D9D9"/>
            <w:noWrap/>
            <w:vAlign w:val="bottom"/>
            <w:hideMark/>
          </w:tcPr>
          <w:p w14:paraId="2BDD2FB5" w14:textId="77777777" w:rsidR="00BA6A85" w:rsidRPr="003F186B" w:rsidRDefault="00BA6A85" w:rsidP="00BA6A85">
            <w:pPr>
              <w:spacing w:line="240" w:lineRule="auto"/>
              <w:rPr>
                <w:rFonts w:eastAsia="Times New Roman" w:cs="Calibri"/>
                <w:b/>
                <w:bCs/>
                <w:color w:val="000000"/>
                <w:sz w:val="20"/>
                <w:szCs w:val="20"/>
                <w:lang w:eastAsia="en-AU"/>
              </w:rPr>
            </w:pPr>
            <w:r w:rsidRPr="003F186B">
              <w:rPr>
                <w:rFonts w:eastAsia="Times New Roman" w:cs="Calibri"/>
                <w:b/>
                <w:bCs/>
                <w:color w:val="000000"/>
                <w:sz w:val="20"/>
                <w:szCs w:val="20"/>
                <w:lang w:eastAsia="en-AU"/>
              </w:rPr>
              <w:t>Non-Government</w:t>
            </w:r>
          </w:p>
        </w:tc>
        <w:tc>
          <w:tcPr>
            <w:tcW w:w="1061" w:type="pct"/>
            <w:tcBorders>
              <w:top w:val="nil"/>
              <w:left w:val="nil"/>
              <w:bottom w:val="nil"/>
              <w:right w:val="single" w:sz="4" w:space="0" w:color="auto"/>
            </w:tcBorders>
            <w:shd w:val="clear" w:color="000000" w:fill="D9D9D9"/>
            <w:noWrap/>
            <w:vAlign w:val="bottom"/>
            <w:hideMark/>
          </w:tcPr>
          <w:p w14:paraId="5F7BF7C3" w14:textId="77777777" w:rsidR="00BA6A85" w:rsidRPr="003F186B" w:rsidRDefault="00BA6A85" w:rsidP="00BA6A85">
            <w:pPr>
              <w:spacing w:line="240" w:lineRule="auto"/>
              <w:rPr>
                <w:rFonts w:eastAsia="Times New Roman" w:cs="Calibri"/>
                <w:b/>
                <w:bCs/>
                <w:color w:val="000000"/>
                <w:sz w:val="20"/>
                <w:szCs w:val="20"/>
                <w:lang w:eastAsia="en-AU"/>
              </w:rPr>
            </w:pPr>
            <w:r w:rsidRPr="003F186B">
              <w:rPr>
                <w:rFonts w:eastAsia="Times New Roman" w:cs="Calibri"/>
                <w:b/>
                <w:bCs/>
                <w:color w:val="000000"/>
                <w:sz w:val="20"/>
                <w:szCs w:val="20"/>
                <w:lang w:eastAsia="en-AU"/>
              </w:rPr>
              <w:t>Year 9</w:t>
            </w:r>
          </w:p>
        </w:tc>
        <w:tc>
          <w:tcPr>
            <w:tcW w:w="611" w:type="pct"/>
            <w:tcBorders>
              <w:top w:val="single" w:sz="4" w:space="0" w:color="auto"/>
              <w:left w:val="nil"/>
              <w:bottom w:val="single" w:sz="4" w:space="0" w:color="auto"/>
              <w:right w:val="single" w:sz="4" w:space="0" w:color="auto"/>
            </w:tcBorders>
            <w:shd w:val="clear" w:color="000000" w:fill="auto"/>
            <w:noWrap/>
            <w:vAlign w:val="bottom"/>
            <w:hideMark/>
          </w:tcPr>
          <w:p w14:paraId="31DCD8D8" w14:textId="77777777" w:rsidR="00BA6A85" w:rsidRPr="003F186B" w:rsidRDefault="00BA6A85" w:rsidP="00BA6A85">
            <w:pPr>
              <w:spacing w:line="240" w:lineRule="auto"/>
              <w:ind w:right="227"/>
              <w:jc w:val="right"/>
              <w:rPr>
                <w:rFonts w:eastAsia="Times New Roman" w:cs="Calibri"/>
                <w:color w:val="000000"/>
                <w:sz w:val="20"/>
                <w:szCs w:val="20"/>
                <w:lang w:eastAsia="en-AU"/>
              </w:rPr>
            </w:pPr>
            <w:r w:rsidRPr="003F186B">
              <w:rPr>
                <w:rFonts w:eastAsia="Times New Roman" w:cs="Calibri"/>
                <w:color w:val="000000"/>
                <w:sz w:val="20"/>
                <w:szCs w:val="20"/>
                <w:lang w:eastAsia="en-AU"/>
              </w:rPr>
              <w:t>113.0</w:t>
            </w:r>
          </w:p>
        </w:tc>
        <w:tc>
          <w:tcPr>
            <w:tcW w:w="645" w:type="pct"/>
            <w:tcBorders>
              <w:top w:val="single" w:sz="4" w:space="0" w:color="auto"/>
              <w:left w:val="single" w:sz="4" w:space="0" w:color="auto"/>
              <w:bottom w:val="single" w:sz="4" w:space="0" w:color="auto"/>
              <w:right w:val="single" w:sz="4" w:space="0" w:color="auto"/>
            </w:tcBorders>
            <w:shd w:val="clear" w:color="000000" w:fill="auto"/>
            <w:noWrap/>
            <w:vAlign w:val="bottom"/>
            <w:hideMark/>
          </w:tcPr>
          <w:p w14:paraId="0077AA9E" w14:textId="77777777" w:rsidR="00BA6A85" w:rsidRPr="003F186B" w:rsidRDefault="00BA6A85" w:rsidP="00BA6A85">
            <w:pPr>
              <w:spacing w:line="240" w:lineRule="auto"/>
              <w:ind w:right="227"/>
              <w:jc w:val="right"/>
              <w:rPr>
                <w:rFonts w:eastAsia="Times New Roman" w:cs="Calibri"/>
                <w:color w:val="000000"/>
                <w:sz w:val="20"/>
                <w:szCs w:val="20"/>
                <w:lang w:eastAsia="en-AU"/>
              </w:rPr>
            </w:pPr>
            <w:r w:rsidRPr="003F186B">
              <w:rPr>
                <w:rFonts w:eastAsia="Times New Roman" w:cs="Calibri"/>
                <w:color w:val="000000"/>
                <w:sz w:val="20"/>
                <w:szCs w:val="20"/>
                <w:lang w:eastAsia="en-AU"/>
              </w:rPr>
              <w:t>104.0</w:t>
            </w:r>
          </w:p>
        </w:tc>
        <w:tc>
          <w:tcPr>
            <w:tcW w:w="553" w:type="pct"/>
            <w:tcBorders>
              <w:top w:val="single" w:sz="4" w:space="0" w:color="auto"/>
              <w:left w:val="single" w:sz="4" w:space="0" w:color="auto"/>
              <w:bottom w:val="single" w:sz="4" w:space="0" w:color="auto"/>
              <w:right w:val="single" w:sz="4" w:space="0" w:color="auto"/>
            </w:tcBorders>
            <w:shd w:val="clear" w:color="000000" w:fill="auto"/>
            <w:noWrap/>
            <w:vAlign w:val="bottom"/>
            <w:hideMark/>
          </w:tcPr>
          <w:p w14:paraId="09D92234" w14:textId="77777777" w:rsidR="00BA6A85" w:rsidRPr="003F186B" w:rsidRDefault="00BA6A85" w:rsidP="00BA6A85">
            <w:pPr>
              <w:spacing w:line="240" w:lineRule="auto"/>
              <w:ind w:right="227"/>
              <w:jc w:val="right"/>
              <w:rPr>
                <w:rFonts w:eastAsia="Times New Roman" w:cs="Calibri"/>
                <w:color w:val="000000"/>
                <w:sz w:val="20"/>
                <w:szCs w:val="20"/>
                <w:lang w:eastAsia="en-AU"/>
              </w:rPr>
            </w:pPr>
            <w:r w:rsidRPr="003F186B">
              <w:rPr>
                <w:rFonts w:eastAsia="Times New Roman" w:cs="Calibri"/>
                <w:color w:val="000000"/>
                <w:sz w:val="20"/>
                <w:szCs w:val="20"/>
                <w:lang w:eastAsia="en-AU"/>
              </w:rPr>
              <w:t>124.0</w:t>
            </w:r>
          </w:p>
        </w:tc>
        <w:tc>
          <w:tcPr>
            <w:tcW w:w="552" w:type="pct"/>
            <w:tcBorders>
              <w:top w:val="single" w:sz="4" w:space="0" w:color="auto"/>
              <w:left w:val="single" w:sz="4" w:space="0" w:color="auto"/>
              <w:bottom w:val="single" w:sz="4" w:space="0" w:color="auto"/>
              <w:right w:val="single" w:sz="4" w:space="0" w:color="auto"/>
            </w:tcBorders>
            <w:shd w:val="clear" w:color="000000" w:fill="auto"/>
          </w:tcPr>
          <w:p w14:paraId="6A01DE36" w14:textId="77777777" w:rsidR="00BA6A85" w:rsidRPr="003F186B" w:rsidRDefault="00BA6A85" w:rsidP="00BA6A85">
            <w:pPr>
              <w:spacing w:line="240" w:lineRule="auto"/>
              <w:ind w:right="227"/>
              <w:jc w:val="right"/>
              <w:rPr>
                <w:rFonts w:eastAsia="Times New Roman" w:cs="Calibri"/>
                <w:color w:val="000000"/>
                <w:sz w:val="20"/>
                <w:szCs w:val="20"/>
                <w:lang w:eastAsia="en-AU"/>
              </w:rPr>
            </w:pPr>
            <w:r w:rsidRPr="003F186B">
              <w:rPr>
                <w:rFonts w:eastAsia="Times New Roman" w:cs="Calibri"/>
                <w:color w:val="000000"/>
                <w:sz w:val="20"/>
                <w:szCs w:val="20"/>
                <w:lang w:eastAsia="en-AU"/>
              </w:rPr>
              <w:t>126.4</w:t>
            </w:r>
          </w:p>
        </w:tc>
        <w:tc>
          <w:tcPr>
            <w:tcW w:w="552" w:type="pct"/>
            <w:tcBorders>
              <w:top w:val="single" w:sz="4" w:space="0" w:color="auto"/>
              <w:left w:val="single" w:sz="4" w:space="0" w:color="auto"/>
              <w:bottom w:val="single" w:sz="4" w:space="0" w:color="auto"/>
              <w:right w:val="single" w:sz="4" w:space="0" w:color="auto"/>
            </w:tcBorders>
            <w:shd w:val="clear" w:color="auto" w:fill="auto"/>
          </w:tcPr>
          <w:p w14:paraId="64B6A13C" w14:textId="77777777" w:rsidR="00BA6A85" w:rsidRPr="003F186B" w:rsidRDefault="00BA6A85" w:rsidP="00BA6A85">
            <w:pPr>
              <w:spacing w:line="240" w:lineRule="auto"/>
              <w:ind w:right="227"/>
              <w:jc w:val="right"/>
              <w:rPr>
                <w:rFonts w:eastAsia="Times New Roman" w:cs="Calibri"/>
                <w:color w:val="000000"/>
                <w:sz w:val="20"/>
                <w:szCs w:val="20"/>
                <w:lang w:eastAsia="en-AU"/>
              </w:rPr>
            </w:pPr>
            <w:r w:rsidRPr="003F186B">
              <w:rPr>
                <w:rFonts w:eastAsia="Times New Roman" w:cs="Calibri"/>
                <w:color w:val="000000"/>
                <w:sz w:val="20"/>
                <w:szCs w:val="20"/>
                <w:lang w:eastAsia="en-AU"/>
              </w:rPr>
              <w:t>136.0</w:t>
            </w:r>
          </w:p>
        </w:tc>
      </w:tr>
      <w:tr w:rsidR="00BA6A85" w:rsidRPr="003F186B" w14:paraId="7FB4EFBE" w14:textId="77777777" w:rsidTr="0033629A">
        <w:trPr>
          <w:trHeight w:val="245"/>
        </w:trPr>
        <w:tc>
          <w:tcPr>
            <w:tcW w:w="1027" w:type="pct"/>
            <w:tcBorders>
              <w:top w:val="nil"/>
              <w:left w:val="single" w:sz="8" w:space="0" w:color="auto"/>
              <w:bottom w:val="nil"/>
              <w:right w:val="nil"/>
            </w:tcBorders>
            <w:shd w:val="clear" w:color="000000" w:fill="D9D9D9"/>
            <w:noWrap/>
            <w:vAlign w:val="bottom"/>
            <w:hideMark/>
          </w:tcPr>
          <w:p w14:paraId="37344368" w14:textId="77777777" w:rsidR="00BA6A85" w:rsidRPr="003F186B" w:rsidRDefault="00BA6A85" w:rsidP="00BA6A85">
            <w:pPr>
              <w:spacing w:line="240" w:lineRule="auto"/>
              <w:rPr>
                <w:rFonts w:eastAsia="Times New Roman" w:cs="Calibri"/>
                <w:b/>
                <w:bCs/>
                <w:color w:val="000000"/>
                <w:sz w:val="20"/>
                <w:szCs w:val="20"/>
                <w:lang w:eastAsia="en-AU"/>
              </w:rPr>
            </w:pPr>
            <w:r w:rsidRPr="003F186B">
              <w:rPr>
                <w:rFonts w:eastAsia="Times New Roman" w:cs="Calibri"/>
                <w:b/>
                <w:bCs/>
                <w:color w:val="000000"/>
                <w:sz w:val="20"/>
                <w:szCs w:val="20"/>
                <w:lang w:eastAsia="en-AU"/>
              </w:rPr>
              <w:t> </w:t>
            </w:r>
          </w:p>
        </w:tc>
        <w:tc>
          <w:tcPr>
            <w:tcW w:w="1061" w:type="pct"/>
            <w:tcBorders>
              <w:top w:val="nil"/>
              <w:left w:val="nil"/>
              <w:bottom w:val="single" w:sz="4" w:space="0" w:color="auto"/>
              <w:right w:val="single" w:sz="4" w:space="0" w:color="auto"/>
            </w:tcBorders>
            <w:shd w:val="clear" w:color="000000" w:fill="D9D9D9"/>
            <w:noWrap/>
            <w:vAlign w:val="bottom"/>
            <w:hideMark/>
          </w:tcPr>
          <w:p w14:paraId="6B0AB04A" w14:textId="77777777" w:rsidR="00BA6A85" w:rsidRPr="003F186B" w:rsidRDefault="00BA6A85" w:rsidP="00BA6A85">
            <w:pPr>
              <w:spacing w:line="240" w:lineRule="auto"/>
              <w:rPr>
                <w:rFonts w:eastAsia="Times New Roman" w:cs="Calibri"/>
                <w:b/>
                <w:bCs/>
                <w:color w:val="000000"/>
                <w:sz w:val="20"/>
                <w:szCs w:val="20"/>
                <w:lang w:eastAsia="en-AU"/>
              </w:rPr>
            </w:pPr>
            <w:r w:rsidRPr="003F186B">
              <w:rPr>
                <w:rFonts w:eastAsia="Times New Roman" w:cs="Calibri"/>
                <w:b/>
                <w:bCs/>
                <w:color w:val="000000"/>
                <w:sz w:val="20"/>
                <w:szCs w:val="20"/>
                <w:lang w:eastAsia="en-AU"/>
              </w:rPr>
              <w:t>Year 10</w:t>
            </w:r>
          </w:p>
        </w:tc>
        <w:tc>
          <w:tcPr>
            <w:tcW w:w="611" w:type="pct"/>
            <w:tcBorders>
              <w:top w:val="single" w:sz="4" w:space="0" w:color="auto"/>
              <w:left w:val="nil"/>
              <w:bottom w:val="single" w:sz="4" w:space="0" w:color="auto"/>
              <w:right w:val="single" w:sz="4" w:space="0" w:color="auto"/>
            </w:tcBorders>
            <w:shd w:val="clear" w:color="000000" w:fill="auto"/>
            <w:noWrap/>
            <w:vAlign w:val="bottom"/>
            <w:hideMark/>
          </w:tcPr>
          <w:p w14:paraId="1419F9FA" w14:textId="77777777" w:rsidR="00BA6A85" w:rsidRPr="003F186B" w:rsidRDefault="00BA6A85" w:rsidP="00BA6A85">
            <w:pPr>
              <w:spacing w:line="240" w:lineRule="auto"/>
              <w:ind w:right="227"/>
              <w:jc w:val="right"/>
              <w:rPr>
                <w:rFonts w:eastAsia="Times New Roman" w:cs="Calibri"/>
                <w:color w:val="000000"/>
                <w:sz w:val="20"/>
                <w:szCs w:val="20"/>
                <w:lang w:eastAsia="en-AU"/>
              </w:rPr>
            </w:pPr>
            <w:r w:rsidRPr="003F186B">
              <w:rPr>
                <w:rFonts w:eastAsia="Times New Roman" w:cs="Calibri"/>
                <w:color w:val="000000"/>
                <w:sz w:val="20"/>
                <w:szCs w:val="20"/>
                <w:lang w:eastAsia="en-AU"/>
              </w:rPr>
              <w:t>98.0</w:t>
            </w:r>
          </w:p>
        </w:tc>
        <w:tc>
          <w:tcPr>
            <w:tcW w:w="645" w:type="pct"/>
            <w:tcBorders>
              <w:top w:val="single" w:sz="4" w:space="0" w:color="auto"/>
              <w:left w:val="single" w:sz="4" w:space="0" w:color="auto"/>
              <w:bottom w:val="single" w:sz="4" w:space="0" w:color="auto"/>
              <w:right w:val="single" w:sz="4" w:space="0" w:color="auto"/>
            </w:tcBorders>
            <w:shd w:val="clear" w:color="000000" w:fill="auto"/>
            <w:noWrap/>
            <w:vAlign w:val="bottom"/>
            <w:hideMark/>
          </w:tcPr>
          <w:p w14:paraId="43979F4C" w14:textId="77777777" w:rsidR="00BA6A85" w:rsidRPr="003F186B" w:rsidRDefault="00BA6A85" w:rsidP="00BA6A85">
            <w:pPr>
              <w:spacing w:line="240" w:lineRule="auto"/>
              <w:ind w:right="227"/>
              <w:jc w:val="right"/>
              <w:rPr>
                <w:rFonts w:eastAsia="Times New Roman" w:cs="Calibri"/>
                <w:color w:val="000000"/>
                <w:sz w:val="20"/>
                <w:szCs w:val="20"/>
                <w:lang w:eastAsia="en-AU"/>
              </w:rPr>
            </w:pPr>
            <w:r w:rsidRPr="003F186B">
              <w:rPr>
                <w:rFonts w:eastAsia="Times New Roman" w:cs="Calibri"/>
                <w:color w:val="000000"/>
                <w:sz w:val="20"/>
                <w:szCs w:val="20"/>
                <w:lang w:eastAsia="en-AU"/>
              </w:rPr>
              <w:t>93.0</w:t>
            </w:r>
          </w:p>
        </w:tc>
        <w:tc>
          <w:tcPr>
            <w:tcW w:w="553" w:type="pct"/>
            <w:tcBorders>
              <w:top w:val="single" w:sz="4" w:space="0" w:color="auto"/>
              <w:left w:val="single" w:sz="4" w:space="0" w:color="auto"/>
              <w:bottom w:val="single" w:sz="4" w:space="0" w:color="auto"/>
              <w:right w:val="single" w:sz="4" w:space="0" w:color="auto"/>
            </w:tcBorders>
            <w:shd w:val="clear" w:color="000000" w:fill="auto"/>
            <w:noWrap/>
            <w:vAlign w:val="bottom"/>
            <w:hideMark/>
          </w:tcPr>
          <w:p w14:paraId="2AC6F848" w14:textId="77777777" w:rsidR="00BA6A85" w:rsidRPr="003F186B" w:rsidRDefault="00BA6A85" w:rsidP="00BA6A85">
            <w:pPr>
              <w:spacing w:line="240" w:lineRule="auto"/>
              <w:ind w:right="227"/>
              <w:jc w:val="right"/>
              <w:rPr>
                <w:rFonts w:eastAsia="Times New Roman" w:cs="Calibri"/>
                <w:color w:val="000000"/>
                <w:sz w:val="20"/>
                <w:szCs w:val="20"/>
                <w:lang w:eastAsia="en-AU"/>
              </w:rPr>
            </w:pPr>
            <w:r w:rsidRPr="003F186B">
              <w:rPr>
                <w:rFonts w:eastAsia="Times New Roman" w:cs="Calibri"/>
                <w:color w:val="000000"/>
                <w:sz w:val="20"/>
                <w:szCs w:val="20"/>
                <w:lang w:eastAsia="en-AU"/>
              </w:rPr>
              <w:t>101.8</w:t>
            </w:r>
          </w:p>
        </w:tc>
        <w:tc>
          <w:tcPr>
            <w:tcW w:w="552" w:type="pct"/>
            <w:tcBorders>
              <w:top w:val="single" w:sz="4" w:space="0" w:color="auto"/>
              <w:left w:val="single" w:sz="4" w:space="0" w:color="auto"/>
              <w:bottom w:val="single" w:sz="4" w:space="0" w:color="auto"/>
              <w:right w:val="single" w:sz="4" w:space="0" w:color="auto"/>
            </w:tcBorders>
            <w:shd w:val="clear" w:color="000000" w:fill="auto"/>
          </w:tcPr>
          <w:p w14:paraId="2E2FBB8C" w14:textId="77777777" w:rsidR="00BA6A85" w:rsidRPr="003F186B" w:rsidRDefault="00BA6A85" w:rsidP="00BA6A85">
            <w:pPr>
              <w:spacing w:line="240" w:lineRule="auto"/>
              <w:ind w:right="227"/>
              <w:jc w:val="right"/>
              <w:rPr>
                <w:rFonts w:eastAsia="Times New Roman" w:cs="Calibri"/>
                <w:color w:val="000000"/>
                <w:sz w:val="20"/>
                <w:szCs w:val="20"/>
                <w:lang w:eastAsia="en-AU"/>
              </w:rPr>
            </w:pPr>
            <w:r w:rsidRPr="003F186B">
              <w:rPr>
                <w:rFonts w:eastAsia="Times New Roman" w:cs="Calibri"/>
                <w:color w:val="000000"/>
                <w:sz w:val="20"/>
                <w:szCs w:val="20"/>
                <w:lang w:eastAsia="en-AU"/>
              </w:rPr>
              <w:t>131.0</w:t>
            </w:r>
          </w:p>
        </w:tc>
        <w:tc>
          <w:tcPr>
            <w:tcW w:w="552" w:type="pct"/>
            <w:tcBorders>
              <w:top w:val="single" w:sz="4" w:space="0" w:color="auto"/>
              <w:left w:val="single" w:sz="4" w:space="0" w:color="auto"/>
              <w:bottom w:val="single" w:sz="4" w:space="0" w:color="auto"/>
              <w:right w:val="single" w:sz="4" w:space="0" w:color="auto"/>
            </w:tcBorders>
            <w:shd w:val="clear" w:color="auto" w:fill="auto"/>
          </w:tcPr>
          <w:p w14:paraId="783AB815" w14:textId="77777777" w:rsidR="00BA6A85" w:rsidRPr="003F186B" w:rsidRDefault="00BA6A85" w:rsidP="00BA6A85">
            <w:pPr>
              <w:spacing w:line="240" w:lineRule="auto"/>
              <w:ind w:right="227"/>
              <w:jc w:val="right"/>
              <w:rPr>
                <w:rFonts w:eastAsia="Times New Roman" w:cs="Calibri"/>
                <w:color w:val="000000"/>
                <w:sz w:val="20"/>
                <w:szCs w:val="20"/>
                <w:lang w:eastAsia="en-AU"/>
              </w:rPr>
            </w:pPr>
            <w:r w:rsidRPr="003F186B">
              <w:rPr>
                <w:rFonts w:eastAsia="Times New Roman" w:cs="Calibri"/>
                <w:color w:val="000000"/>
                <w:sz w:val="20"/>
                <w:szCs w:val="20"/>
                <w:lang w:eastAsia="en-AU"/>
              </w:rPr>
              <w:t>143.0</w:t>
            </w:r>
          </w:p>
        </w:tc>
      </w:tr>
      <w:tr w:rsidR="00BA6A85" w:rsidRPr="003F186B" w14:paraId="644F1AAB" w14:textId="77777777" w:rsidTr="0033629A">
        <w:trPr>
          <w:trHeight w:val="261"/>
        </w:trPr>
        <w:tc>
          <w:tcPr>
            <w:tcW w:w="1027" w:type="pct"/>
            <w:tcBorders>
              <w:top w:val="nil"/>
              <w:left w:val="single" w:sz="8" w:space="0" w:color="auto"/>
              <w:bottom w:val="single" w:sz="4" w:space="0" w:color="auto"/>
              <w:right w:val="nil"/>
            </w:tcBorders>
            <w:shd w:val="clear" w:color="000000" w:fill="D9D9D9"/>
            <w:noWrap/>
            <w:vAlign w:val="bottom"/>
            <w:hideMark/>
          </w:tcPr>
          <w:p w14:paraId="5B5E3E70" w14:textId="77777777" w:rsidR="00BA6A85" w:rsidRPr="003F186B" w:rsidRDefault="00BA6A85" w:rsidP="00BA6A85">
            <w:pPr>
              <w:spacing w:line="240" w:lineRule="auto"/>
              <w:rPr>
                <w:rFonts w:eastAsia="Times New Roman" w:cs="Calibri"/>
                <w:b/>
                <w:bCs/>
                <w:color w:val="000000"/>
                <w:sz w:val="20"/>
                <w:szCs w:val="20"/>
                <w:lang w:eastAsia="en-AU"/>
              </w:rPr>
            </w:pPr>
            <w:r w:rsidRPr="003F186B">
              <w:rPr>
                <w:rFonts w:eastAsia="Times New Roman" w:cs="Calibri"/>
                <w:b/>
                <w:bCs/>
                <w:color w:val="000000"/>
                <w:sz w:val="20"/>
                <w:szCs w:val="20"/>
                <w:lang w:eastAsia="en-AU"/>
              </w:rPr>
              <w:t> </w:t>
            </w:r>
          </w:p>
        </w:tc>
        <w:tc>
          <w:tcPr>
            <w:tcW w:w="1061" w:type="pct"/>
            <w:tcBorders>
              <w:top w:val="nil"/>
              <w:left w:val="nil"/>
              <w:bottom w:val="single" w:sz="4" w:space="0" w:color="auto"/>
              <w:right w:val="single" w:sz="4" w:space="0" w:color="auto"/>
            </w:tcBorders>
            <w:shd w:val="clear" w:color="000000" w:fill="D9D9D9"/>
            <w:noWrap/>
            <w:vAlign w:val="bottom"/>
            <w:hideMark/>
          </w:tcPr>
          <w:p w14:paraId="498E369D" w14:textId="77777777" w:rsidR="00BA6A85" w:rsidRPr="003F186B" w:rsidRDefault="00BA6A85" w:rsidP="00BA6A85">
            <w:pPr>
              <w:spacing w:line="240" w:lineRule="auto"/>
              <w:rPr>
                <w:rFonts w:eastAsia="Times New Roman" w:cs="Calibri"/>
                <w:b/>
                <w:bCs/>
                <w:color w:val="000000"/>
                <w:sz w:val="20"/>
                <w:szCs w:val="20"/>
                <w:lang w:eastAsia="en-AU"/>
              </w:rPr>
            </w:pPr>
            <w:r w:rsidRPr="003F186B">
              <w:rPr>
                <w:rFonts w:eastAsia="Times New Roman" w:cs="Calibri"/>
                <w:b/>
                <w:bCs/>
                <w:color w:val="000000"/>
                <w:sz w:val="20"/>
                <w:szCs w:val="20"/>
                <w:lang w:eastAsia="en-AU"/>
              </w:rPr>
              <w:t>Total</w:t>
            </w:r>
          </w:p>
        </w:tc>
        <w:tc>
          <w:tcPr>
            <w:tcW w:w="611" w:type="pct"/>
            <w:tcBorders>
              <w:top w:val="single" w:sz="4" w:space="0" w:color="auto"/>
              <w:left w:val="nil"/>
              <w:bottom w:val="single" w:sz="4" w:space="0" w:color="auto"/>
              <w:right w:val="single" w:sz="4" w:space="0" w:color="auto"/>
            </w:tcBorders>
            <w:shd w:val="clear" w:color="000000" w:fill="auto"/>
            <w:noWrap/>
            <w:vAlign w:val="bottom"/>
            <w:hideMark/>
          </w:tcPr>
          <w:p w14:paraId="6FD1FC66" w14:textId="77777777" w:rsidR="00BA6A85" w:rsidRPr="003F186B" w:rsidRDefault="00BA6A85" w:rsidP="00BA6A85">
            <w:pPr>
              <w:spacing w:line="240" w:lineRule="auto"/>
              <w:ind w:right="227"/>
              <w:jc w:val="right"/>
              <w:rPr>
                <w:rFonts w:eastAsia="Times New Roman" w:cs="Calibri"/>
                <w:color w:val="000000"/>
                <w:sz w:val="20"/>
                <w:szCs w:val="20"/>
                <w:lang w:eastAsia="en-AU"/>
              </w:rPr>
            </w:pPr>
            <w:r w:rsidRPr="003F186B">
              <w:rPr>
                <w:rFonts w:eastAsia="Times New Roman" w:cs="Calibri"/>
                <w:color w:val="000000"/>
                <w:sz w:val="20"/>
                <w:szCs w:val="20"/>
                <w:lang w:eastAsia="en-AU"/>
              </w:rPr>
              <w:t>211.0</w:t>
            </w:r>
          </w:p>
        </w:tc>
        <w:tc>
          <w:tcPr>
            <w:tcW w:w="645" w:type="pct"/>
            <w:tcBorders>
              <w:top w:val="single" w:sz="4" w:space="0" w:color="auto"/>
              <w:left w:val="single" w:sz="4" w:space="0" w:color="auto"/>
              <w:bottom w:val="single" w:sz="4" w:space="0" w:color="auto"/>
              <w:right w:val="single" w:sz="4" w:space="0" w:color="auto"/>
            </w:tcBorders>
            <w:shd w:val="clear" w:color="000000" w:fill="auto"/>
            <w:noWrap/>
            <w:vAlign w:val="bottom"/>
            <w:hideMark/>
          </w:tcPr>
          <w:p w14:paraId="65CCCD50" w14:textId="77777777" w:rsidR="00BA6A85" w:rsidRPr="003F186B" w:rsidRDefault="00BA6A85" w:rsidP="00BA6A85">
            <w:pPr>
              <w:spacing w:line="240" w:lineRule="auto"/>
              <w:ind w:right="227"/>
              <w:jc w:val="right"/>
              <w:rPr>
                <w:rFonts w:eastAsia="Times New Roman" w:cs="Calibri"/>
                <w:color w:val="000000"/>
                <w:sz w:val="20"/>
                <w:szCs w:val="20"/>
                <w:lang w:eastAsia="en-AU"/>
              </w:rPr>
            </w:pPr>
            <w:r w:rsidRPr="003F186B">
              <w:rPr>
                <w:rFonts w:eastAsia="Times New Roman" w:cs="Calibri"/>
                <w:color w:val="000000"/>
                <w:sz w:val="20"/>
                <w:szCs w:val="20"/>
                <w:lang w:eastAsia="en-AU"/>
              </w:rPr>
              <w:t>197.0</w:t>
            </w:r>
          </w:p>
        </w:tc>
        <w:tc>
          <w:tcPr>
            <w:tcW w:w="553" w:type="pct"/>
            <w:tcBorders>
              <w:top w:val="single" w:sz="4" w:space="0" w:color="auto"/>
              <w:left w:val="single" w:sz="4" w:space="0" w:color="auto"/>
              <w:bottom w:val="single" w:sz="4" w:space="0" w:color="auto"/>
              <w:right w:val="single" w:sz="4" w:space="0" w:color="auto"/>
            </w:tcBorders>
            <w:shd w:val="clear" w:color="000000" w:fill="auto"/>
            <w:noWrap/>
            <w:vAlign w:val="bottom"/>
            <w:hideMark/>
          </w:tcPr>
          <w:p w14:paraId="7CED646E" w14:textId="77777777" w:rsidR="00BA6A85" w:rsidRPr="003F186B" w:rsidRDefault="00BA6A85" w:rsidP="00BA6A85">
            <w:pPr>
              <w:spacing w:line="240" w:lineRule="auto"/>
              <w:ind w:right="227"/>
              <w:jc w:val="right"/>
              <w:rPr>
                <w:rFonts w:eastAsia="Times New Roman" w:cs="Calibri"/>
                <w:color w:val="000000"/>
                <w:sz w:val="20"/>
                <w:szCs w:val="20"/>
                <w:lang w:eastAsia="en-AU"/>
              </w:rPr>
            </w:pPr>
            <w:r w:rsidRPr="003F186B">
              <w:rPr>
                <w:rFonts w:eastAsia="Times New Roman" w:cs="Calibri"/>
                <w:color w:val="000000"/>
                <w:sz w:val="20"/>
                <w:szCs w:val="20"/>
                <w:lang w:eastAsia="en-AU"/>
              </w:rPr>
              <w:t>225.8</w:t>
            </w:r>
          </w:p>
        </w:tc>
        <w:tc>
          <w:tcPr>
            <w:tcW w:w="552" w:type="pct"/>
            <w:tcBorders>
              <w:top w:val="single" w:sz="4" w:space="0" w:color="auto"/>
              <w:left w:val="single" w:sz="4" w:space="0" w:color="auto"/>
              <w:bottom w:val="single" w:sz="4" w:space="0" w:color="auto"/>
              <w:right w:val="single" w:sz="4" w:space="0" w:color="auto"/>
            </w:tcBorders>
            <w:shd w:val="clear" w:color="000000" w:fill="auto"/>
          </w:tcPr>
          <w:p w14:paraId="3A32BF28" w14:textId="77777777" w:rsidR="00BA6A85" w:rsidRPr="003F186B" w:rsidRDefault="00BA6A85" w:rsidP="00BA6A85">
            <w:pPr>
              <w:spacing w:line="240" w:lineRule="auto"/>
              <w:ind w:right="227"/>
              <w:jc w:val="right"/>
              <w:rPr>
                <w:rFonts w:eastAsia="Times New Roman" w:cs="Calibri"/>
                <w:color w:val="000000"/>
                <w:sz w:val="20"/>
                <w:szCs w:val="20"/>
                <w:lang w:eastAsia="en-AU"/>
              </w:rPr>
            </w:pPr>
            <w:r w:rsidRPr="003F186B">
              <w:rPr>
                <w:rFonts w:eastAsia="Times New Roman" w:cs="Calibri"/>
                <w:color w:val="000000"/>
                <w:sz w:val="20"/>
                <w:szCs w:val="20"/>
                <w:lang w:eastAsia="en-AU"/>
              </w:rPr>
              <w:t>257.4</w:t>
            </w:r>
          </w:p>
        </w:tc>
        <w:tc>
          <w:tcPr>
            <w:tcW w:w="552" w:type="pct"/>
            <w:tcBorders>
              <w:top w:val="single" w:sz="4" w:space="0" w:color="auto"/>
              <w:left w:val="single" w:sz="4" w:space="0" w:color="auto"/>
              <w:bottom w:val="single" w:sz="4" w:space="0" w:color="auto"/>
              <w:right w:val="single" w:sz="4" w:space="0" w:color="auto"/>
            </w:tcBorders>
            <w:shd w:val="clear" w:color="auto" w:fill="auto"/>
          </w:tcPr>
          <w:p w14:paraId="47DC2A49" w14:textId="77777777" w:rsidR="00BA6A85" w:rsidRPr="003F186B" w:rsidRDefault="00BA6A85" w:rsidP="00BA6A85">
            <w:pPr>
              <w:spacing w:line="240" w:lineRule="auto"/>
              <w:ind w:right="227"/>
              <w:jc w:val="right"/>
              <w:rPr>
                <w:rFonts w:eastAsia="Times New Roman" w:cs="Calibri"/>
                <w:color w:val="000000"/>
                <w:sz w:val="20"/>
                <w:szCs w:val="20"/>
                <w:lang w:eastAsia="en-AU"/>
              </w:rPr>
            </w:pPr>
            <w:r w:rsidRPr="003F186B">
              <w:rPr>
                <w:rFonts w:eastAsia="Times New Roman" w:cs="Calibri"/>
                <w:color w:val="000000"/>
                <w:sz w:val="20"/>
                <w:szCs w:val="20"/>
                <w:lang w:eastAsia="en-AU"/>
              </w:rPr>
              <w:t>279.0</w:t>
            </w:r>
          </w:p>
        </w:tc>
      </w:tr>
      <w:tr w:rsidR="00BA6A85" w:rsidRPr="003F186B" w14:paraId="11EB9A1B" w14:textId="77777777" w:rsidTr="0033629A">
        <w:trPr>
          <w:trHeight w:val="276"/>
        </w:trPr>
        <w:tc>
          <w:tcPr>
            <w:tcW w:w="1027" w:type="pct"/>
            <w:tcBorders>
              <w:top w:val="nil"/>
              <w:left w:val="single" w:sz="8" w:space="0" w:color="auto"/>
              <w:bottom w:val="single" w:sz="8" w:space="0" w:color="auto"/>
              <w:right w:val="nil"/>
            </w:tcBorders>
            <w:shd w:val="clear" w:color="000000" w:fill="D9D9D9"/>
            <w:noWrap/>
            <w:vAlign w:val="bottom"/>
            <w:hideMark/>
          </w:tcPr>
          <w:p w14:paraId="49BEFE64" w14:textId="77777777" w:rsidR="00BA6A85" w:rsidRPr="003F186B" w:rsidRDefault="00BA6A85" w:rsidP="00BA6A85">
            <w:pPr>
              <w:spacing w:line="240" w:lineRule="auto"/>
              <w:rPr>
                <w:rFonts w:eastAsia="Times New Roman" w:cs="Calibri"/>
                <w:b/>
                <w:bCs/>
                <w:color w:val="000000"/>
                <w:sz w:val="20"/>
                <w:szCs w:val="20"/>
                <w:lang w:eastAsia="en-AU"/>
              </w:rPr>
            </w:pPr>
            <w:r w:rsidRPr="003F186B">
              <w:rPr>
                <w:rFonts w:eastAsia="Times New Roman" w:cs="Calibri"/>
                <w:b/>
                <w:bCs/>
                <w:color w:val="000000"/>
                <w:sz w:val="20"/>
                <w:szCs w:val="20"/>
                <w:lang w:eastAsia="en-AU"/>
              </w:rPr>
              <w:t>TOTAL</w:t>
            </w:r>
          </w:p>
        </w:tc>
        <w:tc>
          <w:tcPr>
            <w:tcW w:w="1061" w:type="pct"/>
            <w:tcBorders>
              <w:top w:val="nil"/>
              <w:left w:val="nil"/>
              <w:bottom w:val="single" w:sz="8" w:space="0" w:color="auto"/>
              <w:right w:val="single" w:sz="4" w:space="0" w:color="auto"/>
            </w:tcBorders>
            <w:shd w:val="clear" w:color="000000" w:fill="D9D9D9"/>
            <w:noWrap/>
            <w:vAlign w:val="bottom"/>
            <w:hideMark/>
          </w:tcPr>
          <w:p w14:paraId="3F322E3A" w14:textId="77777777" w:rsidR="00BA6A85" w:rsidRPr="003F186B" w:rsidRDefault="00BA6A85" w:rsidP="00BA6A85">
            <w:pPr>
              <w:spacing w:line="240" w:lineRule="auto"/>
              <w:rPr>
                <w:rFonts w:eastAsia="Times New Roman" w:cs="Calibri"/>
                <w:b/>
                <w:bCs/>
                <w:color w:val="000000"/>
                <w:sz w:val="20"/>
                <w:szCs w:val="20"/>
                <w:lang w:eastAsia="en-AU"/>
              </w:rPr>
            </w:pPr>
            <w:r w:rsidRPr="003F186B">
              <w:rPr>
                <w:rFonts w:eastAsia="Times New Roman" w:cs="Calibri"/>
                <w:b/>
                <w:bCs/>
                <w:color w:val="000000"/>
                <w:sz w:val="20"/>
                <w:szCs w:val="20"/>
                <w:lang w:eastAsia="en-AU"/>
              </w:rPr>
              <w:t> </w:t>
            </w:r>
          </w:p>
        </w:tc>
        <w:tc>
          <w:tcPr>
            <w:tcW w:w="611" w:type="pct"/>
            <w:tcBorders>
              <w:top w:val="single" w:sz="4" w:space="0" w:color="auto"/>
              <w:left w:val="nil"/>
              <w:bottom w:val="single" w:sz="4" w:space="0" w:color="auto"/>
              <w:right w:val="single" w:sz="4" w:space="0" w:color="auto"/>
            </w:tcBorders>
            <w:shd w:val="clear" w:color="000000" w:fill="auto"/>
            <w:noWrap/>
            <w:vAlign w:val="bottom"/>
            <w:hideMark/>
          </w:tcPr>
          <w:p w14:paraId="03243021" w14:textId="77777777" w:rsidR="00BA6A85" w:rsidRPr="003F186B" w:rsidRDefault="00BA6A85" w:rsidP="00BA6A85">
            <w:pPr>
              <w:spacing w:line="240" w:lineRule="auto"/>
              <w:ind w:right="227"/>
              <w:jc w:val="right"/>
              <w:rPr>
                <w:rFonts w:eastAsia="Times New Roman" w:cs="Calibri"/>
                <w:color w:val="000000"/>
                <w:sz w:val="20"/>
                <w:szCs w:val="20"/>
                <w:lang w:eastAsia="en-AU"/>
              </w:rPr>
            </w:pPr>
            <w:r w:rsidRPr="003F186B">
              <w:rPr>
                <w:rFonts w:eastAsia="Times New Roman" w:cs="Calibri"/>
                <w:color w:val="000000"/>
                <w:sz w:val="20"/>
                <w:szCs w:val="20"/>
                <w:lang w:eastAsia="en-AU"/>
              </w:rPr>
              <w:t>1256.1</w:t>
            </w:r>
          </w:p>
        </w:tc>
        <w:tc>
          <w:tcPr>
            <w:tcW w:w="645" w:type="pct"/>
            <w:tcBorders>
              <w:top w:val="single" w:sz="4" w:space="0" w:color="auto"/>
              <w:left w:val="single" w:sz="4" w:space="0" w:color="auto"/>
              <w:bottom w:val="single" w:sz="4" w:space="0" w:color="auto"/>
              <w:right w:val="single" w:sz="4" w:space="0" w:color="auto"/>
            </w:tcBorders>
            <w:shd w:val="clear" w:color="000000" w:fill="auto"/>
            <w:noWrap/>
            <w:vAlign w:val="bottom"/>
            <w:hideMark/>
          </w:tcPr>
          <w:p w14:paraId="1E57194A" w14:textId="77777777" w:rsidR="00BA6A85" w:rsidRPr="003F186B" w:rsidRDefault="00BA6A85" w:rsidP="00BA6A85">
            <w:pPr>
              <w:spacing w:line="240" w:lineRule="auto"/>
              <w:ind w:right="227"/>
              <w:jc w:val="right"/>
              <w:rPr>
                <w:rFonts w:eastAsia="Times New Roman" w:cs="Calibri"/>
                <w:color w:val="000000"/>
                <w:sz w:val="20"/>
                <w:szCs w:val="20"/>
                <w:lang w:eastAsia="en-AU"/>
              </w:rPr>
            </w:pPr>
            <w:r w:rsidRPr="003F186B">
              <w:rPr>
                <w:rFonts w:eastAsia="Times New Roman" w:cs="Calibri"/>
                <w:color w:val="000000"/>
                <w:sz w:val="20"/>
                <w:szCs w:val="20"/>
                <w:lang w:eastAsia="en-AU"/>
              </w:rPr>
              <w:t>1290.3</w:t>
            </w:r>
          </w:p>
        </w:tc>
        <w:tc>
          <w:tcPr>
            <w:tcW w:w="553" w:type="pct"/>
            <w:tcBorders>
              <w:top w:val="single" w:sz="4" w:space="0" w:color="auto"/>
              <w:left w:val="single" w:sz="4" w:space="0" w:color="auto"/>
              <w:bottom w:val="single" w:sz="4" w:space="0" w:color="auto"/>
              <w:right w:val="single" w:sz="4" w:space="0" w:color="auto"/>
            </w:tcBorders>
            <w:shd w:val="clear" w:color="000000" w:fill="auto"/>
            <w:noWrap/>
            <w:vAlign w:val="bottom"/>
            <w:hideMark/>
          </w:tcPr>
          <w:p w14:paraId="0E71E150" w14:textId="77777777" w:rsidR="00BA6A85" w:rsidRPr="003F186B" w:rsidRDefault="00BA6A85" w:rsidP="00BA6A85">
            <w:pPr>
              <w:spacing w:line="240" w:lineRule="auto"/>
              <w:ind w:right="227"/>
              <w:jc w:val="right"/>
              <w:rPr>
                <w:rFonts w:eastAsia="Times New Roman" w:cs="Calibri"/>
                <w:color w:val="000000"/>
                <w:sz w:val="20"/>
                <w:szCs w:val="20"/>
                <w:lang w:eastAsia="en-AU"/>
              </w:rPr>
            </w:pPr>
            <w:r w:rsidRPr="003F186B">
              <w:rPr>
                <w:rFonts w:eastAsia="Times New Roman" w:cs="Calibri"/>
                <w:color w:val="000000"/>
                <w:sz w:val="20"/>
                <w:szCs w:val="20"/>
                <w:lang w:eastAsia="en-AU"/>
              </w:rPr>
              <w:t>1430.0</w:t>
            </w:r>
          </w:p>
        </w:tc>
        <w:tc>
          <w:tcPr>
            <w:tcW w:w="552" w:type="pct"/>
            <w:tcBorders>
              <w:top w:val="single" w:sz="4" w:space="0" w:color="auto"/>
              <w:left w:val="single" w:sz="4" w:space="0" w:color="auto"/>
              <w:bottom w:val="single" w:sz="4" w:space="0" w:color="auto"/>
              <w:right w:val="single" w:sz="4" w:space="0" w:color="auto"/>
            </w:tcBorders>
            <w:shd w:val="clear" w:color="000000" w:fill="auto"/>
          </w:tcPr>
          <w:p w14:paraId="41DD71BC" w14:textId="77777777" w:rsidR="00BA6A85" w:rsidRPr="003F186B" w:rsidRDefault="00BA6A85" w:rsidP="00BA6A85">
            <w:pPr>
              <w:spacing w:line="240" w:lineRule="auto"/>
              <w:ind w:right="227"/>
              <w:jc w:val="right"/>
              <w:rPr>
                <w:rFonts w:eastAsia="Times New Roman" w:cs="Calibri"/>
                <w:color w:val="000000"/>
                <w:sz w:val="20"/>
                <w:szCs w:val="20"/>
                <w:lang w:eastAsia="en-AU"/>
              </w:rPr>
            </w:pPr>
            <w:r w:rsidRPr="003F186B">
              <w:rPr>
                <w:rFonts w:eastAsia="Times New Roman" w:cs="Calibri"/>
                <w:color w:val="000000"/>
                <w:sz w:val="20"/>
                <w:szCs w:val="20"/>
                <w:lang w:eastAsia="en-AU"/>
              </w:rPr>
              <w:t>1533.0</w:t>
            </w:r>
          </w:p>
        </w:tc>
        <w:tc>
          <w:tcPr>
            <w:tcW w:w="552" w:type="pct"/>
            <w:tcBorders>
              <w:top w:val="single" w:sz="4" w:space="0" w:color="auto"/>
              <w:left w:val="single" w:sz="4" w:space="0" w:color="auto"/>
              <w:bottom w:val="single" w:sz="4" w:space="0" w:color="auto"/>
              <w:right w:val="single" w:sz="4" w:space="0" w:color="auto"/>
            </w:tcBorders>
            <w:shd w:val="clear" w:color="auto" w:fill="auto"/>
          </w:tcPr>
          <w:p w14:paraId="6761118F" w14:textId="77777777" w:rsidR="00BA6A85" w:rsidRPr="003F186B" w:rsidRDefault="00BA6A85" w:rsidP="00BA6A85">
            <w:pPr>
              <w:spacing w:line="240" w:lineRule="auto"/>
              <w:ind w:right="227"/>
              <w:jc w:val="right"/>
              <w:rPr>
                <w:rFonts w:eastAsia="Times New Roman" w:cs="Calibri"/>
                <w:color w:val="000000"/>
                <w:sz w:val="20"/>
                <w:szCs w:val="20"/>
                <w:lang w:eastAsia="en-AU"/>
              </w:rPr>
            </w:pPr>
            <w:r w:rsidRPr="003F186B">
              <w:rPr>
                <w:rFonts w:eastAsia="Times New Roman" w:cs="Calibri"/>
                <w:color w:val="000000"/>
                <w:sz w:val="20"/>
                <w:szCs w:val="20"/>
                <w:lang w:eastAsia="en-AU"/>
              </w:rPr>
              <w:t>1612.0</w:t>
            </w:r>
          </w:p>
        </w:tc>
      </w:tr>
    </w:tbl>
    <w:p w14:paraId="1683BAA7" w14:textId="77777777" w:rsidR="00BA6A85" w:rsidRDefault="00BA6A85" w:rsidP="00BA6A85">
      <w:pPr>
        <w:widowControl w:val="0"/>
        <w:spacing w:after="120"/>
        <w:rPr>
          <w:i/>
          <w:color w:val="000000"/>
          <w:sz w:val="20"/>
          <w:szCs w:val="20"/>
        </w:rPr>
      </w:pPr>
      <w:r w:rsidRPr="003F186B">
        <w:rPr>
          <w:i/>
          <w:color w:val="000000"/>
          <w:sz w:val="20"/>
          <w:szCs w:val="20"/>
        </w:rPr>
        <w:t xml:space="preserve">Source: </w:t>
      </w:r>
      <w:proofErr w:type="spellStart"/>
      <w:r w:rsidRPr="003F186B">
        <w:rPr>
          <w:i/>
          <w:color w:val="000000"/>
          <w:sz w:val="20"/>
          <w:szCs w:val="20"/>
        </w:rPr>
        <w:t>DEECD</w:t>
      </w:r>
      <w:proofErr w:type="spellEnd"/>
      <w:r w:rsidRPr="003F186B">
        <w:rPr>
          <w:i/>
          <w:color w:val="000000"/>
          <w:sz w:val="20"/>
          <w:szCs w:val="20"/>
        </w:rPr>
        <w:t xml:space="preserve"> August School Census (unpublished)</w:t>
      </w:r>
    </w:p>
    <w:p w14:paraId="79BF11E2" w14:textId="77777777" w:rsidR="007D4E13" w:rsidRPr="00755412" w:rsidRDefault="007D4E13" w:rsidP="004B0261">
      <w:pPr>
        <w:spacing w:after="120"/>
        <w:jc w:val="both"/>
        <w:rPr>
          <w:rFonts w:ascii="Calibri" w:hAnsi="Calibri"/>
        </w:rPr>
      </w:pPr>
      <w:r w:rsidRPr="00755412">
        <w:rPr>
          <w:rFonts w:ascii="Calibri" w:hAnsi="Calibri"/>
        </w:rPr>
        <w:lastRenderedPageBreak/>
        <w:t xml:space="preserve">Table 6 below shows that the number of enrolled indigenous students increased from 2008 to 2012. Over this period, 15-19 year old indigenous students commencing government funded vocational education and training, who had not previously completed Year 12 or certificate II or above, rose from 863 in 2008 to 1156 in 2012, a 34 per cent increase.  In 2010, there was a significant single-year increase, up 11 per cent from 2009. </w:t>
      </w:r>
    </w:p>
    <w:p w14:paraId="321E1605" w14:textId="44975961" w:rsidR="007D4E13" w:rsidRPr="00755412" w:rsidRDefault="007D4E13" w:rsidP="00592A44">
      <w:pPr>
        <w:pStyle w:val="Heading4"/>
      </w:pPr>
      <w:r w:rsidRPr="00755412">
        <w:t>Table 6: Government funded Indigenous students aged 15-19, 2008-2011</w:t>
      </w:r>
    </w:p>
    <w:tbl>
      <w:tblPr>
        <w:tblW w:w="9497" w:type="dxa"/>
        <w:tblInd w:w="110" w:type="dxa"/>
        <w:tblCellMar>
          <w:left w:w="0" w:type="dxa"/>
          <w:right w:w="0" w:type="dxa"/>
        </w:tblCellMar>
        <w:tblLook w:val="04A0" w:firstRow="1" w:lastRow="0" w:firstColumn="1" w:lastColumn="0" w:noHBand="0" w:noVBand="1"/>
      </w:tblPr>
      <w:tblGrid>
        <w:gridCol w:w="2409"/>
        <w:gridCol w:w="1418"/>
        <w:gridCol w:w="1417"/>
        <w:gridCol w:w="1418"/>
        <w:gridCol w:w="1417"/>
        <w:gridCol w:w="1418"/>
      </w:tblGrid>
      <w:tr w:rsidR="007D4E13" w:rsidRPr="00755412" w14:paraId="51F21503" w14:textId="77777777" w:rsidTr="00307970">
        <w:trPr>
          <w:trHeight w:val="323"/>
        </w:trPr>
        <w:tc>
          <w:tcPr>
            <w:tcW w:w="2409" w:type="dxa"/>
            <w:tcBorders>
              <w:top w:val="single" w:sz="8" w:space="0" w:color="auto"/>
              <w:left w:val="single" w:sz="8" w:space="0" w:color="auto"/>
              <w:bottom w:val="single" w:sz="8" w:space="0" w:color="auto"/>
              <w:right w:val="single" w:sz="8" w:space="0" w:color="auto"/>
            </w:tcBorders>
            <w:shd w:val="clear" w:color="auto" w:fill="D6E3BC"/>
            <w:tcMar>
              <w:top w:w="0" w:type="dxa"/>
              <w:left w:w="108" w:type="dxa"/>
              <w:bottom w:w="0" w:type="dxa"/>
              <w:right w:w="108" w:type="dxa"/>
            </w:tcMar>
            <w:hideMark/>
          </w:tcPr>
          <w:p w14:paraId="473F8E84" w14:textId="77777777" w:rsidR="007D4E13" w:rsidRPr="00755412" w:rsidRDefault="007D4E13" w:rsidP="007D4E13">
            <w:pPr>
              <w:rPr>
                <w:rFonts w:ascii="Calibri" w:hAnsi="Calibri"/>
                <w:sz w:val="20"/>
                <w:szCs w:val="20"/>
              </w:rPr>
            </w:pPr>
            <w:r w:rsidRPr="00755412">
              <w:rPr>
                <w:rFonts w:ascii="Calibri" w:hAnsi="Calibri"/>
                <w:b/>
                <w:bCs/>
                <w:sz w:val="20"/>
                <w:szCs w:val="20"/>
              </w:rPr>
              <w:t>Indigenous 15-19</w:t>
            </w:r>
          </w:p>
        </w:tc>
        <w:tc>
          <w:tcPr>
            <w:tcW w:w="1418" w:type="dxa"/>
            <w:tcBorders>
              <w:top w:val="single" w:sz="8" w:space="0" w:color="auto"/>
              <w:left w:val="nil"/>
              <w:bottom w:val="single" w:sz="8" w:space="0" w:color="auto"/>
              <w:right w:val="single" w:sz="8" w:space="0" w:color="auto"/>
            </w:tcBorders>
            <w:shd w:val="clear" w:color="auto" w:fill="D6E3BC"/>
            <w:tcMar>
              <w:top w:w="0" w:type="dxa"/>
              <w:left w:w="108" w:type="dxa"/>
              <w:bottom w:w="0" w:type="dxa"/>
              <w:right w:w="108" w:type="dxa"/>
            </w:tcMar>
            <w:hideMark/>
          </w:tcPr>
          <w:p w14:paraId="6C4B297A" w14:textId="77777777" w:rsidR="007D4E13" w:rsidRPr="00755412" w:rsidRDefault="007D4E13" w:rsidP="004B0261">
            <w:pPr>
              <w:jc w:val="center"/>
              <w:rPr>
                <w:rFonts w:ascii="Calibri" w:hAnsi="Calibri"/>
                <w:sz w:val="20"/>
                <w:szCs w:val="20"/>
              </w:rPr>
            </w:pPr>
            <w:r w:rsidRPr="00755412">
              <w:rPr>
                <w:rFonts w:ascii="Calibri" w:hAnsi="Calibri"/>
                <w:b/>
                <w:bCs/>
                <w:sz w:val="20"/>
                <w:szCs w:val="20"/>
              </w:rPr>
              <w:t>2008</w:t>
            </w:r>
          </w:p>
        </w:tc>
        <w:tc>
          <w:tcPr>
            <w:tcW w:w="1417" w:type="dxa"/>
            <w:tcBorders>
              <w:top w:val="single" w:sz="8" w:space="0" w:color="auto"/>
              <w:left w:val="nil"/>
              <w:bottom w:val="single" w:sz="8" w:space="0" w:color="auto"/>
              <w:right w:val="single" w:sz="8" w:space="0" w:color="auto"/>
            </w:tcBorders>
            <w:shd w:val="clear" w:color="auto" w:fill="D6E3BC"/>
            <w:hideMark/>
          </w:tcPr>
          <w:p w14:paraId="1A83311F" w14:textId="77777777" w:rsidR="007D4E13" w:rsidRPr="00755412" w:rsidRDefault="007D4E13" w:rsidP="004B0261">
            <w:pPr>
              <w:jc w:val="center"/>
              <w:rPr>
                <w:rFonts w:ascii="Calibri" w:hAnsi="Calibri"/>
                <w:sz w:val="20"/>
                <w:szCs w:val="20"/>
              </w:rPr>
            </w:pPr>
            <w:r w:rsidRPr="00755412">
              <w:rPr>
                <w:rFonts w:ascii="Calibri" w:hAnsi="Calibri"/>
                <w:b/>
                <w:bCs/>
                <w:sz w:val="20"/>
                <w:szCs w:val="20"/>
              </w:rPr>
              <w:t>2009</w:t>
            </w:r>
          </w:p>
        </w:tc>
        <w:tc>
          <w:tcPr>
            <w:tcW w:w="1418" w:type="dxa"/>
            <w:tcBorders>
              <w:top w:val="single" w:sz="8" w:space="0" w:color="auto"/>
              <w:left w:val="nil"/>
              <w:bottom w:val="single" w:sz="8" w:space="0" w:color="auto"/>
              <w:right w:val="single" w:sz="8" w:space="0" w:color="auto"/>
            </w:tcBorders>
            <w:shd w:val="clear" w:color="auto" w:fill="D6E3BC"/>
            <w:hideMark/>
          </w:tcPr>
          <w:p w14:paraId="36003938" w14:textId="77777777" w:rsidR="007D4E13" w:rsidRPr="00755412" w:rsidRDefault="007D4E13" w:rsidP="004B0261">
            <w:pPr>
              <w:jc w:val="center"/>
              <w:rPr>
                <w:rFonts w:ascii="Calibri" w:hAnsi="Calibri"/>
                <w:b/>
                <w:bCs/>
                <w:sz w:val="20"/>
                <w:szCs w:val="20"/>
              </w:rPr>
            </w:pPr>
            <w:r w:rsidRPr="00755412">
              <w:rPr>
                <w:rFonts w:ascii="Calibri" w:hAnsi="Calibri"/>
                <w:b/>
                <w:bCs/>
                <w:sz w:val="20"/>
                <w:szCs w:val="20"/>
              </w:rPr>
              <w:t>2010</w:t>
            </w:r>
          </w:p>
        </w:tc>
        <w:tc>
          <w:tcPr>
            <w:tcW w:w="1417" w:type="dxa"/>
            <w:tcBorders>
              <w:top w:val="single" w:sz="8" w:space="0" w:color="auto"/>
              <w:left w:val="nil"/>
              <w:bottom w:val="single" w:sz="8" w:space="0" w:color="auto"/>
              <w:right w:val="single" w:sz="8" w:space="0" w:color="auto"/>
            </w:tcBorders>
            <w:shd w:val="clear" w:color="auto" w:fill="D6E3BC"/>
            <w:hideMark/>
          </w:tcPr>
          <w:p w14:paraId="419FF3B5" w14:textId="77777777" w:rsidR="007D4E13" w:rsidRPr="00755412" w:rsidRDefault="007D4E13" w:rsidP="004B0261">
            <w:pPr>
              <w:jc w:val="center"/>
              <w:rPr>
                <w:rFonts w:ascii="Calibri" w:hAnsi="Calibri"/>
                <w:b/>
                <w:bCs/>
                <w:sz w:val="20"/>
                <w:szCs w:val="20"/>
              </w:rPr>
            </w:pPr>
            <w:r w:rsidRPr="00755412">
              <w:rPr>
                <w:rFonts w:ascii="Calibri" w:hAnsi="Calibri"/>
                <w:b/>
                <w:bCs/>
                <w:sz w:val="20"/>
                <w:szCs w:val="20"/>
              </w:rPr>
              <w:t>2011</w:t>
            </w:r>
          </w:p>
        </w:tc>
        <w:tc>
          <w:tcPr>
            <w:tcW w:w="1418" w:type="dxa"/>
            <w:tcBorders>
              <w:top w:val="single" w:sz="8" w:space="0" w:color="auto"/>
              <w:left w:val="nil"/>
              <w:bottom w:val="single" w:sz="8" w:space="0" w:color="auto"/>
              <w:right w:val="single" w:sz="8" w:space="0" w:color="auto"/>
            </w:tcBorders>
            <w:shd w:val="clear" w:color="auto" w:fill="D6E3BC"/>
            <w:hideMark/>
          </w:tcPr>
          <w:p w14:paraId="305542D8" w14:textId="77777777" w:rsidR="007D4E13" w:rsidRPr="00755412" w:rsidRDefault="007D4E13" w:rsidP="004B0261">
            <w:pPr>
              <w:jc w:val="center"/>
              <w:rPr>
                <w:rFonts w:ascii="Calibri" w:hAnsi="Calibri"/>
                <w:b/>
                <w:bCs/>
                <w:sz w:val="20"/>
                <w:szCs w:val="20"/>
              </w:rPr>
            </w:pPr>
            <w:r w:rsidRPr="00755412">
              <w:rPr>
                <w:rFonts w:ascii="Calibri" w:hAnsi="Calibri"/>
                <w:b/>
                <w:bCs/>
                <w:sz w:val="20"/>
                <w:szCs w:val="20"/>
              </w:rPr>
              <w:t>2012</w:t>
            </w:r>
          </w:p>
        </w:tc>
      </w:tr>
      <w:tr w:rsidR="007D4E13" w:rsidRPr="00755412" w14:paraId="79E391F3" w14:textId="77777777" w:rsidTr="00307970">
        <w:trPr>
          <w:trHeight w:val="375"/>
        </w:trPr>
        <w:tc>
          <w:tcPr>
            <w:tcW w:w="2409" w:type="dxa"/>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4F1CE4F0" w14:textId="77777777" w:rsidR="007D4E13" w:rsidRPr="00755412" w:rsidRDefault="007D4E13" w:rsidP="007D4E13">
            <w:pPr>
              <w:rPr>
                <w:rFonts w:ascii="Calibri" w:hAnsi="Calibri"/>
                <w:sz w:val="20"/>
                <w:szCs w:val="20"/>
              </w:rPr>
            </w:pPr>
            <w:r w:rsidRPr="00755412">
              <w:rPr>
                <w:rFonts w:ascii="Calibri" w:hAnsi="Calibri"/>
                <w:b/>
                <w:bCs/>
                <w:sz w:val="20"/>
                <w:szCs w:val="20"/>
              </w:rPr>
              <w:t>Certificate I</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14:paraId="2287A4A7" w14:textId="77777777" w:rsidR="007D4E13" w:rsidRPr="00755412" w:rsidRDefault="007D4E13" w:rsidP="00307970">
            <w:pPr>
              <w:jc w:val="center"/>
              <w:rPr>
                <w:rFonts w:ascii="Calibri" w:hAnsi="Calibri"/>
              </w:rPr>
            </w:pPr>
            <w:r w:rsidRPr="00755412">
              <w:rPr>
                <w:rFonts w:ascii="Calibri" w:hAnsi="Calibri"/>
              </w:rPr>
              <w:t>227</w:t>
            </w:r>
          </w:p>
        </w:tc>
        <w:tc>
          <w:tcPr>
            <w:tcW w:w="1417" w:type="dxa"/>
            <w:tcBorders>
              <w:top w:val="nil"/>
              <w:left w:val="nil"/>
              <w:bottom w:val="single" w:sz="8" w:space="0" w:color="auto"/>
              <w:right w:val="single" w:sz="8" w:space="0" w:color="auto"/>
            </w:tcBorders>
            <w:hideMark/>
          </w:tcPr>
          <w:p w14:paraId="48C46FDC" w14:textId="77777777" w:rsidR="007D4E13" w:rsidRPr="00755412" w:rsidRDefault="007D4E13" w:rsidP="00307970">
            <w:pPr>
              <w:jc w:val="center"/>
              <w:rPr>
                <w:rFonts w:ascii="Calibri" w:hAnsi="Calibri"/>
              </w:rPr>
            </w:pPr>
            <w:r w:rsidRPr="00755412">
              <w:rPr>
                <w:rFonts w:ascii="Calibri" w:hAnsi="Calibri"/>
              </w:rPr>
              <w:t>213</w:t>
            </w:r>
          </w:p>
        </w:tc>
        <w:tc>
          <w:tcPr>
            <w:tcW w:w="1418" w:type="dxa"/>
            <w:tcBorders>
              <w:top w:val="nil"/>
              <w:left w:val="nil"/>
              <w:bottom w:val="single" w:sz="8" w:space="0" w:color="auto"/>
              <w:right w:val="single" w:sz="8" w:space="0" w:color="auto"/>
            </w:tcBorders>
            <w:hideMark/>
          </w:tcPr>
          <w:p w14:paraId="330438EB" w14:textId="77777777" w:rsidR="007D4E13" w:rsidRPr="00755412" w:rsidRDefault="007D4E13" w:rsidP="00307970">
            <w:pPr>
              <w:jc w:val="center"/>
              <w:rPr>
                <w:rFonts w:ascii="Calibri" w:hAnsi="Calibri"/>
              </w:rPr>
            </w:pPr>
            <w:r w:rsidRPr="00755412">
              <w:rPr>
                <w:rFonts w:ascii="Calibri" w:hAnsi="Calibri"/>
              </w:rPr>
              <w:t>186</w:t>
            </w:r>
          </w:p>
        </w:tc>
        <w:tc>
          <w:tcPr>
            <w:tcW w:w="1417" w:type="dxa"/>
            <w:tcBorders>
              <w:top w:val="nil"/>
              <w:left w:val="nil"/>
              <w:bottom w:val="single" w:sz="8" w:space="0" w:color="auto"/>
              <w:right w:val="single" w:sz="8" w:space="0" w:color="auto"/>
            </w:tcBorders>
            <w:hideMark/>
          </w:tcPr>
          <w:p w14:paraId="44085BB9" w14:textId="77777777" w:rsidR="007D4E13" w:rsidRPr="00755412" w:rsidRDefault="007D4E13" w:rsidP="00307970">
            <w:pPr>
              <w:jc w:val="center"/>
              <w:rPr>
                <w:rFonts w:ascii="Calibri" w:hAnsi="Calibri"/>
              </w:rPr>
            </w:pPr>
            <w:r w:rsidRPr="00755412">
              <w:rPr>
                <w:rFonts w:ascii="Calibri" w:hAnsi="Calibri"/>
              </w:rPr>
              <w:t>242</w:t>
            </w:r>
          </w:p>
        </w:tc>
        <w:tc>
          <w:tcPr>
            <w:tcW w:w="1418" w:type="dxa"/>
            <w:tcBorders>
              <w:top w:val="nil"/>
              <w:left w:val="nil"/>
              <w:bottom w:val="single" w:sz="8" w:space="0" w:color="auto"/>
              <w:right w:val="single" w:sz="8" w:space="0" w:color="auto"/>
            </w:tcBorders>
            <w:hideMark/>
          </w:tcPr>
          <w:p w14:paraId="0FB3A592" w14:textId="77777777" w:rsidR="007D4E13" w:rsidRPr="00755412" w:rsidRDefault="007D4E13" w:rsidP="00307970">
            <w:pPr>
              <w:jc w:val="center"/>
              <w:rPr>
                <w:rFonts w:ascii="Calibri" w:hAnsi="Calibri"/>
              </w:rPr>
            </w:pPr>
            <w:r w:rsidRPr="00755412">
              <w:rPr>
                <w:rFonts w:ascii="Calibri" w:hAnsi="Calibri"/>
              </w:rPr>
              <w:t>328</w:t>
            </w:r>
          </w:p>
        </w:tc>
      </w:tr>
      <w:tr w:rsidR="007D4E13" w:rsidRPr="00755412" w14:paraId="21F7FE79" w14:textId="77777777" w:rsidTr="00307970">
        <w:trPr>
          <w:trHeight w:val="359"/>
        </w:trPr>
        <w:tc>
          <w:tcPr>
            <w:tcW w:w="2409" w:type="dxa"/>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2A631529" w14:textId="77777777" w:rsidR="007D4E13" w:rsidRPr="00755412" w:rsidRDefault="007D4E13" w:rsidP="007D4E13">
            <w:pPr>
              <w:rPr>
                <w:rFonts w:ascii="Calibri" w:hAnsi="Calibri"/>
                <w:sz w:val="20"/>
                <w:szCs w:val="20"/>
              </w:rPr>
            </w:pPr>
            <w:r w:rsidRPr="00755412">
              <w:rPr>
                <w:rFonts w:ascii="Calibri" w:hAnsi="Calibri"/>
                <w:b/>
                <w:bCs/>
                <w:sz w:val="20"/>
                <w:szCs w:val="20"/>
              </w:rPr>
              <w:t>Certificate II and above</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14:paraId="362F7F5E" w14:textId="77777777" w:rsidR="007D4E13" w:rsidRPr="00755412" w:rsidRDefault="007D4E13" w:rsidP="00307970">
            <w:pPr>
              <w:jc w:val="center"/>
              <w:rPr>
                <w:rFonts w:ascii="Calibri" w:hAnsi="Calibri"/>
              </w:rPr>
            </w:pPr>
            <w:r w:rsidRPr="00755412">
              <w:rPr>
                <w:rFonts w:ascii="Calibri" w:hAnsi="Calibri"/>
              </w:rPr>
              <w:t>636</w:t>
            </w:r>
          </w:p>
        </w:tc>
        <w:tc>
          <w:tcPr>
            <w:tcW w:w="1417" w:type="dxa"/>
            <w:tcBorders>
              <w:top w:val="nil"/>
              <w:left w:val="nil"/>
              <w:bottom w:val="single" w:sz="8" w:space="0" w:color="auto"/>
              <w:right w:val="single" w:sz="8" w:space="0" w:color="auto"/>
            </w:tcBorders>
            <w:hideMark/>
          </w:tcPr>
          <w:p w14:paraId="5735F8D6" w14:textId="77777777" w:rsidR="007D4E13" w:rsidRPr="00755412" w:rsidRDefault="007D4E13" w:rsidP="00307970">
            <w:pPr>
              <w:jc w:val="center"/>
              <w:rPr>
                <w:rFonts w:ascii="Calibri" w:hAnsi="Calibri"/>
              </w:rPr>
            </w:pPr>
            <w:r w:rsidRPr="00755412">
              <w:rPr>
                <w:rFonts w:ascii="Calibri" w:hAnsi="Calibri"/>
              </w:rPr>
              <w:t>666</w:t>
            </w:r>
          </w:p>
        </w:tc>
        <w:tc>
          <w:tcPr>
            <w:tcW w:w="1418" w:type="dxa"/>
            <w:tcBorders>
              <w:top w:val="nil"/>
              <w:left w:val="nil"/>
              <w:bottom w:val="single" w:sz="8" w:space="0" w:color="auto"/>
              <w:right w:val="single" w:sz="8" w:space="0" w:color="auto"/>
            </w:tcBorders>
            <w:hideMark/>
          </w:tcPr>
          <w:p w14:paraId="4C9812B7" w14:textId="77777777" w:rsidR="007D4E13" w:rsidRPr="00755412" w:rsidRDefault="007D4E13" w:rsidP="00307970">
            <w:pPr>
              <w:jc w:val="center"/>
              <w:rPr>
                <w:rFonts w:ascii="Calibri" w:hAnsi="Calibri"/>
              </w:rPr>
            </w:pPr>
            <w:r w:rsidRPr="00755412">
              <w:rPr>
                <w:rFonts w:ascii="Calibri" w:hAnsi="Calibri"/>
              </w:rPr>
              <w:t>790</w:t>
            </w:r>
          </w:p>
        </w:tc>
        <w:tc>
          <w:tcPr>
            <w:tcW w:w="1417" w:type="dxa"/>
            <w:tcBorders>
              <w:top w:val="nil"/>
              <w:left w:val="nil"/>
              <w:bottom w:val="single" w:sz="8" w:space="0" w:color="auto"/>
              <w:right w:val="single" w:sz="8" w:space="0" w:color="auto"/>
            </w:tcBorders>
            <w:hideMark/>
          </w:tcPr>
          <w:p w14:paraId="0112E2AE" w14:textId="77777777" w:rsidR="007D4E13" w:rsidRPr="00755412" w:rsidRDefault="007D4E13" w:rsidP="00307970">
            <w:pPr>
              <w:jc w:val="center"/>
              <w:rPr>
                <w:rFonts w:ascii="Calibri" w:hAnsi="Calibri"/>
              </w:rPr>
            </w:pPr>
            <w:r w:rsidRPr="00755412">
              <w:rPr>
                <w:rFonts w:ascii="Calibri" w:hAnsi="Calibri"/>
              </w:rPr>
              <w:t>739</w:t>
            </w:r>
          </w:p>
        </w:tc>
        <w:tc>
          <w:tcPr>
            <w:tcW w:w="1418" w:type="dxa"/>
            <w:tcBorders>
              <w:top w:val="nil"/>
              <w:left w:val="nil"/>
              <w:bottom w:val="single" w:sz="8" w:space="0" w:color="auto"/>
              <w:right w:val="single" w:sz="8" w:space="0" w:color="auto"/>
            </w:tcBorders>
            <w:hideMark/>
          </w:tcPr>
          <w:p w14:paraId="4C8EEBC7" w14:textId="77777777" w:rsidR="007D4E13" w:rsidRPr="00755412" w:rsidRDefault="007D4E13" w:rsidP="00307970">
            <w:pPr>
              <w:jc w:val="center"/>
              <w:rPr>
                <w:rFonts w:ascii="Calibri" w:hAnsi="Calibri"/>
              </w:rPr>
            </w:pPr>
            <w:r w:rsidRPr="00755412">
              <w:rPr>
                <w:rFonts w:ascii="Calibri" w:hAnsi="Calibri"/>
              </w:rPr>
              <w:t>828</w:t>
            </w:r>
          </w:p>
        </w:tc>
      </w:tr>
      <w:tr w:rsidR="007D4E13" w:rsidRPr="00755412" w14:paraId="33C644D3" w14:textId="77777777" w:rsidTr="00307970">
        <w:trPr>
          <w:trHeight w:val="375"/>
        </w:trPr>
        <w:tc>
          <w:tcPr>
            <w:tcW w:w="2409" w:type="dxa"/>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41EA2A58" w14:textId="77777777" w:rsidR="007D4E13" w:rsidRPr="00755412" w:rsidRDefault="007D4E13" w:rsidP="007D4E13">
            <w:pPr>
              <w:rPr>
                <w:rFonts w:ascii="Calibri" w:hAnsi="Calibri"/>
                <w:sz w:val="20"/>
                <w:szCs w:val="20"/>
              </w:rPr>
            </w:pPr>
            <w:r w:rsidRPr="00755412">
              <w:rPr>
                <w:rFonts w:ascii="Calibri" w:hAnsi="Calibri"/>
                <w:b/>
                <w:bCs/>
                <w:sz w:val="20"/>
                <w:szCs w:val="20"/>
              </w:rPr>
              <w:t>TOTAL</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14:paraId="4F674942" w14:textId="77777777" w:rsidR="007D4E13" w:rsidRPr="00755412" w:rsidRDefault="007D4E13" w:rsidP="00307970">
            <w:pPr>
              <w:jc w:val="center"/>
              <w:rPr>
                <w:rFonts w:ascii="Calibri" w:hAnsi="Calibri"/>
              </w:rPr>
            </w:pPr>
            <w:r w:rsidRPr="00755412">
              <w:rPr>
                <w:rFonts w:ascii="Calibri" w:hAnsi="Calibri"/>
              </w:rPr>
              <w:t>863</w:t>
            </w:r>
          </w:p>
        </w:tc>
        <w:tc>
          <w:tcPr>
            <w:tcW w:w="1417" w:type="dxa"/>
            <w:tcBorders>
              <w:top w:val="nil"/>
              <w:left w:val="nil"/>
              <w:bottom w:val="single" w:sz="8" w:space="0" w:color="auto"/>
              <w:right w:val="single" w:sz="8" w:space="0" w:color="auto"/>
            </w:tcBorders>
            <w:hideMark/>
          </w:tcPr>
          <w:p w14:paraId="48725A45" w14:textId="77777777" w:rsidR="007D4E13" w:rsidRPr="00755412" w:rsidRDefault="007D4E13" w:rsidP="00307970">
            <w:pPr>
              <w:jc w:val="center"/>
              <w:rPr>
                <w:rFonts w:ascii="Calibri" w:hAnsi="Calibri"/>
              </w:rPr>
            </w:pPr>
            <w:r w:rsidRPr="00755412">
              <w:rPr>
                <w:rFonts w:ascii="Calibri" w:hAnsi="Calibri"/>
              </w:rPr>
              <w:t>879</w:t>
            </w:r>
          </w:p>
        </w:tc>
        <w:tc>
          <w:tcPr>
            <w:tcW w:w="1418" w:type="dxa"/>
            <w:tcBorders>
              <w:top w:val="nil"/>
              <w:left w:val="nil"/>
              <w:bottom w:val="single" w:sz="8" w:space="0" w:color="auto"/>
              <w:right w:val="single" w:sz="8" w:space="0" w:color="auto"/>
            </w:tcBorders>
            <w:hideMark/>
          </w:tcPr>
          <w:p w14:paraId="65FDD51E" w14:textId="77777777" w:rsidR="007D4E13" w:rsidRPr="00755412" w:rsidRDefault="007D4E13" w:rsidP="00307970">
            <w:pPr>
              <w:jc w:val="center"/>
              <w:rPr>
                <w:rFonts w:ascii="Calibri" w:hAnsi="Calibri"/>
              </w:rPr>
            </w:pPr>
            <w:r w:rsidRPr="00755412">
              <w:rPr>
                <w:rFonts w:ascii="Calibri" w:hAnsi="Calibri"/>
              </w:rPr>
              <w:t>976</w:t>
            </w:r>
          </w:p>
        </w:tc>
        <w:tc>
          <w:tcPr>
            <w:tcW w:w="1417" w:type="dxa"/>
            <w:tcBorders>
              <w:top w:val="nil"/>
              <w:left w:val="nil"/>
              <w:bottom w:val="single" w:sz="8" w:space="0" w:color="auto"/>
              <w:right w:val="single" w:sz="8" w:space="0" w:color="auto"/>
            </w:tcBorders>
            <w:hideMark/>
          </w:tcPr>
          <w:p w14:paraId="55E5C7BF" w14:textId="77777777" w:rsidR="007D4E13" w:rsidRPr="00755412" w:rsidRDefault="007D4E13" w:rsidP="00307970">
            <w:pPr>
              <w:jc w:val="center"/>
              <w:rPr>
                <w:rFonts w:ascii="Calibri" w:hAnsi="Calibri"/>
              </w:rPr>
            </w:pPr>
            <w:r w:rsidRPr="00755412">
              <w:rPr>
                <w:rFonts w:ascii="Calibri" w:hAnsi="Calibri"/>
              </w:rPr>
              <w:t>981</w:t>
            </w:r>
          </w:p>
        </w:tc>
        <w:tc>
          <w:tcPr>
            <w:tcW w:w="1418" w:type="dxa"/>
            <w:tcBorders>
              <w:top w:val="nil"/>
              <w:left w:val="nil"/>
              <w:bottom w:val="single" w:sz="8" w:space="0" w:color="auto"/>
              <w:right w:val="single" w:sz="8" w:space="0" w:color="auto"/>
            </w:tcBorders>
            <w:hideMark/>
          </w:tcPr>
          <w:p w14:paraId="6B2CE125" w14:textId="77777777" w:rsidR="007D4E13" w:rsidRPr="00755412" w:rsidRDefault="007D4E13" w:rsidP="00307970">
            <w:pPr>
              <w:jc w:val="center"/>
              <w:rPr>
                <w:rFonts w:ascii="Calibri" w:hAnsi="Calibri"/>
              </w:rPr>
            </w:pPr>
            <w:r w:rsidRPr="00755412">
              <w:rPr>
                <w:rFonts w:ascii="Calibri" w:hAnsi="Calibri"/>
              </w:rPr>
              <w:t>1,156</w:t>
            </w:r>
          </w:p>
        </w:tc>
      </w:tr>
    </w:tbl>
    <w:p w14:paraId="584B1A35" w14:textId="138356DC" w:rsidR="007D4E13" w:rsidRPr="00755412" w:rsidRDefault="007D4E13" w:rsidP="007D4E13">
      <w:pPr>
        <w:spacing w:after="120"/>
        <w:rPr>
          <w:rFonts w:ascii="Calibri" w:hAnsi="Calibri"/>
          <w:i/>
          <w:iCs/>
          <w:sz w:val="20"/>
          <w:szCs w:val="20"/>
        </w:rPr>
      </w:pPr>
      <w:proofErr w:type="spellStart"/>
      <w:r w:rsidRPr="00755412">
        <w:rPr>
          <w:rFonts w:ascii="Calibri" w:hAnsi="Calibri"/>
          <w:i/>
          <w:iCs/>
          <w:sz w:val="20"/>
          <w:szCs w:val="20"/>
        </w:rPr>
        <w:t>SVTS</w:t>
      </w:r>
      <w:proofErr w:type="spellEnd"/>
      <w:r w:rsidRPr="00755412">
        <w:rPr>
          <w:rFonts w:ascii="Calibri" w:hAnsi="Calibri"/>
          <w:i/>
          <w:iCs/>
          <w:sz w:val="20"/>
          <w:szCs w:val="20"/>
        </w:rPr>
        <w:t xml:space="preserve"> data: Students ag</w:t>
      </w:r>
      <w:r w:rsidR="004B0261" w:rsidRPr="00755412">
        <w:rPr>
          <w:rFonts w:ascii="Calibri" w:hAnsi="Calibri"/>
          <w:i/>
          <w:iCs/>
          <w:sz w:val="20"/>
          <w:szCs w:val="20"/>
        </w:rPr>
        <w:t>ed 15-19 at 30 June each year; not enrolled in School; no Year 12 completion; n</w:t>
      </w:r>
      <w:r w:rsidRPr="00755412">
        <w:rPr>
          <w:rFonts w:ascii="Calibri" w:hAnsi="Calibri"/>
          <w:i/>
          <w:iCs/>
          <w:sz w:val="20"/>
          <w:szCs w:val="20"/>
        </w:rPr>
        <w:t xml:space="preserve">o prior qualification at Cert II </w:t>
      </w:r>
      <w:proofErr w:type="spellStart"/>
      <w:r w:rsidRPr="00755412">
        <w:rPr>
          <w:rFonts w:ascii="Calibri" w:hAnsi="Calibri"/>
          <w:i/>
          <w:iCs/>
          <w:sz w:val="20"/>
          <w:szCs w:val="20"/>
        </w:rPr>
        <w:t>AQF</w:t>
      </w:r>
      <w:proofErr w:type="spellEnd"/>
      <w:r w:rsidRPr="00755412">
        <w:rPr>
          <w:rFonts w:ascii="Calibri" w:hAnsi="Calibri"/>
          <w:i/>
          <w:iCs/>
          <w:sz w:val="20"/>
          <w:szCs w:val="20"/>
        </w:rPr>
        <w:t xml:space="preserve"> Level or above.</w:t>
      </w:r>
    </w:p>
    <w:p w14:paraId="54394F00" w14:textId="77777777" w:rsidR="007D4E13" w:rsidRPr="00755412" w:rsidRDefault="007D4E13" w:rsidP="004B0261">
      <w:pPr>
        <w:spacing w:after="120"/>
        <w:jc w:val="both"/>
        <w:rPr>
          <w:rFonts w:ascii="Calibri" w:hAnsi="Calibri"/>
        </w:rPr>
      </w:pPr>
      <w:r w:rsidRPr="00755412">
        <w:rPr>
          <w:rFonts w:ascii="Calibri" w:hAnsi="Calibri"/>
        </w:rPr>
        <w:t>Table 7 below indicates that overall VET certificate enrolments of 15-19 Indigenous students increased from 2008 to 2012 by 13 per cent. In addition, more 15-19 year old indigenous students enrolled in Certificate II and above qualifications, rather than lower level qualifications. Certificate II qualifications were alone the most common, with course enrolments increasing by 13 per cent in this period with a significant single-year increase of 21 per cent from 2009 to 2010.</w:t>
      </w:r>
    </w:p>
    <w:p w14:paraId="3598947C" w14:textId="77777777" w:rsidR="007D4E13" w:rsidRPr="00755412" w:rsidRDefault="007D4E13" w:rsidP="00592A44">
      <w:pPr>
        <w:pStyle w:val="Heading4"/>
      </w:pPr>
      <w:r w:rsidRPr="00755412">
        <w:t>Table 7: Government funded enrolments in VET courses by Indigenous students aged 15-19 2008-2011</w:t>
      </w:r>
    </w:p>
    <w:tbl>
      <w:tblPr>
        <w:tblW w:w="0" w:type="auto"/>
        <w:tblInd w:w="110" w:type="dxa"/>
        <w:tblCellMar>
          <w:left w:w="0" w:type="dxa"/>
          <w:right w:w="0" w:type="dxa"/>
        </w:tblCellMar>
        <w:tblLook w:val="04A0" w:firstRow="1" w:lastRow="0" w:firstColumn="1" w:lastColumn="0" w:noHBand="0" w:noVBand="1"/>
      </w:tblPr>
      <w:tblGrid>
        <w:gridCol w:w="2406"/>
        <w:gridCol w:w="1415"/>
        <w:gridCol w:w="1416"/>
        <w:gridCol w:w="1415"/>
        <w:gridCol w:w="1416"/>
        <w:gridCol w:w="1415"/>
      </w:tblGrid>
      <w:tr w:rsidR="007D4E13" w:rsidRPr="00755412" w14:paraId="15A8FA34" w14:textId="77777777" w:rsidTr="007D4E13">
        <w:trPr>
          <w:trHeight w:val="306"/>
        </w:trPr>
        <w:tc>
          <w:tcPr>
            <w:tcW w:w="2406" w:type="dxa"/>
            <w:tcBorders>
              <w:top w:val="single" w:sz="8" w:space="0" w:color="000000"/>
              <w:left w:val="single" w:sz="8" w:space="0" w:color="000000"/>
              <w:bottom w:val="single" w:sz="8" w:space="0" w:color="000000"/>
              <w:right w:val="single" w:sz="8" w:space="0" w:color="000000"/>
            </w:tcBorders>
            <w:shd w:val="clear" w:color="auto" w:fill="D6E3BC"/>
            <w:tcMar>
              <w:top w:w="0" w:type="dxa"/>
              <w:left w:w="108" w:type="dxa"/>
              <w:bottom w:w="0" w:type="dxa"/>
              <w:right w:w="108" w:type="dxa"/>
            </w:tcMar>
            <w:hideMark/>
          </w:tcPr>
          <w:p w14:paraId="39851896" w14:textId="77777777" w:rsidR="007D4E13" w:rsidRPr="00755412" w:rsidRDefault="007D4E13" w:rsidP="007D4E13">
            <w:pPr>
              <w:rPr>
                <w:rFonts w:ascii="Calibri" w:hAnsi="Calibri"/>
                <w:b/>
                <w:bCs/>
                <w:sz w:val="20"/>
                <w:szCs w:val="20"/>
              </w:rPr>
            </w:pPr>
            <w:r w:rsidRPr="00755412">
              <w:rPr>
                <w:rFonts w:ascii="Calibri" w:hAnsi="Calibri"/>
                <w:b/>
                <w:bCs/>
                <w:sz w:val="20"/>
                <w:szCs w:val="20"/>
              </w:rPr>
              <w:t>Indigenous 15-19</w:t>
            </w:r>
          </w:p>
        </w:tc>
        <w:tc>
          <w:tcPr>
            <w:tcW w:w="1415" w:type="dxa"/>
            <w:tcBorders>
              <w:top w:val="single" w:sz="8" w:space="0" w:color="000000"/>
              <w:left w:val="nil"/>
              <w:bottom w:val="single" w:sz="8" w:space="0" w:color="000000"/>
              <w:right w:val="single" w:sz="8" w:space="0" w:color="000000"/>
            </w:tcBorders>
            <w:shd w:val="clear" w:color="auto" w:fill="D6E3BC"/>
            <w:tcMar>
              <w:top w:w="0" w:type="dxa"/>
              <w:left w:w="108" w:type="dxa"/>
              <w:bottom w:w="0" w:type="dxa"/>
              <w:right w:w="108" w:type="dxa"/>
            </w:tcMar>
            <w:hideMark/>
          </w:tcPr>
          <w:p w14:paraId="420D0D88" w14:textId="77777777" w:rsidR="007D4E13" w:rsidRPr="00755412" w:rsidRDefault="007D4E13" w:rsidP="00307970">
            <w:pPr>
              <w:jc w:val="center"/>
              <w:rPr>
                <w:rFonts w:ascii="Calibri" w:hAnsi="Calibri"/>
                <w:b/>
                <w:bCs/>
                <w:sz w:val="20"/>
                <w:szCs w:val="20"/>
              </w:rPr>
            </w:pPr>
            <w:r w:rsidRPr="00755412">
              <w:rPr>
                <w:rFonts w:ascii="Calibri" w:hAnsi="Calibri"/>
                <w:b/>
                <w:bCs/>
                <w:sz w:val="20"/>
                <w:szCs w:val="20"/>
              </w:rPr>
              <w:t>2008</w:t>
            </w:r>
          </w:p>
        </w:tc>
        <w:tc>
          <w:tcPr>
            <w:tcW w:w="1416" w:type="dxa"/>
            <w:tcBorders>
              <w:top w:val="single" w:sz="8" w:space="0" w:color="000000"/>
              <w:left w:val="nil"/>
              <w:bottom w:val="single" w:sz="8" w:space="0" w:color="000000"/>
              <w:right w:val="single" w:sz="8" w:space="0" w:color="000000"/>
            </w:tcBorders>
            <w:shd w:val="clear" w:color="auto" w:fill="D6E3BC"/>
            <w:tcMar>
              <w:top w:w="0" w:type="dxa"/>
              <w:left w:w="108" w:type="dxa"/>
              <w:bottom w:w="0" w:type="dxa"/>
              <w:right w:w="108" w:type="dxa"/>
            </w:tcMar>
            <w:hideMark/>
          </w:tcPr>
          <w:p w14:paraId="09CCE87C" w14:textId="77777777" w:rsidR="007D4E13" w:rsidRPr="00755412" w:rsidRDefault="007D4E13" w:rsidP="00307970">
            <w:pPr>
              <w:jc w:val="center"/>
              <w:rPr>
                <w:rFonts w:ascii="Calibri" w:hAnsi="Calibri"/>
                <w:b/>
                <w:bCs/>
                <w:sz w:val="20"/>
                <w:szCs w:val="20"/>
              </w:rPr>
            </w:pPr>
            <w:r w:rsidRPr="00755412">
              <w:rPr>
                <w:rFonts w:ascii="Calibri" w:hAnsi="Calibri"/>
                <w:b/>
                <w:bCs/>
                <w:sz w:val="20"/>
                <w:szCs w:val="20"/>
              </w:rPr>
              <w:t>2009</w:t>
            </w:r>
          </w:p>
        </w:tc>
        <w:tc>
          <w:tcPr>
            <w:tcW w:w="1415" w:type="dxa"/>
            <w:tcBorders>
              <w:top w:val="single" w:sz="8" w:space="0" w:color="000000"/>
              <w:left w:val="nil"/>
              <w:bottom w:val="single" w:sz="8" w:space="0" w:color="000000"/>
              <w:right w:val="single" w:sz="8" w:space="0" w:color="000000"/>
            </w:tcBorders>
            <w:shd w:val="clear" w:color="auto" w:fill="D6E3BC"/>
            <w:tcMar>
              <w:top w:w="0" w:type="dxa"/>
              <w:left w:w="108" w:type="dxa"/>
              <w:bottom w:w="0" w:type="dxa"/>
              <w:right w:w="108" w:type="dxa"/>
            </w:tcMar>
            <w:hideMark/>
          </w:tcPr>
          <w:p w14:paraId="14FF9ADE" w14:textId="77777777" w:rsidR="007D4E13" w:rsidRPr="00755412" w:rsidRDefault="007D4E13" w:rsidP="00307970">
            <w:pPr>
              <w:jc w:val="center"/>
              <w:rPr>
                <w:rFonts w:ascii="Calibri" w:hAnsi="Calibri"/>
                <w:b/>
                <w:bCs/>
                <w:sz w:val="20"/>
                <w:szCs w:val="20"/>
              </w:rPr>
            </w:pPr>
            <w:r w:rsidRPr="00755412">
              <w:rPr>
                <w:rFonts w:ascii="Calibri" w:hAnsi="Calibri"/>
                <w:b/>
                <w:bCs/>
                <w:sz w:val="20"/>
                <w:szCs w:val="20"/>
              </w:rPr>
              <w:t>2010</w:t>
            </w:r>
          </w:p>
        </w:tc>
        <w:tc>
          <w:tcPr>
            <w:tcW w:w="1416" w:type="dxa"/>
            <w:tcBorders>
              <w:top w:val="single" w:sz="8" w:space="0" w:color="000000"/>
              <w:left w:val="nil"/>
              <w:bottom w:val="single" w:sz="8" w:space="0" w:color="000000"/>
              <w:right w:val="single" w:sz="8" w:space="0" w:color="000000"/>
            </w:tcBorders>
            <w:shd w:val="clear" w:color="auto" w:fill="D6E3BC"/>
            <w:tcMar>
              <w:top w:w="0" w:type="dxa"/>
              <w:left w:w="108" w:type="dxa"/>
              <w:bottom w:w="0" w:type="dxa"/>
              <w:right w:w="108" w:type="dxa"/>
            </w:tcMar>
            <w:hideMark/>
          </w:tcPr>
          <w:p w14:paraId="2CE4E482" w14:textId="77777777" w:rsidR="007D4E13" w:rsidRPr="00755412" w:rsidRDefault="007D4E13" w:rsidP="00307970">
            <w:pPr>
              <w:jc w:val="center"/>
              <w:rPr>
                <w:rFonts w:ascii="Calibri" w:hAnsi="Calibri"/>
                <w:b/>
                <w:bCs/>
                <w:sz w:val="20"/>
                <w:szCs w:val="20"/>
              </w:rPr>
            </w:pPr>
            <w:r w:rsidRPr="00755412">
              <w:rPr>
                <w:rFonts w:ascii="Calibri" w:hAnsi="Calibri"/>
                <w:b/>
                <w:bCs/>
                <w:sz w:val="20"/>
                <w:szCs w:val="20"/>
              </w:rPr>
              <w:t>2011</w:t>
            </w:r>
          </w:p>
        </w:tc>
        <w:tc>
          <w:tcPr>
            <w:tcW w:w="1415" w:type="dxa"/>
            <w:tcBorders>
              <w:top w:val="single" w:sz="8" w:space="0" w:color="000000"/>
              <w:left w:val="nil"/>
              <w:bottom w:val="single" w:sz="8" w:space="0" w:color="000000"/>
              <w:right w:val="single" w:sz="8" w:space="0" w:color="000000"/>
            </w:tcBorders>
            <w:shd w:val="clear" w:color="auto" w:fill="D6E3BC"/>
            <w:tcMar>
              <w:top w:w="0" w:type="dxa"/>
              <w:left w:w="108" w:type="dxa"/>
              <w:bottom w:w="0" w:type="dxa"/>
              <w:right w:w="108" w:type="dxa"/>
            </w:tcMar>
            <w:hideMark/>
          </w:tcPr>
          <w:p w14:paraId="641F08FF" w14:textId="77777777" w:rsidR="007D4E13" w:rsidRPr="00755412" w:rsidRDefault="007D4E13" w:rsidP="00307970">
            <w:pPr>
              <w:jc w:val="center"/>
              <w:rPr>
                <w:rFonts w:ascii="Calibri" w:hAnsi="Calibri"/>
                <w:b/>
                <w:bCs/>
                <w:sz w:val="20"/>
                <w:szCs w:val="20"/>
              </w:rPr>
            </w:pPr>
            <w:r w:rsidRPr="00755412">
              <w:rPr>
                <w:rFonts w:ascii="Calibri" w:hAnsi="Calibri"/>
                <w:b/>
                <w:bCs/>
                <w:sz w:val="20"/>
                <w:szCs w:val="20"/>
              </w:rPr>
              <w:t>2012</w:t>
            </w:r>
          </w:p>
        </w:tc>
      </w:tr>
      <w:tr w:rsidR="007D4E13" w:rsidRPr="00755412" w14:paraId="4AE2BEA5" w14:textId="77777777" w:rsidTr="007D4E13">
        <w:trPr>
          <w:trHeight w:val="356"/>
        </w:trPr>
        <w:tc>
          <w:tcPr>
            <w:tcW w:w="2406" w:type="dxa"/>
            <w:tcBorders>
              <w:top w:val="nil"/>
              <w:left w:val="single" w:sz="8" w:space="0" w:color="000000"/>
              <w:bottom w:val="single" w:sz="8" w:space="0" w:color="000000"/>
              <w:right w:val="single" w:sz="8" w:space="0" w:color="000000"/>
            </w:tcBorders>
            <w:shd w:val="clear" w:color="auto" w:fill="D9D9D9"/>
            <w:tcMar>
              <w:top w:w="0" w:type="dxa"/>
              <w:left w:w="108" w:type="dxa"/>
              <w:bottom w:w="0" w:type="dxa"/>
              <w:right w:w="108" w:type="dxa"/>
            </w:tcMar>
            <w:hideMark/>
          </w:tcPr>
          <w:p w14:paraId="0E934F05" w14:textId="77777777" w:rsidR="007D4E13" w:rsidRPr="00755412" w:rsidRDefault="007D4E13" w:rsidP="007D4E13">
            <w:pPr>
              <w:rPr>
                <w:rFonts w:ascii="Calibri" w:hAnsi="Calibri"/>
                <w:b/>
                <w:bCs/>
                <w:sz w:val="20"/>
                <w:szCs w:val="20"/>
              </w:rPr>
            </w:pPr>
            <w:r w:rsidRPr="00755412">
              <w:rPr>
                <w:rFonts w:ascii="Calibri" w:hAnsi="Calibri"/>
                <w:b/>
                <w:bCs/>
                <w:sz w:val="20"/>
                <w:szCs w:val="20"/>
              </w:rPr>
              <w:t>Certificate I</w:t>
            </w:r>
          </w:p>
        </w:tc>
        <w:tc>
          <w:tcPr>
            <w:tcW w:w="1415" w:type="dxa"/>
            <w:tcBorders>
              <w:top w:val="nil"/>
              <w:left w:val="nil"/>
              <w:bottom w:val="single" w:sz="8" w:space="0" w:color="000000"/>
              <w:right w:val="single" w:sz="8" w:space="0" w:color="000000"/>
            </w:tcBorders>
            <w:tcMar>
              <w:top w:w="0" w:type="dxa"/>
              <w:left w:w="108" w:type="dxa"/>
              <w:bottom w:w="0" w:type="dxa"/>
              <w:right w:w="108" w:type="dxa"/>
            </w:tcMar>
            <w:hideMark/>
          </w:tcPr>
          <w:p w14:paraId="444B3A26" w14:textId="77777777" w:rsidR="007D4E13" w:rsidRPr="00755412" w:rsidRDefault="007D4E13" w:rsidP="00307970">
            <w:pPr>
              <w:jc w:val="center"/>
              <w:rPr>
                <w:rFonts w:ascii="Calibri" w:hAnsi="Calibri"/>
              </w:rPr>
            </w:pPr>
            <w:r w:rsidRPr="00755412">
              <w:rPr>
                <w:rFonts w:ascii="Calibri" w:hAnsi="Calibri"/>
              </w:rPr>
              <w:t>362</w:t>
            </w:r>
          </w:p>
        </w:tc>
        <w:tc>
          <w:tcPr>
            <w:tcW w:w="1416" w:type="dxa"/>
            <w:tcBorders>
              <w:top w:val="nil"/>
              <w:left w:val="nil"/>
              <w:bottom w:val="single" w:sz="8" w:space="0" w:color="000000"/>
              <w:right w:val="single" w:sz="8" w:space="0" w:color="000000"/>
            </w:tcBorders>
            <w:tcMar>
              <w:top w:w="0" w:type="dxa"/>
              <w:left w:w="108" w:type="dxa"/>
              <w:bottom w:w="0" w:type="dxa"/>
              <w:right w:w="108" w:type="dxa"/>
            </w:tcMar>
            <w:hideMark/>
          </w:tcPr>
          <w:p w14:paraId="15029AA6" w14:textId="77777777" w:rsidR="007D4E13" w:rsidRPr="00755412" w:rsidRDefault="007D4E13" w:rsidP="00307970">
            <w:pPr>
              <w:jc w:val="center"/>
              <w:rPr>
                <w:rFonts w:ascii="Calibri" w:hAnsi="Calibri"/>
              </w:rPr>
            </w:pPr>
            <w:r w:rsidRPr="00755412">
              <w:rPr>
                <w:rFonts w:ascii="Calibri" w:hAnsi="Calibri"/>
              </w:rPr>
              <w:t>279</w:t>
            </w:r>
          </w:p>
        </w:tc>
        <w:tc>
          <w:tcPr>
            <w:tcW w:w="1415" w:type="dxa"/>
            <w:tcBorders>
              <w:top w:val="nil"/>
              <w:left w:val="nil"/>
              <w:bottom w:val="single" w:sz="8" w:space="0" w:color="000000"/>
              <w:right w:val="single" w:sz="8" w:space="0" w:color="000000"/>
            </w:tcBorders>
            <w:tcMar>
              <w:top w:w="0" w:type="dxa"/>
              <w:left w:w="108" w:type="dxa"/>
              <w:bottom w:w="0" w:type="dxa"/>
              <w:right w:w="108" w:type="dxa"/>
            </w:tcMar>
            <w:hideMark/>
          </w:tcPr>
          <w:p w14:paraId="1FF399CA" w14:textId="77777777" w:rsidR="007D4E13" w:rsidRPr="00755412" w:rsidRDefault="007D4E13" w:rsidP="00307970">
            <w:pPr>
              <w:jc w:val="center"/>
              <w:rPr>
                <w:rFonts w:ascii="Calibri" w:hAnsi="Calibri"/>
              </w:rPr>
            </w:pPr>
            <w:r w:rsidRPr="00755412">
              <w:rPr>
                <w:rFonts w:ascii="Calibri" w:hAnsi="Calibri"/>
              </w:rPr>
              <w:t>244</w:t>
            </w:r>
          </w:p>
        </w:tc>
        <w:tc>
          <w:tcPr>
            <w:tcW w:w="1416" w:type="dxa"/>
            <w:tcBorders>
              <w:top w:val="nil"/>
              <w:left w:val="nil"/>
              <w:bottom w:val="single" w:sz="8" w:space="0" w:color="000000"/>
              <w:right w:val="single" w:sz="8" w:space="0" w:color="000000"/>
            </w:tcBorders>
            <w:tcMar>
              <w:top w:w="0" w:type="dxa"/>
              <w:left w:w="108" w:type="dxa"/>
              <w:bottom w:w="0" w:type="dxa"/>
              <w:right w:w="108" w:type="dxa"/>
            </w:tcMar>
            <w:hideMark/>
          </w:tcPr>
          <w:p w14:paraId="5F5F98CC" w14:textId="77777777" w:rsidR="007D4E13" w:rsidRPr="00755412" w:rsidRDefault="007D4E13" w:rsidP="00307970">
            <w:pPr>
              <w:jc w:val="center"/>
              <w:rPr>
                <w:rFonts w:ascii="Calibri" w:hAnsi="Calibri"/>
              </w:rPr>
            </w:pPr>
            <w:r w:rsidRPr="00755412">
              <w:rPr>
                <w:rFonts w:ascii="Calibri" w:hAnsi="Calibri"/>
              </w:rPr>
              <w:t>315</w:t>
            </w:r>
          </w:p>
        </w:tc>
        <w:tc>
          <w:tcPr>
            <w:tcW w:w="1415" w:type="dxa"/>
            <w:tcBorders>
              <w:top w:val="nil"/>
              <w:left w:val="nil"/>
              <w:bottom w:val="single" w:sz="8" w:space="0" w:color="000000"/>
              <w:right w:val="single" w:sz="8" w:space="0" w:color="000000"/>
            </w:tcBorders>
            <w:tcMar>
              <w:top w:w="0" w:type="dxa"/>
              <w:left w:w="108" w:type="dxa"/>
              <w:bottom w:w="0" w:type="dxa"/>
              <w:right w:w="108" w:type="dxa"/>
            </w:tcMar>
            <w:hideMark/>
          </w:tcPr>
          <w:p w14:paraId="7175AFB6" w14:textId="77777777" w:rsidR="007D4E13" w:rsidRPr="00755412" w:rsidRDefault="007D4E13" w:rsidP="00307970">
            <w:pPr>
              <w:jc w:val="center"/>
              <w:rPr>
                <w:rFonts w:ascii="Calibri" w:hAnsi="Calibri"/>
              </w:rPr>
            </w:pPr>
            <w:r w:rsidRPr="00755412">
              <w:rPr>
                <w:rFonts w:ascii="Calibri" w:hAnsi="Calibri"/>
              </w:rPr>
              <w:t>372</w:t>
            </w:r>
          </w:p>
        </w:tc>
      </w:tr>
      <w:tr w:rsidR="007D4E13" w:rsidRPr="00755412" w14:paraId="4BF9DFEF" w14:textId="77777777" w:rsidTr="007D4E13">
        <w:trPr>
          <w:trHeight w:val="341"/>
        </w:trPr>
        <w:tc>
          <w:tcPr>
            <w:tcW w:w="2406" w:type="dxa"/>
            <w:tcBorders>
              <w:top w:val="nil"/>
              <w:left w:val="single" w:sz="8" w:space="0" w:color="000000"/>
              <w:bottom w:val="single" w:sz="8" w:space="0" w:color="000000"/>
              <w:right w:val="single" w:sz="8" w:space="0" w:color="000000"/>
            </w:tcBorders>
            <w:shd w:val="clear" w:color="auto" w:fill="D9D9D9"/>
            <w:tcMar>
              <w:top w:w="0" w:type="dxa"/>
              <w:left w:w="108" w:type="dxa"/>
              <w:bottom w:w="0" w:type="dxa"/>
              <w:right w:w="108" w:type="dxa"/>
            </w:tcMar>
            <w:hideMark/>
          </w:tcPr>
          <w:p w14:paraId="77B89E93" w14:textId="77777777" w:rsidR="007D4E13" w:rsidRPr="00755412" w:rsidRDefault="007D4E13" w:rsidP="007D4E13">
            <w:pPr>
              <w:rPr>
                <w:rFonts w:ascii="Calibri" w:hAnsi="Calibri"/>
                <w:b/>
                <w:bCs/>
                <w:sz w:val="20"/>
                <w:szCs w:val="20"/>
              </w:rPr>
            </w:pPr>
            <w:r w:rsidRPr="00755412">
              <w:rPr>
                <w:rFonts w:ascii="Calibri" w:hAnsi="Calibri"/>
                <w:b/>
                <w:bCs/>
                <w:sz w:val="20"/>
                <w:szCs w:val="20"/>
              </w:rPr>
              <w:t>Certificate II and above</w:t>
            </w:r>
          </w:p>
        </w:tc>
        <w:tc>
          <w:tcPr>
            <w:tcW w:w="1415" w:type="dxa"/>
            <w:tcBorders>
              <w:top w:val="nil"/>
              <w:left w:val="nil"/>
              <w:bottom w:val="single" w:sz="8" w:space="0" w:color="000000"/>
              <w:right w:val="single" w:sz="8" w:space="0" w:color="000000"/>
            </w:tcBorders>
            <w:tcMar>
              <w:top w:w="0" w:type="dxa"/>
              <w:left w:w="108" w:type="dxa"/>
              <w:bottom w:w="0" w:type="dxa"/>
              <w:right w:w="108" w:type="dxa"/>
            </w:tcMar>
            <w:hideMark/>
          </w:tcPr>
          <w:p w14:paraId="00A8570E" w14:textId="77777777" w:rsidR="007D4E13" w:rsidRPr="00755412" w:rsidRDefault="007D4E13" w:rsidP="00307970">
            <w:pPr>
              <w:jc w:val="center"/>
              <w:rPr>
                <w:rFonts w:ascii="Calibri" w:hAnsi="Calibri"/>
              </w:rPr>
            </w:pPr>
            <w:r w:rsidRPr="00755412">
              <w:rPr>
                <w:rFonts w:ascii="Calibri" w:hAnsi="Calibri"/>
              </w:rPr>
              <w:t>753</w:t>
            </w:r>
          </w:p>
        </w:tc>
        <w:tc>
          <w:tcPr>
            <w:tcW w:w="1416" w:type="dxa"/>
            <w:tcBorders>
              <w:top w:val="nil"/>
              <w:left w:val="nil"/>
              <w:bottom w:val="single" w:sz="8" w:space="0" w:color="000000"/>
              <w:right w:val="single" w:sz="8" w:space="0" w:color="000000"/>
            </w:tcBorders>
            <w:tcMar>
              <w:top w:w="0" w:type="dxa"/>
              <w:left w:w="108" w:type="dxa"/>
              <w:bottom w:w="0" w:type="dxa"/>
              <w:right w:w="108" w:type="dxa"/>
            </w:tcMar>
            <w:hideMark/>
          </w:tcPr>
          <w:p w14:paraId="55206BE8" w14:textId="77777777" w:rsidR="007D4E13" w:rsidRPr="00755412" w:rsidRDefault="007D4E13" w:rsidP="00307970">
            <w:pPr>
              <w:jc w:val="center"/>
              <w:rPr>
                <w:rFonts w:ascii="Calibri" w:hAnsi="Calibri"/>
              </w:rPr>
            </w:pPr>
            <w:r w:rsidRPr="00755412">
              <w:rPr>
                <w:rFonts w:ascii="Calibri" w:hAnsi="Calibri"/>
              </w:rPr>
              <w:t>795</w:t>
            </w:r>
          </w:p>
        </w:tc>
        <w:tc>
          <w:tcPr>
            <w:tcW w:w="1415" w:type="dxa"/>
            <w:tcBorders>
              <w:top w:val="nil"/>
              <w:left w:val="nil"/>
              <w:bottom w:val="single" w:sz="8" w:space="0" w:color="000000"/>
              <w:right w:val="single" w:sz="8" w:space="0" w:color="000000"/>
            </w:tcBorders>
            <w:tcMar>
              <w:top w:w="0" w:type="dxa"/>
              <w:left w:w="108" w:type="dxa"/>
              <w:bottom w:w="0" w:type="dxa"/>
              <w:right w:w="108" w:type="dxa"/>
            </w:tcMar>
            <w:hideMark/>
          </w:tcPr>
          <w:p w14:paraId="57D8897C" w14:textId="77777777" w:rsidR="007D4E13" w:rsidRPr="00755412" w:rsidRDefault="007D4E13" w:rsidP="00307970">
            <w:pPr>
              <w:jc w:val="center"/>
              <w:rPr>
                <w:rFonts w:ascii="Calibri" w:hAnsi="Calibri"/>
              </w:rPr>
            </w:pPr>
            <w:r w:rsidRPr="00755412">
              <w:rPr>
                <w:rFonts w:ascii="Calibri" w:hAnsi="Calibri"/>
              </w:rPr>
              <w:t>943</w:t>
            </w:r>
          </w:p>
        </w:tc>
        <w:tc>
          <w:tcPr>
            <w:tcW w:w="1416" w:type="dxa"/>
            <w:tcBorders>
              <w:top w:val="nil"/>
              <w:left w:val="nil"/>
              <w:bottom w:val="single" w:sz="8" w:space="0" w:color="000000"/>
              <w:right w:val="single" w:sz="8" w:space="0" w:color="000000"/>
            </w:tcBorders>
            <w:tcMar>
              <w:top w:w="0" w:type="dxa"/>
              <w:left w:w="108" w:type="dxa"/>
              <w:bottom w:w="0" w:type="dxa"/>
              <w:right w:w="108" w:type="dxa"/>
            </w:tcMar>
            <w:hideMark/>
          </w:tcPr>
          <w:p w14:paraId="291F360F" w14:textId="77777777" w:rsidR="007D4E13" w:rsidRPr="00755412" w:rsidRDefault="007D4E13" w:rsidP="00307970">
            <w:pPr>
              <w:jc w:val="center"/>
              <w:rPr>
                <w:rFonts w:ascii="Calibri" w:hAnsi="Calibri"/>
              </w:rPr>
            </w:pPr>
            <w:r w:rsidRPr="00755412">
              <w:rPr>
                <w:rFonts w:ascii="Calibri" w:hAnsi="Calibri"/>
              </w:rPr>
              <w:t>876</w:t>
            </w:r>
          </w:p>
        </w:tc>
        <w:tc>
          <w:tcPr>
            <w:tcW w:w="1415" w:type="dxa"/>
            <w:tcBorders>
              <w:top w:val="nil"/>
              <w:left w:val="nil"/>
              <w:bottom w:val="single" w:sz="8" w:space="0" w:color="000000"/>
              <w:right w:val="single" w:sz="8" w:space="0" w:color="000000"/>
            </w:tcBorders>
            <w:tcMar>
              <w:top w:w="0" w:type="dxa"/>
              <w:left w:w="108" w:type="dxa"/>
              <w:bottom w:w="0" w:type="dxa"/>
              <w:right w:w="108" w:type="dxa"/>
            </w:tcMar>
            <w:hideMark/>
          </w:tcPr>
          <w:p w14:paraId="2D69B963" w14:textId="77777777" w:rsidR="007D4E13" w:rsidRPr="00755412" w:rsidRDefault="007D4E13" w:rsidP="00307970">
            <w:pPr>
              <w:jc w:val="center"/>
              <w:rPr>
                <w:rFonts w:ascii="Calibri" w:hAnsi="Calibri"/>
              </w:rPr>
            </w:pPr>
            <w:r w:rsidRPr="00755412">
              <w:rPr>
                <w:rFonts w:ascii="Calibri" w:hAnsi="Calibri"/>
              </w:rPr>
              <w:t>884</w:t>
            </w:r>
          </w:p>
        </w:tc>
      </w:tr>
      <w:tr w:rsidR="007D4E13" w:rsidRPr="00755412" w14:paraId="09109C4E" w14:textId="77777777" w:rsidTr="007D4E13">
        <w:trPr>
          <w:trHeight w:val="356"/>
        </w:trPr>
        <w:tc>
          <w:tcPr>
            <w:tcW w:w="2406" w:type="dxa"/>
            <w:tcBorders>
              <w:top w:val="nil"/>
              <w:left w:val="single" w:sz="8" w:space="0" w:color="000000"/>
              <w:bottom w:val="single" w:sz="8" w:space="0" w:color="000000"/>
              <w:right w:val="single" w:sz="8" w:space="0" w:color="000000"/>
            </w:tcBorders>
            <w:shd w:val="clear" w:color="auto" w:fill="D9D9D9"/>
            <w:tcMar>
              <w:top w:w="0" w:type="dxa"/>
              <w:left w:w="108" w:type="dxa"/>
              <w:bottom w:w="0" w:type="dxa"/>
              <w:right w:w="108" w:type="dxa"/>
            </w:tcMar>
            <w:hideMark/>
          </w:tcPr>
          <w:p w14:paraId="4C10ACEA" w14:textId="77777777" w:rsidR="007D4E13" w:rsidRPr="00755412" w:rsidRDefault="007D4E13" w:rsidP="007D4E13">
            <w:pPr>
              <w:rPr>
                <w:rFonts w:ascii="Calibri" w:hAnsi="Calibri"/>
                <w:b/>
                <w:bCs/>
                <w:sz w:val="20"/>
                <w:szCs w:val="20"/>
              </w:rPr>
            </w:pPr>
            <w:r w:rsidRPr="00755412">
              <w:rPr>
                <w:rFonts w:ascii="Calibri" w:hAnsi="Calibri"/>
                <w:b/>
                <w:bCs/>
                <w:sz w:val="20"/>
                <w:szCs w:val="20"/>
              </w:rPr>
              <w:t>TOTAL</w:t>
            </w:r>
          </w:p>
        </w:tc>
        <w:tc>
          <w:tcPr>
            <w:tcW w:w="1415" w:type="dxa"/>
            <w:tcBorders>
              <w:top w:val="nil"/>
              <w:left w:val="nil"/>
              <w:bottom w:val="single" w:sz="8" w:space="0" w:color="000000"/>
              <w:right w:val="single" w:sz="8" w:space="0" w:color="000000"/>
            </w:tcBorders>
            <w:tcMar>
              <w:top w:w="0" w:type="dxa"/>
              <w:left w:w="108" w:type="dxa"/>
              <w:bottom w:w="0" w:type="dxa"/>
              <w:right w:w="108" w:type="dxa"/>
            </w:tcMar>
            <w:hideMark/>
          </w:tcPr>
          <w:p w14:paraId="36C665B9" w14:textId="7009D837" w:rsidR="007D4E13" w:rsidRPr="00755412" w:rsidRDefault="007D4E13" w:rsidP="00307970">
            <w:pPr>
              <w:jc w:val="center"/>
              <w:rPr>
                <w:rFonts w:ascii="Calibri" w:hAnsi="Calibri"/>
              </w:rPr>
            </w:pPr>
            <w:r w:rsidRPr="00755412">
              <w:rPr>
                <w:rFonts w:ascii="Calibri" w:hAnsi="Calibri"/>
              </w:rPr>
              <w:t>1</w:t>
            </w:r>
            <w:r w:rsidR="00307970">
              <w:rPr>
                <w:rFonts w:ascii="Calibri" w:hAnsi="Calibri"/>
              </w:rPr>
              <w:t>,</w:t>
            </w:r>
            <w:r w:rsidRPr="00755412">
              <w:rPr>
                <w:rFonts w:ascii="Calibri" w:hAnsi="Calibri"/>
              </w:rPr>
              <w:t>115</w:t>
            </w:r>
          </w:p>
        </w:tc>
        <w:tc>
          <w:tcPr>
            <w:tcW w:w="1416" w:type="dxa"/>
            <w:tcBorders>
              <w:top w:val="nil"/>
              <w:left w:val="nil"/>
              <w:bottom w:val="single" w:sz="8" w:space="0" w:color="000000"/>
              <w:right w:val="single" w:sz="8" w:space="0" w:color="000000"/>
            </w:tcBorders>
            <w:tcMar>
              <w:top w:w="0" w:type="dxa"/>
              <w:left w:w="108" w:type="dxa"/>
              <w:bottom w:w="0" w:type="dxa"/>
              <w:right w:w="108" w:type="dxa"/>
            </w:tcMar>
            <w:hideMark/>
          </w:tcPr>
          <w:p w14:paraId="74394671" w14:textId="7526E41B" w:rsidR="007D4E13" w:rsidRPr="00755412" w:rsidRDefault="007D4E13" w:rsidP="00307970">
            <w:pPr>
              <w:jc w:val="center"/>
              <w:rPr>
                <w:rFonts w:ascii="Calibri" w:hAnsi="Calibri"/>
              </w:rPr>
            </w:pPr>
            <w:r w:rsidRPr="00755412">
              <w:rPr>
                <w:rFonts w:ascii="Calibri" w:hAnsi="Calibri"/>
              </w:rPr>
              <w:t>1</w:t>
            </w:r>
            <w:r w:rsidR="00307970">
              <w:rPr>
                <w:rFonts w:ascii="Calibri" w:hAnsi="Calibri"/>
              </w:rPr>
              <w:t>,</w:t>
            </w:r>
            <w:r w:rsidRPr="00755412">
              <w:rPr>
                <w:rFonts w:ascii="Calibri" w:hAnsi="Calibri"/>
              </w:rPr>
              <w:t>074</w:t>
            </w:r>
          </w:p>
        </w:tc>
        <w:tc>
          <w:tcPr>
            <w:tcW w:w="1415" w:type="dxa"/>
            <w:tcBorders>
              <w:top w:val="nil"/>
              <w:left w:val="nil"/>
              <w:bottom w:val="single" w:sz="8" w:space="0" w:color="000000"/>
              <w:right w:val="single" w:sz="8" w:space="0" w:color="000000"/>
            </w:tcBorders>
            <w:tcMar>
              <w:top w:w="0" w:type="dxa"/>
              <w:left w:w="108" w:type="dxa"/>
              <w:bottom w:w="0" w:type="dxa"/>
              <w:right w:w="108" w:type="dxa"/>
            </w:tcMar>
            <w:hideMark/>
          </w:tcPr>
          <w:p w14:paraId="54504DE4" w14:textId="4B4019B4" w:rsidR="007D4E13" w:rsidRPr="00755412" w:rsidRDefault="007D4E13" w:rsidP="00307970">
            <w:pPr>
              <w:jc w:val="center"/>
              <w:rPr>
                <w:rFonts w:ascii="Calibri" w:hAnsi="Calibri"/>
              </w:rPr>
            </w:pPr>
            <w:r w:rsidRPr="00755412">
              <w:rPr>
                <w:rFonts w:ascii="Calibri" w:hAnsi="Calibri"/>
              </w:rPr>
              <w:t>1</w:t>
            </w:r>
            <w:r w:rsidR="00307970">
              <w:rPr>
                <w:rFonts w:ascii="Calibri" w:hAnsi="Calibri"/>
              </w:rPr>
              <w:t>,</w:t>
            </w:r>
            <w:r w:rsidRPr="00755412">
              <w:rPr>
                <w:rFonts w:ascii="Calibri" w:hAnsi="Calibri"/>
              </w:rPr>
              <w:t>187</w:t>
            </w:r>
          </w:p>
        </w:tc>
        <w:tc>
          <w:tcPr>
            <w:tcW w:w="1416" w:type="dxa"/>
            <w:tcBorders>
              <w:top w:val="nil"/>
              <w:left w:val="nil"/>
              <w:bottom w:val="single" w:sz="8" w:space="0" w:color="000000"/>
              <w:right w:val="single" w:sz="8" w:space="0" w:color="000000"/>
            </w:tcBorders>
            <w:tcMar>
              <w:top w:w="0" w:type="dxa"/>
              <w:left w:w="108" w:type="dxa"/>
              <w:bottom w:w="0" w:type="dxa"/>
              <w:right w:w="108" w:type="dxa"/>
            </w:tcMar>
            <w:hideMark/>
          </w:tcPr>
          <w:p w14:paraId="27C912CC" w14:textId="1243B9EB" w:rsidR="007D4E13" w:rsidRPr="00755412" w:rsidRDefault="007D4E13" w:rsidP="00307970">
            <w:pPr>
              <w:jc w:val="center"/>
              <w:rPr>
                <w:rFonts w:ascii="Calibri" w:hAnsi="Calibri"/>
              </w:rPr>
            </w:pPr>
            <w:r w:rsidRPr="00755412">
              <w:rPr>
                <w:rFonts w:ascii="Calibri" w:hAnsi="Calibri"/>
              </w:rPr>
              <w:t>1</w:t>
            </w:r>
            <w:r w:rsidR="00307970">
              <w:rPr>
                <w:rFonts w:ascii="Calibri" w:hAnsi="Calibri"/>
              </w:rPr>
              <w:t>,</w:t>
            </w:r>
            <w:r w:rsidRPr="00755412">
              <w:rPr>
                <w:rFonts w:ascii="Calibri" w:hAnsi="Calibri"/>
              </w:rPr>
              <w:t>191</w:t>
            </w:r>
          </w:p>
        </w:tc>
        <w:tc>
          <w:tcPr>
            <w:tcW w:w="1415" w:type="dxa"/>
            <w:tcBorders>
              <w:top w:val="nil"/>
              <w:left w:val="nil"/>
              <w:bottom w:val="single" w:sz="8" w:space="0" w:color="000000"/>
              <w:right w:val="single" w:sz="8" w:space="0" w:color="000000"/>
            </w:tcBorders>
            <w:tcMar>
              <w:top w:w="0" w:type="dxa"/>
              <w:left w:w="108" w:type="dxa"/>
              <w:bottom w:w="0" w:type="dxa"/>
              <w:right w:w="108" w:type="dxa"/>
            </w:tcMar>
            <w:hideMark/>
          </w:tcPr>
          <w:p w14:paraId="67E2F652" w14:textId="46144263" w:rsidR="007D4E13" w:rsidRPr="00755412" w:rsidRDefault="007D4E13" w:rsidP="00307970">
            <w:pPr>
              <w:jc w:val="center"/>
              <w:rPr>
                <w:rFonts w:ascii="Calibri" w:hAnsi="Calibri"/>
              </w:rPr>
            </w:pPr>
            <w:r w:rsidRPr="00755412">
              <w:rPr>
                <w:rFonts w:ascii="Calibri" w:hAnsi="Calibri"/>
              </w:rPr>
              <w:t>1</w:t>
            </w:r>
            <w:r w:rsidR="00307970">
              <w:rPr>
                <w:rFonts w:ascii="Calibri" w:hAnsi="Calibri"/>
              </w:rPr>
              <w:t>,</w:t>
            </w:r>
            <w:r w:rsidRPr="00755412">
              <w:rPr>
                <w:rFonts w:ascii="Calibri" w:hAnsi="Calibri"/>
              </w:rPr>
              <w:t>256</w:t>
            </w:r>
          </w:p>
        </w:tc>
      </w:tr>
    </w:tbl>
    <w:p w14:paraId="5D49211E" w14:textId="1B29FD2E" w:rsidR="007D4E13" w:rsidRPr="00755412" w:rsidRDefault="007D4E13" w:rsidP="00095D55">
      <w:pPr>
        <w:spacing w:after="120"/>
        <w:rPr>
          <w:rFonts w:ascii="Calibri" w:hAnsi="Calibri"/>
          <w:i/>
          <w:iCs/>
          <w:sz w:val="20"/>
          <w:szCs w:val="20"/>
        </w:rPr>
      </w:pPr>
      <w:proofErr w:type="spellStart"/>
      <w:r w:rsidRPr="00755412">
        <w:rPr>
          <w:rFonts w:ascii="Calibri" w:hAnsi="Calibri"/>
          <w:i/>
          <w:iCs/>
          <w:sz w:val="20"/>
          <w:szCs w:val="20"/>
        </w:rPr>
        <w:t>SVTS</w:t>
      </w:r>
      <w:proofErr w:type="spellEnd"/>
      <w:r w:rsidRPr="00755412">
        <w:rPr>
          <w:rFonts w:ascii="Calibri" w:hAnsi="Calibri"/>
          <w:i/>
          <w:iCs/>
          <w:sz w:val="20"/>
          <w:szCs w:val="20"/>
        </w:rPr>
        <w:t xml:space="preserve"> data: Students ag</w:t>
      </w:r>
      <w:r w:rsidR="004B0261" w:rsidRPr="00755412">
        <w:rPr>
          <w:rFonts w:ascii="Calibri" w:hAnsi="Calibri"/>
          <w:i/>
          <w:iCs/>
          <w:sz w:val="20"/>
          <w:szCs w:val="20"/>
        </w:rPr>
        <w:t>ed 15-19 at 30 June each year; n</w:t>
      </w:r>
      <w:r w:rsidRPr="00755412">
        <w:rPr>
          <w:rFonts w:ascii="Calibri" w:hAnsi="Calibri"/>
          <w:i/>
          <w:iCs/>
          <w:sz w:val="20"/>
          <w:szCs w:val="20"/>
        </w:rPr>
        <w:t>ot enroll</w:t>
      </w:r>
      <w:r w:rsidR="004B0261" w:rsidRPr="00755412">
        <w:rPr>
          <w:rFonts w:ascii="Calibri" w:hAnsi="Calibri"/>
          <w:i/>
          <w:iCs/>
          <w:sz w:val="20"/>
          <w:szCs w:val="20"/>
        </w:rPr>
        <w:t>ed in School; no Year 12 completion; n</w:t>
      </w:r>
      <w:r w:rsidRPr="00755412">
        <w:rPr>
          <w:rFonts w:ascii="Calibri" w:hAnsi="Calibri"/>
          <w:i/>
          <w:iCs/>
          <w:sz w:val="20"/>
          <w:szCs w:val="20"/>
        </w:rPr>
        <w:t xml:space="preserve">o prior qualification at Cert II </w:t>
      </w:r>
      <w:proofErr w:type="spellStart"/>
      <w:r w:rsidRPr="00755412">
        <w:rPr>
          <w:rFonts w:ascii="Calibri" w:hAnsi="Calibri"/>
          <w:i/>
          <w:iCs/>
          <w:sz w:val="20"/>
          <w:szCs w:val="20"/>
        </w:rPr>
        <w:t>AQF</w:t>
      </w:r>
      <w:proofErr w:type="spellEnd"/>
      <w:r w:rsidRPr="00755412">
        <w:rPr>
          <w:rFonts w:ascii="Calibri" w:hAnsi="Calibri"/>
          <w:i/>
          <w:iCs/>
          <w:sz w:val="20"/>
          <w:szCs w:val="20"/>
        </w:rPr>
        <w:t xml:space="preserve"> Level or above. </w:t>
      </w:r>
    </w:p>
    <w:p w14:paraId="3A478E50" w14:textId="5E210511" w:rsidR="00E323B2" w:rsidRDefault="00755412" w:rsidP="00095D55">
      <w:pPr>
        <w:spacing w:after="120"/>
        <w:jc w:val="both"/>
        <w:rPr>
          <w:rFonts w:ascii="Calibri" w:hAnsi="Calibri"/>
        </w:rPr>
      </w:pPr>
      <w:proofErr w:type="spellStart"/>
      <w:r>
        <w:rPr>
          <w:rFonts w:ascii="Calibri" w:hAnsi="Calibri"/>
        </w:rPr>
        <w:t>Koorie</w:t>
      </w:r>
      <w:proofErr w:type="spellEnd"/>
      <w:r>
        <w:rPr>
          <w:rFonts w:ascii="Calibri" w:hAnsi="Calibri"/>
        </w:rPr>
        <w:t xml:space="preserve"> </w:t>
      </w:r>
      <w:r w:rsidR="00E323B2">
        <w:rPr>
          <w:rFonts w:ascii="Calibri" w:hAnsi="Calibri"/>
        </w:rPr>
        <w:t xml:space="preserve">Engagement </w:t>
      </w:r>
      <w:r>
        <w:rPr>
          <w:rFonts w:ascii="Calibri" w:hAnsi="Calibri"/>
        </w:rPr>
        <w:t>Support Officers</w:t>
      </w:r>
      <w:r w:rsidR="00FC38AF">
        <w:rPr>
          <w:rFonts w:ascii="Calibri" w:hAnsi="Calibri"/>
        </w:rPr>
        <w:t xml:space="preserve"> were appointed</w:t>
      </w:r>
      <w:r>
        <w:rPr>
          <w:rFonts w:ascii="Calibri" w:hAnsi="Calibri"/>
        </w:rPr>
        <w:t xml:space="preserve"> by the Victorian Government at the end of 2009</w:t>
      </w:r>
      <w:r w:rsidR="00E323B2">
        <w:rPr>
          <w:rFonts w:ascii="Calibri" w:hAnsi="Calibri"/>
        </w:rPr>
        <w:t xml:space="preserve">.  </w:t>
      </w:r>
      <w:r w:rsidR="00FC38AF">
        <w:rPr>
          <w:rFonts w:ascii="Calibri" w:hAnsi="Calibri"/>
        </w:rPr>
        <w:t xml:space="preserve">The appointments support an increase in enrolments. </w:t>
      </w:r>
      <w:r w:rsidR="00E323B2">
        <w:rPr>
          <w:rFonts w:ascii="Calibri" w:hAnsi="Calibri"/>
        </w:rPr>
        <w:t xml:space="preserve">This initiative </w:t>
      </w:r>
      <w:r w:rsidR="00FC38AF">
        <w:rPr>
          <w:rFonts w:ascii="Calibri" w:hAnsi="Calibri"/>
        </w:rPr>
        <w:t>successfully re-engages</w:t>
      </w:r>
      <w:r w:rsidR="00E323B2">
        <w:rPr>
          <w:rFonts w:ascii="Calibri" w:hAnsi="Calibri"/>
        </w:rPr>
        <w:t xml:space="preserve"> </w:t>
      </w:r>
      <w:proofErr w:type="spellStart"/>
      <w:r w:rsidR="00E323B2">
        <w:rPr>
          <w:rFonts w:ascii="Calibri" w:hAnsi="Calibri"/>
        </w:rPr>
        <w:t>Koorie</w:t>
      </w:r>
      <w:proofErr w:type="spellEnd"/>
      <w:r w:rsidR="00E323B2">
        <w:rPr>
          <w:rFonts w:ascii="Calibri" w:hAnsi="Calibri"/>
        </w:rPr>
        <w:t xml:space="preserve"> students back into education, </w:t>
      </w:r>
      <w:r w:rsidR="00FC38AF">
        <w:rPr>
          <w:rFonts w:ascii="Calibri" w:hAnsi="Calibri"/>
        </w:rPr>
        <w:t xml:space="preserve">many of which are </w:t>
      </w:r>
      <w:r w:rsidR="00E323B2">
        <w:rPr>
          <w:rFonts w:ascii="Calibri" w:hAnsi="Calibri"/>
        </w:rPr>
        <w:t>through enrolments in VET certificates at level II or higher</w:t>
      </w:r>
      <w:r>
        <w:rPr>
          <w:rFonts w:ascii="Calibri" w:hAnsi="Calibri"/>
        </w:rPr>
        <w:t xml:space="preserve">. </w:t>
      </w:r>
    </w:p>
    <w:p w14:paraId="248B13DB" w14:textId="77777777" w:rsidR="00BA6A85" w:rsidRPr="00BA6A85" w:rsidRDefault="00BA6A85" w:rsidP="00592A44">
      <w:pPr>
        <w:pStyle w:val="Heading4"/>
      </w:pPr>
      <w:r w:rsidRPr="003F186B">
        <w:t>Other leading indicators</w:t>
      </w:r>
    </w:p>
    <w:p w14:paraId="06856F69" w14:textId="77777777" w:rsidR="00BA6A85" w:rsidRPr="00BA6A85" w:rsidRDefault="00BA6A85" w:rsidP="00095D55">
      <w:pPr>
        <w:widowControl w:val="0"/>
        <w:spacing w:after="80"/>
        <w:rPr>
          <w:color w:val="FF0000"/>
        </w:rPr>
      </w:pPr>
      <w:r w:rsidRPr="003F186B">
        <w:rPr>
          <w:i/>
          <w:color w:val="000000"/>
        </w:rPr>
        <w:t xml:space="preserve">Student retention Years 7-10 and 7-12 </w:t>
      </w:r>
    </w:p>
    <w:p w14:paraId="480FC11F" w14:textId="57135D1A" w:rsidR="00BA6A85" w:rsidRDefault="002D74B7" w:rsidP="00095D55">
      <w:pPr>
        <w:widowControl w:val="0"/>
        <w:spacing w:after="80"/>
        <w:jc w:val="both"/>
        <w:rPr>
          <w:rFonts w:cs="Arial"/>
        </w:rPr>
      </w:pPr>
      <w:r>
        <w:rPr>
          <w:rFonts w:cs="Arial"/>
        </w:rPr>
        <w:t>T</w:t>
      </w:r>
      <w:r w:rsidR="00BA6A85" w:rsidRPr="00BA6A85">
        <w:rPr>
          <w:rFonts w:cs="Arial"/>
        </w:rPr>
        <w:t xml:space="preserve">able </w:t>
      </w:r>
      <w:r w:rsidR="008544B6">
        <w:rPr>
          <w:rFonts w:cs="Arial"/>
        </w:rPr>
        <w:t>8</w:t>
      </w:r>
      <w:r>
        <w:rPr>
          <w:rFonts w:cs="Arial"/>
        </w:rPr>
        <w:t xml:space="preserve"> </w:t>
      </w:r>
      <w:r w:rsidR="00BA6A85" w:rsidRPr="00BA6A85">
        <w:rPr>
          <w:rFonts w:cs="Arial"/>
        </w:rPr>
        <w:t xml:space="preserve">below provides a detailed breakdown of trends in apparent retention of Indigenous students, compared to the total student cohort, </w:t>
      </w:r>
      <w:r w:rsidR="00D35F01">
        <w:rPr>
          <w:rFonts w:cs="Arial"/>
        </w:rPr>
        <w:t>drawn from the Victorian August</w:t>
      </w:r>
      <w:r w:rsidR="00BA6A85" w:rsidRPr="00BA6A85">
        <w:rPr>
          <w:rFonts w:cs="Arial"/>
        </w:rPr>
        <w:t xml:space="preserve"> School Census</w:t>
      </w:r>
      <w:r w:rsidR="00D35F01">
        <w:rPr>
          <w:rFonts w:cs="Arial"/>
        </w:rPr>
        <w:t xml:space="preserve"> in 2012</w:t>
      </w:r>
      <w:r w:rsidR="00BA6A85" w:rsidRPr="00BA6A85">
        <w:rPr>
          <w:rFonts w:cs="Arial"/>
        </w:rPr>
        <w:t>. It indicates improvements for retention of Indigenous students across both Year 7-10 and Year 10-12.</w:t>
      </w:r>
    </w:p>
    <w:p w14:paraId="67C298F9" w14:textId="472AD3BC" w:rsidR="00500247" w:rsidRPr="00BA6A85" w:rsidRDefault="00500247" w:rsidP="00310950">
      <w:pPr>
        <w:widowControl w:val="0"/>
        <w:spacing w:after="120"/>
        <w:jc w:val="both"/>
        <w:rPr>
          <w:rFonts w:cs="Arial"/>
        </w:rPr>
      </w:pPr>
      <w:r>
        <w:rPr>
          <w:color w:val="000000"/>
        </w:rPr>
        <w:t xml:space="preserve">All Apparent retention rate </w:t>
      </w:r>
      <w:r w:rsidRPr="00BA6A85">
        <w:rPr>
          <w:color w:val="000000"/>
        </w:rPr>
        <w:t>figures should be treated with caution as they can be strongly influenced by factors such as local movements of students into or out of the schools, and by students repeating year levels. As a result, apparent ret</w:t>
      </w:r>
      <w:r>
        <w:rPr>
          <w:color w:val="000000"/>
        </w:rPr>
        <w:t>ention can exceed 100 per cent.</w:t>
      </w:r>
    </w:p>
    <w:p w14:paraId="1F70A206" w14:textId="2CFB9102" w:rsidR="00151CD0" w:rsidRPr="00151CD0" w:rsidRDefault="004F1B7A" w:rsidP="00592A44">
      <w:pPr>
        <w:pStyle w:val="Heading4"/>
        <w:rPr>
          <w:rFonts w:eastAsia="Calibri"/>
        </w:rPr>
      </w:pPr>
      <w:r>
        <w:rPr>
          <w:rFonts w:eastAsia="Calibri"/>
        </w:rPr>
        <w:lastRenderedPageBreak/>
        <w:t>Table 8</w:t>
      </w:r>
      <w:r w:rsidR="00151CD0" w:rsidRPr="00151CD0">
        <w:rPr>
          <w:rFonts w:eastAsia="Calibri"/>
        </w:rPr>
        <w:t>: Apparent Retention Rates, by Indigenous Status, Victoria, 2008-2012</w:t>
      </w:r>
    </w:p>
    <w:tbl>
      <w:tblPr>
        <w:tblW w:w="4899" w:type="pct"/>
        <w:tblInd w:w="108" w:type="dxa"/>
        <w:tblLook w:val="04A0" w:firstRow="1" w:lastRow="0" w:firstColumn="1" w:lastColumn="0" w:noHBand="0" w:noVBand="1"/>
      </w:tblPr>
      <w:tblGrid>
        <w:gridCol w:w="1724"/>
        <w:gridCol w:w="1794"/>
        <w:gridCol w:w="1334"/>
        <w:gridCol w:w="1084"/>
        <w:gridCol w:w="997"/>
        <w:gridCol w:w="998"/>
        <w:gridCol w:w="918"/>
        <w:gridCol w:w="918"/>
      </w:tblGrid>
      <w:tr w:rsidR="00151CD0" w:rsidRPr="00151CD0" w14:paraId="083C16EF" w14:textId="77777777" w:rsidTr="00F81216">
        <w:trPr>
          <w:trHeight w:val="261"/>
        </w:trPr>
        <w:tc>
          <w:tcPr>
            <w:tcW w:w="1689" w:type="dxa"/>
            <w:tcBorders>
              <w:top w:val="single" w:sz="8" w:space="0" w:color="auto"/>
              <w:left w:val="single" w:sz="8" w:space="0" w:color="auto"/>
              <w:bottom w:val="single" w:sz="4" w:space="0" w:color="auto"/>
              <w:right w:val="nil"/>
            </w:tcBorders>
            <w:shd w:val="clear" w:color="auto" w:fill="D6E3BC" w:themeFill="accent3" w:themeFillTint="66"/>
            <w:noWrap/>
            <w:vAlign w:val="bottom"/>
            <w:hideMark/>
          </w:tcPr>
          <w:p w14:paraId="3F0478E7" w14:textId="77777777" w:rsidR="00151CD0" w:rsidRPr="00151CD0" w:rsidRDefault="00151CD0" w:rsidP="00151CD0">
            <w:pPr>
              <w:keepNext/>
              <w:keepLines/>
              <w:spacing w:line="240" w:lineRule="auto"/>
              <w:rPr>
                <w:rFonts w:ascii="Calibri" w:eastAsia="Times New Roman" w:hAnsi="Calibri" w:cs="Calibri"/>
                <w:color w:val="000000"/>
                <w:sz w:val="20"/>
                <w:szCs w:val="20"/>
                <w:lang w:eastAsia="en-AU"/>
              </w:rPr>
            </w:pPr>
            <w:r w:rsidRPr="00151CD0">
              <w:rPr>
                <w:rFonts w:ascii="Calibri" w:eastAsia="Times New Roman" w:hAnsi="Calibri" w:cs="Calibri"/>
                <w:color w:val="000000"/>
                <w:sz w:val="20"/>
                <w:szCs w:val="20"/>
                <w:lang w:eastAsia="en-AU"/>
              </w:rPr>
              <w:t> </w:t>
            </w:r>
          </w:p>
        </w:tc>
        <w:tc>
          <w:tcPr>
            <w:tcW w:w="1757" w:type="dxa"/>
            <w:tcBorders>
              <w:top w:val="single" w:sz="8" w:space="0" w:color="auto"/>
              <w:left w:val="nil"/>
              <w:bottom w:val="single" w:sz="4" w:space="0" w:color="auto"/>
              <w:right w:val="nil"/>
            </w:tcBorders>
            <w:shd w:val="clear" w:color="auto" w:fill="D6E3BC" w:themeFill="accent3" w:themeFillTint="66"/>
            <w:noWrap/>
            <w:vAlign w:val="bottom"/>
            <w:hideMark/>
          </w:tcPr>
          <w:p w14:paraId="299EFCA7" w14:textId="77777777" w:rsidR="00151CD0" w:rsidRPr="00151CD0" w:rsidRDefault="00151CD0" w:rsidP="00151CD0">
            <w:pPr>
              <w:keepNext/>
              <w:keepLines/>
              <w:spacing w:line="240" w:lineRule="auto"/>
              <w:rPr>
                <w:rFonts w:ascii="Calibri" w:eastAsia="Times New Roman" w:hAnsi="Calibri" w:cs="Calibri"/>
                <w:b/>
                <w:bCs/>
                <w:color w:val="000000"/>
                <w:sz w:val="20"/>
                <w:szCs w:val="20"/>
                <w:lang w:eastAsia="en-AU"/>
              </w:rPr>
            </w:pPr>
            <w:r w:rsidRPr="00151CD0">
              <w:rPr>
                <w:rFonts w:ascii="Calibri" w:eastAsia="Times New Roman" w:hAnsi="Calibri" w:cs="Calibri"/>
                <w:b/>
                <w:bCs/>
                <w:color w:val="000000"/>
                <w:sz w:val="20"/>
                <w:szCs w:val="20"/>
                <w:lang w:eastAsia="en-AU"/>
              </w:rPr>
              <w:t> </w:t>
            </w:r>
          </w:p>
        </w:tc>
        <w:tc>
          <w:tcPr>
            <w:tcW w:w="1307" w:type="dxa"/>
            <w:tcBorders>
              <w:top w:val="single" w:sz="8" w:space="0" w:color="auto"/>
              <w:left w:val="nil"/>
              <w:bottom w:val="single" w:sz="4" w:space="0" w:color="auto"/>
              <w:right w:val="single" w:sz="4" w:space="0" w:color="auto"/>
            </w:tcBorders>
            <w:shd w:val="clear" w:color="auto" w:fill="D6E3BC" w:themeFill="accent3" w:themeFillTint="66"/>
            <w:noWrap/>
            <w:vAlign w:val="bottom"/>
            <w:hideMark/>
          </w:tcPr>
          <w:p w14:paraId="534F5820" w14:textId="77777777" w:rsidR="00151CD0" w:rsidRPr="00151CD0" w:rsidRDefault="00151CD0" w:rsidP="00151CD0">
            <w:pPr>
              <w:keepNext/>
              <w:keepLines/>
              <w:spacing w:line="240" w:lineRule="auto"/>
              <w:rPr>
                <w:rFonts w:ascii="Calibri" w:eastAsia="Times New Roman" w:hAnsi="Calibri" w:cs="Calibri"/>
                <w:b/>
                <w:bCs/>
                <w:color w:val="000000"/>
                <w:sz w:val="20"/>
                <w:szCs w:val="20"/>
                <w:lang w:eastAsia="en-AU"/>
              </w:rPr>
            </w:pPr>
            <w:r w:rsidRPr="00151CD0">
              <w:rPr>
                <w:rFonts w:ascii="Calibri" w:eastAsia="Times New Roman" w:hAnsi="Calibri" w:cs="Calibri"/>
                <w:b/>
                <w:bCs/>
                <w:color w:val="000000"/>
                <w:sz w:val="20"/>
                <w:szCs w:val="20"/>
                <w:lang w:eastAsia="en-AU"/>
              </w:rPr>
              <w:t> </w:t>
            </w:r>
          </w:p>
        </w:tc>
        <w:tc>
          <w:tcPr>
            <w:tcW w:w="1062" w:type="dxa"/>
            <w:tcBorders>
              <w:top w:val="single" w:sz="4" w:space="0" w:color="auto"/>
              <w:left w:val="nil"/>
              <w:bottom w:val="single" w:sz="4" w:space="0" w:color="auto"/>
              <w:right w:val="single" w:sz="4" w:space="0" w:color="auto"/>
            </w:tcBorders>
            <w:shd w:val="clear" w:color="auto" w:fill="D6E3BC" w:themeFill="accent3" w:themeFillTint="66"/>
            <w:noWrap/>
            <w:vAlign w:val="bottom"/>
            <w:hideMark/>
          </w:tcPr>
          <w:p w14:paraId="25F4AC14" w14:textId="77777777" w:rsidR="00151CD0" w:rsidRPr="00151CD0" w:rsidRDefault="00151CD0" w:rsidP="00151CD0">
            <w:pPr>
              <w:keepNext/>
              <w:keepLines/>
              <w:spacing w:line="240" w:lineRule="auto"/>
              <w:jc w:val="center"/>
              <w:rPr>
                <w:rFonts w:ascii="Calibri" w:eastAsia="Times New Roman" w:hAnsi="Calibri" w:cs="Calibri"/>
                <w:b/>
                <w:bCs/>
                <w:color w:val="000000"/>
                <w:sz w:val="20"/>
                <w:szCs w:val="20"/>
                <w:lang w:eastAsia="en-AU"/>
              </w:rPr>
            </w:pPr>
            <w:r w:rsidRPr="00151CD0">
              <w:rPr>
                <w:rFonts w:ascii="Calibri" w:eastAsia="Times New Roman" w:hAnsi="Calibri" w:cs="Calibri"/>
                <w:b/>
                <w:bCs/>
                <w:color w:val="000000"/>
                <w:sz w:val="20"/>
                <w:szCs w:val="20"/>
                <w:lang w:eastAsia="en-AU"/>
              </w:rPr>
              <w:t>2008</w:t>
            </w:r>
          </w:p>
        </w:tc>
        <w:tc>
          <w:tcPr>
            <w:tcW w:w="977" w:type="dxa"/>
            <w:tcBorders>
              <w:top w:val="single" w:sz="4" w:space="0" w:color="auto"/>
              <w:left w:val="single" w:sz="4" w:space="0" w:color="auto"/>
              <w:bottom w:val="single" w:sz="4" w:space="0" w:color="auto"/>
              <w:right w:val="single" w:sz="4" w:space="0" w:color="auto"/>
            </w:tcBorders>
            <w:shd w:val="clear" w:color="auto" w:fill="D6E3BC" w:themeFill="accent3" w:themeFillTint="66"/>
            <w:noWrap/>
            <w:vAlign w:val="bottom"/>
            <w:hideMark/>
          </w:tcPr>
          <w:p w14:paraId="367A36AF" w14:textId="77777777" w:rsidR="00151CD0" w:rsidRPr="00151CD0" w:rsidRDefault="00151CD0" w:rsidP="00151CD0">
            <w:pPr>
              <w:keepNext/>
              <w:keepLines/>
              <w:spacing w:line="240" w:lineRule="auto"/>
              <w:jc w:val="center"/>
              <w:rPr>
                <w:rFonts w:ascii="Calibri" w:eastAsia="Times New Roman" w:hAnsi="Calibri" w:cs="Calibri"/>
                <w:b/>
                <w:bCs/>
                <w:color w:val="000000"/>
                <w:sz w:val="20"/>
                <w:szCs w:val="20"/>
                <w:lang w:eastAsia="en-AU"/>
              </w:rPr>
            </w:pPr>
            <w:r w:rsidRPr="00151CD0">
              <w:rPr>
                <w:rFonts w:ascii="Calibri" w:eastAsia="Times New Roman" w:hAnsi="Calibri" w:cs="Calibri"/>
                <w:b/>
                <w:bCs/>
                <w:color w:val="000000"/>
                <w:sz w:val="20"/>
                <w:szCs w:val="20"/>
                <w:lang w:eastAsia="en-AU"/>
              </w:rPr>
              <w:t>2009</w:t>
            </w:r>
          </w:p>
        </w:tc>
        <w:tc>
          <w:tcPr>
            <w:tcW w:w="978" w:type="dxa"/>
            <w:tcBorders>
              <w:top w:val="single" w:sz="4" w:space="0" w:color="auto"/>
              <w:left w:val="single" w:sz="4" w:space="0" w:color="auto"/>
              <w:bottom w:val="single" w:sz="4" w:space="0" w:color="auto"/>
              <w:right w:val="single" w:sz="4" w:space="0" w:color="auto"/>
            </w:tcBorders>
            <w:shd w:val="clear" w:color="auto" w:fill="D6E3BC" w:themeFill="accent3" w:themeFillTint="66"/>
            <w:noWrap/>
            <w:vAlign w:val="bottom"/>
            <w:hideMark/>
          </w:tcPr>
          <w:p w14:paraId="0990B2FE" w14:textId="77777777" w:rsidR="00151CD0" w:rsidRPr="00151CD0" w:rsidRDefault="00151CD0" w:rsidP="00151CD0">
            <w:pPr>
              <w:keepNext/>
              <w:keepLines/>
              <w:spacing w:line="240" w:lineRule="auto"/>
              <w:jc w:val="center"/>
              <w:rPr>
                <w:rFonts w:ascii="Calibri" w:eastAsia="Times New Roman" w:hAnsi="Calibri" w:cs="Calibri"/>
                <w:b/>
                <w:bCs/>
                <w:color w:val="000000"/>
                <w:sz w:val="20"/>
                <w:szCs w:val="20"/>
                <w:lang w:eastAsia="en-AU"/>
              </w:rPr>
            </w:pPr>
            <w:r w:rsidRPr="00151CD0">
              <w:rPr>
                <w:rFonts w:ascii="Calibri" w:eastAsia="Times New Roman" w:hAnsi="Calibri" w:cs="Calibri"/>
                <w:b/>
                <w:bCs/>
                <w:color w:val="000000"/>
                <w:sz w:val="20"/>
                <w:szCs w:val="20"/>
                <w:lang w:eastAsia="en-AU"/>
              </w:rPr>
              <w:t>2010</w:t>
            </w:r>
          </w:p>
        </w:tc>
        <w:tc>
          <w:tcPr>
            <w:tcW w:w="873"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0F2F5E78" w14:textId="77777777" w:rsidR="00151CD0" w:rsidRPr="00151CD0" w:rsidRDefault="00151CD0" w:rsidP="00151CD0">
            <w:pPr>
              <w:keepNext/>
              <w:keepLines/>
              <w:spacing w:line="240" w:lineRule="auto"/>
              <w:jc w:val="center"/>
              <w:rPr>
                <w:rFonts w:ascii="Calibri" w:eastAsia="Times New Roman" w:hAnsi="Calibri" w:cs="Calibri"/>
                <w:b/>
                <w:bCs/>
                <w:color w:val="000000"/>
                <w:sz w:val="20"/>
                <w:szCs w:val="20"/>
                <w:lang w:eastAsia="en-AU"/>
              </w:rPr>
            </w:pPr>
            <w:r w:rsidRPr="00151CD0">
              <w:rPr>
                <w:rFonts w:ascii="Calibri" w:eastAsia="Times New Roman" w:hAnsi="Calibri" w:cs="Calibri"/>
                <w:b/>
                <w:bCs/>
                <w:color w:val="000000"/>
                <w:sz w:val="20"/>
                <w:szCs w:val="20"/>
                <w:lang w:eastAsia="en-AU"/>
              </w:rPr>
              <w:t>2011</w:t>
            </w:r>
          </w:p>
        </w:tc>
        <w:tc>
          <w:tcPr>
            <w:tcW w:w="873"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2747CACE" w14:textId="77777777" w:rsidR="00151CD0" w:rsidRPr="00151CD0" w:rsidRDefault="00151CD0" w:rsidP="00151CD0">
            <w:pPr>
              <w:keepNext/>
              <w:keepLines/>
              <w:spacing w:line="240" w:lineRule="auto"/>
              <w:jc w:val="center"/>
              <w:rPr>
                <w:rFonts w:ascii="Calibri" w:eastAsia="Times New Roman" w:hAnsi="Calibri" w:cs="Calibri"/>
                <w:b/>
                <w:bCs/>
                <w:color w:val="000000"/>
                <w:sz w:val="20"/>
                <w:szCs w:val="20"/>
                <w:lang w:eastAsia="en-AU"/>
              </w:rPr>
            </w:pPr>
            <w:r w:rsidRPr="00151CD0">
              <w:rPr>
                <w:rFonts w:ascii="Calibri" w:eastAsia="Times New Roman" w:hAnsi="Calibri" w:cs="Calibri"/>
                <w:b/>
                <w:bCs/>
                <w:color w:val="000000"/>
                <w:sz w:val="20"/>
                <w:szCs w:val="20"/>
                <w:lang w:eastAsia="en-AU"/>
              </w:rPr>
              <w:t>2012</w:t>
            </w:r>
          </w:p>
        </w:tc>
      </w:tr>
      <w:tr w:rsidR="00151CD0" w:rsidRPr="00151CD0" w14:paraId="0E8F2375" w14:textId="77777777" w:rsidTr="00F81216">
        <w:trPr>
          <w:trHeight w:val="261"/>
        </w:trPr>
        <w:tc>
          <w:tcPr>
            <w:tcW w:w="1689" w:type="dxa"/>
            <w:tcBorders>
              <w:top w:val="single" w:sz="4" w:space="0" w:color="auto"/>
              <w:left w:val="single" w:sz="8" w:space="0" w:color="auto"/>
              <w:bottom w:val="nil"/>
              <w:right w:val="nil"/>
            </w:tcBorders>
            <w:shd w:val="clear" w:color="000000" w:fill="D9D9D9"/>
            <w:noWrap/>
            <w:vAlign w:val="bottom"/>
            <w:hideMark/>
          </w:tcPr>
          <w:p w14:paraId="044876FD" w14:textId="77777777" w:rsidR="00151CD0" w:rsidRPr="00151CD0" w:rsidRDefault="00151CD0" w:rsidP="00151CD0">
            <w:pPr>
              <w:keepNext/>
              <w:keepLines/>
              <w:spacing w:line="240" w:lineRule="auto"/>
              <w:rPr>
                <w:rFonts w:ascii="Calibri" w:eastAsia="Times New Roman" w:hAnsi="Calibri" w:cs="Calibri"/>
                <w:b/>
                <w:bCs/>
                <w:color w:val="000000"/>
                <w:sz w:val="20"/>
                <w:szCs w:val="20"/>
                <w:lang w:eastAsia="en-AU"/>
              </w:rPr>
            </w:pPr>
            <w:r w:rsidRPr="00151CD0">
              <w:rPr>
                <w:rFonts w:ascii="Calibri" w:eastAsia="Times New Roman" w:hAnsi="Calibri" w:cs="Calibri"/>
                <w:b/>
                <w:bCs/>
                <w:color w:val="000000"/>
                <w:sz w:val="20"/>
                <w:szCs w:val="20"/>
                <w:lang w:eastAsia="en-AU"/>
              </w:rPr>
              <w:t>Indigenous</w:t>
            </w:r>
          </w:p>
        </w:tc>
        <w:tc>
          <w:tcPr>
            <w:tcW w:w="1757" w:type="dxa"/>
            <w:tcBorders>
              <w:top w:val="single" w:sz="4" w:space="0" w:color="auto"/>
              <w:left w:val="nil"/>
              <w:bottom w:val="nil"/>
              <w:right w:val="nil"/>
            </w:tcBorders>
            <w:shd w:val="clear" w:color="000000" w:fill="D9D9D9"/>
            <w:noWrap/>
            <w:vAlign w:val="bottom"/>
            <w:hideMark/>
          </w:tcPr>
          <w:p w14:paraId="6B09892C" w14:textId="77777777" w:rsidR="00151CD0" w:rsidRPr="00151CD0" w:rsidRDefault="00151CD0" w:rsidP="00151CD0">
            <w:pPr>
              <w:keepNext/>
              <w:keepLines/>
              <w:spacing w:line="240" w:lineRule="auto"/>
              <w:rPr>
                <w:rFonts w:ascii="Calibri" w:eastAsia="Times New Roman" w:hAnsi="Calibri" w:cs="Calibri"/>
                <w:b/>
                <w:bCs/>
                <w:color w:val="000000"/>
                <w:sz w:val="20"/>
                <w:szCs w:val="20"/>
                <w:lang w:eastAsia="en-AU"/>
              </w:rPr>
            </w:pPr>
            <w:r w:rsidRPr="00151CD0">
              <w:rPr>
                <w:rFonts w:ascii="Calibri" w:eastAsia="Times New Roman" w:hAnsi="Calibri" w:cs="Calibri"/>
                <w:b/>
                <w:bCs/>
                <w:color w:val="000000"/>
                <w:sz w:val="20"/>
                <w:szCs w:val="20"/>
                <w:lang w:eastAsia="en-AU"/>
              </w:rPr>
              <w:t>Government</w:t>
            </w:r>
          </w:p>
        </w:tc>
        <w:tc>
          <w:tcPr>
            <w:tcW w:w="1307" w:type="dxa"/>
            <w:tcBorders>
              <w:top w:val="single" w:sz="4" w:space="0" w:color="auto"/>
              <w:left w:val="nil"/>
              <w:bottom w:val="nil"/>
              <w:right w:val="single" w:sz="4" w:space="0" w:color="auto"/>
            </w:tcBorders>
            <w:shd w:val="clear" w:color="000000" w:fill="D9D9D9"/>
            <w:noWrap/>
            <w:vAlign w:val="bottom"/>
            <w:hideMark/>
          </w:tcPr>
          <w:p w14:paraId="67E03ED7" w14:textId="77777777" w:rsidR="00151CD0" w:rsidRPr="00151CD0" w:rsidRDefault="00151CD0" w:rsidP="00151CD0">
            <w:pPr>
              <w:keepNext/>
              <w:keepLines/>
              <w:spacing w:line="240" w:lineRule="auto"/>
              <w:rPr>
                <w:rFonts w:ascii="Calibri" w:eastAsia="Times New Roman" w:hAnsi="Calibri" w:cs="Calibri"/>
                <w:b/>
                <w:bCs/>
                <w:color w:val="000000"/>
                <w:sz w:val="20"/>
                <w:szCs w:val="20"/>
                <w:lang w:eastAsia="en-AU"/>
              </w:rPr>
            </w:pPr>
            <w:r w:rsidRPr="00151CD0">
              <w:rPr>
                <w:rFonts w:ascii="Calibri" w:eastAsia="Times New Roman" w:hAnsi="Calibri" w:cs="Calibri"/>
                <w:b/>
                <w:bCs/>
                <w:color w:val="000000"/>
                <w:sz w:val="20"/>
                <w:szCs w:val="20"/>
                <w:lang w:eastAsia="en-AU"/>
              </w:rPr>
              <w:t>Year 7-10</w:t>
            </w:r>
          </w:p>
        </w:tc>
        <w:tc>
          <w:tcPr>
            <w:tcW w:w="1062" w:type="dxa"/>
            <w:tcBorders>
              <w:top w:val="single" w:sz="4" w:space="0" w:color="auto"/>
              <w:left w:val="nil"/>
              <w:bottom w:val="single" w:sz="4" w:space="0" w:color="auto"/>
              <w:right w:val="single" w:sz="4" w:space="0" w:color="auto"/>
            </w:tcBorders>
            <w:shd w:val="clear" w:color="000000" w:fill="auto"/>
            <w:noWrap/>
            <w:vAlign w:val="bottom"/>
          </w:tcPr>
          <w:p w14:paraId="20D7A07D" w14:textId="77777777" w:rsidR="00151CD0" w:rsidRPr="00151CD0" w:rsidRDefault="00151CD0" w:rsidP="00151CD0">
            <w:pPr>
              <w:keepNext/>
              <w:keepLines/>
              <w:spacing w:line="240" w:lineRule="auto"/>
              <w:ind w:right="227"/>
              <w:jc w:val="right"/>
              <w:rPr>
                <w:rFonts w:ascii="Calibri" w:eastAsia="Times New Roman" w:hAnsi="Calibri" w:cs="Calibri"/>
                <w:sz w:val="20"/>
                <w:szCs w:val="20"/>
                <w:lang w:eastAsia="en-AU"/>
              </w:rPr>
            </w:pPr>
            <w:r w:rsidRPr="00151CD0">
              <w:rPr>
                <w:rFonts w:ascii="Calibri" w:eastAsia="Times New Roman" w:hAnsi="Calibri" w:cs="Calibri"/>
                <w:sz w:val="20"/>
                <w:szCs w:val="20"/>
                <w:lang w:eastAsia="en-AU"/>
              </w:rPr>
              <w:t>76.6</w:t>
            </w:r>
          </w:p>
        </w:tc>
        <w:tc>
          <w:tcPr>
            <w:tcW w:w="977" w:type="dxa"/>
            <w:tcBorders>
              <w:top w:val="single" w:sz="4" w:space="0" w:color="auto"/>
              <w:left w:val="single" w:sz="4" w:space="0" w:color="auto"/>
              <w:bottom w:val="single" w:sz="4" w:space="0" w:color="auto"/>
              <w:right w:val="single" w:sz="4" w:space="0" w:color="auto"/>
            </w:tcBorders>
            <w:shd w:val="clear" w:color="000000" w:fill="auto"/>
            <w:noWrap/>
            <w:vAlign w:val="bottom"/>
          </w:tcPr>
          <w:p w14:paraId="0B34A1D9" w14:textId="77777777" w:rsidR="00151CD0" w:rsidRPr="00151CD0" w:rsidRDefault="00151CD0" w:rsidP="00151CD0">
            <w:pPr>
              <w:keepNext/>
              <w:keepLines/>
              <w:spacing w:line="240" w:lineRule="auto"/>
              <w:ind w:right="227"/>
              <w:jc w:val="right"/>
              <w:rPr>
                <w:rFonts w:ascii="Calibri" w:eastAsia="Times New Roman" w:hAnsi="Calibri" w:cs="Calibri"/>
                <w:sz w:val="20"/>
                <w:szCs w:val="20"/>
                <w:lang w:eastAsia="en-AU"/>
              </w:rPr>
            </w:pPr>
            <w:r w:rsidRPr="00151CD0">
              <w:rPr>
                <w:rFonts w:ascii="Calibri" w:eastAsia="Times New Roman" w:hAnsi="Calibri" w:cs="Calibri"/>
                <w:sz w:val="20"/>
                <w:szCs w:val="20"/>
                <w:lang w:eastAsia="en-AU"/>
              </w:rPr>
              <w:t>80.3</w:t>
            </w:r>
          </w:p>
        </w:tc>
        <w:tc>
          <w:tcPr>
            <w:tcW w:w="978" w:type="dxa"/>
            <w:tcBorders>
              <w:top w:val="single" w:sz="4" w:space="0" w:color="auto"/>
              <w:left w:val="single" w:sz="4" w:space="0" w:color="auto"/>
              <w:bottom w:val="single" w:sz="4" w:space="0" w:color="auto"/>
              <w:right w:val="single" w:sz="4" w:space="0" w:color="auto"/>
            </w:tcBorders>
            <w:shd w:val="clear" w:color="000000" w:fill="auto"/>
            <w:noWrap/>
            <w:vAlign w:val="bottom"/>
          </w:tcPr>
          <w:p w14:paraId="7D31AB6A" w14:textId="77777777" w:rsidR="00151CD0" w:rsidRPr="00151CD0" w:rsidRDefault="00151CD0" w:rsidP="00151CD0">
            <w:pPr>
              <w:keepNext/>
              <w:keepLines/>
              <w:spacing w:line="240" w:lineRule="auto"/>
              <w:ind w:right="227"/>
              <w:jc w:val="right"/>
              <w:rPr>
                <w:rFonts w:ascii="Calibri" w:eastAsia="Times New Roman" w:hAnsi="Calibri" w:cs="Calibri"/>
                <w:color w:val="000000"/>
                <w:sz w:val="20"/>
                <w:szCs w:val="20"/>
                <w:lang w:eastAsia="en-AU"/>
              </w:rPr>
            </w:pPr>
            <w:r w:rsidRPr="00151CD0">
              <w:rPr>
                <w:rFonts w:ascii="Calibri" w:eastAsia="Times New Roman" w:hAnsi="Calibri" w:cs="Calibri"/>
                <w:color w:val="000000"/>
                <w:sz w:val="20"/>
                <w:szCs w:val="20"/>
                <w:lang w:eastAsia="en-AU"/>
              </w:rPr>
              <w:t>86</w:t>
            </w:r>
          </w:p>
        </w:tc>
        <w:tc>
          <w:tcPr>
            <w:tcW w:w="873" w:type="dxa"/>
            <w:tcBorders>
              <w:top w:val="single" w:sz="4" w:space="0" w:color="auto"/>
              <w:left w:val="single" w:sz="4" w:space="0" w:color="auto"/>
              <w:bottom w:val="single" w:sz="4" w:space="0" w:color="auto"/>
              <w:right w:val="single" w:sz="4" w:space="0" w:color="auto"/>
            </w:tcBorders>
            <w:shd w:val="clear" w:color="000000" w:fill="auto"/>
          </w:tcPr>
          <w:p w14:paraId="7589FA70" w14:textId="77777777" w:rsidR="00151CD0" w:rsidRPr="00151CD0" w:rsidRDefault="00151CD0" w:rsidP="00151CD0">
            <w:pPr>
              <w:keepNext/>
              <w:keepLines/>
              <w:spacing w:line="240" w:lineRule="auto"/>
              <w:ind w:right="227"/>
              <w:jc w:val="right"/>
              <w:rPr>
                <w:rFonts w:ascii="Calibri" w:eastAsia="Times New Roman" w:hAnsi="Calibri" w:cs="Calibri"/>
                <w:color w:val="000000"/>
                <w:sz w:val="20"/>
                <w:szCs w:val="20"/>
                <w:lang w:eastAsia="en-AU"/>
              </w:rPr>
            </w:pPr>
            <w:r w:rsidRPr="00151CD0">
              <w:rPr>
                <w:rFonts w:ascii="Calibri" w:eastAsia="Times New Roman" w:hAnsi="Calibri" w:cs="Calibri"/>
                <w:color w:val="000000"/>
                <w:sz w:val="20"/>
                <w:szCs w:val="20"/>
                <w:lang w:eastAsia="en-AU"/>
              </w:rPr>
              <w:t>85.5</w:t>
            </w:r>
          </w:p>
        </w:tc>
        <w:tc>
          <w:tcPr>
            <w:tcW w:w="873" w:type="dxa"/>
            <w:tcBorders>
              <w:top w:val="single" w:sz="4" w:space="0" w:color="auto"/>
              <w:left w:val="single" w:sz="4" w:space="0" w:color="auto"/>
              <w:bottom w:val="single" w:sz="4" w:space="0" w:color="auto"/>
              <w:right w:val="single" w:sz="4" w:space="0" w:color="auto"/>
            </w:tcBorders>
            <w:shd w:val="clear" w:color="auto" w:fill="auto"/>
          </w:tcPr>
          <w:p w14:paraId="4959A155" w14:textId="77777777" w:rsidR="00151CD0" w:rsidRPr="00151CD0" w:rsidRDefault="00151CD0" w:rsidP="00151CD0">
            <w:pPr>
              <w:keepNext/>
              <w:keepLines/>
              <w:spacing w:line="240" w:lineRule="auto"/>
              <w:ind w:right="227"/>
              <w:jc w:val="right"/>
              <w:rPr>
                <w:rFonts w:ascii="Calibri" w:eastAsia="Times New Roman" w:hAnsi="Calibri" w:cs="Calibri"/>
                <w:color w:val="000000"/>
                <w:sz w:val="20"/>
                <w:szCs w:val="20"/>
                <w:lang w:eastAsia="en-AU"/>
              </w:rPr>
            </w:pPr>
            <w:r w:rsidRPr="00151CD0">
              <w:rPr>
                <w:rFonts w:ascii="Calibri" w:eastAsia="Times New Roman" w:hAnsi="Calibri" w:cs="Calibri"/>
                <w:color w:val="000000"/>
                <w:sz w:val="20"/>
                <w:szCs w:val="20"/>
                <w:lang w:eastAsia="en-AU"/>
              </w:rPr>
              <w:t>93.8</w:t>
            </w:r>
          </w:p>
        </w:tc>
      </w:tr>
      <w:tr w:rsidR="00151CD0" w:rsidRPr="00151CD0" w14:paraId="4986C8B9" w14:textId="77777777" w:rsidTr="00F81216">
        <w:trPr>
          <w:trHeight w:val="261"/>
        </w:trPr>
        <w:tc>
          <w:tcPr>
            <w:tcW w:w="1689" w:type="dxa"/>
            <w:tcBorders>
              <w:top w:val="nil"/>
              <w:left w:val="single" w:sz="8" w:space="0" w:color="auto"/>
              <w:bottom w:val="nil"/>
              <w:right w:val="nil"/>
            </w:tcBorders>
            <w:shd w:val="clear" w:color="000000" w:fill="D9D9D9"/>
            <w:noWrap/>
            <w:vAlign w:val="bottom"/>
            <w:hideMark/>
          </w:tcPr>
          <w:p w14:paraId="244FF05C" w14:textId="77777777" w:rsidR="00151CD0" w:rsidRPr="00151CD0" w:rsidRDefault="00151CD0" w:rsidP="00151CD0">
            <w:pPr>
              <w:keepNext/>
              <w:keepLines/>
              <w:spacing w:line="240" w:lineRule="auto"/>
              <w:rPr>
                <w:rFonts w:ascii="Calibri" w:eastAsia="Times New Roman" w:hAnsi="Calibri" w:cs="Calibri"/>
                <w:b/>
                <w:bCs/>
                <w:color w:val="000000"/>
                <w:sz w:val="20"/>
                <w:szCs w:val="20"/>
                <w:lang w:eastAsia="en-AU"/>
              </w:rPr>
            </w:pPr>
            <w:r w:rsidRPr="00151CD0">
              <w:rPr>
                <w:rFonts w:ascii="Calibri" w:eastAsia="Times New Roman" w:hAnsi="Calibri" w:cs="Calibri"/>
                <w:b/>
                <w:bCs/>
                <w:color w:val="000000"/>
                <w:sz w:val="20"/>
                <w:szCs w:val="20"/>
                <w:lang w:eastAsia="en-AU"/>
              </w:rPr>
              <w:t> </w:t>
            </w:r>
          </w:p>
        </w:tc>
        <w:tc>
          <w:tcPr>
            <w:tcW w:w="1757" w:type="dxa"/>
            <w:tcBorders>
              <w:top w:val="nil"/>
              <w:left w:val="nil"/>
              <w:bottom w:val="nil"/>
              <w:right w:val="nil"/>
            </w:tcBorders>
            <w:shd w:val="clear" w:color="000000" w:fill="D9D9D9"/>
            <w:noWrap/>
            <w:vAlign w:val="bottom"/>
            <w:hideMark/>
          </w:tcPr>
          <w:p w14:paraId="29C4BD62" w14:textId="77777777" w:rsidR="00151CD0" w:rsidRPr="00151CD0" w:rsidRDefault="00151CD0" w:rsidP="00151CD0">
            <w:pPr>
              <w:keepNext/>
              <w:keepLines/>
              <w:spacing w:line="240" w:lineRule="auto"/>
              <w:rPr>
                <w:rFonts w:ascii="Calibri" w:eastAsia="Times New Roman" w:hAnsi="Calibri" w:cs="Calibri"/>
                <w:b/>
                <w:bCs/>
                <w:color w:val="000000"/>
                <w:sz w:val="20"/>
                <w:szCs w:val="20"/>
                <w:lang w:eastAsia="en-AU"/>
              </w:rPr>
            </w:pPr>
            <w:r w:rsidRPr="00151CD0">
              <w:rPr>
                <w:rFonts w:ascii="Calibri" w:eastAsia="Times New Roman" w:hAnsi="Calibri" w:cs="Calibri"/>
                <w:b/>
                <w:bCs/>
                <w:color w:val="000000"/>
                <w:sz w:val="20"/>
                <w:szCs w:val="20"/>
                <w:lang w:eastAsia="en-AU"/>
              </w:rPr>
              <w:t> </w:t>
            </w:r>
          </w:p>
        </w:tc>
        <w:tc>
          <w:tcPr>
            <w:tcW w:w="1307" w:type="dxa"/>
            <w:tcBorders>
              <w:top w:val="nil"/>
              <w:left w:val="nil"/>
              <w:bottom w:val="single" w:sz="4" w:space="0" w:color="auto"/>
              <w:right w:val="single" w:sz="4" w:space="0" w:color="auto"/>
            </w:tcBorders>
            <w:shd w:val="clear" w:color="000000" w:fill="D9D9D9"/>
            <w:noWrap/>
            <w:vAlign w:val="bottom"/>
            <w:hideMark/>
          </w:tcPr>
          <w:p w14:paraId="7BA228C6" w14:textId="77777777" w:rsidR="00151CD0" w:rsidRPr="00151CD0" w:rsidRDefault="00151CD0" w:rsidP="00151CD0">
            <w:pPr>
              <w:keepNext/>
              <w:keepLines/>
              <w:spacing w:line="240" w:lineRule="auto"/>
              <w:rPr>
                <w:rFonts w:ascii="Calibri" w:eastAsia="Times New Roman" w:hAnsi="Calibri" w:cs="Calibri"/>
                <w:b/>
                <w:bCs/>
                <w:color w:val="000000"/>
                <w:sz w:val="20"/>
                <w:szCs w:val="20"/>
                <w:lang w:eastAsia="en-AU"/>
              </w:rPr>
            </w:pPr>
            <w:r w:rsidRPr="00151CD0">
              <w:rPr>
                <w:rFonts w:ascii="Calibri" w:eastAsia="Times New Roman" w:hAnsi="Calibri" w:cs="Calibri"/>
                <w:b/>
                <w:bCs/>
                <w:color w:val="000000"/>
                <w:sz w:val="20"/>
                <w:szCs w:val="20"/>
                <w:lang w:eastAsia="en-AU"/>
              </w:rPr>
              <w:t>Year 7-12</w:t>
            </w:r>
          </w:p>
        </w:tc>
        <w:tc>
          <w:tcPr>
            <w:tcW w:w="1062" w:type="dxa"/>
            <w:tcBorders>
              <w:top w:val="single" w:sz="4" w:space="0" w:color="auto"/>
              <w:left w:val="nil"/>
              <w:bottom w:val="single" w:sz="4" w:space="0" w:color="auto"/>
              <w:right w:val="single" w:sz="4" w:space="0" w:color="auto"/>
            </w:tcBorders>
            <w:shd w:val="clear" w:color="000000" w:fill="auto"/>
            <w:noWrap/>
            <w:vAlign w:val="bottom"/>
          </w:tcPr>
          <w:p w14:paraId="17031B69" w14:textId="77777777" w:rsidR="00151CD0" w:rsidRPr="00151CD0" w:rsidRDefault="00151CD0" w:rsidP="00151CD0">
            <w:pPr>
              <w:keepNext/>
              <w:keepLines/>
              <w:spacing w:line="240" w:lineRule="auto"/>
              <w:ind w:right="227"/>
              <w:jc w:val="right"/>
              <w:rPr>
                <w:rFonts w:ascii="Calibri" w:eastAsia="Times New Roman" w:hAnsi="Calibri" w:cs="Calibri"/>
                <w:color w:val="000000"/>
                <w:sz w:val="20"/>
                <w:szCs w:val="20"/>
                <w:lang w:eastAsia="en-AU"/>
              </w:rPr>
            </w:pPr>
            <w:r w:rsidRPr="00151CD0">
              <w:rPr>
                <w:rFonts w:ascii="Calibri" w:eastAsia="Times New Roman" w:hAnsi="Calibri" w:cs="Calibri"/>
                <w:color w:val="000000"/>
                <w:sz w:val="20"/>
                <w:szCs w:val="20"/>
                <w:lang w:eastAsia="en-AU"/>
              </w:rPr>
              <w:t>41</w:t>
            </w:r>
          </w:p>
        </w:tc>
        <w:tc>
          <w:tcPr>
            <w:tcW w:w="977" w:type="dxa"/>
            <w:tcBorders>
              <w:top w:val="single" w:sz="4" w:space="0" w:color="auto"/>
              <w:left w:val="single" w:sz="4" w:space="0" w:color="auto"/>
              <w:bottom w:val="single" w:sz="4" w:space="0" w:color="auto"/>
              <w:right w:val="single" w:sz="4" w:space="0" w:color="auto"/>
            </w:tcBorders>
            <w:shd w:val="clear" w:color="000000" w:fill="auto"/>
            <w:noWrap/>
            <w:vAlign w:val="bottom"/>
          </w:tcPr>
          <w:p w14:paraId="6D3F38C6" w14:textId="77777777" w:rsidR="00151CD0" w:rsidRPr="00151CD0" w:rsidRDefault="00151CD0" w:rsidP="00151CD0">
            <w:pPr>
              <w:keepNext/>
              <w:keepLines/>
              <w:spacing w:line="240" w:lineRule="auto"/>
              <w:ind w:right="227"/>
              <w:jc w:val="right"/>
              <w:rPr>
                <w:rFonts w:ascii="Calibri" w:eastAsia="Times New Roman" w:hAnsi="Calibri" w:cs="Calibri"/>
                <w:color w:val="000000"/>
                <w:sz w:val="20"/>
                <w:szCs w:val="20"/>
                <w:lang w:eastAsia="en-AU"/>
              </w:rPr>
            </w:pPr>
            <w:r w:rsidRPr="00151CD0">
              <w:rPr>
                <w:rFonts w:ascii="Calibri" w:eastAsia="Times New Roman" w:hAnsi="Calibri" w:cs="Calibri"/>
                <w:color w:val="000000"/>
                <w:sz w:val="20"/>
                <w:szCs w:val="20"/>
                <w:lang w:eastAsia="en-AU"/>
              </w:rPr>
              <w:t>38.4</w:t>
            </w:r>
          </w:p>
        </w:tc>
        <w:tc>
          <w:tcPr>
            <w:tcW w:w="978" w:type="dxa"/>
            <w:tcBorders>
              <w:top w:val="single" w:sz="4" w:space="0" w:color="auto"/>
              <w:left w:val="single" w:sz="4" w:space="0" w:color="auto"/>
              <w:bottom w:val="single" w:sz="4" w:space="0" w:color="auto"/>
              <w:right w:val="single" w:sz="4" w:space="0" w:color="auto"/>
            </w:tcBorders>
            <w:shd w:val="clear" w:color="000000" w:fill="auto"/>
            <w:noWrap/>
            <w:vAlign w:val="bottom"/>
          </w:tcPr>
          <w:p w14:paraId="2D71F586" w14:textId="77777777" w:rsidR="00151CD0" w:rsidRPr="00151CD0" w:rsidRDefault="00151CD0" w:rsidP="00151CD0">
            <w:pPr>
              <w:keepNext/>
              <w:keepLines/>
              <w:spacing w:line="240" w:lineRule="auto"/>
              <w:ind w:right="227"/>
              <w:jc w:val="right"/>
              <w:rPr>
                <w:rFonts w:ascii="Calibri" w:eastAsia="Times New Roman" w:hAnsi="Calibri" w:cs="Calibri"/>
                <w:color w:val="000000"/>
                <w:sz w:val="20"/>
                <w:szCs w:val="20"/>
                <w:lang w:eastAsia="en-AU"/>
              </w:rPr>
            </w:pPr>
            <w:r w:rsidRPr="00151CD0">
              <w:rPr>
                <w:rFonts w:ascii="Calibri" w:eastAsia="Times New Roman" w:hAnsi="Calibri" w:cs="Calibri"/>
                <w:color w:val="000000"/>
                <w:sz w:val="20"/>
                <w:szCs w:val="20"/>
                <w:lang w:eastAsia="en-AU"/>
              </w:rPr>
              <w:t>39</w:t>
            </w:r>
          </w:p>
        </w:tc>
        <w:tc>
          <w:tcPr>
            <w:tcW w:w="873" w:type="dxa"/>
            <w:tcBorders>
              <w:top w:val="single" w:sz="4" w:space="0" w:color="auto"/>
              <w:left w:val="single" w:sz="4" w:space="0" w:color="auto"/>
              <w:bottom w:val="single" w:sz="4" w:space="0" w:color="auto"/>
              <w:right w:val="single" w:sz="4" w:space="0" w:color="auto"/>
            </w:tcBorders>
            <w:shd w:val="clear" w:color="000000" w:fill="auto"/>
          </w:tcPr>
          <w:p w14:paraId="07E4D73F" w14:textId="77777777" w:rsidR="00151CD0" w:rsidRPr="00151CD0" w:rsidRDefault="00151CD0" w:rsidP="00151CD0">
            <w:pPr>
              <w:keepNext/>
              <w:keepLines/>
              <w:spacing w:line="240" w:lineRule="auto"/>
              <w:ind w:right="227"/>
              <w:jc w:val="right"/>
              <w:rPr>
                <w:rFonts w:ascii="Calibri" w:eastAsia="Times New Roman" w:hAnsi="Calibri" w:cs="Calibri"/>
                <w:color w:val="000000"/>
                <w:sz w:val="20"/>
                <w:szCs w:val="20"/>
                <w:lang w:eastAsia="en-AU"/>
              </w:rPr>
            </w:pPr>
            <w:r w:rsidRPr="00151CD0">
              <w:rPr>
                <w:rFonts w:ascii="Calibri" w:eastAsia="Times New Roman" w:hAnsi="Calibri" w:cs="Calibri"/>
                <w:color w:val="000000"/>
                <w:sz w:val="20"/>
                <w:szCs w:val="20"/>
                <w:lang w:eastAsia="en-AU"/>
              </w:rPr>
              <w:t>44.8</w:t>
            </w:r>
          </w:p>
        </w:tc>
        <w:tc>
          <w:tcPr>
            <w:tcW w:w="873" w:type="dxa"/>
            <w:tcBorders>
              <w:top w:val="single" w:sz="4" w:space="0" w:color="auto"/>
              <w:left w:val="single" w:sz="4" w:space="0" w:color="auto"/>
              <w:bottom w:val="single" w:sz="4" w:space="0" w:color="auto"/>
              <w:right w:val="single" w:sz="4" w:space="0" w:color="auto"/>
            </w:tcBorders>
            <w:shd w:val="clear" w:color="auto" w:fill="auto"/>
          </w:tcPr>
          <w:p w14:paraId="71223CE3" w14:textId="77777777" w:rsidR="00151CD0" w:rsidRPr="00151CD0" w:rsidRDefault="00151CD0" w:rsidP="00151CD0">
            <w:pPr>
              <w:keepNext/>
              <w:keepLines/>
              <w:spacing w:line="240" w:lineRule="auto"/>
              <w:ind w:right="227"/>
              <w:jc w:val="right"/>
              <w:rPr>
                <w:rFonts w:ascii="Calibri" w:eastAsia="Times New Roman" w:hAnsi="Calibri" w:cs="Calibri"/>
                <w:color w:val="000000"/>
                <w:sz w:val="20"/>
                <w:szCs w:val="20"/>
                <w:lang w:eastAsia="en-AU"/>
              </w:rPr>
            </w:pPr>
            <w:r w:rsidRPr="00151CD0">
              <w:rPr>
                <w:rFonts w:ascii="Calibri" w:eastAsia="Times New Roman" w:hAnsi="Calibri" w:cs="Calibri"/>
                <w:color w:val="000000"/>
                <w:sz w:val="20"/>
                <w:szCs w:val="20"/>
                <w:lang w:eastAsia="en-AU"/>
              </w:rPr>
              <w:t>44.9</w:t>
            </w:r>
          </w:p>
        </w:tc>
      </w:tr>
      <w:tr w:rsidR="00151CD0" w:rsidRPr="00151CD0" w14:paraId="33313E7C" w14:textId="77777777" w:rsidTr="00F81216">
        <w:trPr>
          <w:trHeight w:val="261"/>
        </w:trPr>
        <w:tc>
          <w:tcPr>
            <w:tcW w:w="1689" w:type="dxa"/>
            <w:tcBorders>
              <w:top w:val="nil"/>
              <w:left w:val="single" w:sz="8" w:space="0" w:color="auto"/>
              <w:bottom w:val="nil"/>
              <w:right w:val="nil"/>
            </w:tcBorders>
            <w:shd w:val="clear" w:color="000000" w:fill="D9D9D9"/>
            <w:noWrap/>
            <w:vAlign w:val="bottom"/>
            <w:hideMark/>
          </w:tcPr>
          <w:p w14:paraId="52CF4F93" w14:textId="77777777" w:rsidR="00151CD0" w:rsidRPr="00151CD0" w:rsidRDefault="00151CD0" w:rsidP="00151CD0">
            <w:pPr>
              <w:keepNext/>
              <w:keepLines/>
              <w:spacing w:line="240" w:lineRule="auto"/>
              <w:rPr>
                <w:rFonts w:ascii="Calibri" w:eastAsia="Times New Roman" w:hAnsi="Calibri" w:cs="Calibri"/>
                <w:b/>
                <w:bCs/>
                <w:color w:val="000000"/>
                <w:sz w:val="20"/>
                <w:szCs w:val="20"/>
                <w:lang w:eastAsia="en-AU"/>
              </w:rPr>
            </w:pPr>
            <w:r w:rsidRPr="00151CD0">
              <w:rPr>
                <w:rFonts w:ascii="Calibri" w:eastAsia="Times New Roman" w:hAnsi="Calibri" w:cs="Calibri"/>
                <w:b/>
                <w:bCs/>
                <w:color w:val="000000"/>
                <w:sz w:val="20"/>
                <w:szCs w:val="20"/>
                <w:lang w:eastAsia="en-AU"/>
              </w:rPr>
              <w:t> </w:t>
            </w:r>
          </w:p>
        </w:tc>
        <w:tc>
          <w:tcPr>
            <w:tcW w:w="1757" w:type="dxa"/>
            <w:tcBorders>
              <w:top w:val="nil"/>
              <w:left w:val="nil"/>
              <w:bottom w:val="nil"/>
              <w:right w:val="nil"/>
            </w:tcBorders>
            <w:shd w:val="clear" w:color="000000" w:fill="D9D9D9"/>
            <w:noWrap/>
            <w:vAlign w:val="bottom"/>
            <w:hideMark/>
          </w:tcPr>
          <w:p w14:paraId="762CA998" w14:textId="77777777" w:rsidR="00151CD0" w:rsidRPr="00151CD0" w:rsidRDefault="00151CD0" w:rsidP="00151CD0">
            <w:pPr>
              <w:keepNext/>
              <w:keepLines/>
              <w:spacing w:line="240" w:lineRule="auto"/>
              <w:rPr>
                <w:rFonts w:ascii="Calibri" w:eastAsia="Times New Roman" w:hAnsi="Calibri" w:cs="Calibri"/>
                <w:b/>
                <w:bCs/>
                <w:color w:val="000000"/>
                <w:sz w:val="20"/>
                <w:szCs w:val="20"/>
                <w:lang w:eastAsia="en-AU"/>
              </w:rPr>
            </w:pPr>
            <w:r w:rsidRPr="00151CD0">
              <w:rPr>
                <w:rFonts w:ascii="Calibri" w:eastAsia="Times New Roman" w:hAnsi="Calibri" w:cs="Calibri"/>
                <w:b/>
                <w:bCs/>
                <w:color w:val="000000"/>
                <w:sz w:val="20"/>
                <w:szCs w:val="20"/>
                <w:lang w:eastAsia="en-AU"/>
              </w:rPr>
              <w:t>Non-Government</w:t>
            </w:r>
          </w:p>
        </w:tc>
        <w:tc>
          <w:tcPr>
            <w:tcW w:w="1307" w:type="dxa"/>
            <w:tcBorders>
              <w:top w:val="nil"/>
              <w:left w:val="nil"/>
              <w:bottom w:val="nil"/>
              <w:right w:val="single" w:sz="4" w:space="0" w:color="auto"/>
            </w:tcBorders>
            <w:shd w:val="clear" w:color="000000" w:fill="D9D9D9"/>
            <w:noWrap/>
            <w:vAlign w:val="bottom"/>
            <w:hideMark/>
          </w:tcPr>
          <w:p w14:paraId="2A731B57" w14:textId="77777777" w:rsidR="00151CD0" w:rsidRPr="00151CD0" w:rsidRDefault="00151CD0" w:rsidP="00151CD0">
            <w:pPr>
              <w:keepNext/>
              <w:keepLines/>
              <w:spacing w:line="240" w:lineRule="auto"/>
              <w:rPr>
                <w:rFonts w:ascii="Calibri" w:eastAsia="Times New Roman" w:hAnsi="Calibri" w:cs="Calibri"/>
                <w:b/>
                <w:bCs/>
                <w:color w:val="000000"/>
                <w:sz w:val="20"/>
                <w:szCs w:val="20"/>
                <w:lang w:eastAsia="en-AU"/>
              </w:rPr>
            </w:pPr>
            <w:r w:rsidRPr="00151CD0">
              <w:rPr>
                <w:rFonts w:ascii="Calibri" w:eastAsia="Times New Roman" w:hAnsi="Calibri" w:cs="Calibri"/>
                <w:b/>
                <w:bCs/>
                <w:color w:val="000000"/>
                <w:sz w:val="20"/>
                <w:szCs w:val="20"/>
                <w:lang w:eastAsia="en-AU"/>
              </w:rPr>
              <w:t>Year 7-10</w:t>
            </w:r>
          </w:p>
        </w:tc>
        <w:tc>
          <w:tcPr>
            <w:tcW w:w="1062" w:type="dxa"/>
            <w:tcBorders>
              <w:top w:val="single" w:sz="4" w:space="0" w:color="auto"/>
              <w:left w:val="nil"/>
              <w:bottom w:val="single" w:sz="4" w:space="0" w:color="auto"/>
              <w:right w:val="single" w:sz="4" w:space="0" w:color="auto"/>
            </w:tcBorders>
            <w:shd w:val="clear" w:color="000000" w:fill="auto"/>
            <w:noWrap/>
            <w:vAlign w:val="bottom"/>
          </w:tcPr>
          <w:p w14:paraId="1CEC9A78" w14:textId="77777777" w:rsidR="00151CD0" w:rsidRPr="00151CD0" w:rsidRDefault="00151CD0" w:rsidP="00151CD0">
            <w:pPr>
              <w:keepNext/>
              <w:keepLines/>
              <w:spacing w:line="240" w:lineRule="auto"/>
              <w:ind w:right="227"/>
              <w:jc w:val="right"/>
              <w:rPr>
                <w:rFonts w:ascii="Calibri" w:eastAsia="Times New Roman" w:hAnsi="Calibri" w:cs="Calibri"/>
                <w:color w:val="000000"/>
                <w:sz w:val="20"/>
                <w:szCs w:val="20"/>
                <w:lang w:eastAsia="en-AU"/>
              </w:rPr>
            </w:pPr>
            <w:r w:rsidRPr="00151CD0">
              <w:rPr>
                <w:rFonts w:ascii="Calibri" w:eastAsia="Times New Roman" w:hAnsi="Calibri" w:cs="Calibri"/>
                <w:color w:val="000000"/>
                <w:sz w:val="20"/>
                <w:szCs w:val="20"/>
                <w:lang w:eastAsia="en-AU"/>
              </w:rPr>
              <w:t>119.8</w:t>
            </w:r>
          </w:p>
        </w:tc>
        <w:tc>
          <w:tcPr>
            <w:tcW w:w="977" w:type="dxa"/>
            <w:tcBorders>
              <w:top w:val="single" w:sz="4" w:space="0" w:color="auto"/>
              <w:left w:val="single" w:sz="4" w:space="0" w:color="auto"/>
              <w:bottom w:val="single" w:sz="4" w:space="0" w:color="auto"/>
              <w:right w:val="single" w:sz="4" w:space="0" w:color="auto"/>
            </w:tcBorders>
            <w:shd w:val="clear" w:color="000000" w:fill="auto"/>
            <w:noWrap/>
            <w:vAlign w:val="bottom"/>
          </w:tcPr>
          <w:p w14:paraId="3BEEBA79" w14:textId="77777777" w:rsidR="00151CD0" w:rsidRPr="00151CD0" w:rsidRDefault="00151CD0" w:rsidP="00151CD0">
            <w:pPr>
              <w:keepNext/>
              <w:keepLines/>
              <w:spacing w:line="240" w:lineRule="auto"/>
              <w:ind w:right="227"/>
              <w:jc w:val="right"/>
              <w:rPr>
                <w:rFonts w:ascii="Calibri" w:eastAsia="Times New Roman" w:hAnsi="Calibri" w:cs="Calibri"/>
                <w:color w:val="000000"/>
                <w:sz w:val="20"/>
                <w:szCs w:val="20"/>
                <w:lang w:eastAsia="en-AU"/>
              </w:rPr>
            </w:pPr>
            <w:r w:rsidRPr="00151CD0">
              <w:rPr>
                <w:rFonts w:ascii="Calibri" w:eastAsia="Times New Roman" w:hAnsi="Calibri" w:cs="Calibri"/>
                <w:color w:val="000000"/>
                <w:sz w:val="20"/>
                <w:szCs w:val="20"/>
                <w:lang w:eastAsia="en-AU"/>
              </w:rPr>
              <w:t>81</w:t>
            </w:r>
          </w:p>
        </w:tc>
        <w:tc>
          <w:tcPr>
            <w:tcW w:w="978" w:type="dxa"/>
            <w:tcBorders>
              <w:top w:val="single" w:sz="4" w:space="0" w:color="auto"/>
              <w:left w:val="single" w:sz="4" w:space="0" w:color="auto"/>
              <w:bottom w:val="single" w:sz="4" w:space="0" w:color="auto"/>
              <w:right w:val="single" w:sz="4" w:space="0" w:color="auto"/>
            </w:tcBorders>
            <w:shd w:val="clear" w:color="000000" w:fill="auto"/>
            <w:noWrap/>
            <w:vAlign w:val="bottom"/>
          </w:tcPr>
          <w:p w14:paraId="5074755E" w14:textId="77777777" w:rsidR="00151CD0" w:rsidRPr="00151CD0" w:rsidRDefault="00151CD0" w:rsidP="00151CD0">
            <w:pPr>
              <w:keepNext/>
              <w:keepLines/>
              <w:spacing w:line="240" w:lineRule="auto"/>
              <w:ind w:right="227"/>
              <w:jc w:val="right"/>
              <w:rPr>
                <w:rFonts w:ascii="Calibri" w:eastAsia="Times New Roman" w:hAnsi="Calibri" w:cs="Calibri"/>
                <w:color w:val="000000"/>
                <w:sz w:val="20"/>
                <w:szCs w:val="20"/>
                <w:lang w:eastAsia="en-AU"/>
              </w:rPr>
            </w:pPr>
            <w:r w:rsidRPr="00151CD0">
              <w:rPr>
                <w:rFonts w:ascii="Calibri" w:eastAsia="Times New Roman" w:hAnsi="Calibri" w:cs="Calibri"/>
                <w:color w:val="000000"/>
                <w:sz w:val="20"/>
                <w:szCs w:val="20"/>
                <w:lang w:eastAsia="en-AU"/>
              </w:rPr>
              <w:t>127.7</w:t>
            </w:r>
          </w:p>
        </w:tc>
        <w:tc>
          <w:tcPr>
            <w:tcW w:w="873" w:type="dxa"/>
            <w:tcBorders>
              <w:top w:val="single" w:sz="4" w:space="0" w:color="auto"/>
              <w:left w:val="single" w:sz="4" w:space="0" w:color="auto"/>
              <w:bottom w:val="single" w:sz="4" w:space="0" w:color="auto"/>
              <w:right w:val="single" w:sz="4" w:space="0" w:color="auto"/>
            </w:tcBorders>
            <w:shd w:val="clear" w:color="000000" w:fill="auto"/>
          </w:tcPr>
          <w:p w14:paraId="1EC786F2" w14:textId="77777777" w:rsidR="00151CD0" w:rsidRPr="00151CD0" w:rsidRDefault="00151CD0" w:rsidP="00151CD0">
            <w:pPr>
              <w:keepNext/>
              <w:keepLines/>
              <w:spacing w:line="240" w:lineRule="auto"/>
              <w:ind w:right="227"/>
              <w:jc w:val="right"/>
              <w:rPr>
                <w:rFonts w:ascii="Calibri" w:eastAsia="Times New Roman" w:hAnsi="Calibri" w:cs="Calibri"/>
                <w:color w:val="000000"/>
                <w:sz w:val="20"/>
                <w:szCs w:val="20"/>
                <w:lang w:eastAsia="en-AU"/>
              </w:rPr>
            </w:pPr>
            <w:r w:rsidRPr="00151CD0">
              <w:rPr>
                <w:rFonts w:ascii="Calibri" w:eastAsia="Times New Roman" w:hAnsi="Calibri" w:cs="Calibri"/>
                <w:color w:val="000000"/>
                <w:sz w:val="20"/>
                <w:szCs w:val="20"/>
                <w:lang w:eastAsia="en-AU"/>
              </w:rPr>
              <w:t>165.1</w:t>
            </w:r>
          </w:p>
        </w:tc>
        <w:tc>
          <w:tcPr>
            <w:tcW w:w="873" w:type="dxa"/>
            <w:tcBorders>
              <w:top w:val="single" w:sz="4" w:space="0" w:color="auto"/>
              <w:left w:val="single" w:sz="4" w:space="0" w:color="auto"/>
              <w:bottom w:val="single" w:sz="4" w:space="0" w:color="auto"/>
              <w:right w:val="single" w:sz="4" w:space="0" w:color="auto"/>
            </w:tcBorders>
            <w:shd w:val="clear" w:color="auto" w:fill="auto"/>
          </w:tcPr>
          <w:p w14:paraId="6790A5B0" w14:textId="77777777" w:rsidR="00151CD0" w:rsidRPr="00151CD0" w:rsidRDefault="00151CD0" w:rsidP="00151CD0">
            <w:pPr>
              <w:keepNext/>
              <w:keepLines/>
              <w:spacing w:line="240" w:lineRule="auto"/>
              <w:ind w:right="227"/>
              <w:jc w:val="right"/>
              <w:rPr>
                <w:rFonts w:ascii="Calibri" w:eastAsia="Times New Roman" w:hAnsi="Calibri" w:cs="Calibri"/>
                <w:color w:val="000000"/>
                <w:sz w:val="20"/>
                <w:szCs w:val="20"/>
                <w:lang w:eastAsia="en-AU"/>
              </w:rPr>
            </w:pPr>
            <w:r w:rsidRPr="00151CD0">
              <w:rPr>
                <w:rFonts w:ascii="Calibri" w:eastAsia="Times New Roman" w:hAnsi="Calibri" w:cs="Calibri"/>
                <w:color w:val="000000"/>
                <w:sz w:val="20"/>
                <w:szCs w:val="20"/>
                <w:lang w:eastAsia="en-AU"/>
              </w:rPr>
              <w:t>135.2</w:t>
            </w:r>
          </w:p>
        </w:tc>
      </w:tr>
      <w:tr w:rsidR="00151CD0" w:rsidRPr="00151CD0" w14:paraId="42C4AD27" w14:textId="77777777" w:rsidTr="00F81216">
        <w:trPr>
          <w:trHeight w:val="261"/>
        </w:trPr>
        <w:tc>
          <w:tcPr>
            <w:tcW w:w="1689" w:type="dxa"/>
            <w:tcBorders>
              <w:top w:val="nil"/>
              <w:left w:val="single" w:sz="8" w:space="0" w:color="auto"/>
              <w:bottom w:val="nil"/>
              <w:right w:val="nil"/>
            </w:tcBorders>
            <w:shd w:val="clear" w:color="000000" w:fill="D9D9D9"/>
            <w:noWrap/>
            <w:vAlign w:val="bottom"/>
            <w:hideMark/>
          </w:tcPr>
          <w:p w14:paraId="0336E3F5" w14:textId="77777777" w:rsidR="00151CD0" w:rsidRPr="00151CD0" w:rsidRDefault="00151CD0" w:rsidP="00151CD0">
            <w:pPr>
              <w:keepNext/>
              <w:keepLines/>
              <w:spacing w:line="240" w:lineRule="auto"/>
              <w:rPr>
                <w:rFonts w:ascii="Calibri" w:eastAsia="Times New Roman" w:hAnsi="Calibri" w:cs="Calibri"/>
                <w:b/>
                <w:bCs/>
                <w:color w:val="000000"/>
                <w:sz w:val="20"/>
                <w:szCs w:val="20"/>
                <w:lang w:eastAsia="en-AU"/>
              </w:rPr>
            </w:pPr>
            <w:r w:rsidRPr="00151CD0">
              <w:rPr>
                <w:rFonts w:ascii="Calibri" w:eastAsia="Times New Roman" w:hAnsi="Calibri" w:cs="Calibri"/>
                <w:b/>
                <w:bCs/>
                <w:color w:val="000000"/>
                <w:sz w:val="20"/>
                <w:szCs w:val="20"/>
                <w:lang w:eastAsia="en-AU"/>
              </w:rPr>
              <w:t> </w:t>
            </w:r>
          </w:p>
        </w:tc>
        <w:tc>
          <w:tcPr>
            <w:tcW w:w="1757" w:type="dxa"/>
            <w:tcBorders>
              <w:top w:val="nil"/>
              <w:left w:val="nil"/>
              <w:bottom w:val="nil"/>
              <w:right w:val="nil"/>
            </w:tcBorders>
            <w:shd w:val="clear" w:color="000000" w:fill="D9D9D9"/>
            <w:noWrap/>
            <w:vAlign w:val="bottom"/>
            <w:hideMark/>
          </w:tcPr>
          <w:p w14:paraId="6BD3D75D" w14:textId="77777777" w:rsidR="00151CD0" w:rsidRPr="00151CD0" w:rsidRDefault="00151CD0" w:rsidP="00151CD0">
            <w:pPr>
              <w:keepNext/>
              <w:keepLines/>
              <w:spacing w:line="240" w:lineRule="auto"/>
              <w:rPr>
                <w:rFonts w:ascii="Calibri" w:eastAsia="Times New Roman" w:hAnsi="Calibri" w:cs="Calibri"/>
                <w:b/>
                <w:bCs/>
                <w:color w:val="000000"/>
                <w:sz w:val="20"/>
                <w:szCs w:val="20"/>
                <w:lang w:eastAsia="en-AU"/>
              </w:rPr>
            </w:pPr>
            <w:r w:rsidRPr="00151CD0">
              <w:rPr>
                <w:rFonts w:ascii="Calibri" w:eastAsia="Times New Roman" w:hAnsi="Calibri" w:cs="Calibri"/>
                <w:b/>
                <w:bCs/>
                <w:color w:val="000000"/>
                <w:sz w:val="20"/>
                <w:szCs w:val="20"/>
                <w:lang w:eastAsia="en-AU"/>
              </w:rPr>
              <w:t> </w:t>
            </w:r>
          </w:p>
        </w:tc>
        <w:tc>
          <w:tcPr>
            <w:tcW w:w="1307" w:type="dxa"/>
            <w:tcBorders>
              <w:top w:val="nil"/>
              <w:left w:val="nil"/>
              <w:bottom w:val="single" w:sz="4" w:space="0" w:color="auto"/>
              <w:right w:val="single" w:sz="4" w:space="0" w:color="auto"/>
            </w:tcBorders>
            <w:shd w:val="clear" w:color="000000" w:fill="D9D9D9"/>
            <w:noWrap/>
            <w:vAlign w:val="bottom"/>
            <w:hideMark/>
          </w:tcPr>
          <w:p w14:paraId="38F9EED1" w14:textId="77777777" w:rsidR="00151CD0" w:rsidRPr="00151CD0" w:rsidRDefault="00151CD0" w:rsidP="00151CD0">
            <w:pPr>
              <w:keepNext/>
              <w:keepLines/>
              <w:spacing w:line="240" w:lineRule="auto"/>
              <w:rPr>
                <w:rFonts w:ascii="Calibri" w:eastAsia="Times New Roman" w:hAnsi="Calibri" w:cs="Calibri"/>
                <w:b/>
                <w:bCs/>
                <w:color w:val="000000"/>
                <w:sz w:val="20"/>
                <w:szCs w:val="20"/>
                <w:lang w:eastAsia="en-AU"/>
              </w:rPr>
            </w:pPr>
            <w:r w:rsidRPr="00151CD0">
              <w:rPr>
                <w:rFonts w:ascii="Calibri" w:eastAsia="Times New Roman" w:hAnsi="Calibri" w:cs="Calibri"/>
                <w:b/>
                <w:bCs/>
                <w:color w:val="000000"/>
                <w:sz w:val="20"/>
                <w:szCs w:val="20"/>
                <w:lang w:eastAsia="en-AU"/>
              </w:rPr>
              <w:t>Year 7-12</w:t>
            </w:r>
          </w:p>
        </w:tc>
        <w:tc>
          <w:tcPr>
            <w:tcW w:w="1062" w:type="dxa"/>
            <w:tcBorders>
              <w:top w:val="single" w:sz="4" w:space="0" w:color="auto"/>
              <w:left w:val="nil"/>
              <w:bottom w:val="single" w:sz="4" w:space="0" w:color="auto"/>
              <w:right w:val="single" w:sz="4" w:space="0" w:color="auto"/>
            </w:tcBorders>
            <w:shd w:val="clear" w:color="000000" w:fill="auto"/>
            <w:noWrap/>
            <w:vAlign w:val="bottom"/>
          </w:tcPr>
          <w:p w14:paraId="674BA536" w14:textId="77777777" w:rsidR="00151CD0" w:rsidRPr="00151CD0" w:rsidRDefault="00151CD0" w:rsidP="00151CD0">
            <w:pPr>
              <w:keepNext/>
              <w:keepLines/>
              <w:spacing w:line="240" w:lineRule="auto"/>
              <w:ind w:right="227"/>
              <w:jc w:val="right"/>
              <w:rPr>
                <w:rFonts w:ascii="Calibri" w:eastAsia="Times New Roman" w:hAnsi="Calibri" w:cs="Calibri"/>
                <w:color w:val="000000"/>
                <w:sz w:val="20"/>
                <w:szCs w:val="20"/>
                <w:lang w:eastAsia="en-AU"/>
              </w:rPr>
            </w:pPr>
            <w:r w:rsidRPr="00151CD0">
              <w:rPr>
                <w:rFonts w:ascii="Calibri" w:eastAsia="Times New Roman" w:hAnsi="Calibri" w:cs="Calibri"/>
                <w:color w:val="000000"/>
                <w:sz w:val="20"/>
                <w:szCs w:val="20"/>
                <w:lang w:eastAsia="en-AU"/>
              </w:rPr>
              <w:t>94.4</w:t>
            </w:r>
          </w:p>
        </w:tc>
        <w:tc>
          <w:tcPr>
            <w:tcW w:w="977" w:type="dxa"/>
            <w:tcBorders>
              <w:top w:val="single" w:sz="4" w:space="0" w:color="auto"/>
              <w:left w:val="single" w:sz="4" w:space="0" w:color="auto"/>
              <w:bottom w:val="single" w:sz="4" w:space="0" w:color="auto"/>
              <w:right w:val="single" w:sz="4" w:space="0" w:color="auto"/>
            </w:tcBorders>
            <w:shd w:val="clear" w:color="000000" w:fill="auto"/>
            <w:noWrap/>
            <w:vAlign w:val="bottom"/>
          </w:tcPr>
          <w:p w14:paraId="5C0DE7ED" w14:textId="77777777" w:rsidR="00151CD0" w:rsidRPr="00151CD0" w:rsidRDefault="00151CD0" w:rsidP="00151CD0">
            <w:pPr>
              <w:keepNext/>
              <w:keepLines/>
              <w:spacing w:line="240" w:lineRule="auto"/>
              <w:ind w:right="227"/>
              <w:jc w:val="right"/>
              <w:rPr>
                <w:rFonts w:ascii="Calibri" w:eastAsia="Times New Roman" w:hAnsi="Calibri" w:cs="Calibri"/>
                <w:color w:val="000000"/>
                <w:sz w:val="20"/>
                <w:szCs w:val="20"/>
                <w:lang w:eastAsia="en-AU"/>
              </w:rPr>
            </w:pPr>
            <w:r w:rsidRPr="00151CD0">
              <w:rPr>
                <w:rFonts w:ascii="Calibri" w:eastAsia="Times New Roman" w:hAnsi="Calibri" w:cs="Calibri"/>
                <w:color w:val="000000"/>
                <w:sz w:val="20"/>
                <w:szCs w:val="20"/>
                <w:lang w:eastAsia="en-AU"/>
              </w:rPr>
              <w:t>97.9</w:t>
            </w:r>
          </w:p>
        </w:tc>
        <w:tc>
          <w:tcPr>
            <w:tcW w:w="978" w:type="dxa"/>
            <w:tcBorders>
              <w:top w:val="single" w:sz="4" w:space="0" w:color="auto"/>
              <w:left w:val="single" w:sz="4" w:space="0" w:color="auto"/>
              <w:bottom w:val="single" w:sz="4" w:space="0" w:color="auto"/>
              <w:right w:val="single" w:sz="4" w:space="0" w:color="auto"/>
            </w:tcBorders>
            <w:shd w:val="clear" w:color="000000" w:fill="auto"/>
            <w:noWrap/>
            <w:vAlign w:val="bottom"/>
          </w:tcPr>
          <w:p w14:paraId="1C874ABD" w14:textId="77777777" w:rsidR="00151CD0" w:rsidRPr="00151CD0" w:rsidRDefault="00151CD0" w:rsidP="00151CD0">
            <w:pPr>
              <w:keepNext/>
              <w:keepLines/>
              <w:spacing w:line="240" w:lineRule="auto"/>
              <w:ind w:right="227"/>
              <w:jc w:val="right"/>
              <w:rPr>
                <w:rFonts w:ascii="Calibri" w:eastAsia="Times New Roman" w:hAnsi="Calibri" w:cs="Calibri"/>
                <w:color w:val="000000"/>
                <w:sz w:val="20"/>
                <w:szCs w:val="20"/>
                <w:lang w:eastAsia="en-AU"/>
              </w:rPr>
            </w:pPr>
            <w:r w:rsidRPr="00151CD0">
              <w:rPr>
                <w:rFonts w:ascii="Calibri" w:eastAsia="Times New Roman" w:hAnsi="Calibri" w:cs="Calibri"/>
                <w:color w:val="000000"/>
                <w:sz w:val="20"/>
                <w:szCs w:val="20"/>
                <w:lang w:eastAsia="en-AU"/>
              </w:rPr>
              <w:t>63</w:t>
            </w:r>
          </w:p>
        </w:tc>
        <w:tc>
          <w:tcPr>
            <w:tcW w:w="873" w:type="dxa"/>
            <w:tcBorders>
              <w:top w:val="single" w:sz="4" w:space="0" w:color="auto"/>
              <w:left w:val="single" w:sz="4" w:space="0" w:color="auto"/>
              <w:bottom w:val="single" w:sz="4" w:space="0" w:color="auto"/>
              <w:right w:val="single" w:sz="4" w:space="0" w:color="auto"/>
            </w:tcBorders>
            <w:shd w:val="clear" w:color="000000" w:fill="auto"/>
          </w:tcPr>
          <w:p w14:paraId="0D4AEDC2" w14:textId="77777777" w:rsidR="00151CD0" w:rsidRPr="00151CD0" w:rsidRDefault="00151CD0" w:rsidP="00151CD0">
            <w:pPr>
              <w:keepNext/>
              <w:keepLines/>
              <w:spacing w:line="240" w:lineRule="auto"/>
              <w:ind w:right="227"/>
              <w:jc w:val="right"/>
              <w:rPr>
                <w:rFonts w:ascii="Calibri" w:eastAsia="Times New Roman" w:hAnsi="Calibri" w:cs="Calibri"/>
                <w:color w:val="000000"/>
                <w:sz w:val="20"/>
                <w:szCs w:val="20"/>
                <w:lang w:eastAsia="en-AU"/>
              </w:rPr>
            </w:pPr>
            <w:r w:rsidRPr="00151CD0">
              <w:rPr>
                <w:rFonts w:ascii="Calibri" w:eastAsia="Times New Roman" w:hAnsi="Calibri" w:cs="Calibri"/>
                <w:color w:val="000000"/>
                <w:sz w:val="20"/>
                <w:szCs w:val="20"/>
                <w:lang w:eastAsia="en-AU"/>
              </w:rPr>
              <w:t>57.8</w:t>
            </w:r>
          </w:p>
        </w:tc>
        <w:tc>
          <w:tcPr>
            <w:tcW w:w="873" w:type="dxa"/>
            <w:tcBorders>
              <w:top w:val="single" w:sz="4" w:space="0" w:color="auto"/>
              <w:left w:val="single" w:sz="4" w:space="0" w:color="auto"/>
              <w:bottom w:val="single" w:sz="4" w:space="0" w:color="auto"/>
              <w:right w:val="single" w:sz="4" w:space="0" w:color="auto"/>
            </w:tcBorders>
            <w:shd w:val="clear" w:color="auto" w:fill="auto"/>
          </w:tcPr>
          <w:p w14:paraId="0E8FEEB1" w14:textId="77777777" w:rsidR="00151CD0" w:rsidRPr="00151CD0" w:rsidRDefault="00151CD0" w:rsidP="00151CD0">
            <w:pPr>
              <w:keepNext/>
              <w:keepLines/>
              <w:spacing w:line="240" w:lineRule="auto"/>
              <w:ind w:right="227"/>
              <w:jc w:val="right"/>
              <w:rPr>
                <w:rFonts w:ascii="Calibri" w:eastAsia="Times New Roman" w:hAnsi="Calibri" w:cs="Calibri"/>
                <w:color w:val="000000"/>
                <w:sz w:val="20"/>
                <w:szCs w:val="20"/>
                <w:lang w:eastAsia="en-AU"/>
              </w:rPr>
            </w:pPr>
            <w:r w:rsidRPr="00151CD0">
              <w:rPr>
                <w:rFonts w:ascii="Calibri" w:eastAsia="Times New Roman" w:hAnsi="Calibri" w:cs="Calibri"/>
                <w:color w:val="000000"/>
                <w:sz w:val="20"/>
                <w:szCs w:val="20"/>
                <w:lang w:eastAsia="en-AU"/>
              </w:rPr>
              <w:t>100</w:t>
            </w:r>
          </w:p>
        </w:tc>
      </w:tr>
      <w:tr w:rsidR="00151CD0" w:rsidRPr="00151CD0" w14:paraId="23ACAA9D" w14:textId="77777777" w:rsidTr="00F81216">
        <w:trPr>
          <w:trHeight w:val="261"/>
        </w:trPr>
        <w:tc>
          <w:tcPr>
            <w:tcW w:w="1689" w:type="dxa"/>
            <w:tcBorders>
              <w:top w:val="nil"/>
              <w:left w:val="single" w:sz="8" w:space="0" w:color="auto"/>
              <w:bottom w:val="nil"/>
              <w:right w:val="nil"/>
            </w:tcBorders>
            <w:shd w:val="clear" w:color="000000" w:fill="D9D9D9"/>
            <w:noWrap/>
            <w:vAlign w:val="bottom"/>
            <w:hideMark/>
          </w:tcPr>
          <w:p w14:paraId="0E339B7F" w14:textId="77777777" w:rsidR="00151CD0" w:rsidRPr="00151CD0" w:rsidRDefault="00151CD0" w:rsidP="00151CD0">
            <w:pPr>
              <w:keepNext/>
              <w:keepLines/>
              <w:spacing w:line="240" w:lineRule="auto"/>
              <w:rPr>
                <w:rFonts w:ascii="Calibri" w:eastAsia="Times New Roman" w:hAnsi="Calibri" w:cs="Calibri"/>
                <w:b/>
                <w:bCs/>
                <w:color w:val="000000"/>
                <w:sz w:val="20"/>
                <w:szCs w:val="20"/>
                <w:lang w:eastAsia="en-AU"/>
              </w:rPr>
            </w:pPr>
            <w:r w:rsidRPr="00151CD0">
              <w:rPr>
                <w:rFonts w:ascii="Calibri" w:eastAsia="Times New Roman" w:hAnsi="Calibri" w:cs="Calibri"/>
                <w:b/>
                <w:bCs/>
                <w:color w:val="000000"/>
                <w:sz w:val="20"/>
                <w:szCs w:val="20"/>
                <w:lang w:eastAsia="en-AU"/>
              </w:rPr>
              <w:t> </w:t>
            </w:r>
          </w:p>
        </w:tc>
        <w:tc>
          <w:tcPr>
            <w:tcW w:w="1757" w:type="dxa"/>
            <w:tcBorders>
              <w:top w:val="nil"/>
              <w:left w:val="nil"/>
              <w:bottom w:val="nil"/>
              <w:right w:val="nil"/>
            </w:tcBorders>
            <w:shd w:val="clear" w:color="000000" w:fill="D9D9D9"/>
            <w:noWrap/>
            <w:vAlign w:val="bottom"/>
            <w:hideMark/>
          </w:tcPr>
          <w:p w14:paraId="6CE100F2" w14:textId="77777777" w:rsidR="00151CD0" w:rsidRPr="00151CD0" w:rsidRDefault="00151CD0" w:rsidP="00151CD0">
            <w:pPr>
              <w:keepNext/>
              <w:keepLines/>
              <w:spacing w:line="240" w:lineRule="auto"/>
              <w:rPr>
                <w:rFonts w:ascii="Calibri" w:eastAsia="Times New Roman" w:hAnsi="Calibri" w:cs="Calibri"/>
                <w:b/>
                <w:bCs/>
                <w:color w:val="000000"/>
                <w:sz w:val="20"/>
                <w:szCs w:val="20"/>
                <w:lang w:eastAsia="en-AU"/>
              </w:rPr>
            </w:pPr>
            <w:r w:rsidRPr="00151CD0">
              <w:rPr>
                <w:rFonts w:ascii="Calibri" w:eastAsia="Times New Roman" w:hAnsi="Calibri" w:cs="Calibri"/>
                <w:b/>
                <w:bCs/>
                <w:color w:val="000000"/>
                <w:sz w:val="20"/>
                <w:szCs w:val="20"/>
                <w:lang w:eastAsia="en-AU"/>
              </w:rPr>
              <w:t>TOTAL</w:t>
            </w:r>
          </w:p>
        </w:tc>
        <w:tc>
          <w:tcPr>
            <w:tcW w:w="1307" w:type="dxa"/>
            <w:tcBorders>
              <w:top w:val="nil"/>
              <w:left w:val="nil"/>
              <w:bottom w:val="nil"/>
              <w:right w:val="single" w:sz="4" w:space="0" w:color="auto"/>
            </w:tcBorders>
            <w:shd w:val="clear" w:color="000000" w:fill="D9D9D9"/>
            <w:noWrap/>
            <w:vAlign w:val="bottom"/>
            <w:hideMark/>
          </w:tcPr>
          <w:p w14:paraId="0EEE2B65" w14:textId="77777777" w:rsidR="00151CD0" w:rsidRPr="00151CD0" w:rsidRDefault="00151CD0" w:rsidP="00151CD0">
            <w:pPr>
              <w:keepNext/>
              <w:keepLines/>
              <w:spacing w:line="240" w:lineRule="auto"/>
              <w:rPr>
                <w:rFonts w:ascii="Calibri" w:eastAsia="Times New Roman" w:hAnsi="Calibri" w:cs="Calibri"/>
                <w:b/>
                <w:bCs/>
                <w:color w:val="000000"/>
                <w:sz w:val="20"/>
                <w:szCs w:val="20"/>
                <w:lang w:eastAsia="en-AU"/>
              </w:rPr>
            </w:pPr>
            <w:r w:rsidRPr="00151CD0">
              <w:rPr>
                <w:rFonts w:ascii="Calibri" w:eastAsia="Times New Roman" w:hAnsi="Calibri" w:cs="Calibri"/>
                <w:b/>
                <w:bCs/>
                <w:color w:val="000000"/>
                <w:sz w:val="20"/>
                <w:szCs w:val="20"/>
                <w:lang w:eastAsia="en-AU"/>
              </w:rPr>
              <w:t>Year 7-10</w:t>
            </w:r>
          </w:p>
        </w:tc>
        <w:tc>
          <w:tcPr>
            <w:tcW w:w="1062" w:type="dxa"/>
            <w:tcBorders>
              <w:top w:val="single" w:sz="4" w:space="0" w:color="auto"/>
              <w:left w:val="nil"/>
              <w:bottom w:val="single" w:sz="4" w:space="0" w:color="auto"/>
              <w:right w:val="single" w:sz="4" w:space="0" w:color="auto"/>
            </w:tcBorders>
            <w:shd w:val="clear" w:color="000000" w:fill="auto"/>
            <w:noWrap/>
            <w:vAlign w:val="bottom"/>
          </w:tcPr>
          <w:p w14:paraId="62036F52" w14:textId="77777777" w:rsidR="00151CD0" w:rsidRPr="00151CD0" w:rsidRDefault="00151CD0" w:rsidP="00151CD0">
            <w:pPr>
              <w:keepNext/>
              <w:keepLines/>
              <w:spacing w:line="240" w:lineRule="auto"/>
              <w:ind w:right="227"/>
              <w:jc w:val="right"/>
              <w:rPr>
                <w:rFonts w:ascii="Calibri" w:eastAsia="Times New Roman" w:hAnsi="Calibri" w:cs="Calibri"/>
                <w:color w:val="000000"/>
                <w:sz w:val="20"/>
                <w:szCs w:val="20"/>
                <w:lang w:eastAsia="en-AU"/>
              </w:rPr>
            </w:pPr>
            <w:r w:rsidRPr="00151CD0">
              <w:rPr>
                <w:rFonts w:ascii="Calibri" w:eastAsia="Times New Roman" w:hAnsi="Calibri" w:cs="Calibri"/>
                <w:color w:val="000000"/>
                <w:sz w:val="20"/>
                <w:szCs w:val="20"/>
                <w:lang w:eastAsia="en-AU"/>
              </w:rPr>
              <w:t>81.7</w:t>
            </w:r>
          </w:p>
        </w:tc>
        <w:tc>
          <w:tcPr>
            <w:tcW w:w="977" w:type="dxa"/>
            <w:tcBorders>
              <w:top w:val="single" w:sz="4" w:space="0" w:color="auto"/>
              <w:left w:val="single" w:sz="4" w:space="0" w:color="auto"/>
              <w:bottom w:val="single" w:sz="4" w:space="0" w:color="auto"/>
              <w:right w:val="single" w:sz="4" w:space="0" w:color="auto"/>
            </w:tcBorders>
            <w:shd w:val="clear" w:color="000000" w:fill="auto"/>
            <w:noWrap/>
            <w:vAlign w:val="bottom"/>
          </w:tcPr>
          <w:p w14:paraId="38D28E62" w14:textId="77777777" w:rsidR="00151CD0" w:rsidRPr="00151CD0" w:rsidRDefault="00151CD0" w:rsidP="00151CD0">
            <w:pPr>
              <w:keepNext/>
              <w:keepLines/>
              <w:spacing w:line="240" w:lineRule="auto"/>
              <w:ind w:right="227"/>
              <w:jc w:val="right"/>
              <w:rPr>
                <w:rFonts w:ascii="Calibri" w:eastAsia="Times New Roman" w:hAnsi="Calibri" w:cs="Calibri"/>
                <w:color w:val="000000"/>
                <w:sz w:val="20"/>
                <w:szCs w:val="20"/>
                <w:lang w:eastAsia="en-AU"/>
              </w:rPr>
            </w:pPr>
            <w:r w:rsidRPr="00151CD0">
              <w:rPr>
                <w:rFonts w:ascii="Calibri" w:eastAsia="Times New Roman" w:hAnsi="Calibri" w:cs="Calibri"/>
                <w:color w:val="000000"/>
                <w:sz w:val="20"/>
                <w:szCs w:val="20"/>
                <w:lang w:eastAsia="en-AU"/>
              </w:rPr>
              <w:t>80.4</w:t>
            </w:r>
          </w:p>
        </w:tc>
        <w:tc>
          <w:tcPr>
            <w:tcW w:w="978" w:type="dxa"/>
            <w:tcBorders>
              <w:top w:val="single" w:sz="4" w:space="0" w:color="auto"/>
              <w:left w:val="single" w:sz="4" w:space="0" w:color="auto"/>
              <w:bottom w:val="single" w:sz="4" w:space="0" w:color="auto"/>
              <w:right w:val="single" w:sz="4" w:space="0" w:color="auto"/>
            </w:tcBorders>
            <w:shd w:val="clear" w:color="000000" w:fill="auto"/>
            <w:noWrap/>
            <w:vAlign w:val="bottom"/>
          </w:tcPr>
          <w:p w14:paraId="00AD072B" w14:textId="77777777" w:rsidR="00151CD0" w:rsidRPr="00151CD0" w:rsidRDefault="00151CD0" w:rsidP="00151CD0">
            <w:pPr>
              <w:keepNext/>
              <w:keepLines/>
              <w:spacing w:line="240" w:lineRule="auto"/>
              <w:ind w:right="227"/>
              <w:jc w:val="right"/>
              <w:rPr>
                <w:rFonts w:ascii="Calibri" w:eastAsia="Times New Roman" w:hAnsi="Calibri" w:cs="Calibri"/>
                <w:color w:val="000000"/>
                <w:sz w:val="20"/>
                <w:szCs w:val="20"/>
                <w:lang w:eastAsia="en-AU"/>
              </w:rPr>
            </w:pPr>
            <w:r w:rsidRPr="00151CD0">
              <w:rPr>
                <w:rFonts w:ascii="Calibri" w:eastAsia="Times New Roman" w:hAnsi="Calibri" w:cs="Calibri"/>
                <w:color w:val="000000"/>
                <w:sz w:val="20"/>
                <w:szCs w:val="20"/>
                <w:lang w:eastAsia="en-AU"/>
              </w:rPr>
              <w:t>90.7</w:t>
            </w:r>
          </w:p>
        </w:tc>
        <w:tc>
          <w:tcPr>
            <w:tcW w:w="873" w:type="dxa"/>
            <w:tcBorders>
              <w:top w:val="single" w:sz="4" w:space="0" w:color="auto"/>
              <w:left w:val="single" w:sz="4" w:space="0" w:color="auto"/>
              <w:bottom w:val="single" w:sz="4" w:space="0" w:color="auto"/>
              <w:right w:val="single" w:sz="4" w:space="0" w:color="auto"/>
            </w:tcBorders>
            <w:shd w:val="clear" w:color="000000" w:fill="auto"/>
          </w:tcPr>
          <w:p w14:paraId="08F8ADA1" w14:textId="77777777" w:rsidR="00151CD0" w:rsidRPr="00151CD0" w:rsidRDefault="00151CD0" w:rsidP="00151CD0">
            <w:pPr>
              <w:keepNext/>
              <w:keepLines/>
              <w:spacing w:line="240" w:lineRule="auto"/>
              <w:ind w:right="227"/>
              <w:jc w:val="right"/>
              <w:rPr>
                <w:rFonts w:ascii="Calibri" w:eastAsia="Times New Roman" w:hAnsi="Calibri" w:cs="Calibri"/>
                <w:color w:val="000000"/>
                <w:sz w:val="20"/>
                <w:szCs w:val="20"/>
                <w:lang w:eastAsia="en-AU"/>
              </w:rPr>
            </w:pPr>
            <w:r w:rsidRPr="00151CD0">
              <w:rPr>
                <w:rFonts w:ascii="Calibri" w:eastAsia="Times New Roman" w:hAnsi="Calibri" w:cs="Calibri"/>
                <w:color w:val="000000"/>
                <w:sz w:val="20"/>
                <w:szCs w:val="20"/>
                <w:lang w:eastAsia="en-AU"/>
              </w:rPr>
              <w:t>95</w:t>
            </w:r>
          </w:p>
        </w:tc>
        <w:tc>
          <w:tcPr>
            <w:tcW w:w="873" w:type="dxa"/>
            <w:tcBorders>
              <w:top w:val="single" w:sz="4" w:space="0" w:color="auto"/>
              <w:left w:val="single" w:sz="4" w:space="0" w:color="auto"/>
              <w:bottom w:val="single" w:sz="4" w:space="0" w:color="auto"/>
              <w:right w:val="single" w:sz="4" w:space="0" w:color="auto"/>
            </w:tcBorders>
            <w:shd w:val="clear" w:color="auto" w:fill="auto"/>
          </w:tcPr>
          <w:p w14:paraId="4729A506" w14:textId="77777777" w:rsidR="00151CD0" w:rsidRPr="00151CD0" w:rsidRDefault="00151CD0" w:rsidP="00151CD0">
            <w:pPr>
              <w:keepNext/>
              <w:keepLines/>
              <w:spacing w:line="240" w:lineRule="auto"/>
              <w:ind w:right="227"/>
              <w:jc w:val="right"/>
              <w:rPr>
                <w:rFonts w:ascii="Calibri" w:eastAsia="Times New Roman" w:hAnsi="Calibri" w:cs="Calibri"/>
                <w:color w:val="000000"/>
                <w:sz w:val="20"/>
                <w:szCs w:val="20"/>
                <w:lang w:eastAsia="en-AU"/>
              </w:rPr>
            </w:pPr>
            <w:r w:rsidRPr="00151CD0">
              <w:rPr>
                <w:rFonts w:ascii="Calibri" w:eastAsia="Times New Roman" w:hAnsi="Calibri" w:cs="Calibri"/>
                <w:color w:val="000000"/>
                <w:sz w:val="20"/>
                <w:szCs w:val="20"/>
                <w:lang w:eastAsia="en-AU"/>
              </w:rPr>
              <w:t>100.2</w:t>
            </w:r>
          </w:p>
        </w:tc>
      </w:tr>
      <w:tr w:rsidR="00151CD0" w:rsidRPr="00151CD0" w14:paraId="70CB443D" w14:textId="77777777" w:rsidTr="00F81216">
        <w:trPr>
          <w:trHeight w:val="261"/>
        </w:trPr>
        <w:tc>
          <w:tcPr>
            <w:tcW w:w="1689" w:type="dxa"/>
            <w:tcBorders>
              <w:top w:val="nil"/>
              <w:left w:val="single" w:sz="8" w:space="0" w:color="auto"/>
              <w:bottom w:val="single" w:sz="4" w:space="0" w:color="auto"/>
              <w:right w:val="nil"/>
            </w:tcBorders>
            <w:shd w:val="clear" w:color="000000" w:fill="D9D9D9"/>
            <w:noWrap/>
            <w:vAlign w:val="bottom"/>
            <w:hideMark/>
          </w:tcPr>
          <w:p w14:paraId="321A1996" w14:textId="77777777" w:rsidR="00151CD0" w:rsidRPr="00151CD0" w:rsidRDefault="00151CD0" w:rsidP="00151CD0">
            <w:pPr>
              <w:keepNext/>
              <w:keepLines/>
              <w:spacing w:line="240" w:lineRule="auto"/>
              <w:rPr>
                <w:rFonts w:ascii="Calibri" w:eastAsia="Times New Roman" w:hAnsi="Calibri" w:cs="Calibri"/>
                <w:b/>
                <w:bCs/>
                <w:color w:val="000000"/>
                <w:sz w:val="20"/>
                <w:szCs w:val="20"/>
                <w:lang w:eastAsia="en-AU"/>
              </w:rPr>
            </w:pPr>
            <w:r w:rsidRPr="00151CD0">
              <w:rPr>
                <w:rFonts w:ascii="Calibri" w:eastAsia="Times New Roman" w:hAnsi="Calibri" w:cs="Calibri"/>
                <w:b/>
                <w:bCs/>
                <w:color w:val="000000"/>
                <w:sz w:val="20"/>
                <w:szCs w:val="20"/>
                <w:lang w:eastAsia="en-AU"/>
              </w:rPr>
              <w:t> </w:t>
            </w:r>
          </w:p>
        </w:tc>
        <w:tc>
          <w:tcPr>
            <w:tcW w:w="1757" w:type="dxa"/>
            <w:tcBorders>
              <w:top w:val="nil"/>
              <w:left w:val="nil"/>
              <w:bottom w:val="single" w:sz="4" w:space="0" w:color="auto"/>
              <w:right w:val="nil"/>
            </w:tcBorders>
            <w:shd w:val="clear" w:color="000000" w:fill="D9D9D9"/>
            <w:noWrap/>
            <w:vAlign w:val="bottom"/>
            <w:hideMark/>
          </w:tcPr>
          <w:p w14:paraId="2E544D16" w14:textId="77777777" w:rsidR="00151CD0" w:rsidRPr="00151CD0" w:rsidRDefault="00151CD0" w:rsidP="00151CD0">
            <w:pPr>
              <w:keepNext/>
              <w:keepLines/>
              <w:spacing w:line="240" w:lineRule="auto"/>
              <w:rPr>
                <w:rFonts w:ascii="Calibri" w:eastAsia="Times New Roman" w:hAnsi="Calibri" w:cs="Calibri"/>
                <w:b/>
                <w:bCs/>
                <w:color w:val="000000"/>
                <w:sz w:val="20"/>
                <w:szCs w:val="20"/>
                <w:lang w:eastAsia="en-AU"/>
              </w:rPr>
            </w:pPr>
            <w:r w:rsidRPr="00151CD0">
              <w:rPr>
                <w:rFonts w:ascii="Calibri" w:eastAsia="Times New Roman" w:hAnsi="Calibri" w:cs="Calibri"/>
                <w:b/>
                <w:bCs/>
                <w:color w:val="000000"/>
                <w:sz w:val="20"/>
                <w:szCs w:val="20"/>
                <w:lang w:eastAsia="en-AU"/>
              </w:rPr>
              <w:t> </w:t>
            </w:r>
          </w:p>
        </w:tc>
        <w:tc>
          <w:tcPr>
            <w:tcW w:w="1307" w:type="dxa"/>
            <w:tcBorders>
              <w:top w:val="nil"/>
              <w:left w:val="nil"/>
              <w:bottom w:val="single" w:sz="4" w:space="0" w:color="auto"/>
              <w:right w:val="single" w:sz="4" w:space="0" w:color="auto"/>
            </w:tcBorders>
            <w:shd w:val="clear" w:color="000000" w:fill="D9D9D9"/>
            <w:noWrap/>
            <w:vAlign w:val="bottom"/>
            <w:hideMark/>
          </w:tcPr>
          <w:p w14:paraId="731E044E" w14:textId="77777777" w:rsidR="00151CD0" w:rsidRPr="00151CD0" w:rsidRDefault="00151CD0" w:rsidP="00151CD0">
            <w:pPr>
              <w:keepNext/>
              <w:keepLines/>
              <w:spacing w:line="240" w:lineRule="auto"/>
              <w:rPr>
                <w:rFonts w:ascii="Calibri" w:eastAsia="Times New Roman" w:hAnsi="Calibri" w:cs="Calibri"/>
                <w:b/>
                <w:bCs/>
                <w:color w:val="000000"/>
                <w:sz w:val="20"/>
                <w:szCs w:val="20"/>
                <w:lang w:eastAsia="en-AU"/>
              </w:rPr>
            </w:pPr>
            <w:r w:rsidRPr="00151CD0">
              <w:rPr>
                <w:rFonts w:ascii="Calibri" w:eastAsia="Times New Roman" w:hAnsi="Calibri" w:cs="Calibri"/>
                <w:b/>
                <w:bCs/>
                <w:color w:val="000000"/>
                <w:sz w:val="20"/>
                <w:szCs w:val="20"/>
                <w:lang w:eastAsia="en-AU"/>
              </w:rPr>
              <w:t>Year 7-12</w:t>
            </w:r>
          </w:p>
        </w:tc>
        <w:tc>
          <w:tcPr>
            <w:tcW w:w="1062" w:type="dxa"/>
            <w:tcBorders>
              <w:top w:val="single" w:sz="4" w:space="0" w:color="auto"/>
              <w:left w:val="nil"/>
              <w:bottom w:val="single" w:sz="4" w:space="0" w:color="auto"/>
              <w:right w:val="single" w:sz="4" w:space="0" w:color="auto"/>
            </w:tcBorders>
            <w:shd w:val="clear" w:color="000000" w:fill="auto"/>
            <w:noWrap/>
            <w:vAlign w:val="bottom"/>
          </w:tcPr>
          <w:p w14:paraId="619810D5" w14:textId="77777777" w:rsidR="00151CD0" w:rsidRPr="00151CD0" w:rsidRDefault="00151CD0" w:rsidP="00151CD0">
            <w:pPr>
              <w:keepNext/>
              <w:keepLines/>
              <w:spacing w:line="240" w:lineRule="auto"/>
              <w:ind w:right="227"/>
              <w:jc w:val="right"/>
              <w:rPr>
                <w:rFonts w:ascii="Calibri" w:eastAsia="Times New Roman" w:hAnsi="Calibri" w:cs="Calibri"/>
                <w:color w:val="000000"/>
                <w:sz w:val="20"/>
                <w:szCs w:val="20"/>
                <w:lang w:eastAsia="en-AU"/>
              </w:rPr>
            </w:pPr>
            <w:r w:rsidRPr="00151CD0">
              <w:rPr>
                <w:rFonts w:ascii="Calibri" w:eastAsia="Times New Roman" w:hAnsi="Calibri" w:cs="Calibri"/>
                <w:color w:val="000000"/>
                <w:sz w:val="20"/>
                <w:szCs w:val="20"/>
                <w:lang w:eastAsia="en-AU"/>
              </w:rPr>
              <w:t>46.4</w:t>
            </w:r>
          </w:p>
        </w:tc>
        <w:tc>
          <w:tcPr>
            <w:tcW w:w="977" w:type="dxa"/>
            <w:tcBorders>
              <w:top w:val="single" w:sz="4" w:space="0" w:color="auto"/>
              <w:left w:val="single" w:sz="4" w:space="0" w:color="auto"/>
              <w:bottom w:val="single" w:sz="4" w:space="0" w:color="auto"/>
              <w:right w:val="single" w:sz="4" w:space="0" w:color="auto"/>
            </w:tcBorders>
            <w:shd w:val="clear" w:color="000000" w:fill="auto"/>
            <w:noWrap/>
            <w:vAlign w:val="bottom"/>
          </w:tcPr>
          <w:p w14:paraId="21CA95D2" w14:textId="77777777" w:rsidR="00151CD0" w:rsidRPr="00151CD0" w:rsidRDefault="00151CD0" w:rsidP="00151CD0">
            <w:pPr>
              <w:keepNext/>
              <w:keepLines/>
              <w:spacing w:line="240" w:lineRule="auto"/>
              <w:ind w:right="227"/>
              <w:jc w:val="right"/>
              <w:rPr>
                <w:rFonts w:ascii="Calibri" w:eastAsia="Times New Roman" w:hAnsi="Calibri" w:cs="Calibri"/>
                <w:color w:val="000000"/>
                <w:sz w:val="20"/>
                <w:szCs w:val="20"/>
                <w:lang w:eastAsia="en-AU"/>
              </w:rPr>
            </w:pPr>
            <w:r w:rsidRPr="00151CD0">
              <w:rPr>
                <w:rFonts w:ascii="Calibri" w:eastAsia="Times New Roman" w:hAnsi="Calibri" w:cs="Calibri"/>
                <w:color w:val="000000"/>
                <w:sz w:val="20"/>
                <w:szCs w:val="20"/>
                <w:lang w:eastAsia="en-AU"/>
              </w:rPr>
              <w:t>43.4</w:t>
            </w:r>
          </w:p>
        </w:tc>
        <w:tc>
          <w:tcPr>
            <w:tcW w:w="978" w:type="dxa"/>
            <w:tcBorders>
              <w:top w:val="single" w:sz="4" w:space="0" w:color="auto"/>
              <w:left w:val="single" w:sz="4" w:space="0" w:color="auto"/>
              <w:bottom w:val="single" w:sz="4" w:space="0" w:color="auto"/>
              <w:right w:val="single" w:sz="4" w:space="0" w:color="auto"/>
            </w:tcBorders>
            <w:shd w:val="clear" w:color="000000" w:fill="auto"/>
            <w:noWrap/>
            <w:vAlign w:val="bottom"/>
          </w:tcPr>
          <w:p w14:paraId="73E255FA" w14:textId="77777777" w:rsidR="00151CD0" w:rsidRPr="00151CD0" w:rsidRDefault="00151CD0" w:rsidP="00151CD0">
            <w:pPr>
              <w:keepNext/>
              <w:keepLines/>
              <w:spacing w:line="240" w:lineRule="auto"/>
              <w:ind w:right="227"/>
              <w:jc w:val="right"/>
              <w:rPr>
                <w:rFonts w:ascii="Calibri" w:eastAsia="Times New Roman" w:hAnsi="Calibri" w:cs="Calibri"/>
                <w:color w:val="000000"/>
                <w:sz w:val="20"/>
                <w:szCs w:val="20"/>
                <w:lang w:eastAsia="en-AU"/>
              </w:rPr>
            </w:pPr>
            <w:r w:rsidRPr="00151CD0">
              <w:rPr>
                <w:rFonts w:ascii="Calibri" w:eastAsia="Times New Roman" w:hAnsi="Calibri" w:cs="Calibri"/>
                <w:color w:val="000000"/>
                <w:sz w:val="20"/>
                <w:szCs w:val="20"/>
                <w:lang w:eastAsia="en-AU"/>
              </w:rPr>
              <w:t>41.8</w:t>
            </w:r>
          </w:p>
        </w:tc>
        <w:tc>
          <w:tcPr>
            <w:tcW w:w="873" w:type="dxa"/>
            <w:tcBorders>
              <w:top w:val="single" w:sz="4" w:space="0" w:color="auto"/>
              <w:left w:val="single" w:sz="4" w:space="0" w:color="auto"/>
              <w:bottom w:val="single" w:sz="4" w:space="0" w:color="auto"/>
              <w:right w:val="single" w:sz="4" w:space="0" w:color="auto"/>
            </w:tcBorders>
            <w:shd w:val="clear" w:color="000000" w:fill="auto"/>
          </w:tcPr>
          <w:p w14:paraId="4D095CF8" w14:textId="77777777" w:rsidR="00151CD0" w:rsidRPr="00151CD0" w:rsidRDefault="00151CD0" w:rsidP="00151CD0">
            <w:pPr>
              <w:keepNext/>
              <w:keepLines/>
              <w:spacing w:line="240" w:lineRule="auto"/>
              <w:ind w:right="227"/>
              <w:jc w:val="right"/>
              <w:rPr>
                <w:rFonts w:ascii="Calibri" w:eastAsia="Times New Roman" w:hAnsi="Calibri" w:cs="Calibri"/>
                <w:color w:val="000000"/>
                <w:sz w:val="20"/>
                <w:szCs w:val="20"/>
                <w:lang w:eastAsia="en-AU"/>
              </w:rPr>
            </w:pPr>
            <w:r w:rsidRPr="00151CD0">
              <w:rPr>
                <w:rFonts w:ascii="Calibri" w:eastAsia="Times New Roman" w:hAnsi="Calibri" w:cs="Calibri"/>
                <w:color w:val="000000"/>
                <w:sz w:val="20"/>
                <w:szCs w:val="20"/>
                <w:lang w:eastAsia="en-AU"/>
              </w:rPr>
              <w:t>46.9</w:t>
            </w:r>
          </w:p>
        </w:tc>
        <w:tc>
          <w:tcPr>
            <w:tcW w:w="873" w:type="dxa"/>
            <w:tcBorders>
              <w:top w:val="single" w:sz="4" w:space="0" w:color="auto"/>
              <w:left w:val="single" w:sz="4" w:space="0" w:color="auto"/>
              <w:bottom w:val="single" w:sz="4" w:space="0" w:color="auto"/>
              <w:right w:val="single" w:sz="4" w:space="0" w:color="auto"/>
            </w:tcBorders>
            <w:shd w:val="clear" w:color="auto" w:fill="auto"/>
          </w:tcPr>
          <w:p w14:paraId="7B406763" w14:textId="77777777" w:rsidR="00151CD0" w:rsidRPr="00151CD0" w:rsidRDefault="00151CD0" w:rsidP="00151CD0">
            <w:pPr>
              <w:keepNext/>
              <w:keepLines/>
              <w:spacing w:line="240" w:lineRule="auto"/>
              <w:ind w:right="227"/>
              <w:jc w:val="right"/>
              <w:rPr>
                <w:rFonts w:ascii="Calibri" w:eastAsia="Times New Roman" w:hAnsi="Calibri" w:cs="Calibri"/>
                <w:color w:val="000000"/>
                <w:sz w:val="20"/>
                <w:szCs w:val="20"/>
                <w:lang w:eastAsia="en-AU"/>
              </w:rPr>
            </w:pPr>
            <w:r w:rsidRPr="00151CD0">
              <w:rPr>
                <w:rFonts w:ascii="Calibri" w:eastAsia="Times New Roman" w:hAnsi="Calibri" w:cs="Calibri"/>
                <w:color w:val="000000"/>
                <w:sz w:val="20"/>
                <w:szCs w:val="20"/>
                <w:lang w:eastAsia="en-AU"/>
              </w:rPr>
              <w:t>51.1</w:t>
            </w:r>
          </w:p>
        </w:tc>
      </w:tr>
      <w:tr w:rsidR="00151CD0" w:rsidRPr="00151CD0" w14:paraId="396B1B16" w14:textId="77777777" w:rsidTr="00F81216">
        <w:trPr>
          <w:trHeight w:val="261"/>
        </w:trPr>
        <w:tc>
          <w:tcPr>
            <w:tcW w:w="1689" w:type="dxa"/>
            <w:tcBorders>
              <w:top w:val="nil"/>
              <w:left w:val="single" w:sz="8" w:space="0" w:color="auto"/>
              <w:bottom w:val="nil"/>
              <w:right w:val="nil"/>
            </w:tcBorders>
            <w:shd w:val="clear" w:color="000000" w:fill="D9D9D9"/>
            <w:noWrap/>
            <w:vAlign w:val="bottom"/>
            <w:hideMark/>
          </w:tcPr>
          <w:p w14:paraId="4105BAFE" w14:textId="77777777" w:rsidR="00151CD0" w:rsidRPr="00151CD0" w:rsidRDefault="00151CD0" w:rsidP="00151CD0">
            <w:pPr>
              <w:keepNext/>
              <w:keepLines/>
              <w:spacing w:line="240" w:lineRule="auto"/>
              <w:rPr>
                <w:rFonts w:ascii="Calibri" w:eastAsia="Times New Roman" w:hAnsi="Calibri" w:cs="Calibri"/>
                <w:b/>
                <w:bCs/>
                <w:color w:val="000000"/>
                <w:sz w:val="20"/>
                <w:szCs w:val="20"/>
                <w:lang w:eastAsia="en-AU"/>
              </w:rPr>
            </w:pPr>
            <w:r w:rsidRPr="00151CD0">
              <w:rPr>
                <w:rFonts w:ascii="Calibri" w:eastAsia="Times New Roman" w:hAnsi="Calibri" w:cs="Calibri"/>
                <w:b/>
                <w:bCs/>
                <w:color w:val="000000"/>
                <w:sz w:val="20"/>
                <w:szCs w:val="20"/>
                <w:lang w:eastAsia="en-AU"/>
              </w:rPr>
              <w:t>All Students</w:t>
            </w:r>
          </w:p>
        </w:tc>
        <w:tc>
          <w:tcPr>
            <w:tcW w:w="1757" w:type="dxa"/>
            <w:tcBorders>
              <w:top w:val="nil"/>
              <w:left w:val="nil"/>
              <w:bottom w:val="nil"/>
              <w:right w:val="nil"/>
            </w:tcBorders>
            <w:shd w:val="clear" w:color="000000" w:fill="D9D9D9"/>
            <w:noWrap/>
            <w:vAlign w:val="bottom"/>
            <w:hideMark/>
          </w:tcPr>
          <w:p w14:paraId="13E36C3B" w14:textId="77777777" w:rsidR="00151CD0" w:rsidRPr="00151CD0" w:rsidRDefault="00151CD0" w:rsidP="00151CD0">
            <w:pPr>
              <w:keepNext/>
              <w:keepLines/>
              <w:spacing w:line="240" w:lineRule="auto"/>
              <w:rPr>
                <w:rFonts w:ascii="Calibri" w:eastAsia="Times New Roman" w:hAnsi="Calibri" w:cs="Calibri"/>
                <w:b/>
                <w:bCs/>
                <w:color w:val="000000"/>
                <w:sz w:val="20"/>
                <w:szCs w:val="20"/>
                <w:lang w:eastAsia="en-AU"/>
              </w:rPr>
            </w:pPr>
            <w:r w:rsidRPr="00151CD0">
              <w:rPr>
                <w:rFonts w:ascii="Calibri" w:eastAsia="Times New Roman" w:hAnsi="Calibri" w:cs="Calibri"/>
                <w:b/>
                <w:bCs/>
                <w:color w:val="000000"/>
                <w:sz w:val="20"/>
                <w:szCs w:val="20"/>
                <w:lang w:eastAsia="en-AU"/>
              </w:rPr>
              <w:t>Government</w:t>
            </w:r>
          </w:p>
        </w:tc>
        <w:tc>
          <w:tcPr>
            <w:tcW w:w="1307" w:type="dxa"/>
            <w:tcBorders>
              <w:top w:val="nil"/>
              <w:left w:val="nil"/>
              <w:bottom w:val="nil"/>
              <w:right w:val="single" w:sz="4" w:space="0" w:color="auto"/>
            </w:tcBorders>
            <w:shd w:val="clear" w:color="000000" w:fill="D9D9D9"/>
            <w:noWrap/>
            <w:vAlign w:val="bottom"/>
            <w:hideMark/>
          </w:tcPr>
          <w:p w14:paraId="16BBD1A0" w14:textId="77777777" w:rsidR="00151CD0" w:rsidRPr="00151CD0" w:rsidRDefault="00151CD0" w:rsidP="00151CD0">
            <w:pPr>
              <w:keepNext/>
              <w:keepLines/>
              <w:spacing w:line="240" w:lineRule="auto"/>
              <w:rPr>
                <w:rFonts w:ascii="Calibri" w:eastAsia="Times New Roman" w:hAnsi="Calibri" w:cs="Calibri"/>
                <w:b/>
                <w:bCs/>
                <w:color w:val="000000"/>
                <w:sz w:val="20"/>
                <w:szCs w:val="20"/>
                <w:lang w:eastAsia="en-AU"/>
              </w:rPr>
            </w:pPr>
            <w:r w:rsidRPr="00151CD0">
              <w:rPr>
                <w:rFonts w:ascii="Calibri" w:eastAsia="Times New Roman" w:hAnsi="Calibri" w:cs="Calibri"/>
                <w:b/>
                <w:bCs/>
                <w:color w:val="000000"/>
                <w:sz w:val="20"/>
                <w:szCs w:val="20"/>
                <w:lang w:eastAsia="en-AU"/>
              </w:rPr>
              <w:t>Year 7-10</w:t>
            </w:r>
          </w:p>
        </w:tc>
        <w:tc>
          <w:tcPr>
            <w:tcW w:w="1062" w:type="dxa"/>
            <w:tcBorders>
              <w:top w:val="single" w:sz="4" w:space="0" w:color="auto"/>
              <w:left w:val="nil"/>
              <w:bottom w:val="single" w:sz="4" w:space="0" w:color="auto"/>
              <w:right w:val="single" w:sz="4" w:space="0" w:color="auto"/>
            </w:tcBorders>
            <w:shd w:val="clear" w:color="000000" w:fill="auto"/>
            <w:noWrap/>
            <w:vAlign w:val="bottom"/>
          </w:tcPr>
          <w:p w14:paraId="3E65B7D3" w14:textId="77777777" w:rsidR="00151CD0" w:rsidRPr="00151CD0" w:rsidRDefault="00151CD0" w:rsidP="00151CD0">
            <w:pPr>
              <w:keepNext/>
              <w:keepLines/>
              <w:spacing w:line="240" w:lineRule="auto"/>
              <w:ind w:right="227"/>
              <w:jc w:val="right"/>
              <w:rPr>
                <w:rFonts w:ascii="Calibri" w:eastAsia="Times New Roman" w:hAnsi="Calibri" w:cs="Calibri"/>
                <w:color w:val="000000"/>
                <w:sz w:val="20"/>
                <w:szCs w:val="20"/>
                <w:lang w:eastAsia="en-AU"/>
              </w:rPr>
            </w:pPr>
            <w:r w:rsidRPr="00151CD0">
              <w:rPr>
                <w:rFonts w:ascii="Calibri" w:eastAsia="Times New Roman" w:hAnsi="Calibri" w:cs="Calibri"/>
                <w:color w:val="000000"/>
                <w:sz w:val="20"/>
                <w:szCs w:val="20"/>
                <w:lang w:eastAsia="en-AU"/>
              </w:rPr>
              <w:t>97.3</w:t>
            </w:r>
          </w:p>
        </w:tc>
        <w:tc>
          <w:tcPr>
            <w:tcW w:w="977" w:type="dxa"/>
            <w:tcBorders>
              <w:top w:val="single" w:sz="4" w:space="0" w:color="auto"/>
              <w:left w:val="single" w:sz="4" w:space="0" w:color="auto"/>
              <w:bottom w:val="single" w:sz="4" w:space="0" w:color="auto"/>
              <w:right w:val="single" w:sz="4" w:space="0" w:color="auto"/>
            </w:tcBorders>
            <w:shd w:val="clear" w:color="000000" w:fill="auto"/>
            <w:noWrap/>
            <w:vAlign w:val="bottom"/>
          </w:tcPr>
          <w:p w14:paraId="5F49E52E" w14:textId="77777777" w:rsidR="00151CD0" w:rsidRPr="00151CD0" w:rsidRDefault="00151CD0" w:rsidP="00151CD0">
            <w:pPr>
              <w:keepNext/>
              <w:keepLines/>
              <w:spacing w:line="240" w:lineRule="auto"/>
              <w:ind w:right="227"/>
              <w:jc w:val="right"/>
              <w:rPr>
                <w:rFonts w:ascii="Calibri" w:eastAsia="Times New Roman" w:hAnsi="Calibri" w:cs="Calibri"/>
                <w:color w:val="000000"/>
                <w:sz w:val="20"/>
                <w:szCs w:val="20"/>
                <w:lang w:eastAsia="en-AU"/>
              </w:rPr>
            </w:pPr>
            <w:r w:rsidRPr="00151CD0">
              <w:rPr>
                <w:rFonts w:ascii="Calibri" w:eastAsia="Times New Roman" w:hAnsi="Calibri" w:cs="Calibri"/>
                <w:color w:val="000000"/>
                <w:sz w:val="20"/>
                <w:szCs w:val="20"/>
                <w:lang w:eastAsia="en-AU"/>
              </w:rPr>
              <w:t>99.4</w:t>
            </w:r>
          </w:p>
        </w:tc>
        <w:tc>
          <w:tcPr>
            <w:tcW w:w="978" w:type="dxa"/>
            <w:tcBorders>
              <w:top w:val="single" w:sz="4" w:space="0" w:color="auto"/>
              <w:left w:val="single" w:sz="4" w:space="0" w:color="auto"/>
              <w:bottom w:val="single" w:sz="4" w:space="0" w:color="auto"/>
              <w:right w:val="single" w:sz="4" w:space="0" w:color="auto"/>
            </w:tcBorders>
            <w:shd w:val="clear" w:color="000000" w:fill="auto"/>
            <w:noWrap/>
            <w:vAlign w:val="bottom"/>
          </w:tcPr>
          <w:p w14:paraId="30E9F326" w14:textId="77777777" w:rsidR="00151CD0" w:rsidRPr="00151CD0" w:rsidRDefault="00151CD0" w:rsidP="00151CD0">
            <w:pPr>
              <w:keepNext/>
              <w:keepLines/>
              <w:spacing w:line="240" w:lineRule="auto"/>
              <w:ind w:right="227"/>
              <w:jc w:val="right"/>
              <w:rPr>
                <w:rFonts w:ascii="Calibri" w:eastAsia="Times New Roman" w:hAnsi="Calibri" w:cs="Calibri"/>
                <w:color w:val="000000"/>
                <w:sz w:val="20"/>
                <w:szCs w:val="20"/>
                <w:lang w:eastAsia="en-AU"/>
              </w:rPr>
            </w:pPr>
            <w:r w:rsidRPr="00151CD0">
              <w:rPr>
                <w:rFonts w:ascii="Calibri" w:eastAsia="Times New Roman" w:hAnsi="Calibri" w:cs="Calibri"/>
                <w:color w:val="000000"/>
                <w:sz w:val="20"/>
                <w:szCs w:val="20"/>
                <w:lang w:eastAsia="en-AU"/>
              </w:rPr>
              <w:t>101.9</w:t>
            </w:r>
          </w:p>
        </w:tc>
        <w:tc>
          <w:tcPr>
            <w:tcW w:w="873" w:type="dxa"/>
            <w:tcBorders>
              <w:top w:val="single" w:sz="4" w:space="0" w:color="auto"/>
              <w:left w:val="single" w:sz="4" w:space="0" w:color="auto"/>
              <w:bottom w:val="single" w:sz="4" w:space="0" w:color="auto"/>
              <w:right w:val="single" w:sz="4" w:space="0" w:color="auto"/>
            </w:tcBorders>
            <w:shd w:val="clear" w:color="000000" w:fill="auto"/>
          </w:tcPr>
          <w:p w14:paraId="1A21BFB1" w14:textId="77777777" w:rsidR="00151CD0" w:rsidRPr="00151CD0" w:rsidRDefault="00151CD0" w:rsidP="00151CD0">
            <w:pPr>
              <w:keepNext/>
              <w:keepLines/>
              <w:spacing w:line="240" w:lineRule="auto"/>
              <w:ind w:right="227"/>
              <w:jc w:val="right"/>
              <w:rPr>
                <w:rFonts w:ascii="Calibri" w:eastAsia="Times New Roman" w:hAnsi="Calibri" w:cs="Calibri"/>
                <w:color w:val="000000"/>
                <w:sz w:val="20"/>
                <w:szCs w:val="20"/>
                <w:lang w:eastAsia="en-AU"/>
              </w:rPr>
            </w:pPr>
            <w:r w:rsidRPr="00151CD0">
              <w:rPr>
                <w:rFonts w:ascii="Calibri" w:eastAsia="Times New Roman" w:hAnsi="Calibri" w:cs="Calibri"/>
                <w:color w:val="000000"/>
                <w:sz w:val="20"/>
                <w:szCs w:val="20"/>
                <w:lang w:eastAsia="en-AU"/>
              </w:rPr>
              <w:t>101.9</w:t>
            </w:r>
          </w:p>
        </w:tc>
        <w:tc>
          <w:tcPr>
            <w:tcW w:w="873" w:type="dxa"/>
            <w:tcBorders>
              <w:top w:val="single" w:sz="4" w:space="0" w:color="auto"/>
              <w:left w:val="single" w:sz="4" w:space="0" w:color="auto"/>
              <w:bottom w:val="single" w:sz="4" w:space="0" w:color="auto"/>
              <w:right w:val="single" w:sz="4" w:space="0" w:color="auto"/>
            </w:tcBorders>
            <w:shd w:val="clear" w:color="auto" w:fill="auto"/>
          </w:tcPr>
          <w:p w14:paraId="1BC39656" w14:textId="77777777" w:rsidR="00151CD0" w:rsidRPr="00151CD0" w:rsidRDefault="00151CD0" w:rsidP="00151CD0">
            <w:pPr>
              <w:keepNext/>
              <w:keepLines/>
              <w:spacing w:line="240" w:lineRule="auto"/>
              <w:ind w:right="227"/>
              <w:jc w:val="right"/>
              <w:rPr>
                <w:rFonts w:ascii="Calibri" w:eastAsia="Times New Roman" w:hAnsi="Calibri" w:cs="Calibri"/>
                <w:color w:val="000000"/>
                <w:sz w:val="20"/>
                <w:szCs w:val="20"/>
                <w:lang w:eastAsia="en-AU"/>
              </w:rPr>
            </w:pPr>
            <w:r w:rsidRPr="00151CD0">
              <w:rPr>
                <w:rFonts w:ascii="Calibri" w:eastAsia="Times New Roman" w:hAnsi="Calibri" w:cs="Calibri"/>
                <w:color w:val="000000"/>
                <w:sz w:val="20"/>
                <w:szCs w:val="20"/>
                <w:lang w:eastAsia="en-AU"/>
              </w:rPr>
              <w:t>103.4</w:t>
            </w:r>
          </w:p>
        </w:tc>
      </w:tr>
      <w:tr w:rsidR="00151CD0" w:rsidRPr="00151CD0" w14:paraId="0B2A5107" w14:textId="77777777" w:rsidTr="00F81216">
        <w:trPr>
          <w:trHeight w:val="261"/>
        </w:trPr>
        <w:tc>
          <w:tcPr>
            <w:tcW w:w="1689" w:type="dxa"/>
            <w:tcBorders>
              <w:top w:val="nil"/>
              <w:left w:val="single" w:sz="8" w:space="0" w:color="auto"/>
              <w:bottom w:val="nil"/>
              <w:right w:val="nil"/>
            </w:tcBorders>
            <w:shd w:val="clear" w:color="000000" w:fill="D9D9D9"/>
            <w:noWrap/>
            <w:vAlign w:val="bottom"/>
            <w:hideMark/>
          </w:tcPr>
          <w:p w14:paraId="5CFAFD85" w14:textId="77777777" w:rsidR="00151CD0" w:rsidRPr="00151CD0" w:rsidRDefault="00151CD0" w:rsidP="00151CD0">
            <w:pPr>
              <w:keepNext/>
              <w:keepLines/>
              <w:spacing w:line="240" w:lineRule="auto"/>
              <w:rPr>
                <w:rFonts w:ascii="Calibri" w:eastAsia="Times New Roman" w:hAnsi="Calibri" w:cs="Calibri"/>
                <w:b/>
                <w:bCs/>
                <w:color w:val="000000"/>
                <w:sz w:val="20"/>
                <w:szCs w:val="20"/>
                <w:lang w:eastAsia="en-AU"/>
              </w:rPr>
            </w:pPr>
            <w:r w:rsidRPr="00151CD0">
              <w:rPr>
                <w:rFonts w:ascii="Calibri" w:eastAsia="Times New Roman" w:hAnsi="Calibri" w:cs="Calibri"/>
                <w:b/>
                <w:bCs/>
                <w:color w:val="000000"/>
                <w:sz w:val="20"/>
                <w:szCs w:val="20"/>
                <w:lang w:eastAsia="en-AU"/>
              </w:rPr>
              <w:t> </w:t>
            </w:r>
          </w:p>
        </w:tc>
        <w:tc>
          <w:tcPr>
            <w:tcW w:w="1757" w:type="dxa"/>
            <w:tcBorders>
              <w:top w:val="nil"/>
              <w:left w:val="nil"/>
              <w:bottom w:val="nil"/>
              <w:right w:val="nil"/>
            </w:tcBorders>
            <w:shd w:val="clear" w:color="000000" w:fill="D9D9D9"/>
            <w:noWrap/>
            <w:vAlign w:val="bottom"/>
            <w:hideMark/>
          </w:tcPr>
          <w:p w14:paraId="23DCD20D" w14:textId="77777777" w:rsidR="00151CD0" w:rsidRPr="00151CD0" w:rsidRDefault="00151CD0" w:rsidP="00151CD0">
            <w:pPr>
              <w:keepNext/>
              <w:keepLines/>
              <w:spacing w:line="240" w:lineRule="auto"/>
              <w:rPr>
                <w:rFonts w:ascii="Calibri" w:eastAsia="Times New Roman" w:hAnsi="Calibri" w:cs="Calibri"/>
                <w:b/>
                <w:bCs/>
                <w:color w:val="000000"/>
                <w:sz w:val="20"/>
                <w:szCs w:val="20"/>
                <w:lang w:eastAsia="en-AU"/>
              </w:rPr>
            </w:pPr>
            <w:r w:rsidRPr="00151CD0">
              <w:rPr>
                <w:rFonts w:ascii="Calibri" w:eastAsia="Times New Roman" w:hAnsi="Calibri" w:cs="Calibri"/>
                <w:b/>
                <w:bCs/>
                <w:color w:val="000000"/>
                <w:sz w:val="20"/>
                <w:szCs w:val="20"/>
                <w:lang w:eastAsia="en-AU"/>
              </w:rPr>
              <w:t> </w:t>
            </w:r>
          </w:p>
        </w:tc>
        <w:tc>
          <w:tcPr>
            <w:tcW w:w="1307" w:type="dxa"/>
            <w:tcBorders>
              <w:top w:val="nil"/>
              <w:left w:val="nil"/>
              <w:bottom w:val="single" w:sz="4" w:space="0" w:color="auto"/>
              <w:right w:val="single" w:sz="4" w:space="0" w:color="auto"/>
            </w:tcBorders>
            <w:shd w:val="clear" w:color="000000" w:fill="D9D9D9"/>
            <w:noWrap/>
            <w:vAlign w:val="bottom"/>
            <w:hideMark/>
          </w:tcPr>
          <w:p w14:paraId="6973046D" w14:textId="77777777" w:rsidR="00151CD0" w:rsidRPr="00151CD0" w:rsidRDefault="00151CD0" w:rsidP="00151CD0">
            <w:pPr>
              <w:keepNext/>
              <w:keepLines/>
              <w:spacing w:line="240" w:lineRule="auto"/>
              <w:rPr>
                <w:rFonts w:ascii="Calibri" w:eastAsia="Times New Roman" w:hAnsi="Calibri" w:cs="Calibri"/>
                <w:b/>
                <w:bCs/>
                <w:color w:val="000000"/>
                <w:sz w:val="20"/>
                <w:szCs w:val="20"/>
                <w:lang w:eastAsia="en-AU"/>
              </w:rPr>
            </w:pPr>
            <w:r w:rsidRPr="00151CD0">
              <w:rPr>
                <w:rFonts w:ascii="Calibri" w:eastAsia="Times New Roman" w:hAnsi="Calibri" w:cs="Calibri"/>
                <w:b/>
                <w:bCs/>
                <w:color w:val="000000"/>
                <w:sz w:val="20"/>
                <w:szCs w:val="20"/>
                <w:lang w:eastAsia="en-AU"/>
              </w:rPr>
              <w:t>Year 7-12</w:t>
            </w:r>
          </w:p>
        </w:tc>
        <w:tc>
          <w:tcPr>
            <w:tcW w:w="1062" w:type="dxa"/>
            <w:tcBorders>
              <w:top w:val="single" w:sz="4" w:space="0" w:color="auto"/>
              <w:left w:val="nil"/>
              <w:bottom w:val="single" w:sz="4" w:space="0" w:color="auto"/>
              <w:right w:val="single" w:sz="4" w:space="0" w:color="auto"/>
            </w:tcBorders>
            <w:shd w:val="clear" w:color="000000" w:fill="auto"/>
            <w:noWrap/>
            <w:vAlign w:val="bottom"/>
          </w:tcPr>
          <w:p w14:paraId="7C7DC347" w14:textId="77777777" w:rsidR="00151CD0" w:rsidRPr="00151CD0" w:rsidRDefault="00151CD0" w:rsidP="00151CD0">
            <w:pPr>
              <w:keepNext/>
              <w:keepLines/>
              <w:spacing w:line="240" w:lineRule="auto"/>
              <w:ind w:right="227"/>
              <w:jc w:val="right"/>
              <w:rPr>
                <w:rFonts w:ascii="Calibri" w:eastAsia="Times New Roman" w:hAnsi="Calibri" w:cs="Calibri"/>
                <w:color w:val="000000"/>
                <w:sz w:val="20"/>
                <w:szCs w:val="20"/>
                <w:lang w:eastAsia="en-AU"/>
              </w:rPr>
            </w:pPr>
            <w:r w:rsidRPr="00151CD0">
              <w:rPr>
                <w:rFonts w:ascii="Calibri" w:eastAsia="Times New Roman" w:hAnsi="Calibri" w:cs="Calibri"/>
                <w:color w:val="000000"/>
                <w:sz w:val="20"/>
                <w:szCs w:val="20"/>
                <w:lang w:eastAsia="en-AU"/>
              </w:rPr>
              <w:t>71.9</w:t>
            </w:r>
          </w:p>
        </w:tc>
        <w:tc>
          <w:tcPr>
            <w:tcW w:w="977" w:type="dxa"/>
            <w:tcBorders>
              <w:top w:val="single" w:sz="4" w:space="0" w:color="auto"/>
              <w:left w:val="single" w:sz="4" w:space="0" w:color="auto"/>
              <w:bottom w:val="single" w:sz="4" w:space="0" w:color="auto"/>
              <w:right w:val="single" w:sz="4" w:space="0" w:color="auto"/>
            </w:tcBorders>
            <w:shd w:val="clear" w:color="000000" w:fill="auto"/>
            <w:noWrap/>
            <w:vAlign w:val="bottom"/>
          </w:tcPr>
          <w:p w14:paraId="7FB97A64" w14:textId="77777777" w:rsidR="00151CD0" w:rsidRPr="00151CD0" w:rsidRDefault="00151CD0" w:rsidP="00151CD0">
            <w:pPr>
              <w:keepNext/>
              <w:keepLines/>
              <w:spacing w:line="240" w:lineRule="auto"/>
              <w:ind w:right="227"/>
              <w:jc w:val="right"/>
              <w:rPr>
                <w:rFonts w:ascii="Calibri" w:eastAsia="Times New Roman" w:hAnsi="Calibri" w:cs="Calibri"/>
                <w:color w:val="000000"/>
                <w:sz w:val="20"/>
                <w:szCs w:val="20"/>
                <w:lang w:eastAsia="en-AU"/>
              </w:rPr>
            </w:pPr>
            <w:r w:rsidRPr="00151CD0">
              <w:rPr>
                <w:rFonts w:ascii="Calibri" w:eastAsia="Times New Roman" w:hAnsi="Calibri" w:cs="Calibri"/>
                <w:color w:val="000000"/>
                <w:sz w:val="20"/>
                <w:szCs w:val="20"/>
                <w:lang w:eastAsia="en-AU"/>
              </w:rPr>
              <w:t>73.2</w:t>
            </w:r>
          </w:p>
        </w:tc>
        <w:tc>
          <w:tcPr>
            <w:tcW w:w="978" w:type="dxa"/>
            <w:tcBorders>
              <w:top w:val="single" w:sz="4" w:space="0" w:color="auto"/>
              <w:left w:val="single" w:sz="4" w:space="0" w:color="auto"/>
              <w:bottom w:val="single" w:sz="4" w:space="0" w:color="auto"/>
              <w:right w:val="single" w:sz="4" w:space="0" w:color="auto"/>
            </w:tcBorders>
            <w:shd w:val="clear" w:color="000000" w:fill="auto"/>
            <w:noWrap/>
            <w:vAlign w:val="bottom"/>
          </w:tcPr>
          <w:p w14:paraId="09995B6C" w14:textId="77777777" w:rsidR="00151CD0" w:rsidRPr="00151CD0" w:rsidRDefault="00151CD0" w:rsidP="00151CD0">
            <w:pPr>
              <w:keepNext/>
              <w:keepLines/>
              <w:spacing w:line="240" w:lineRule="auto"/>
              <w:ind w:right="227"/>
              <w:jc w:val="right"/>
              <w:rPr>
                <w:rFonts w:ascii="Calibri" w:eastAsia="Times New Roman" w:hAnsi="Calibri" w:cs="Calibri"/>
                <w:color w:val="000000"/>
                <w:sz w:val="20"/>
                <w:szCs w:val="20"/>
                <w:lang w:eastAsia="en-AU"/>
              </w:rPr>
            </w:pPr>
            <w:r w:rsidRPr="00151CD0">
              <w:rPr>
                <w:rFonts w:ascii="Calibri" w:eastAsia="Times New Roman" w:hAnsi="Calibri" w:cs="Calibri"/>
                <w:color w:val="000000"/>
                <w:sz w:val="20"/>
                <w:szCs w:val="20"/>
                <w:lang w:eastAsia="en-AU"/>
              </w:rPr>
              <w:t>74.7</w:t>
            </w:r>
          </w:p>
        </w:tc>
        <w:tc>
          <w:tcPr>
            <w:tcW w:w="873" w:type="dxa"/>
            <w:tcBorders>
              <w:top w:val="single" w:sz="4" w:space="0" w:color="auto"/>
              <w:left w:val="single" w:sz="4" w:space="0" w:color="auto"/>
              <w:bottom w:val="single" w:sz="4" w:space="0" w:color="auto"/>
              <w:right w:val="single" w:sz="4" w:space="0" w:color="auto"/>
            </w:tcBorders>
            <w:shd w:val="clear" w:color="000000" w:fill="auto"/>
          </w:tcPr>
          <w:p w14:paraId="5B54F2E8" w14:textId="77777777" w:rsidR="00151CD0" w:rsidRPr="00151CD0" w:rsidRDefault="00151CD0" w:rsidP="00151CD0">
            <w:pPr>
              <w:keepNext/>
              <w:keepLines/>
              <w:spacing w:line="240" w:lineRule="auto"/>
              <w:ind w:right="227"/>
              <w:jc w:val="right"/>
              <w:rPr>
                <w:rFonts w:ascii="Calibri" w:eastAsia="Times New Roman" w:hAnsi="Calibri" w:cs="Calibri"/>
                <w:color w:val="000000"/>
                <w:sz w:val="20"/>
                <w:szCs w:val="20"/>
                <w:lang w:eastAsia="en-AU"/>
              </w:rPr>
            </w:pPr>
            <w:r w:rsidRPr="00151CD0">
              <w:rPr>
                <w:rFonts w:ascii="Calibri" w:eastAsia="Times New Roman" w:hAnsi="Calibri" w:cs="Calibri"/>
                <w:color w:val="000000"/>
                <w:sz w:val="20"/>
                <w:szCs w:val="20"/>
                <w:lang w:eastAsia="en-AU"/>
              </w:rPr>
              <w:t>76.6</w:t>
            </w:r>
          </w:p>
        </w:tc>
        <w:tc>
          <w:tcPr>
            <w:tcW w:w="873" w:type="dxa"/>
            <w:tcBorders>
              <w:top w:val="single" w:sz="4" w:space="0" w:color="auto"/>
              <w:left w:val="single" w:sz="4" w:space="0" w:color="auto"/>
              <w:bottom w:val="single" w:sz="4" w:space="0" w:color="auto"/>
              <w:right w:val="single" w:sz="4" w:space="0" w:color="auto"/>
            </w:tcBorders>
            <w:shd w:val="clear" w:color="auto" w:fill="auto"/>
          </w:tcPr>
          <w:p w14:paraId="64F7A2B8" w14:textId="77777777" w:rsidR="00151CD0" w:rsidRPr="00151CD0" w:rsidRDefault="00151CD0" w:rsidP="00151CD0">
            <w:pPr>
              <w:keepNext/>
              <w:keepLines/>
              <w:spacing w:line="240" w:lineRule="auto"/>
              <w:ind w:right="227"/>
              <w:jc w:val="right"/>
              <w:rPr>
                <w:rFonts w:ascii="Calibri" w:eastAsia="Times New Roman" w:hAnsi="Calibri" w:cs="Calibri"/>
                <w:color w:val="000000"/>
                <w:sz w:val="20"/>
                <w:szCs w:val="20"/>
                <w:lang w:eastAsia="en-AU"/>
              </w:rPr>
            </w:pPr>
            <w:r w:rsidRPr="00151CD0">
              <w:rPr>
                <w:rFonts w:ascii="Calibri" w:eastAsia="Times New Roman" w:hAnsi="Calibri" w:cs="Calibri"/>
                <w:color w:val="000000"/>
                <w:sz w:val="20"/>
                <w:szCs w:val="20"/>
                <w:lang w:eastAsia="en-AU"/>
              </w:rPr>
              <w:t>77.2</w:t>
            </w:r>
          </w:p>
        </w:tc>
      </w:tr>
      <w:tr w:rsidR="00151CD0" w:rsidRPr="00151CD0" w14:paraId="0F10B9E4" w14:textId="77777777" w:rsidTr="00F81216">
        <w:trPr>
          <w:trHeight w:val="261"/>
        </w:trPr>
        <w:tc>
          <w:tcPr>
            <w:tcW w:w="1689" w:type="dxa"/>
            <w:tcBorders>
              <w:top w:val="nil"/>
              <w:left w:val="single" w:sz="8" w:space="0" w:color="auto"/>
              <w:bottom w:val="nil"/>
              <w:right w:val="nil"/>
            </w:tcBorders>
            <w:shd w:val="clear" w:color="000000" w:fill="D9D9D9"/>
            <w:noWrap/>
            <w:vAlign w:val="bottom"/>
            <w:hideMark/>
          </w:tcPr>
          <w:p w14:paraId="71732765" w14:textId="77777777" w:rsidR="00151CD0" w:rsidRPr="00151CD0" w:rsidRDefault="00151CD0" w:rsidP="00151CD0">
            <w:pPr>
              <w:keepNext/>
              <w:keepLines/>
              <w:spacing w:line="240" w:lineRule="auto"/>
              <w:rPr>
                <w:rFonts w:ascii="Calibri" w:eastAsia="Times New Roman" w:hAnsi="Calibri" w:cs="Calibri"/>
                <w:color w:val="000000"/>
                <w:sz w:val="20"/>
                <w:szCs w:val="20"/>
                <w:lang w:eastAsia="en-AU"/>
              </w:rPr>
            </w:pPr>
            <w:r w:rsidRPr="00151CD0">
              <w:rPr>
                <w:rFonts w:ascii="Calibri" w:eastAsia="Times New Roman" w:hAnsi="Calibri" w:cs="Calibri"/>
                <w:color w:val="000000"/>
                <w:sz w:val="20"/>
                <w:szCs w:val="20"/>
                <w:lang w:eastAsia="en-AU"/>
              </w:rPr>
              <w:t> </w:t>
            </w:r>
          </w:p>
        </w:tc>
        <w:tc>
          <w:tcPr>
            <w:tcW w:w="1757" w:type="dxa"/>
            <w:tcBorders>
              <w:top w:val="nil"/>
              <w:left w:val="nil"/>
              <w:bottom w:val="nil"/>
              <w:right w:val="nil"/>
            </w:tcBorders>
            <w:shd w:val="clear" w:color="000000" w:fill="D9D9D9"/>
            <w:noWrap/>
            <w:vAlign w:val="bottom"/>
            <w:hideMark/>
          </w:tcPr>
          <w:p w14:paraId="69BB542F" w14:textId="77777777" w:rsidR="00151CD0" w:rsidRPr="00151CD0" w:rsidRDefault="00151CD0" w:rsidP="00151CD0">
            <w:pPr>
              <w:keepNext/>
              <w:keepLines/>
              <w:spacing w:line="240" w:lineRule="auto"/>
              <w:rPr>
                <w:rFonts w:ascii="Calibri" w:eastAsia="Times New Roman" w:hAnsi="Calibri" w:cs="Calibri"/>
                <w:b/>
                <w:bCs/>
                <w:color w:val="000000"/>
                <w:sz w:val="20"/>
                <w:szCs w:val="20"/>
                <w:lang w:eastAsia="en-AU"/>
              </w:rPr>
            </w:pPr>
            <w:r w:rsidRPr="00151CD0">
              <w:rPr>
                <w:rFonts w:ascii="Calibri" w:eastAsia="Times New Roman" w:hAnsi="Calibri" w:cs="Calibri"/>
                <w:b/>
                <w:bCs/>
                <w:color w:val="000000"/>
                <w:sz w:val="20"/>
                <w:szCs w:val="20"/>
                <w:lang w:eastAsia="en-AU"/>
              </w:rPr>
              <w:t>Non-Government</w:t>
            </w:r>
          </w:p>
        </w:tc>
        <w:tc>
          <w:tcPr>
            <w:tcW w:w="1307" w:type="dxa"/>
            <w:tcBorders>
              <w:top w:val="nil"/>
              <w:left w:val="nil"/>
              <w:bottom w:val="nil"/>
              <w:right w:val="single" w:sz="4" w:space="0" w:color="auto"/>
            </w:tcBorders>
            <w:shd w:val="clear" w:color="000000" w:fill="D9D9D9"/>
            <w:noWrap/>
            <w:vAlign w:val="bottom"/>
            <w:hideMark/>
          </w:tcPr>
          <w:p w14:paraId="52999113" w14:textId="77777777" w:rsidR="00151CD0" w:rsidRPr="00151CD0" w:rsidRDefault="00151CD0" w:rsidP="00151CD0">
            <w:pPr>
              <w:keepNext/>
              <w:keepLines/>
              <w:spacing w:line="240" w:lineRule="auto"/>
              <w:rPr>
                <w:rFonts w:ascii="Calibri" w:eastAsia="Times New Roman" w:hAnsi="Calibri" w:cs="Calibri"/>
                <w:b/>
                <w:bCs/>
                <w:color w:val="000000"/>
                <w:sz w:val="20"/>
                <w:szCs w:val="20"/>
                <w:lang w:eastAsia="en-AU"/>
              </w:rPr>
            </w:pPr>
            <w:r w:rsidRPr="00151CD0">
              <w:rPr>
                <w:rFonts w:ascii="Calibri" w:eastAsia="Times New Roman" w:hAnsi="Calibri" w:cs="Calibri"/>
                <w:b/>
                <w:bCs/>
                <w:color w:val="000000"/>
                <w:sz w:val="20"/>
                <w:szCs w:val="20"/>
                <w:lang w:eastAsia="en-AU"/>
              </w:rPr>
              <w:t>Year 7-10</w:t>
            </w:r>
          </w:p>
        </w:tc>
        <w:tc>
          <w:tcPr>
            <w:tcW w:w="1062" w:type="dxa"/>
            <w:tcBorders>
              <w:top w:val="single" w:sz="4" w:space="0" w:color="auto"/>
              <w:left w:val="nil"/>
              <w:bottom w:val="single" w:sz="4" w:space="0" w:color="auto"/>
              <w:right w:val="single" w:sz="4" w:space="0" w:color="auto"/>
            </w:tcBorders>
            <w:shd w:val="clear" w:color="000000" w:fill="auto"/>
            <w:noWrap/>
            <w:vAlign w:val="bottom"/>
          </w:tcPr>
          <w:p w14:paraId="685F655C" w14:textId="77777777" w:rsidR="00151CD0" w:rsidRPr="00151CD0" w:rsidRDefault="00151CD0" w:rsidP="00151CD0">
            <w:pPr>
              <w:keepNext/>
              <w:keepLines/>
              <w:spacing w:line="240" w:lineRule="auto"/>
              <w:ind w:right="227"/>
              <w:jc w:val="right"/>
              <w:rPr>
                <w:rFonts w:ascii="Calibri" w:eastAsia="Times New Roman" w:hAnsi="Calibri" w:cs="Calibri"/>
                <w:color w:val="000000"/>
                <w:sz w:val="20"/>
                <w:szCs w:val="20"/>
                <w:lang w:eastAsia="en-AU"/>
              </w:rPr>
            </w:pPr>
            <w:r w:rsidRPr="00151CD0">
              <w:rPr>
                <w:rFonts w:ascii="Calibri" w:eastAsia="Times New Roman" w:hAnsi="Calibri" w:cs="Calibri"/>
                <w:color w:val="000000"/>
                <w:sz w:val="20"/>
                <w:szCs w:val="20"/>
                <w:lang w:eastAsia="en-AU"/>
              </w:rPr>
              <w:t>101</w:t>
            </w:r>
          </w:p>
        </w:tc>
        <w:tc>
          <w:tcPr>
            <w:tcW w:w="977" w:type="dxa"/>
            <w:tcBorders>
              <w:top w:val="single" w:sz="4" w:space="0" w:color="auto"/>
              <w:left w:val="single" w:sz="4" w:space="0" w:color="auto"/>
              <w:bottom w:val="single" w:sz="4" w:space="0" w:color="auto"/>
              <w:right w:val="single" w:sz="4" w:space="0" w:color="auto"/>
            </w:tcBorders>
            <w:shd w:val="clear" w:color="000000" w:fill="auto"/>
            <w:noWrap/>
            <w:vAlign w:val="bottom"/>
          </w:tcPr>
          <w:p w14:paraId="2EC063FF" w14:textId="77777777" w:rsidR="00151CD0" w:rsidRPr="00151CD0" w:rsidRDefault="00151CD0" w:rsidP="00151CD0">
            <w:pPr>
              <w:keepNext/>
              <w:keepLines/>
              <w:spacing w:line="240" w:lineRule="auto"/>
              <w:ind w:right="227"/>
              <w:jc w:val="right"/>
              <w:rPr>
                <w:rFonts w:ascii="Calibri" w:eastAsia="Times New Roman" w:hAnsi="Calibri" w:cs="Calibri"/>
                <w:color w:val="000000"/>
                <w:sz w:val="20"/>
                <w:szCs w:val="20"/>
                <w:lang w:eastAsia="en-AU"/>
              </w:rPr>
            </w:pPr>
            <w:r w:rsidRPr="00151CD0">
              <w:rPr>
                <w:rFonts w:ascii="Calibri" w:eastAsia="Times New Roman" w:hAnsi="Calibri" w:cs="Calibri"/>
                <w:color w:val="000000"/>
                <w:sz w:val="20"/>
                <w:szCs w:val="20"/>
                <w:lang w:eastAsia="en-AU"/>
              </w:rPr>
              <w:t>100.9</w:t>
            </w:r>
          </w:p>
        </w:tc>
        <w:tc>
          <w:tcPr>
            <w:tcW w:w="978" w:type="dxa"/>
            <w:tcBorders>
              <w:top w:val="single" w:sz="4" w:space="0" w:color="auto"/>
              <w:left w:val="single" w:sz="4" w:space="0" w:color="auto"/>
              <w:bottom w:val="single" w:sz="4" w:space="0" w:color="auto"/>
              <w:right w:val="single" w:sz="4" w:space="0" w:color="auto"/>
            </w:tcBorders>
            <w:shd w:val="clear" w:color="000000" w:fill="auto"/>
            <w:noWrap/>
            <w:vAlign w:val="bottom"/>
          </w:tcPr>
          <w:p w14:paraId="25C904DB" w14:textId="77777777" w:rsidR="00151CD0" w:rsidRPr="00151CD0" w:rsidRDefault="00151CD0" w:rsidP="00151CD0">
            <w:pPr>
              <w:keepNext/>
              <w:keepLines/>
              <w:spacing w:line="240" w:lineRule="auto"/>
              <w:ind w:right="227"/>
              <w:jc w:val="right"/>
              <w:rPr>
                <w:rFonts w:ascii="Calibri" w:eastAsia="Times New Roman" w:hAnsi="Calibri" w:cs="Calibri"/>
                <w:color w:val="000000"/>
                <w:sz w:val="20"/>
                <w:szCs w:val="20"/>
                <w:lang w:eastAsia="en-AU"/>
              </w:rPr>
            </w:pPr>
            <w:r w:rsidRPr="00151CD0">
              <w:rPr>
                <w:rFonts w:ascii="Calibri" w:eastAsia="Times New Roman" w:hAnsi="Calibri" w:cs="Calibri"/>
                <w:color w:val="000000"/>
                <w:sz w:val="20"/>
                <w:szCs w:val="20"/>
                <w:lang w:eastAsia="en-AU"/>
              </w:rPr>
              <w:t>100.2</w:t>
            </w:r>
          </w:p>
        </w:tc>
        <w:tc>
          <w:tcPr>
            <w:tcW w:w="873" w:type="dxa"/>
            <w:tcBorders>
              <w:top w:val="single" w:sz="4" w:space="0" w:color="auto"/>
              <w:left w:val="single" w:sz="4" w:space="0" w:color="auto"/>
              <w:bottom w:val="single" w:sz="4" w:space="0" w:color="auto"/>
              <w:right w:val="single" w:sz="4" w:space="0" w:color="auto"/>
            </w:tcBorders>
            <w:shd w:val="clear" w:color="000000" w:fill="auto"/>
          </w:tcPr>
          <w:p w14:paraId="2BCC0985" w14:textId="77777777" w:rsidR="00151CD0" w:rsidRPr="00151CD0" w:rsidRDefault="00151CD0" w:rsidP="00151CD0">
            <w:pPr>
              <w:keepNext/>
              <w:keepLines/>
              <w:spacing w:line="240" w:lineRule="auto"/>
              <w:ind w:right="227"/>
              <w:jc w:val="right"/>
              <w:rPr>
                <w:rFonts w:ascii="Calibri" w:eastAsia="Times New Roman" w:hAnsi="Calibri" w:cs="Calibri"/>
                <w:color w:val="000000"/>
                <w:sz w:val="20"/>
                <w:szCs w:val="20"/>
                <w:lang w:eastAsia="en-AU"/>
              </w:rPr>
            </w:pPr>
            <w:r w:rsidRPr="00151CD0">
              <w:rPr>
                <w:rFonts w:ascii="Calibri" w:eastAsia="Times New Roman" w:hAnsi="Calibri" w:cs="Calibri"/>
                <w:color w:val="000000"/>
                <w:sz w:val="20"/>
                <w:szCs w:val="20"/>
                <w:lang w:eastAsia="en-AU"/>
              </w:rPr>
              <w:t>99.1</w:t>
            </w:r>
          </w:p>
        </w:tc>
        <w:tc>
          <w:tcPr>
            <w:tcW w:w="873" w:type="dxa"/>
            <w:tcBorders>
              <w:top w:val="single" w:sz="4" w:space="0" w:color="auto"/>
              <w:left w:val="single" w:sz="4" w:space="0" w:color="auto"/>
              <w:bottom w:val="single" w:sz="4" w:space="0" w:color="auto"/>
              <w:right w:val="single" w:sz="4" w:space="0" w:color="auto"/>
            </w:tcBorders>
            <w:shd w:val="clear" w:color="auto" w:fill="auto"/>
          </w:tcPr>
          <w:p w14:paraId="4D96037D" w14:textId="77777777" w:rsidR="00151CD0" w:rsidRPr="00151CD0" w:rsidRDefault="00151CD0" w:rsidP="00151CD0">
            <w:pPr>
              <w:keepNext/>
              <w:keepLines/>
              <w:spacing w:line="240" w:lineRule="auto"/>
              <w:ind w:right="227"/>
              <w:jc w:val="right"/>
              <w:rPr>
                <w:rFonts w:ascii="Calibri" w:eastAsia="Times New Roman" w:hAnsi="Calibri" w:cs="Calibri"/>
                <w:color w:val="000000"/>
                <w:sz w:val="20"/>
                <w:szCs w:val="20"/>
                <w:lang w:eastAsia="en-AU"/>
              </w:rPr>
            </w:pPr>
            <w:r w:rsidRPr="00151CD0">
              <w:rPr>
                <w:rFonts w:ascii="Calibri" w:eastAsia="Times New Roman" w:hAnsi="Calibri" w:cs="Calibri"/>
                <w:color w:val="000000"/>
                <w:sz w:val="20"/>
                <w:szCs w:val="20"/>
                <w:lang w:eastAsia="en-AU"/>
              </w:rPr>
              <w:t>98.4</w:t>
            </w:r>
          </w:p>
        </w:tc>
      </w:tr>
      <w:tr w:rsidR="00151CD0" w:rsidRPr="00151CD0" w14:paraId="3341EF18" w14:textId="77777777" w:rsidTr="00F81216">
        <w:trPr>
          <w:trHeight w:val="261"/>
        </w:trPr>
        <w:tc>
          <w:tcPr>
            <w:tcW w:w="1689" w:type="dxa"/>
            <w:tcBorders>
              <w:top w:val="nil"/>
              <w:left w:val="single" w:sz="8" w:space="0" w:color="auto"/>
              <w:bottom w:val="single" w:sz="4" w:space="0" w:color="auto"/>
              <w:right w:val="nil"/>
            </w:tcBorders>
            <w:shd w:val="clear" w:color="000000" w:fill="D9D9D9"/>
            <w:noWrap/>
            <w:vAlign w:val="bottom"/>
            <w:hideMark/>
          </w:tcPr>
          <w:p w14:paraId="0FB80D63" w14:textId="77777777" w:rsidR="00151CD0" w:rsidRPr="00151CD0" w:rsidRDefault="00151CD0" w:rsidP="00151CD0">
            <w:pPr>
              <w:keepNext/>
              <w:keepLines/>
              <w:spacing w:line="240" w:lineRule="auto"/>
              <w:rPr>
                <w:rFonts w:ascii="Calibri" w:eastAsia="Times New Roman" w:hAnsi="Calibri" w:cs="Calibri"/>
                <w:color w:val="000000"/>
                <w:sz w:val="20"/>
                <w:szCs w:val="20"/>
                <w:lang w:eastAsia="en-AU"/>
              </w:rPr>
            </w:pPr>
            <w:r w:rsidRPr="00151CD0">
              <w:rPr>
                <w:rFonts w:ascii="Calibri" w:eastAsia="Times New Roman" w:hAnsi="Calibri" w:cs="Calibri"/>
                <w:color w:val="000000"/>
                <w:sz w:val="20"/>
                <w:szCs w:val="20"/>
                <w:lang w:eastAsia="en-AU"/>
              </w:rPr>
              <w:t> </w:t>
            </w:r>
          </w:p>
        </w:tc>
        <w:tc>
          <w:tcPr>
            <w:tcW w:w="1757" w:type="dxa"/>
            <w:tcBorders>
              <w:top w:val="nil"/>
              <w:left w:val="nil"/>
              <w:bottom w:val="single" w:sz="4" w:space="0" w:color="auto"/>
              <w:right w:val="nil"/>
            </w:tcBorders>
            <w:shd w:val="clear" w:color="000000" w:fill="D9D9D9"/>
            <w:noWrap/>
            <w:vAlign w:val="bottom"/>
            <w:hideMark/>
          </w:tcPr>
          <w:p w14:paraId="22E6533A" w14:textId="77777777" w:rsidR="00151CD0" w:rsidRPr="00151CD0" w:rsidRDefault="00151CD0" w:rsidP="00151CD0">
            <w:pPr>
              <w:keepNext/>
              <w:keepLines/>
              <w:spacing w:line="240" w:lineRule="auto"/>
              <w:rPr>
                <w:rFonts w:ascii="Calibri" w:eastAsia="Times New Roman" w:hAnsi="Calibri" w:cs="Calibri"/>
                <w:b/>
                <w:bCs/>
                <w:color w:val="000000"/>
                <w:sz w:val="20"/>
                <w:szCs w:val="20"/>
                <w:lang w:eastAsia="en-AU"/>
              </w:rPr>
            </w:pPr>
            <w:r w:rsidRPr="00151CD0">
              <w:rPr>
                <w:rFonts w:ascii="Calibri" w:eastAsia="Times New Roman" w:hAnsi="Calibri" w:cs="Calibri"/>
                <w:b/>
                <w:bCs/>
                <w:color w:val="000000"/>
                <w:sz w:val="20"/>
                <w:szCs w:val="20"/>
                <w:lang w:eastAsia="en-AU"/>
              </w:rPr>
              <w:t> </w:t>
            </w:r>
          </w:p>
        </w:tc>
        <w:tc>
          <w:tcPr>
            <w:tcW w:w="1307" w:type="dxa"/>
            <w:tcBorders>
              <w:top w:val="nil"/>
              <w:left w:val="nil"/>
              <w:bottom w:val="single" w:sz="4" w:space="0" w:color="auto"/>
              <w:right w:val="single" w:sz="4" w:space="0" w:color="auto"/>
            </w:tcBorders>
            <w:shd w:val="clear" w:color="000000" w:fill="D9D9D9"/>
            <w:noWrap/>
            <w:vAlign w:val="bottom"/>
            <w:hideMark/>
          </w:tcPr>
          <w:p w14:paraId="79139DC0" w14:textId="77777777" w:rsidR="00151CD0" w:rsidRPr="00151CD0" w:rsidRDefault="00151CD0" w:rsidP="00151CD0">
            <w:pPr>
              <w:keepNext/>
              <w:keepLines/>
              <w:spacing w:line="240" w:lineRule="auto"/>
              <w:rPr>
                <w:rFonts w:ascii="Calibri" w:eastAsia="Times New Roman" w:hAnsi="Calibri" w:cs="Calibri"/>
                <w:b/>
                <w:bCs/>
                <w:color w:val="000000"/>
                <w:sz w:val="20"/>
                <w:szCs w:val="20"/>
                <w:lang w:eastAsia="en-AU"/>
              </w:rPr>
            </w:pPr>
            <w:r w:rsidRPr="00151CD0">
              <w:rPr>
                <w:rFonts w:ascii="Calibri" w:eastAsia="Times New Roman" w:hAnsi="Calibri" w:cs="Calibri"/>
                <w:b/>
                <w:bCs/>
                <w:color w:val="000000"/>
                <w:sz w:val="20"/>
                <w:szCs w:val="20"/>
                <w:lang w:eastAsia="en-AU"/>
              </w:rPr>
              <w:t>Year 7-12</w:t>
            </w:r>
          </w:p>
        </w:tc>
        <w:tc>
          <w:tcPr>
            <w:tcW w:w="1062" w:type="dxa"/>
            <w:tcBorders>
              <w:top w:val="single" w:sz="4" w:space="0" w:color="auto"/>
              <w:left w:val="nil"/>
              <w:bottom w:val="single" w:sz="4" w:space="0" w:color="auto"/>
              <w:right w:val="single" w:sz="4" w:space="0" w:color="auto"/>
            </w:tcBorders>
            <w:shd w:val="clear" w:color="000000" w:fill="auto"/>
            <w:noWrap/>
            <w:vAlign w:val="bottom"/>
          </w:tcPr>
          <w:p w14:paraId="0097CC1C" w14:textId="77777777" w:rsidR="00151CD0" w:rsidRPr="00151CD0" w:rsidRDefault="00151CD0" w:rsidP="00151CD0">
            <w:pPr>
              <w:keepNext/>
              <w:keepLines/>
              <w:spacing w:line="240" w:lineRule="auto"/>
              <w:ind w:right="227"/>
              <w:jc w:val="right"/>
              <w:rPr>
                <w:rFonts w:ascii="Calibri" w:eastAsia="Times New Roman" w:hAnsi="Calibri" w:cs="Calibri"/>
                <w:color w:val="000000"/>
                <w:sz w:val="20"/>
                <w:szCs w:val="20"/>
                <w:lang w:eastAsia="en-AU"/>
              </w:rPr>
            </w:pPr>
            <w:r w:rsidRPr="00151CD0">
              <w:rPr>
                <w:rFonts w:ascii="Calibri" w:eastAsia="Times New Roman" w:hAnsi="Calibri" w:cs="Calibri"/>
                <w:color w:val="000000"/>
                <w:sz w:val="20"/>
                <w:szCs w:val="20"/>
                <w:lang w:eastAsia="en-AU"/>
              </w:rPr>
              <w:t>90.9</w:t>
            </w:r>
          </w:p>
        </w:tc>
        <w:tc>
          <w:tcPr>
            <w:tcW w:w="977" w:type="dxa"/>
            <w:tcBorders>
              <w:top w:val="single" w:sz="4" w:space="0" w:color="auto"/>
              <w:left w:val="single" w:sz="4" w:space="0" w:color="auto"/>
              <w:bottom w:val="single" w:sz="4" w:space="0" w:color="auto"/>
              <w:right w:val="single" w:sz="4" w:space="0" w:color="auto"/>
            </w:tcBorders>
            <w:shd w:val="clear" w:color="000000" w:fill="auto"/>
            <w:noWrap/>
            <w:vAlign w:val="bottom"/>
          </w:tcPr>
          <w:p w14:paraId="5A7DFD4D" w14:textId="77777777" w:rsidR="00151CD0" w:rsidRPr="00151CD0" w:rsidRDefault="00151CD0" w:rsidP="00151CD0">
            <w:pPr>
              <w:keepNext/>
              <w:keepLines/>
              <w:spacing w:line="240" w:lineRule="auto"/>
              <w:ind w:right="227"/>
              <w:jc w:val="right"/>
              <w:rPr>
                <w:rFonts w:ascii="Calibri" w:eastAsia="Times New Roman" w:hAnsi="Calibri" w:cs="Calibri"/>
                <w:color w:val="000000"/>
                <w:sz w:val="20"/>
                <w:szCs w:val="20"/>
                <w:lang w:eastAsia="en-AU"/>
              </w:rPr>
            </w:pPr>
            <w:r w:rsidRPr="00151CD0">
              <w:rPr>
                <w:rFonts w:ascii="Calibri" w:eastAsia="Times New Roman" w:hAnsi="Calibri" w:cs="Calibri"/>
                <w:color w:val="000000"/>
                <w:sz w:val="20"/>
                <w:szCs w:val="20"/>
                <w:lang w:eastAsia="en-AU"/>
              </w:rPr>
              <w:t>90.6</w:t>
            </w:r>
          </w:p>
        </w:tc>
        <w:tc>
          <w:tcPr>
            <w:tcW w:w="978" w:type="dxa"/>
            <w:tcBorders>
              <w:top w:val="single" w:sz="4" w:space="0" w:color="auto"/>
              <w:left w:val="single" w:sz="4" w:space="0" w:color="auto"/>
              <w:bottom w:val="single" w:sz="4" w:space="0" w:color="auto"/>
              <w:right w:val="single" w:sz="4" w:space="0" w:color="auto"/>
            </w:tcBorders>
            <w:shd w:val="clear" w:color="000000" w:fill="auto"/>
            <w:noWrap/>
            <w:vAlign w:val="bottom"/>
          </w:tcPr>
          <w:p w14:paraId="2E6B567B" w14:textId="77777777" w:rsidR="00151CD0" w:rsidRPr="00151CD0" w:rsidRDefault="00151CD0" w:rsidP="00151CD0">
            <w:pPr>
              <w:keepNext/>
              <w:keepLines/>
              <w:spacing w:line="240" w:lineRule="auto"/>
              <w:ind w:right="227"/>
              <w:jc w:val="right"/>
              <w:rPr>
                <w:rFonts w:ascii="Calibri" w:eastAsia="Times New Roman" w:hAnsi="Calibri" w:cs="Calibri"/>
                <w:color w:val="000000"/>
                <w:sz w:val="20"/>
                <w:szCs w:val="20"/>
                <w:lang w:eastAsia="en-AU"/>
              </w:rPr>
            </w:pPr>
            <w:r w:rsidRPr="00151CD0">
              <w:rPr>
                <w:rFonts w:ascii="Calibri" w:eastAsia="Times New Roman" w:hAnsi="Calibri" w:cs="Calibri"/>
                <w:color w:val="000000"/>
                <w:sz w:val="20"/>
                <w:szCs w:val="20"/>
                <w:lang w:eastAsia="en-AU"/>
              </w:rPr>
              <w:t>90.6</w:t>
            </w:r>
          </w:p>
        </w:tc>
        <w:tc>
          <w:tcPr>
            <w:tcW w:w="873" w:type="dxa"/>
            <w:tcBorders>
              <w:top w:val="single" w:sz="4" w:space="0" w:color="auto"/>
              <w:left w:val="single" w:sz="4" w:space="0" w:color="auto"/>
              <w:bottom w:val="single" w:sz="4" w:space="0" w:color="auto"/>
              <w:right w:val="single" w:sz="4" w:space="0" w:color="auto"/>
            </w:tcBorders>
            <w:shd w:val="clear" w:color="000000" w:fill="auto"/>
          </w:tcPr>
          <w:p w14:paraId="66E17403" w14:textId="77777777" w:rsidR="00151CD0" w:rsidRPr="00151CD0" w:rsidRDefault="00151CD0" w:rsidP="00151CD0">
            <w:pPr>
              <w:keepNext/>
              <w:keepLines/>
              <w:spacing w:line="240" w:lineRule="auto"/>
              <w:ind w:right="227"/>
              <w:jc w:val="right"/>
              <w:rPr>
                <w:rFonts w:ascii="Calibri" w:eastAsia="Times New Roman" w:hAnsi="Calibri" w:cs="Calibri"/>
                <w:color w:val="000000"/>
                <w:sz w:val="20"/>
                <w:szCs w:val="20"/>
                <w:lang w:eastAsia="en-AU"/>
              </w:rPr>
            </w:pPr>
            <w:r w:rsidRPr="00151CD0">
              <w:rPr>
                <w:rFonts w:ascii="Calibri" w:eastAsia="Times New Roman" w:hAnsi="Calibri" w:cs="Calibri"/>
                <w:color w:val="000000"/>
                <w:sz w:val="20"/>
                <w:szCs w:val="20"/>
                <w:lang w:eastAsia="en-AU"/>
              </w:rPr>
              <w:t>90</w:t>
            </w:r>
          </w:p>
        </w:tc>
        <w:tc>
          <w:tcPr>
            <w:tcW w:w="873" w:type="dxa"/>
            <w:tcBorders>
              <w:top w:val="single" w:sz="4" w:space="0" w:color="auto"/>
              <w:left w:val="single" w:sz="4" w:space="0" w:color="auto"/>
              <w:bottom w:val="single" w:sz="4" w:space="0" w:color="auto"/>
              <w:right w:val="single" w:sz="4" w:space="0" w:color="auto"/>
            </w:tcBorders>
            <w:shd w:val="clear" w:color="auto" w:fill="auto"/>
          </w:tcPr>
          <w:p w14:paraId="722C944B" w14:textId="77777777" w:rsidR="00151CD0" w:rsidRPr="00151CD0" w:rsidRDefault="00151CD0" w:rsidP="00151CD0">
            <w:pPr>
              <w:keepNext/>
              <w:keepLines/>
              <w:spacing w:line="240" w:lineRule="auto"/>
              <w:ind w:right="227"/>
              <w:jc w:val="right"/>
              <w:rPr>
                <w:rFonts w:ascii="Calibri" w:eastAsia="Times New Roman" w:hAnsi="Calibri" w:cs="Calibri"/>
                <w:color w:val="000000"/>
                <w:sz w:val="20"/>
                <w:szCs w:val="20"/>
                <w:lang w:eastAsia="en-AU"/>
              </w:rPr>
            </w:pPr>
            <w:r w:rsidRPr="00151CD0">
              <w:rPr>
                <w:rFonts w:ascii="Calibri" w:eastAsia="Times New Roman" w:hAnsi="Calibri" w:cs="Calibri"/>
                <w:color w:val="000000"/>
                <w:sz w:val="20"/>
                <w:szCs w:val="20"/>
                <w:lang w:eastAsia="en-AU"/>
              </w:rPr>
              <w:t>89.3</w:t>
            </w:r>
          </w:p>
        </w:tc>
      </w:tr>
      <w:tr w:rsidR="00151CD0" w:rsidRPr="00151CD0" w14:paraId="560BA15A" w14:textId="77777777" w:rsidTr="00F81216">
        <w:trPr>
          <w:trHeight w:val="261"/>
        </w:trPr>
        <w:tc>
          <w:tcPr>
            <w:tcW w:w="1689" w:type="dxa"/>
            <w:tcBorders>
              <w:top w:val="single" w:sz="4" w:space="0" w:color="auto"/>
              <w:left w:val="single" w:sz="4" w:space="0" w:color="auto"/>
              <w:bottom w:val="nil"/>
              <w:right w:val="nil"/>
            </w:tcBorders>
            <w:shd w:val="clear" w:color="000000" w:fill="D9D9D9"/>
            <w:noWrap/>
            <w:vAlign w:val="bottom"/>
            <w:hideMark/>
          </w:tcPr>
          <w:p w14:paraId="037E2A23" w14:textId="77777777" w:rsidR="00151CD0" w:rsidRPr="00151CD0" w:rsidRDefault="00151CD0" w:rsidP="00151CD0">
            <w:pPr>
              <w:keepNext/>
              <w:keepLines/>
              <w:spacing w:line="240" w:lineRule="auto"/>
              <w:rPr>
                <w:rFonts w:ascii="Calibri" w:eastAsia="Times New Roman" w:hAnsi="Calibri" w:cs="Calibri"/>
                <w:color w:val="000000"/>
                <w:sz w:val="20"/>
                <w:szCs w:val="20"/>
                <w:lang w:eastAsia="en-AU"/>
              </w:rPr>
            </w:pPr>
            <w:r w:rsidRPr="00151CD0">
              <w:rPr>
                <w:rFonts w:ascii="Calibri" w:eastAsia="Times New Roman" w:hAnsi="Calibri" w:cs="Calibri"/>
                <w:color w:val="000000"/>
                <w:sz w:val="20"/>
                <w:szCs w:val="20"/>
                <w:lang w:eastAsia="en-AU"/>
              </w:rPr>
              <w:t> </w:t>
            </w:r>
          </w:p>
        </w:tc>
        <w:tc>
          <w:tcPr>
            <w:tcW w:w="1757" w:type="dxa"/>
            <w:tcBorders>
              <w:top w:val="single" w:sz="4" w:space="0" w:color="auto"/>
              <w:left w:val="nil"/>
              <w:bottom w:val="nil"/>
              <w:right w:val="nil"/>
            </w:tcBorders>
            <w:shd w:val="clear" w:color="000000" w:fill="D9D9D9"/>
            <w:noWrap/>
            <w:vAlign w:val="bottom"/>
            <w:hideMark/>
          </w:tcPr>
          <w:p w14:paraId="1A233FF5" w14:textId="77777777" w:rsidR="00151CD0" w:rsidRPr="00151CD0" w:rsidRDefault="00151CD0" w:rsidP="00151CD0">
            <w:pPr>
              <w:keepNext/>
              <w:keepLines/>
              <w:spacing w:line="240" w:lineRule="auto"/>
              <w:rPr>
                <w:rFonts w:ascii="Calibri" w:eastAsia="Times New Roman" w:hAnsi="Calibri" w:cs="Calibri"/>
                <w:b/>
                <w:bCs/>
                <w:color w:val="000000"/>
                <w:sz w:val="20"/>
                <w:szCs w:val="20"/>
                <w:lang w:eastAsia="en-AU"/>
              </w:rPr>
            </w:pPr>
            <w:r w:rsidRPr="00151CD0">
              <w:rPr>
                <w:rFonts w:ascii="Calibri" w:eastAsia="Times New Roman" w:hAnsi="Calibri" w:cs="Calibri"/>
                <w:b/>
                <w:bCs/>
                <w:color w:val="000000"/>
                <w:sz w:val="20"/>
                <w:szCs w:val="20"/>
                <w:lang w:eastAsia="en-AU"/>
              </w:rPr>
              <w:t>TOTAL</w:t>
            </w:r>
          </w:p>
        </w:tc>
        <w:tc>
          <w:tcPr>
            <w:tcW w:w="1307" w:type="dxa"/>
            <w:tcBorders>
              <w:top w:val="single" w:sz="4" w:space="0" w:color="auto"/>
              <w:left w:val="nil"/>
              <w:bottom w:val="nil"/>
              <w:right w:val="single" w:sz="4" w:space="0" w:color="auto"/>
            </w:tcBorders>
            <w:shd w:val="clear" w:color="000000" w:fill="D9D9D9"/>
            <w:noWrap/>
            <w:vAlign w:val="bottom"/>
            <w:hideMark/>
          </w:tcPr>
          <w:p w14:paraId="5559592B" w14:textId="77777777" w:rsidR="00151CD0" w:rsidRPr="00151CD0" w:rsidRDefault="00151CD0" w:rsidP="00151CD0">
            <w:pPr>
              <w:keepNext/>
              <w:keepLines/>
              <w:spacing w:line="240" w:lineRule="auto"/>
              <w:rPr>
                <w:rFonts w:ascii="Calibri" w:eastAsia="Times New Roman" w:hAnsi="Calibri" w:cs="Calibri"/>
                <w:b/>
                <w:bCs/>
                <w:color w:val="000000"/>
                <w:sz w:val="20"/>
                <w:szCs w:val="20"/>
                <w:lang w:eastAsia="en-AU"/>
              </w:rPr>
            </w:pPr>
            <w:r w:rsidRPr="00151CD0">
              <w:rPr>
                <w:rFonts w:ascii="Calibri" w:eastAsia="Times New Roman" w:hAnsi="Calibri" w:cs="Calibri"/>
                <w:b/>
                <w:bCs/>
                <w:color w:val="000000"/>
                <w:sz w:val="20"/>
                <w:szCs w:val="20"/>
                <w:lang w:eastAsia="en-AU"/>
              </w:rPr>
              <w:t>Year 7-10</w:t>
            </w:r>
          </w:p>
        </w:tc>
        <w:tc>
          <w:tcPr>
            <w:tcW w:w="1062" w:type="dxa"/>
            <w:tcBorders>
              <w:top w:val="single" w:sz="4" w:space="0" w:color="auto"/>
              <w:left w:val="nil"/>
              <w:bottom w:val="single" w:sz="4" w:space="0" w:color="auto"/>
              <w:right w:val="single" w:sz="4" w:space="0" w:color="auto"/>
            </w:tcBorders>
            <w:shd w:val="clear" w:color="000000" w:fill="auto"/>
            <w:noWrap/>
            <w:vAlign w:val="bottom"/>
          </w:tcPr>
          <w:p w14:paraId="5FBEA52E" w14:textId="77777777" w:rsidR="00151CD0" w:rsidRPr="00151CD0" w:rsidRDefault="00151CD0" w:rsidP="00151CD0">
            <w:pPr>
              <w:keepNext/>
              <w:keepLines/>
              <w:spacing w:line="240" w:lineRule="auto"/>
              <w:ind w:right="227"/>
              <w:jc w:val="right"/>
              <w:rPr>
                <w:rFonts w:ascii="Calibri" w:eastAsia="Times New Roman" w:hAnsi="Calibri" w:cs="Calibri"/>
                <w:color w:val="000000"/>
                <w:sz w:val="20"/>
                <w:szCs w:val="20"/>
                <w:lang w:eastAsia="en-AU"/>
              </w:rPr>
            </w:pPr>
            <w:r w:rsidRPr="00151CD0">
              <w:rPr>
                <w:rFonts w:ascii="Calibri" w:eastAsia="Times New Roman" w:hAnsi="Calibri" w:cs="Calibri"/>
                <w:color w:val="000000"/>
                <w:sz w:val="20"/>
                <w:szCs w:val="20"/>
                <w:lang w:eastAsia="en-AU"/>
              </w:rPr>
              <w:t>98.8</w:t>
            </w:r>
          </w:p>
        </w:tc>
        <w:tc>
          <w:tcPr>
            <w:tcW w:w="977" w:type="dxa"/>
            <w:tcBorders>
              <w:top w:val="single" w:sz="4" w:space="0" w:color="auto"/>
              <w:left w:val="single" w:sz="4" w:space="0" w:color="auto"/>
              <w:bottom w:val="single" w:sz="4" w:space="0" w:color="auto"/>
              <w:right w:val="single" w:sz="4" w:space="0" w:color="auto"/>
            </w:tcBorders>
            <w:shd w:val="clear" w:color="000000" w:fill="auto"/>
            <w:noWrap/>
            <w:vAlign w:val="bottom"/>
          </w:tcPr>
          <w:p w14:paraId="2FD3B865" w14:textId="77777777" w:rsidR="00151CD0" w:rsidRPr="00151CD0" w:rsidRDefault="00151CD0" w:rsidP="00151CD0">
            <w:pPr>
              <w:keepNext/>
              <w:keepLines/>
              <w:spacing w:line="240" w:lineRule="auto"/>
              <w:ind w:right="227"/>
              <w:jc w:val="right"/>
              <w:rPr>
                <w:rFonts w:ascii="Calibri" w:eastAsia="Times New Roman" w:hAnsi="Calibri" w:cs="Calibri"/>
                <w:color w:val="000000"/>
                <w:sz w:val="20"/>
                <w:szCs w:val="20"/>
                <w:lang w:eastAsia="en-AU"/>
              </w:rPr>
            </w:pPr>
            <w:r w:rsidRPr="00151CD0">
              <w:rPr>
                <w:rFonts w:ascii="Calibri" w:eastAsia="Times New Roman" w:hAnsi="Calibri" w:cs="Calibri"/>
                <w:color w:val="000000"/>
                <w:sz w:val="20"/>
                <w:szCs w:val="20"/>
                <w:lang w:eastAsia="en-AU"/>
              </w:rPr>
              <w:t>100</w:t>
            </w:r>
          </w:p>
        </w:tc>
        <w:tc>
          <w:tcPr>
            <w:tcW w:w="978" w:type="dxa"/>
            <w:tcBorders>
              <w:top w:val="single" w:sz="4" w:space="0" w:color="auto"/>
              <w:left w:val="single" w:sz="4" w:space="0" w:color="auto"/>
              <w:bottom w:val="single" w:sz="4" w:space="0" w:color="auto"/>
              <w:right w:val="single" w:sz="4" w:space="0" w:color="auto"/>
            </w:tcBorders>
            <w:shd w:val="clear" w:color="000000" w:fill="auto"/>
            <w:noWrap/>
            <w:vAlign w:val="bottom"/>
          </w:tcPr>
          <w:p w14:paraId="6855B6A2" w14:textId="77777777" w:rsidR="00151CD0" w:rsidRPr="00151CD0" w:rsidRDefault="00151CD0" w:rsidP="00151CD0">
            <w:pPr>
              <w:keepNext/>
              <w:keepLines/>
              <w:spacing w:line="240" w:lineRule="auto"/>
              <w:ind w:right="227"/>
              <w:jc w:val="right"/>
              <w:rPr>
                <w:rFonts w:ascii="Calibri" w:eastAsia="Times New Roman" w:hAnsi="Calibri" w:cs="Calibri"/>
                <w:color w:val="000000"/>
                <w:sz w:val="20"/>
                <w:szCs w:val="20"/>
                <w:lang w:eastAsia="en-AU"/>
              </w:rPr>
            </w:pPr>
            <w:r w:rsidRPr="00151CD0">
              <w:rPr>
                <w:rFonts w:ascii="Calibri" w:eastAsia="Times New Roman" w:hAnsi="Calibri" w:cs="Calibri"/>
                <w:color w:val="000000"/>
                <w:sz w:val="20"/>
                <w:szCs w:val="20"/>
                <w:lang w:eastAsia="en-AU"/>
              </w:rPr>
              <w:t>101.2</w:t>
            </w:r>
          </w:p>
        </w:tc>
        <w:tc>
          <w:tcPr>
            <w:tcW w:w="873" w:type="dxa"/>
            <w:tcBorders>
              <w:top w:val="single" w:sz="4" w:space="0" w:color="auto"/>
              <w:left w:val="single" w:sz="4" w:space="0" w:color="auto"/>
              <w:bottom w:val="single" w:sz="4" w:space="0" w:color="auto"/>
              <w:right w:val="single" w:sz="4" w:space="0" w:color="auto"/>
            </w:tcBorders>
            <w:shd w:val="clear" w:color="000000" w:fill="auto"/>
          </w:tcPr>
          <w:p w14:paraId="3B4C4AAE" w14:textId="77777777" w:rsidR="00151CD0" w:rsidRPr="00151CD0" w:rsidRDefault="00151CD0" w:rsidP="00151CD0">
            <w:pPr>
              <w:keepNext/>
              <w:keepLines/>
              <w:spacing w:line="240" w:lineRule="auto"/>
              <w:ind w:right="227"/>
              <w:jc w:val="right"/>
              <w:rPr>
                <w:rFonts w:ascii="Calibri" w:eastAsia="Times New Roman" w:hAnsi="Calibri" w:cs="Calibri"/>
                <w:color w:val="000000"/>
                <w:sz w:val="20"/>
                <w:szCs w:val="20"/>
                <w:lang w:eastAsia="en-AU"/>
              </w:rPr>
            </w:pPr>
            <w:r w:rsidRPr="00151CD0">
              <w:rPr>
                <w:rFonts w:ascii="Calibri" w:eastAsia="Times New Roman" w:hAnsi="Calibri" w:cs="Calibri"/>
                <w:color w:val="000000"/>
                <w:sz w:val="20"/>
                <w:szCs w:val="20"/>
                <w:lang w:eastAsia="en-AU"/>
              </w:rPr>
              <w:t>100.7</w:t>
            </w:r>
          </w:p>
        </w:tc>
        <w:tc>
          <w:tcPr>
            <w:tcW w:w="873" w:type="dxa"/>
            <w:tcBorders>
              <w:top w:val="single" w:sz="4" w:space="0" w:color="auto"/>
              <w:left w:val="single" w:sz="4" w:space="0" w:color="auto"/>
              <w:bottom w:val="single" w:sz="4" w:space="0" w:color="auto"/>
              <w:right w:val="single" w:sz="4" w:space="0" w:color="auto"/>
            </w:tcBorders>
            <w:shd w:val="clear" w:color="auto" w:fill="auto"/>
          </w:tcPr>
          <w:p w14:paraId="78D9C947" w14:textId="77777777" w:rsidR="00151CD0" w:rsidRPr="00151CD0" w:rsidRDefault="00151CD0" w:rsidP="00151CD0">
            <w:pPr>
              <w:keepNext/>
              <w:keepLines/>
              <w:spacing w:line="240" w:lineRule="auto"/>
              <w:ind w:right="227"/>
              <w:jc w:val="right"/>
              <w:rPr>
                <w:rFonts w:ascii="Calibri" w:eastAsia="Times New Roman" w:hAnsi="Calibri" w:cs="Calibri"/>
                <w:color w:val="000000"/>
                <w:sz w:val="20"/>
                <w:szCs w:val="20"/>
                <w:lang w:eastAsia="en-AU"/>
              </w:rPr>
            </w:pPr>
            <w:r w:rsidRPr="00151CD0">
              <w:rPr>
                <w:rFonts w:ascii="Calibri" w:eastAsia="Times New Roman" w:hAnsi="Calibri" w:cs="Calibri"/>
                <w:color w:val="000000"/>
                <w:sz w:val="20"/>
                <w:szCs w:val="20"/>
                <w:lang w:eastAsia="en-AU"/>
              </w:rPr>
              <w:t>101.3</w:t>
            </w:r>
          </w:p>
        </w:tc>
      </w:tr>
      <w:tr w:rsidR="00151CD0" w:rsidRPr="00151CD0" w14:paraId="3971FEC6" w14:textId="77777777" w:rsidTr="00F81216">
        <w:trPr>
          <w:trHeight w:val="277"/>
        </w:trPr>
        <w:tc>
          <w:tcPr>
            <w:tcW w:w="1689" w:type="dxa"/>
            <w:tcBorders>
              <w:top w:val="nil"/>
              <w:left w:val="single" w:sz="4" w:space="0" w:color="auto"/>
              <w:bottom w:val="single" w:sz="4" w:space="0" w:color="auto"/>
              <w:right w:val="nil"/>
            </w:tcBorders>
            <w:shd w:val="clear" w:color="000000" w:fill="D9D9D9"/>
            <w:noWrap/>
            <w:vAlign w:val="bottom"/>
            <w:hideMark/>
          </w:tcPr>
          <w:p w14:paraId="1739DD94" w14:textId="77777777" w:rsidR="00151CD0" w:rsidRPr="00151CD0" w:rsidRDefault="00151CD0" w:rsidP="00151CD0">
            <w:pPr>
              <w:keepNext/>
              <w:keepLines/>
              <w:spacing w:line="240" w:lineRule="auto"/>
              <w:rPr>
                <w:rFonts w:ascii="Calibri" w:eastAsia="Times New Roman" w:hAnsi="Calibri" w:cs="Calibri"/>
                <w:color w:val="000000"/>
                <w:sz w:val="20"/>
                <w:szCs w:val="20"/>
                <w:lang w:eastAsia="en-AU"/>
              </w:rPr>
            </w:pPr>
            <w:r w:rsidRPr="00151CD0">
              <w:rPr>
                <w:rFonts w:ascii="Calibri" w:eastAsia="Times New Roman" w:hAnsi="Calibri" w:cs="Calibri"/>
                <w:color w:val="000000"/>
                <w:sz w:val="20"/>
                <w:szCs w:val="20"/>
                <w:lang w:eastAsia="en-AU"/>
              </w:rPr>
              <w:t> </w:t>
            </w:r>
          </w:p>
        </w:tc>
        <w:tc>
          <w:tcPr>
            <w:tcW w:w="1757" w:type="dxa"/>
            <w:tcBorders>
              <w:top w:val="nil"/>
              <w:left w:val="nil"/>
              <w:bottom w:val="single" w:sz="4" w:space="0" w:color="auto"/>
              <w:right w:val="nil"/>
            </w:tcBorders>
            <w:shd w:val="clear" w:color="000000" w:fill="D9D9D9"/>
            <w:noWrap/>
            <w:vAlign w:val="bottom"/>
            <w:hideMark/>
          </w:tcPr>
          <w:p w14:paraId="21F62F1D" w14:textId="77777777" w:rsidR="00151CD0" w:rsidRPr="00151CD0" w:rsidRDefault="00151CD0" w:rsidP="00151CD0">
            <w:pPr>
              <w:keepNext/>
              <w:keepLines/>
              <w:spacing w:line="240" w:lineRule="auto"/>
              <w:rPr>
                <w:rFonts w:ascii="Calibri" w:eastAsia="Times New Roman" w:hAnsi="Calibri" w:cs="Calibri"/>
                <w:b/>
                <w:bCs/>
                <w:color w:val="000000"/>
                <w:sz w:val="20"/>
                <w:szCs w:val="20"/>
                <w:lang w:eastAsia="en-AU"/>
              </w:rPr>
            </w:pPr>
            <w:r w:rsidRPr="00151CD0">
              <w:rPr>
                <w:rFonts w:ascii="Calibri" w:eastAsia="Times New Roman" w:hAnsi="Calibri" w:cs="Calibri"/>
                <w:b/>
                <w:bCs/>
                <w:color w:val="000000"/>
                <w:sz w:val="20"/>
                <w:szCs w:val="20"/>
                <w:lang w:eastAsia="en-AU"/>
              </w:rPr>
              <w:t> </w:t>
            </w:r>
          </w:p>
        </w:tc>
        <w:tc>
          <w:tcPr>
            <w:tcW w:w="1307" w:type="dxa"/>
            <w:tcBorders>
              <w:top w:val="nil"/>
              <w:left w:val="nil"/>
              <w:bottom w:val="single" w:sz="4" w:space="0" w:color="auto"/>
              <w:right w:val="single" w:sz="4" w:space="0" w:color="auto"/>
            </w:tcBorders>
            <w:shd w:val="clear" w:color="000000" w:fill="D9D9D9"/>
            <w:noWrap/>
            <w:vAlign w:val="bottom"/>
            <w:hideMark/>
          </w:tcPr>
          <w:p w14:paraId="7C7A35C9" w14:textId="77777777" w:rsidR="00151CD0" w:rsidRPr="00151CD0" w:rsidRDefault="00151CD0" w:rsidP="00151CD0">
            <w:pPr>
              <w:keepNext/>
              <w:keepLines/>
              <w:spacing w:line="240" w:lineRule="auto"/>
              <w:rPr>
                <w:rFonts w:ascii="Calibri" w:eastAsia="Times New Roman" w:hAnsi="Calibri" w:cs="Calibri"/>
                <w:b/>
                <w:bCs/>
                <w:color w:val="000000"/>
                <w:sz w:val="20"/>
                <w:szCs w:val="20"/>
                <w:lang w:eastAsia="en-AU"/>
              </w:rPr>
            </w:pPr>
            <w:r w:rsidRPr="00151CD0">
              <w:rPr>
                <w:rFonts w:ascii="Calibri" w:eastAsia="Times New Roman" w:hAnsi="Calibri" w:cs="Calibri"/>
                <w:b/>
                <w:bCs/>
                <w:color w:val="000000"/>
                <w:sz w:val="20"/>
                <w:szCs w:val="20"/>
                <w:lang w:eastAsia="en-AU"/>
              </w:rPr>
              <w:t>Year 7-12</w:t>
            </w:r>
          </w:p>
        </w:tc>
        <w:tc>
          <w:tcPr>
            <w:tcW w:w="1062" w:type="dxa"/>
            <w:tcBorders>
              <w:top w:val="single" w:sz="4" w:space="0" w:color="auto"/>
              <w:left w:val="nil"/>
              <w:bottom w:val="single" w:sz="4" w:space="0" w:color="auto"/>
              <w:right w:val="single" w:sz="4" w:space="0" w:color="auto"/>
            </w:tcBorders>
            <w:shd w:val="clear" w:color="000000" w:fill="auto"/>
            <w:noWrap/>
            <w:vAlign w:val="bottom"/>
          </w:tcPr>
          <w:p w14:paraId="776E6072" w14:textId="77777777" w:rsidR="00151CD0" w:rsidRPr="00151CD0" w:rsidRDefault="00151CD0" w:rsidP="00151CD0">
            <w:pPr>
              <w:keepNext/>
              <w:keepLines/>
              <w:spacing w:line="240" w:lineRule="auto"/>
              <w:ind w:right="227"/>
              <w:jc w:val="right"/>
              <w:rPr>
                <w:rFonts w:ascii="Calibri" w:eastAsia="Times New Roman" w:hAnsi="Calibri" w:cs="Calibri"/>
                <w:color w:val="000000"/>
                <w:sz w:val="20"/>
                <w:szCs w:val="20"/>
                <w:lang w:eastAsia="en-AU"/>
              </w:rPr>
            </w:pPr>
            <w:r w:rsidRPr="00151CD0">
              <w:rPr>
                <w:rFonts w:ascii="Calibri" w:eastAsia="Times New Roman" w:hAnsi="Calibri" w:cs="Calibri"/>
                <w:color w:val="000000"/>
                <w:sz w:val="20"/>
                <w:szCs w:val="20"/>
                <w:lang w:eastAsia="en-AU"/>
              </w:rPr>
              <w:t>79.4</w:t>
            </w:r>
          </w:p>
        </w:tc>
        <w:tc>
          <w:tcPr>
            <w:tcW w:w="977" w:type="dxa"/>
            <w:tcBorders>
              <w:top w:val="single" w:sz="4" w:space="0" w:color="auto"/>
              <w:left w:val="single" w:sz="4" w:space="0" w:color="auto"/>
              <w:bottom w:val="single" w:sz="4" w:space="0" w:color="auto"/>
              <w:right w:val="single" w:sz="4" w:space="0" w:color="auto"/>
            </w:tcBorders>
            <w:shd w:val="clear" w:color="000000" w:fill="auto"/>
            <w:noWrap/>
            <w:vAlign w:val="bottom"/>
          </w:tcPr>
          <w:p w14:paraId="6076DBFD" w14:textId="77777777" w:rsidR="00151CD0" w:rsidRPr="00151CD0" w:rsidRDefault="00151CD0" w:rsidP="00151CD0">
            <w:pPr>
              <w:keepNext/>
              <w:keepLines/>
              <w:spacing w:line="240" w:lineRule="auto"/>
              <w:ind w:right="227"/>
              <w:jc w:val="right"/>
              <w:rPr>
                <w:rFonts w:ascii="Calibri" w:eastAsia="Times New Roman" w:hAnsi="Calibri" w:cs="Calibri"/>
                <w:color w:val="000000"/>
                <w:sz w:val="20"/>
                <w:szCs w:val="20"/>
                <w:lang w:eastAsia="en-AU"/>
              </w:rPr>
            </w:pPr>
            <w:r w:rsidRPr="00151CD0">
              <w:rPr>
                <w:rFonts w:ascii="Calibri" w:eastAsia="Times New Roman" w:hAnsi="Calibri" w:cs="Calibri"/>
                <w:color w:val="000000"/>
                <w:sz w:val="20"/>
                <w:szCs w:val="20"/>
                <w:lang w:eastAsia="en-AU"/>
              </w:rPr>
              <w:t>80.2</w:t>
            </w:r>
          </w:p>
        </w:tc>
        <w:tc>
          <w:tcPr>
            <w:tcW w:w="978" w:type="dxa"/>
            <w:tcBorders>
              <w:top w:val="single" w:sz="4" w:space="0" w:color="auto"/>
              <w:left w:val="single" w:sz="4" w:space="0" w:color="auto"/>
              <w:bottom w:val="single" w:sz="4" w:space="0" w:color="auto"/>
              <w:right w:val="single" w:sz="4" w:space="0" w:color="auto"/>
            </w:tcBorders>
            <w:shd w:val="clear" w:color="000000" w:fill="auto"/>
            <w:noWrap/>
            <w:vAlign w:val="bottom"/>
          </w:tcPr>
          <w:p w14:paraId="4AE26C60" w14:textId="77777777" w:rsidR="00151CD0" w:rsidRPr="00151CD0" w:rsidRDefault="00151CD0" w:rsidP="00151CD0">
            <w:pPr>
              <w:keepNext/>
              <w:keepLines/>
              <w:spacing w:line="240" w:lineRule="auto"/>
              <w:ind w:right="227"/>
              <w:jc w:val="right"/>
              <w:rPr>
                <w:rFonts w:ascii="Calibri" w:eastAsia="Times New Roman" w:hAnsi="Calibri" w:cs="Calibri"/>
                <w:color w:val="000000"/>
                <w:sz w:val="20"/>
                <w:szCs w:val="20"/>
                <w:lang w:eastAsia="en-AU"/>
              </w:rPr>
            </w:pPr>
            <w:r w:rsidRPr="00151CD0">
              <w:rPr>
                <w:rFonts w:ascii="Calibri" w:eastAsia="Times New Roman" w:hAnsi="Calibri" w:cs="Calibri"/>
                <w:color w:val="000000"/>
                <w:sz w:val="20"/>
                <w:szCs w:val="20"/>
                <w:lang w:eastAsia="en-AU"/>
              </w:rPr>
              <w:t>81.1</w:t>
            </w:r>
          </w:p>
        </w:tc>
        <w:tc>
          <w:tcPr>
            <w:tcW w:w="873" w:type="dxa"/>
            <w:tcBorders>
              <w:top w:val="single" w:sz="4" w:space="0" w:color="auto"/>
              <w:left w:val="single" w:sz="4" w:space="0" w:color="auto"/>
              <w:bottom w:val="single" w:sz="4" w:space="0" w:color="auto"/>
              <w:right w:val="single" w:sz="4" w:space="0" w:color="auto"/>
            </w:tcBorders>
            <w:shd w:val="clear" w:color="000000" w:fill="auto"/>
          </w:tcPr>
          <w:p w14:paraId="6B647531" w14:textId="77777777" w:rsidR="00151CD0" w:rsidRPr="00151CD0" w:rsidRDefault="00151CD0" w:rsidP="00151CD0">
            <w:pPr>
              <w:keepNext/>
              <w:keepLines/>
              <w:spacing w:line="240" w:lineRule="auto"/>
              <w:ind w:right="227"/>
              <w:jc w:val="right"/>
              <w:rPr>
                <w:rFonts w:ascii="Calibri" w:eastAsia="Times New Roman" w:hAnsi="Calibri" w:cs="Calibri"/>
                <w:color w:val="000000"/>
                <w:sz w:val="20"/>
                <w:szCs w:val="20"/>
                <w:lang w:eastAsia="en-AU"/>
              </w:rPr>
            </w:pPr>
            <w:r w:rsidRPr="00151CD0">
              <w:rPr>
                <w:rFonts w:ascii="Calibri" w:eastAsia="Times New Roman" w:hAnsi="Calibri" w:cs="Calibri"/>
                <w:color w:val="000000"/>
                <w:sz w:val="20"/>
                <w:szCs w:val="20"/>
                <w:lang w:eastAsia="en-AU"/>
              </w:rPr>
              <w:t>82</w:t>
            </w:r>
          </w:p>
        </w:tc>
        <w:tc>
          <w:tcPr>
            <w:tcW w:w="873" w:type="dxa"/>
            <w:tcBorders>
              <w:top w:val="single" w:sz="4" w:space="0" w:color="auto"/>
              <w:left w:val="single" w:sz="4" w:space="0" w:color="auto"/>
              <w:bottom w:val="single" w:sz="4" w:space="0" w:color="auto"/>
              <w:right w:val="single" w:sz="4" w:space="0" w:color="auto"/>
            </w:tcBorders>
            <w:shd w:val="clear" w:color="auto" w:fill="auto"/>
          </w:tcPr>
          <w:p w14:paraId="07F0BC3C" w14:textId="77777777" w:rsidR="00151CD0" w:rsidRPr="00151CD0" w:rsidRDefault="00151CD0" w:rsidP="00151CD0">
            <w:pPr>
              <w:keepNext/>
              <w:keepLines/>
              <w:spacing w:line="240" w:lineRule="auto"/>
              <w:ind w:right="227"/>
              <w:jc w:val="right"/>
              <w:rPr>
                <w:rFonts w:ascii="Calibri" w:eastAsia="Times New Roman" w:hAnsi="Calibri" w:cs="Calibri"/>
                <w:color w:val="000000"/>
                <w:sz w:val="20"/>
                <w:szCs w:val="20"/>
                <w:lang w:eastAsia="en-AU"/>
              </w:rPr>
            </w:pPr>
            <w:r w:rsidRPr="00151CD0">
              <w:rPr>
                <w:rFonts w:ascii="Calibri" w:eastAsia="Times New Roman" w:hAnsi="Calibri" w:cs="Calibri"/>
                <w:color w:val="000000"/>
                <w:sz w:val="20"/>
                <w:szCs w:val="20"/>
                <w:lang w:eastAsia="en-AU"/>
              </w:rPr>
              <w:t>82.2</w:t>
            </w:r>
          </w:p>
        </w:tc>
      </w:tr>
    </w:tbl>
    <w:p w14:paraId="6547B583" w14:textId="77777777" w:rsidR="00151CD0" w:rsidRPr="00151CD0" w:rsidRDefault="00151CD0" w:rsidP="00593D51">
      <w:pPr>
        <w:spacing w:after="120"/>
        <w:rPr>
          <w:rFonts w:ascii="Calibri" w:eastAsia="Calibri" w:hAnsi="Calibri" w:cs="Times New Roman"/>
          <w:i/>
          <w:sz w:val="20"/>
          <w:szCs w:val="20"/>
        </w:rPr>
      </w:pPr>
      <w:r w:rsidRPr="00151CD0">
        <w:rPr>
          <w:rFonts w:ascii="Calibri" w:eastAsia="Calibri" w:hAnsi="Calibri" w:cs="Times New Roman"/>
          <w:i/>
          <w:sz w:val="20"/>
          <w:szCs w:val="20"/>
        </w:rPr>
        <w:t xml:space="preserve">Source: ABS, 4221.0 Schools, Australia 2012, </w:t>
      </w:r>
      <w:proofErr w:type="spellStart"/>
      <w:r w:rsidRPr="00151CD0">
        <w:rPr>
          <w:rFonts w:ascii="Calibri" w:eastAsia="Calibri" w:hAnsi="Calibri" w:cs="Times New Roman"/>
          <w:i/>
          <w:sz w:val="20"/>
          <w:szCs w:val="20"/>
        </w:rPr>
        <w:t>NSSC</w:t>
      </w:r>
      <w:proofErr w:type="spellEnd"/>
      <w:r w:rsidRPr="00151CD0">
        <w:rPr>
          <w:rFonts w:ascii="Calibri" w:eastAsia="Calibri" w:hAnsi="Calibri" w:cs="Times New Roman"/>
          <w:i/>
          <w:sz w:val="20"/>
          <w:szCs w:val="20"/>
        </w:rPr>
        <w:t xml:space="preserve"> Table </w:t>
      </w:r>
      <w:proofErr w:type="spellStart"/>
      <w:r w:rsidRPr="00151CD0">
        <w:rPr>
          <w:rFonts w:ascii="Calibri" w:eastAsia="Calibri" w:hAnsi="Calibri" w:cs="Times New Roman"/>
          <w:i/>
          <w:sz w:val="20"/>
          <w:szCs w:val="20"/>
        </w:rPr>
        <w:t>64.a</w:t>
      </w:r>
      <w:proofErr w:type="spellEnd"/>
    </w:p>
    <w:p w14:paraId="557410F0" w14:textId="78B1F235" w:rsidR="00BA6A85" w:rsidRPr="00095D55" w:rsidRDefault="00151CD0" w:rsidP="00593D51">
      <w:pPr>
        <w:spacing w:after="120"/>
        <w:jc w:val="both"/>
        <w:rPr>
          <w:rFonts w:ascii="Calibri" w:eastAsia="Calibri" w:hAnsi="Calibri" w:cs="Times New Roman"/>
          <w:i/>
          <w:sz w:val="20"/>
          <w:szCs w:val="20"/>
        </w:rPr>
      </w:pPr>
      <w:r w:rsidRPr="00D35F01">
        <w:rPr>
          <w:rFonts w:ascii="Calibri" w:eastAsia="Calibri" w:hAnsi="Calibri" w:cs="Times New Roman"/>
          <w:b/>
          <w:i/>
          <w:sz w:val="20"/>
          <w:szCs w:val="20"/>
        </w:rPr>
        <w:t>N</w:t>
      </w:r>
      <w:r w:rsidR="00D35F01" w:rsidRPr="00D35F01">
        <w:rPr>
          <w:rFonts w:ascii="Calibri" w:eastAsia="Calibri" w:hAnsi="Calibri" w:cs="Times New Roman"/>
          <w:b/>
          <w:i/>
          <w:sz w:val="20"/>
          <w:szCs w:val="20"/>
        </w:rPr>
        <w:t>ote:</w:t>
      </w:r>
      <w:r w:rsidR="00D35F01">
        <w:rPr>
          <w:rFonts w:ascii="Calibri" w:eastAsia="Calibri" w:hAnsi="Calibri" w:cs="Times New Roman"/>
          <w:i/>
          <w:sz w:val="20"/>
          <w:szCs w:val="20"/>
        </w:rPr>
        <w:t xml:space="preserve"> </w:t>
      </w:r>
      <w:r w:rsidRPr="00151CD0">
        <w:rPr>
          <w:rFonts w:ascii="Calibri" w:eastAsia="Calibri" w:hAnsi="Calibri" w:cs="Times New Roman"/>
          <w:i/>
          <w:sz w:val="20"/>
          <w:szCs w:val="20"/>
        </w:rPr>
        <w:t xml:space="preserve">Table </w:t>
      </w:r>
      <w:r w:rsidR="008544B6">
        <w:rPr>
          <w:rFonts w:ascii="Calibri" w:eastAsia="Calibri" w:hAnsi="Calibri" w:cs="Times New Roman"/>
          <w:i/>
          <w:sz w:val="20"/>
          <w:szCs w:val="20"/>
        </w:rPr>
        <w:t>8</w:t>
      </w:r>
      <w:r w:rsidRPr="00151CD0">
        <w:rPr>
          <w:rFonts w:ascii="Calibri" w:eastAsia="Calibri" w:hAnsi="Calibri" w:cs="Times New Roman"/>
          <w:i/>
          <w:sz w:val="20"/>
          <w:szCs w:val="20"/>
        </w:rPr>
        <w:t xml:space="preserve"> </w:t>
      </w:r>
      <w:r w:rsidR="005703D8">
        <w:rPr>
          <w:rFonts w:ascii="Calibri" w:eastAsia="Calibri" w:hAnsi="Calibri" w:cs="Times New Roman"/>
          <w:i/>
          <w:sz w:val="20"/>
          <w:szCs w:val="20"/>
        </w:rPr>
        <w:t xml:space="preserve">now </w:t>
      </w:r>
      <w:r w:rsidRPr="00151CD0">
        <w:rPr>
          <w:rFonts w:ascii="Calibri" w:eastAsia="Calibri" w:hAnsi="Calibri" w:cs="Times New Roman"/>
          <w:i/>
          <w:sz w:val="20"/>
          <w:szCs w:val="20"/>
        </w:rPr>
        <w:t>use</w:t>
      </w:r>
      <w:r w:rsidR="005703D8">
        <w:rPr>
          <w:rFonts w:ascii="Calibri" w:eastAsia="Calibri" w:hAnsi="Calibri" w:cs="Times New Roman"/>
          <w:i/>
          <w:sz w:val="20"/>
          <w:szCs w:val="20"/>
        </w:rPr>
        <w:t>s</w:t>
      </w:r>
      <w:r w:rsidRPr="00151CD0">
        <w:rPr>
          <w:rFonts w:ascii="Calibri" w:eastAsia="Calibri" w:hAnsi="Calibri" w:cs="Times New Roman"/>
          <w:i/>
          <w:sz w:val="20"/>
          <w:szCs w:val="20"/>
        </w:rPr>
        <w:t xml:space="preserve"> ABS </w:t>
      </w:r>
      <w:proofErr w:type="spellStart"/>
      <w:r w:rsidRPr="00151CD0">
        <w:rPr>
          <w:rFonts w:ascii="Calibri" w:eastAsia="Calibri" w:hAnsi="Calibri" w:cs="Times New Roman"/>
          <w:i/>
          <w:sz w:val="20"/>
          <w:szCs w:val="20"/>
        </w:rPr>
        <w:t>ARR</w:t>
      </w:r>
      <w:proofErr w:type="spellEnd"/>
      <w:r w:rsidRPr="00151CD0">
        <w:rPr>
          <w:rFonts w:ascii="Calibri" w:eastAsia="Calibri" w:hAnsi="Calibri" w:cs="Times New Roman"/>
          <w:i/>
          <w:sz w:val="20"/>
          <w:szCs w:val="20"/>
        </w:rPr>
        <w:t xml:space="preserve">, which </w:t>
      </w:r>
      <w:r w:rsidR="005703D8">
        <w:rPr>
          <w:rFonts w:ascii="Calibri" w:eastAsia="Calibri" w:hAnsi="Calibri" w:cs="Times New Roman"/>
          <w:i/>
          <w:sz w:val="20"/>
          <w:szCs w:val="20"/>
        </w:rPr>
        <w:t>employs</w:t>
      </w:r>
      <w:r w:rsidRPr="00151CD0">
        <w:rPr>
          <w:rFonts w:ascii="Calibri" w:eastAsia="Calibri" w:hAnsi="Calibri" w:cs="Times New Roman"/>
          <w:i/>
          <w:sz w:val="20"/>
          <w:szCs w:val="20"/>
        </w:rPr>
        <w:t xml:space="preserve"> a different methodology to previously reported figures that used </w:t>
      </w:r>
      <w:proofErr w:type="spellStart"/>
      <w:r w:rsidRPr="00151CD0">
        <w:rPr>
          <w:rFonts w:ascii="Calibri" w:eastAsia="Calibri" w:hAnsi="Calibri" w:cs="Times New Roman"/>
          <w:i/>
          <w:sz w:val="20"/>
          <w:szCs w:val="20"/>
        </w:rPr>
        <w:t>DEECD</w:t>
      </w:r>
      <w:proofErr w:type="spellEnd"/>
      <w:r w:rsidRPr="00151CD0">
        <w:rPr>
          <w:rFonts w:ascii="Calibri" w:eastAsia="Calibri" w:hAnsi="Calibri" w:cs="Times New Roman"/>
          <w:i/>
          <w:sz w:val="20"/>
          <w:szCs w:val="20"/>
        </w:rPr>
        <w:t xml:space="preserve"> August Census. The ABS methodology uses FTE student counts and differs in the allocation of students attending multiple schools</w:t>
      </w:r>
      <w:r>
        <w:rPr>
          <w:rFonts w:ascii="Calibri" w:eastAsia="Calibri" w:hAnsi="Calibri" w:cs="Times New Roman"/>
          <w:i/>
          <w:sz w:val="20"/>
          <w:szCs w:val="20"/>
        </w:rPr>
        <w:t>.</w:t>
      </w:r>
    </w:p>
    <w:p w14:paraId="60BAA72B" w14:textId="77777777" w:rsidR="00BA6A85" w:rsidRPr="00D85ACC" w:rsidRDefault="00D85ACC" w:rsidP="00BA6A85">
      <w:pPr>
        <w:rPr>
          <w:i/>
          <w:color w:val="000000"/>
        </w:rPr>
      </w:pPr>
      <w:r w:rsidRPr="00D85ACC">
        <w:rPr>
          <w:i/>
          <w:color w:val="000000"/>
        </w:rPr>
        <w:t>Student attendance</w:t>
      </w:r>
    </w:p>
    <w:p w14:paraId="2B061168" w14:textId="4BDEA84A" w:rsidR="00D85ACC" w:rsidRPr="00D85ACC" w:rsidRDefault="00D85ACC" w:rsidP="00095D55">
      <w:pPr>
        <w:spacing w:after="120"/>
        <w:jc w:val="both"/>
        <w:rPr>
          <w:color w:val="000000"/>
        </w:rPr>
      </w:pPr>
      <w:r w:rsidRPr="00D85ACC">
        <w:rPr>
          <w:color w:val="000000"/>
        </w:rPr>
        <w:t xml:space="preserve">Attendance at school of Indigenous students in early and middle secondary years has remained relatively steady over the last few years but with an increase seen in </w:t>
      </w:r>
      <w:r w:rsidR="00063729">
        <w:rPr>
          <w:color w:val="000000"/>
        </w:rPr>
        <w:t>Y</w:t>
      </w:r>
      <w:r w:rsidRPr="00D85ACC">
        <w:rPr>
          <w:color w:val="000000"/>
        </w:rPr>
        <w:t>ears 7-10 for 2012 (see note below). Attendance of Indigenous students, in comparison to non-Indigenous students, falls off more rapidly from Years 7-10 and, by Year</w:t>
      </w:r>
      <w:r w:rsidR="00063729">
        <w:rPr>
          <w:color w:val="000000"/>
        </w:rPr>
        <w:t xml:space="preserve"> </w:t>
      </w:r>
      <w:r w:rsidRPr="00D85ACC">
        <w:rPr>
          <w:color w:val="000000"/>
        </w:rPr>
        <w:t xml:space="preserve">10 is </w:t>
      </w:r>
      <w:r w:rsidR="00063729">
        <w:rPr>
          <w:color w:val="000000"/>
        </w:rPr>
        <w:t>nine</w:t>
      </w:r>
      <w:r w:rsidR="00063729" w:rsidRPr="00D85ACC">
        <w:rPr>
          <w:color w:val="000000"/>
        </w:rPr>
        <w:t xml:space="preserve"> </w:t>
      </w:r>
      <w:r w:rsidR="00B41338">
        <w:rPr>
          <w:color w:val="000000"/>
        </w:rPr>
        <w:t>percentage points lower</w:t>
      </w:r>
      <w:r w:rsidR="008544B6">
        <w:rPr>
          <w:color w:val="000000"/>
        </w:rPr>
        <w:t xml:space="preserve"> (Table 9</w:t>
      </w:r>
      <w:r w:rsidR="001676EC">
        <w:rPr>
          <w:color w:val="000000"/>
        </w:rPr>
        <w:t>)</w:t>
      </w:r>
      <w:r w:rsidR="00B41338">
        <w:rPr>
          <w:color w:val="000000"/>
        </w:rPr>
        <w:t>.</w:t>
      </w:r>
    </w:p>
    <w:p w14:paraId="22D68971" w14:textId="0C02425A" w:rsidR="00D85ACC" w:rsidRPr="00D85ACC" w:rsidRDefault="004F1B7A" w:rsidP="00592A44">
      <w:pPr>
        <w:pStyle w:val="Heading4"/>
      </w:pPr>
      <w:r>
        <w:t>Table 9</w:t>
      </w:r>
      <w:r w:rsidR="00D85ACC" w:rsidRPr="00D85ACC">
        <w:t>: Per cent attendance for FTE students, Indigenous and non-Indigenous, in Victorian Government Schools, 2008-2012, Years 7-10 (Preliminary)</w:t>
      </w:r>
    </w:p>
    <w:tbl>
      <w:tblPr>
        <w:tblW w:w="4907" w:type="pct"/>
        <w:tblInd w:w="108" w:type="dxa"/>
        <w:tblCellMar>
          <w:left w:w="0" w:type="dxa"/>
          <w:right w:w="0" w:type="dxa"/>
        </w:tblCellMar>
        <w:tblLook w:val="04A0" w:firstRow="1" w:lastRow="0" w:firstColumn="1" w:lastColumn="0" w:noHBand="0" w:noVBand="1"/>
      </w:tblPr>
      <w:tblGrid>
        <w:gridCol w:w="2295"/>
        <w:gridCol w:w="1902"/>
        <w:gridCol w:w="1135"/>
        <w:gridCol w:w="1135"/>
        <w:gridCol w:w="1135"/>
        <w:gridCol w:w="1135"/>
        <w:gridCol w:w="949"/>
      </w:tblGrid>
      <w:tr w:rsidR="00D85ACC" w:rsidRPr="00D85ACC" w14:paraId="45D6F074" w14:textId="77777777" w:rsidTr="00C9696A">
        <w:trPr>
          <w:trHeight w:val="272"/>
        </w:trPr>
        <w:tc>
          <w:tcPr>
            <w:tcW w:w="1184" w:type="pct"/>
            <w:tcBorders>
              <w:top w:val="single" w:sz="8" w:space="0" w:color="auto"/>
              <w:left w:val="single" w:sz="8" w:space="0" w:color="auto"/>
              <w:bottom w:val="single" w:sz="8" w:space="0" w:color="auto"/>
              <w:right w:val="nil"/>
            </w:tcBorders>
            <w:shd w:val="clear" w:color="auto" w:fill="D6E3BC" w:themeFill="accent3" w:themeFillTint="66"/>
            <w:noWrap/>
            <w:tcMar>
              <w:top w:w="0" w:type="dxa"/>
              <w:left w:w="108" w:type="dxa"/>
              <w:bottom w:w="0" w:type="dxa"/>
              <w:right w:w="108" w:type="dxa"/>
            </w:tcMar>
            <w:vAlign w:val="bottom"/>
            <w:hideMark/>
          </w:tcPr>
          <w:p w14:paraId="1B63728B" w14:textId="726A8678" w:rsidR="00D85ACC" w:rsidRPr="00D85ACC" w:rsidRDefault="00D85ACC" w:rsidP="008E0F35">
            <w:pPr>
              <w:keepNext/>
              <w:contextualSpacing/>
              <w:jc w:val="center"/>
              <w:rPr>
                <w:rFonts w:cs="Calibri"/>
                <w:b/>
                <w:bCs/>
                <w:color w:val="000000"/>
                <w:sz w:val="20"/>
                <w:szCs w:val="20"/>
              </w:rPr>
            </w:pPr>
            <w:r w:rsidRPr="00D85ACC">
              <w:rPr>
                <w:rFonts w:cs="Calibri"/>
                <w:b/>
                <w:bCs/>
                <w:sz w:val="20"/>
                <w:szCs w:val="20"/>
              </w:rPr>
              <w:t>Cohort</w:t>
            </w:r>
          </w:p>
        </w:tc>
        <w:tc>
          <w:tcPr>
            <w:tcW w:w="982" w:type="pct"/>
            <w:tcBorders>
              <w:top w:val="single" w:sz="8" w:space="0" w:color="auto"/>
              <w:left w:val="nil"/>
              <w:bottom w:val="single" w:sz="8" w:space="0" w:color="auto"/>
              <w:right w:val="single" w:sz="8" w:space="0" w:color="auto"/>
            </w:tcBorders>
            <w:shd w:val="clear" w:color="auto" w:fill="D6E3BC" w:themeFill="accent3" w:themeFillTint="66"/>
            <w:noWrap/>
            <w:tcMar>
              <w:top w:w="0" w:type="dxa"/>
              <w:left w:w="108" w:type="dxa"/>
              <w:bottom w:w="0" w:type="dxa"/>
              <w:right w:w="108" w:type="dxa"/>
            </w:tcMar>
            <w:vAlign w:val="bottom"/>
            <w:hideMark/>
          </w:tcPr>
          <w:p w14:paraId="512E04B4" w14:textId="77777777" w:rsidR="00D85ACC" w:rsidRPr="00D85ACC" w:rsidRDefault="00D85ACC" w:rsidP="00B4249C">
            <w:pPr>
              <w:keepNext/>
              <w:ind w:left="360"/>
              <w:contextualSpacing/>
              <w:rPr>
                <w:rFonts w:cs="Calibri"/>
                <w:b/>
                <w:bCs/>
                <w:color w:val="000000"/>
                <w:sz w:val="20"/>
                <w:szCs w:val="20"/>
              </w:rPr>
            </w:pPr>
            <w:r w:rsidRPr="00D85ACC">
              <w:rPr>
                <w:rFonts w:cs="Calibri"/>
                <w:b/>
                <w:bCs/>
                <w:sz w:val="20"/>
                <w:szCs w:val="20"/>
              </w:rPr>
              <w:t> </w:t>
            </w:r>
          </w:p>
        </w:tc>
        <w:tc>
          <w:tcPr>
            <w:tcW w:w="586" w:type="pct"/>
            <w:tcBorders>
              <w:top w:val="single" w:sz="8" w:space="0" w:color="auto"/>
              <w:left w:val="nil"/>
              <w:bottom w:val="single" w:sz="8" w:space="0" w:color="auto"/>
              <w:right w:val="nil"/>
            </w:tcBorders>
            <w:shd w:val="clear" w:color="auto" w:fill="D6E3BC" w:themeFill="accent3" w:themeFillTint="66"/>
            <w:noWrap/>
            <w:tcMar>
              <w:top w:w="0" w:type="dxa"/>
              <w:left w:w="108" w:type="dxa"/>
              <w:bottom w:w="0" w:type="dxa"/>
              <w:right w:w="108" w:type="dxa"/>
            </w:tcMar>
            <w:vAlign w:val="bottom"/>
            <w:hideMark/>
          </w:tcPr>
          <w:p w14:paraId="6D774ECC" w14:textId="77777777" w:rsidR="00D85ACC" w:rsidRPr="00D85ACC" w:rsidRDefault="00D85ACC" w:rsidP="00AA1063">
            <w:pPr>
              <w:keepNext/>
              <w:ind w:left="158"/>
              <w:contextualSpacing/>
              <w:jc w:val="center"/>
              <w:rPr>
                <w:rFonts w:cs="Calibri"/>
                <w:b/>
                <w:bCs/>
                <w:color w:val="000000"/>
                <w:sz w:val="20"/>
                <w:szCs w:val="20"/>
              </w:rPr>
            </w:pPr>
            <w:r w:rsidRPr="00D85ACC">
              <w:rPr>
                <w:rFonts w:cs="Calibri"/>
                <w:b/>
                <w:bCs/>
                <w:sz w:val="20"/>
                <w:szCs w:val="20"/>
              </w:rPr>
              <w:t>2008</w:t>
            </w:r>
          </w:p>
        </w:tc>
        <w:tc>
          <w:tcPr>
            <w:tcW w:w="586" w:type="pct"/>
            <w:tcBorders>
              <w:top w:val="single" w:sz="8" w:space="0" w:color="auto"/>
              <w:left w:val="nil"/>
              <w:bottom w:val="single" w:sz="8" w:space="0" w:color="auto"/>
              <w:right w:val="nil"/>
            </w:tcBorders>
            <w:shd w:val="clear" w:color="auto" w:fill="D6E3BC" w:themeFill="accent3" w:themeFillTint="66"/>
            <w:noWrap/>
            <w:tcMar>
              <w:top w:w="0" w:type="dxa"/>
              <w:left w:w="108" w:type="dxa"/>
              <w:bottom w:w="0" w:type="dxa"/>
              <w:right w:w="108" w:type="dxa"/>
            </w:tcMar>
            <w:vAlign w:val="bottom"/>
            <w:hideMark/>
          </w:tcPr>
          <w:p w14:paraId="1516C70C" w14:textId="77777777" w:rsidR="00D85ACC" w:rsidRPr="00D85ACC" w:rsidRDefault="00D85ACC" w:rsidP="00AA1063">
            <w:pPr>
              <w:keepNext/>
              <w:ind w:left="158"/>
              <w:contextualSpacing/>
              <w:jc w:val="center"/>
              <w:rPr>
                <w:rFonts w:cs="Calibri"/>
                <w:b/>
                <w:bCs/>
                <w:color w:val="000000"/>
                <w:sz w:val="20"/>
                <w:szCs w:val="20"/>
              </w:rPr>
            </w:pPr>
            <w:r w:rsidRPr="00D85ACC">
              <w:rPr>
                <w:rFonts w:cs="Calibri"/>
                <w:b/>
                <w:bCs/>
                <w:sz w:val="20"/>
                <w:szCs w:val="20"/>
              </w:rPr>
              <w:t>2009</w:t>
            </w:r>
          </w:p>
        </w:tc>
        <w:tc>
          <w:tcPr>
            <w:tcW w:w="586" w:type="pct"/>
            <w:tcBorders>
              <w:top w:val="single" w:sz="8" w:space="0" w:color="auto"/>
              <w:left w:val="nil"/>
              <w:bottom w:val="single" w:sz="8" w:space="0" w:color="auto"/>
              <w:right w:val="nil"/>
            </w:tcBorders>
            <w:shd w:val="clear" w:color="auto" w:fill="D6E3BC" w:themeFill="accent3" w:themeFillTint="66"/>
            <w:noWrap/>
            <w:tcMar>
              <w:top w:w="0" w:type="dxa"/>
              <w:left w:w="108" w:type="dxa"/>
              <w:bottom w:w="0" w:type="dxa"/>
              <w:right w:w="108" w:type="dxa"/>
            </w:tcMar>
            <w:vAlign w:val="bottom"/>
            <w:hideMark/>
          </w:tcPr>
          <w:p w14:paraId="25DED03B" w14:textId="77777777" w:rsidR="00D85ACC" w:rsidRPr="00D85ACC" w:rsidRDefault="00D85ACC" w:rsidP="00AA1063">
            <w:pPr>
              <w:keepNext/>
              <w:ind w:left="158"/>
              <w:contextualSpacing/>
              <w:jc w:val="center"/>
              <w:rPr>
                <w:rFonts w:cs="Calibri"/>
                <w:b/>
                <w:bCs/>
                <w:color w:val="000000"/>
                <w:sz w:val="20"/>
                <w:szCs w:val="20"/>
              </w:rPr>
            </w:pPr>
            <w:r w:rsidRPr="00D85ACC">
              <w:rPr>
                <w:rFonts w:cs="Calibri"/>
                <w:b/>
                <w:bCs/>
                <w:sz w:val="20"/>
                <w:szCs w:val="20"/>
              </w:rPr>
              <w:t>2010</w:t>
            </w:r>
          </w:p>
        </w:tc>
        <w:tc>
          <w:tcPr>
            <w:tcW w:w="586" w:type="pct"/>
            <w:tcBorders>
              <w:top w:val="single" w:sz="8" w:space="0" w:color="auto"/>
              <w:left w:val="nil"/>
              <w:bottom w:val="single" w:sz="8" w:space="0" w:color="auto"/>
              <w:right w:val="single" w:sz="8" w:space="0" w:color="auto"/>
            </w:tcBorders>
            <w:shd w:val="clear" w:color="auto" w:fill="D6E3BC" w:themeFill="accent3" w:themeFillTint="66"/>
            <w:noWrap/>
            <w:tcMar>
              <w:top w:w="0" w:type="dxa"/>
              <w:left w:w="108" w:type="dxa"/>
              <w:bottom w:w="0" w:type="dxa"/>
              <w:right w:w="108" w:type="dxa"/>
            </w:tcMar>
            <w:vAlign w:val="bottom"/>
            <w:hideMark/>
          </w:tcPr>
          <w:p w14:paraId="6FE73C1A" w14:textId="77777777" w:rsidR="00D85ACC" w:rsidRPr="00D85ACC" w:rsidRDefault="00D85ACC" w:rsidP="00AA1063">
            <w:pPr>
              <w:keepNext/>
              <w:ind w:left="158"/>
              <w:contextualSpacing/>
              <w:jc w:val="center"/>
              <w:rPr>
                <w:rFonts w:cs="Calibri"/>
                <w:b/>
                <w:bCs/>
                <w:color w:val="000000"/>
                <w:sz w:val="20"/>
                <w:szCs w:val="20"/>
              </w:rPr>
            </w:pPr>
            <w:r w:rsidRPr="00D85ACC">
              <w:rPr>
                <w:rFonts w:cs="Calibri"/>
                <w:b/>
                <w:bCs/>
                <w:sz w:val="20"/>
                <w:szCs w:val="20"/>
              </w:rPr>
              <w:t>2011</w:t>
            </w:r>
          </w:p>
        </w:tc>
        <w:tc>
          <w:tcPr>
            <w:tcW w:w="491" w:type="pct"/>
            <w:tcBorders>
              <w:top w:val="single" w:sz="8" w:space="0" w:color="auto"/>
              <w:left w:val="nil"/>
              <w:bottom w:val="single" w:sz="8" w:space="0" w:color="auto"/>
              <w:right w:val="single" w:sz="8" w:space="0" w:color="auto"/>
            </w:tcBorders>
            <w:shd w:val="clear" w:color="auto" w:fill="D6E3BC" w:themeFill="accent3" w:themeFillTint="66"/>
          </w:tcPr>
          <w:p w14:paraId="14F99507" w14:textId="77777777" w:rsidR="00D85ACC" w:rsidRPr="00D85ACC" w:rsidRDefault="00D85ACC" w:rsidP="00AA1063">
            <w:pPr>
              <w:keepNext/>
              <w:ind w:left="158"/>
              <w:contextualSpacing/>
              <w:jc w:val="center"/>
              <w:rPr>
                <w:rFonts w:cs="Calibri"/>
                <w:b/>
                <w:bCs/>
                <w:sz w:val="20"/>
                <w:szCs w:val="20"/>
              </w:rPr>
            </w:pPr>
            <w:r w:rsidRPr="00D85ACC">
              <w:rPr>
                <w:rFonts w:cs="Calibri"/>
                <w:b/>
                <w:bCs/>
                <w:sz w:val="20"/>
                <w:szCs w:val="20"/>
              </w:rPr>
              <w:t>2012</w:t>
            </w:r>
          </w:p>
        </w:tc>
      </w:tr>
      <w:tr w:rsidR="00D85ACC" w:rsidRPr="00D85ACC" w14:paraId="1BD4BB21" w14:textId="77777777" w:rsidTr="00C9696A">
        <w:trPr>
          <w:trHeight w:val="272"/>
        </w:trPr>
        <w:tc>
          <w:tcPr>
            <w:tcW w:w="1184" w:type="pct"/>
            <w:tcBorders>
              <w:top w:val="single" w:sz="8" w:space="0" w:color="auto"/>
              <w:left w:val="single" w:sz="8" w:space="0" w:color="auto"/>
              <w:bottom w:val="nil"/>
              <w:right w:val="nil"/>
            </w:tcBorders>
            <w:shd w:val="clear" w:color="auto" w:fill="D9D9D9"/>
            <w:noWrap/>
            <w:tcMar>
              <w:top w:w="0" w:type="dxa"/>
              <w:left w:w="108" w:type="dxa"/>
              <w:bottom w:w="0" w:type="dxa"/>
              <w:right w:w="108" w:type="dxa"/>
            </w:tcMar>
            <w:vAlign w:val="bottom"/>
            <w:hideMark/>
          </w:tcPr>
          <w:p w14:paraId="61D373D8" w14:textId="77777777" w:rsidR="00D85ACC" w:rsidRPr="00D85ACC" w:rsidRDefault="00D85ACC" w:rsidP="00B4249C">
            <w:pPr>
              <w:keepNext/>
              <w:ind w:left="360"/>
              <w:contextualSpacing/>
              <w:rPr>
                <w:rFonts w:cs="Calibri"/>
                <w:b/>
                <w:bCs/>
                <w:color w:val="000000"/>
                <w:sz w:val="20"/>
                <w:szCs w:val="20"/>
              </w:rPr>
            </w:pPr>
            <w:r w:rsidRPr="00D85ACC">
              <w:rPr>
                <w:rFonts w:cs="Calibri"/>
                <w:b/>
                <w:bCs/>
                <w:sz w:val="20"/>
                <w:szCs w:val="20"/>
              </w:rPr>
              <w:t>Indigenous </w:t>
            </w:r>
          </w:p>
        </w:tc>
        <w:tc>
          <w:tcPr>
            <w:tcW w:w="982" w:type="pct"/>
            <w:tcBorders>
              <w:top w:val="single" w:sz="8" w:space="0" w:color="auto"/>
              <w:left w:val="nil"/>
              <w:bottom w:val="nil"/>
              <w:right w:val="single" w:sz="8" w:space="0" w:color="auto"/>
            </w:tcBorders>
            <w:shd w:val="clear" w:color="auto" w:fill="D9D9D9"/>
            <w:noWrap/>
            <w:tcMar>
              <w:top w:w="0" w:type="dxa"/>
              <w:left w:w="108" w:type="dxa"/>
              <w:bottom w:w="0" w:type="dxa"/>
              <w:right w:w="108" w:type="dxa"/>
            </w:tcMar>
            <w:vAlign w:val="bottom"/>
            <w:hideMark/>
          </w:tcPr>
          <w:p w14:paraId="08102048" w14:textId="77777777" w:rsidR="00D85ACC" w:rsidRPr="00D85ACC" w:rsidRDefault="00D85ACC" w:rsidP="00B4249C">
            <w:pPr>
              <w:keepNext/>
              <w:ind w:left="360"/>
              <w:contextualSpacing/>
              <w:rPr>
                <w:rFonts w:cs="Calibri"/>
                <w:b/>
                <w:bCs/>
                <w:color w:val="000000"/>
                <w:sz w:val="20"/>
                <w:szCs w:val="20"/>
              </w:rPr>
            </w:pPr>
            <w:r w:rsidRPr="00D85ACC">
              <w:rPr>
                <w:rFonts w:cs="Calibri"/>
                <w:b/>
                <w:bCs/>
                <w:sz w:val="20"/>
                <w:szCs w:val="20"/>
              </w:rPr>
              <w:t>Year 7</w:t>
            </w:r>
          </w:p>
        </w:tc>
        <w:tc>
          <w:tcPr>
            <w:tcW w:w="586" w:type="pct"/>
            <w:shd w:val="clear" w:color="auto" w:fill="auto"/>
            <w:noWrap/>
            <w:tcMar>
              <w:top w:w="0" w:type="dxa"/>
              <w:left w:w="108" w:type="dxa"/>
              <w:bottom w:w="0" w:type="dxa"/>
              <w:right w:w="108" w:type="dxa"/>
            </w:tcMar>
            <w:vAlign w:val="bottom"/>
            <w:hideMark/>
          </w:tcPr>
          <w:p w14:paraId="6DB31277" w14:textId="77777777" w:rsidR="00D85ACC" w:rsidRPr="00D85ACC" w:rsidRDefault="00D85ACC" w:rsidP="00AA1063">
            <w:pPr>
              <w:keepNext/>
              <w:ind w:left="158"/>
              <w:contextualSpacing/>
              <w:jc w:val="center"/>
              <w:rPr>
                <w:rFonts w:cs="Calibri"/>
                <w:color w:val="000000"/>
                <w:sz w:val="20"/>
                <w:szCs w:val="20"/>
              </w:rPr>
            </w:pPr>
            <w:r w:rsidRPr="00D85ACC">
              <w:rPr>
                <w:rFonts w:cs="Calibri"/>
                <w:sz w:val="20"/>
                <w:szCs w:val="20"/>
              </w:rPr>
              <w:t>86</w:t>
            </w:r>
          </w:p>
        </w:tc>
        <w:tc>
          <w:tcPr>
            <w:tcW w:w="586" w:type="pct"/>
            <w:shd w:val="clear" w:color="auto" w:fill="auto"/>
            <w:noWrap/>
            <w:tcMar>
              <w:top w:w="0" w:type="dxa"/>
              <w:left w:w="108" w:type="dxa"/>
              <w:bottom w:w="0" w:type="dxa"/>
              <w:right w:w="108" w:type="dxa"/>
            </w:tcMar>
            <w:vAlign w:val="bottom"/>
            <w:hideMark/>
          </w:tcPr>
          <w:p w14:paraId="09D854CC" w14:textId="77777777" w:rsidR="00D85ACC" w:rsidRPr="00D85ACC" w:rsidRDefault="00D85ACC" w:rsidP="00AA1063">
            <w:pPr>
              <w:keepNext/>
              <w:ind w:left="158"/>
              <w:contextualSpacing/>
              <w:jc w:val="center"/>
              <w:rPr>
                <w:rFonts w:cs="Calibri"/>
                <w:color w:val="000000"/>
                <w:sz w:val="20"/>
                <w:szCs w:val="20"/>
              </w:rPr>
            </w:pPr>
            <w:r w:rsidRPr="00D85ACC">
              <w:rPr>
                <w:rFonts w:cs="Calibri"/>
                <w:sz w:val="20"/>
                <w:szCs w:val="20"/>
              </w:rPr>
              <w:t>86</w:t>
            </w:r>
          </w:p>
        </w:tc>
        <w:tc>
          <w:tcPr>
            <w:tcW w:w="586" w:type="pct"/>
            <w:shd w:val="clear" w:color="auto" w:fill="auto"/>
            <w:noWrap/>
            <w:tcMar>
              <w:top w:w="0" w:type="dxa"/>
              <w:left w:w="108" w:type="dxa"/>
              <w:bottom w:w="0" w:type="dxa"/>
              <w:right w:w="108" w:type="dxa"/>
            </w:tcMar>
            <w:vAlign w:val="bottom"/>
            <w:hideMark/>
          </w:tcPr>
          <w:p w14:paraId="4B39C96F" w14:textId="77777777" w:rsidR="00D85ACC" w:rsidRPr="00D85ACC" w:rsidRDefault="00D85ACC" w:rsidP="00AA1063">
            <w:pPr>
              <w:keepNext/>
              <w:ind w:left="158"/>
              <w:contextualSpacing/>
              <w:jc w:val="center"/>
              <w:rPr>
                <w:rFonts w:cs="Calibri"/>
                <w:color w:val="000000"/>
                <w:sz w:val="20"/>
                <w:szCs w:val="20"/>
              </w:rPr>
            </w:pPr>
            <w:r w:rsidRPr="00D85ACC">
              <w:rPr>
                <w:rFonts w:cs="Calibri"/>
                <w:color w:val="000000"/>
                <w:sz w:val="20"/>
                <w:szCs w:val="20"/>
              </w:rPr>
              <w:t>87</w:t>
            </w:r>
          </w:p>
        </w:tc>
        <w:tc>
          <w:tcPr>
            <w:tcW w:w="586" w:type="pct"/>
            <w:tcBorders>
              <w:top w:val="nil"/>
              <w:left w:val="nil"/>
              <w:bottom w:val="nil"/>
              <w:right w:val="single" w:sz="8" w:space="0" w:color="auto"/>
            </w:tcBorders>
            <w:shd w:val="clear" w:color="auto" w:fill="auto"/>
            <w:noWrap/>
            <w:tcMar>
              <w:top w:w="0" w:type="dxa"/>
              <w:left w:w="108" w:type="dxa"/>
              <w:bottom w:w="0" w:type="dxa"/>
              <w:right w:w="108" w:type="dxa"/>
            </w:tcMar>
            <w:hideMark/>
          </w:tcPr>
          <w:p w14:paraId="02F1916D" w14:textId="77777777" w:rsidR="00D85ACC" w:rsidRPr="00D85ACC" w:rsidRDefault="00D85ACC" w:rsidP="00AA1063">
            <w:pPr>
              <w:keepNext/>
              <w:ind w:left="158"/>
              <w:contextualSpacing/>
              <w:jc w:val="center"/>
              <w:rPr>
                <w:rFonts w:cs="Calibri"/>
                <w:color w:val="000000"/>
                <w:sz w:val="20"/>
                <w:szCs w:val="20"/>
              </w:rPr>
            </w:pPr>
            <w:r w:rsidRPr="00D85ACC">
              <w:rPr>
                <w:rFonts w:cs="Calibri"/>
                <w:color w:val="000000"/>
                <w:sz w:val="20"/>
                <w:szCs w:val="20"/>
              </w:rPr>
              <w:t>87</w:t>
            </w:r>
          </w:p>
        </w:tc>
        <w:tc>
          <w:tcPr>
            <w:tcW w:w="491" w:type="pct"/>
            <w:tcBorders>
              <w:top w:val="nil"/>
              <w:left w:val="nil"/>
              <w:bottom w:val="nil"/>
              <w:right w:val="single" w:sz="8" w:space="0" w:color="auto"/>
            </w:tcBorders>
          </w:tcPr>
          <w:p w14:paraId="0864BDDF" w14:textId="77777777" w:rsidR="00D85ACC" w:rsidRPr="00D85ACC" w:rsidRDefault="00D85ACC" w:rsidP="00AA1063">
            <w:pPr>
              <w:keepNext/>
              <w:ind w:left="158"/>
              <w:contextualSpacing/>
              <w:jc w:val="center"/>
              <w:rPr>
                <w:rFonts w:cs="Calibri"/>
                <w:color w:val="000000"/>
                <w:sz w:val="20"/>
                <w:szCs w:val="20"/>
              </w:rPr>
            </w:pPr>
            <w:r w:rsidRPr="00D85ACC">
              <w:rPr>
                <w:rFonts w:cs="Calibri"/>
                <w:color w:val="000000"/>
                <w:sz w:val="20"/>
                <w:szCs w:val="20"/>
              </w:rPr>
              <w:t>89</w:t>
            </w:r>
          </w:p>
        </w:tc>
      </w:tr>
      <w:tr w:rsidR="00D85ACC" w:rsidRPr="00D85ACC" w14:paraId="48AFE04B" w14:textId="77777777" w:rsidTr="00C9696A">
        <w:trPr>
          <w:trHeight w:val="272"/>
        </w:trPr>
        <w:tc>
          <w:tcPr>
            <w:tcW w:w="1184" w:type="pct"/>
            <w:tcBorders>
              <w:top w:val="nil"/>
              <w:left w:val="single" w:sz="8" w:space="0" w:color="auto"/>
              <w:bottom w:val="nil"/>
              <w:right w:val="nil"/>
            </w:tcBorders>
            <w:shd w:val="clear" w:color="auto" w:fill="D9D9D9"/>
            <w:noWrap/>
            <w:tcMar>
              <w:top w:w="0" w:type="dxa"/>
              <w:left w:w="108" w:type="dxa"/>
              <w:bottom w:w="0" w:type="dxa"/>
              <w:right w:w="108" w:type="dxa"/>
            </w:tcMar>
            <w:vAlign w:val="bottom"/>
            <w:hideMark/>
          </w:tcPr>
          <w:p w14:paraId="4B1BA46A" w14:textId="77777777" w:rsidR="00D85ACC" w:rsidRPr="00D85ACC" w:rsidRDefault="00D85ACC" w:rsidP="00B4249C">
            <w:pPr>
              <w:keepNext/>
              <w:ind w:left="360"/>
              <w:contextualSpacing/>
              <w:rPr>
                <w:rFonts w:cs="Calibri"/>
                <w:b/>
                <w:bCs/>
                <w:color w:val="000000"/>
                <w:sz w:val="20"/>
                <w:szCs w:val="20"/>
              </w:rPr>
            </w:pPr>
            <w:r w:rsidRPr="00D85ACC">
              <w:rPr>
                <w:rFonts w:cs="Calibri"/>
                <w:b/>
                <w:bCs/>
                <w:sz w:val="20"/>
                <w:szCs w:val="20"/>
              </w:rPr>
              <w:t> </w:t>
            </w:r>
          </w:p>
        </w:tc>
        <w:tc>
          <w:tcPr>
            <w:tcW w:w="982" w:type="pct"/>
            <w:tcBorders>
              <w:top w:val="nil"/>
              <w:left w:val="nil"/>
              <w:bottom w:val="nil"/>
              <w:right w:val="single" w:sz="8" w:space="0" w:color="auto"/>
            </w:tcBorders>
            <w:shd w:val="clear" w:color="auto" w:fill="D9D9D9"/>
            <w:noWrap/>
            <w:tcMar>
              <w:top w:w="0" w:type="dxa"/>
              <w:left w:w="108" w:type="dxa"/>
              <w:bottom w:w="0" w:type="dxa"/>
              <w:right w:w="108" w:type="dxa"/>
            </w:tcMar>
            <w:vAlign w:val="bottom"/>
            <w:hideMark/>
          </w:tcPr>
          <w:p w14:paraId="7E7F5361" w14:textId="77777777" w:rsidR="00D85ACC" w:rsidRPr="00D85ACC" w:rsidRDefault="00D85ACC" w:rsidP="00B4249C">
            <w:pPr>
              <w:keepNext/>
              <w:ind w:left="360"/>
              <w:contextualSpacing/>
              <w:rPr>
                <w:rFonts w:cs="Calibri"/>
                <w:b/>
                <w:bCs/>
                <w:color w:val="000000"/>
                <w:sz w:val="20"/>
                <w:szCs w:val="20"/>
              </w:rPr>
            </w:pPr>
            <w:r w:rsidRPr="00D85ACC">
              <w:rPr>
                <w:rFonts w:cs="Calibri"/>
                <w:b/>
                <w:bCs/>
                <w:sz w:val="20"/>
                <w:szCs w:val="20"/>
              </w:rPr>
              <w:t>Year 8</w:t>
            </w:r>
          </w:p>
        </w:tc>
        <w:tc>
          <w:tcPr>
            <w:tcW w:w="586" w:type="pct"/>
            <w:shd w:val="clear" w:color="auto" w:fill="auto"/>
            <w:noWrap/>
            <w:tcMar>
              <w:top w:w="0" w:type="dxa"/>
              <w:left w:w="108" w:type="dxa"/>
              <w:bottom w:w="0" w:type="dxa"/>
              <w:right w:w="108" w:type="dxa"/>
            </w:tcMar>
            <w:vAlign w:val="bottom"/>
            <w:hideMark/>
          </w:tcPr>
          <w:p w14:paraId="75AEA2CD" w14:textId="77777777" w:rsidR="00D85ACC" w:rsidRPr="00D85ACC" w:rsidRDefault="00D85ACC" w:rsidP="00AA1063">
            <w:pPr>
              <w:keepNext/>
              <w:ind w:left="158"/>
              <w:contextualSpacing/>
              <w:jc w:val="center"/>
              <w:rPr>
                <w:rFonts w:cs="Calibri"/>
                <w:color w:val="000000"/>
                <w:sz w:val="20"/>
                <w:szCs w:val="20"/>
              </w:rPr>
            </w:pPr>
            <w:r w:rsidRPr="00D85ACC">
              <w:rPr>
                <w:rFonts w:cs="Calibri"/>
                <w:sz w:val="20"/>
                <w:szCs w:val="20"/>
              </w:rPr>
              <w:t>85</w:t>
            </w:r>
          </w:p>
        </w:tc>
        <w:tc>
          <w:tcPr>
            <w:tcW w:w="586" w:type="pct"/>
            <w:shd w:val="clear" w:color="auto" w:fill="auto"/>
            <w:noWrap/>
            <w:tcMar>
              <w:top w:w="0" w:type="dxa"/>
              <w:left w:w="108" w:type="dxa"/>
              <w:bottom w:w="0" w:type="dxa"/>
              <w:right w:w="108" w:type="dxa"/>
            </w:tcMar>
            <w:vAlign w:val="bottom"/>
            <w:hideMark/>
          </w:tcPr>
          <w:p w14:paraId="47A88856" w14:textId="77777777" w:rsidR="00D85ACC" w:rsidRPr="00D85ACC" w:rsidRDefault="00D85ACC" w:rsidP="00AA1063">
            <w:pPr>
              <w:keepNext/>
              <w:ind w:left="158"/>
              <w:contextualSpacing/>
              <w:jc w:val="center"/>
              <w:rPr>
                <w:rFonts w:cs="Calibri"/>
                <w:color w:val="000000"/>
                <w:sz w:val="20"/>
                <w:szCs w:val="20"/>
              </w:rPr>
            </w:pPr>
            <w:r w:rsidRPr="00D85ACC">
              <w:rPr>
                <w:rFonts w:cs="Calibri"/>
                <w:sz w:val="20"/>
                <w:szCs w:val="20"/>
              </w:rPr>
              <w:t>82</w:t>
            </w:r>
          </w:p>
        </w:tc>
        <w:tc>
          <w:tcPr>
            <w:tcW w:w="586" w:type="pct"/>
            <w:shd w:val="clear" w:color="auto" w:fill="auto"/>
            <w:noWrap/>
            <w:tcMar>
              <w:top w:w="0" w:type="dxa"/>
              <w:left w:w="108" w:type="dxa"/>
              <w:bottom w:w="0" w:type="dxa"/>
              <w:right w:w="108" w:type="dxa"/>
            </w:tcMar>
            <w:vAlign w:val="bottom"/>
            <w:hideMark/>
          </w:tcPr>
          <w:p w14:paraId="27831A71" w14:textId="77777777" w:rsidR="00D85ACC" w:rsidRPr="00D85ACC" w:rsidRDefault="00D85ACC" w:rsidP="00AA1063">
            <w:pPr>
              <w:keepNext/>
              <w:ind w:left="158"/>
              <w:contextualSpacing/>
              <w:jc w:val="center"/>
              <w:rPr>
                <w:rFonts w:cs="Calibri"/>
                <w:color w:val="000000"/>
                <w:sz w:val="20"/>
                <w:szCs w:val="20"/>
              </w:rPr>
            </w:pPr>
            <w:r w:rsidRPr="00D85ACC">
              <w:rPr>
                <w:rFonts w:cs="Calibri"/>
                <w:color w:val="000000"/>
                <w:sz w:val="20"/>
                <w:szCs w:val="20"/>
              </w:rPr>
              <w:t>82</w:t>
            </w:r>
          </w:p>
        </w:tc>
        <w:tc>
          <w:tcPr>
            <w:tcW w:w="586" w:type="pct"/>
            <w:tcBorders>
              <w:top w:val="nil"/>
              <w:left w:val="nil"/>
              <w:bottom w:val="nil"/>
              <w:right w:val="single" w:sz="8" w:space="0" w:color="auto"/>
            </w:tcBorders>
            <w:shd w:val="clear" w:color="auto" w:fill="auto"/>
            <w:noWrap/>
            <w:tcMar>
              <w:top w:w="0" w:type="dxa"/>
              <w:left w:w="108" w:type="dxa"/>
              <w:bottom w:w="0" w:type="dxa"/>
              <w:right w:w="108" w:type="dxa"/>
            </w:tcMar>
            <w:hideMark/>
          </w:tcPr>
          <w:p w14:paraId="6B9A3AAA" w14:textId="77777777" w:rsidR="00D85ACC" w:rsidRPr="00D85ACC" w:rsidRDefault="00D85ACC" w:rsidP="00AA1063">
            <w:pPr>
              <w:keepNext/>
              <w:ind w:left="158"/>
              <w:contextualSpacing/>
              <w:jc w:val="center"/>
              <w:rPr>
                <w:rFonts w:cs="Calibri"/>
                <w:color w:val="000000"/>
                <w:sz w:val="20"/>
                <w:szCs w:val="20"/>
              </w:rPr>
            </w:pPr>
            <w:r w:rsidRPr="00D85ACC">
              <w:rPr>
                <w:rFonts w:cs="Calibri"/>
                <w:color w:val="000000"/>
                <w:sz w:val="20"/>
                <w:szCs w:val="20"/>
              </w:rPr>
              <w:t>82</w:t>
            </w:r>
          </w:p>
        </w:tc>
        <w:tc>
          <w:tcPr>
            <w:tcW w:w="491" w:type="pct"/>
            <w:tcBorders>
              <w:top w:val="nil"/>
              <w:left w:val="nil"/>
              <w:bottom w:val="nil"/>
              <w:right w:val="single" w:sz="8" w:space="0" w:color="auto"/>
            </w:tcBorders>
          </w:tcPr>
          <w:p w14:paraId="16C96EE4" w14:textId="77777777" w:rsidR="00D85ACC" w:rsidRPr="00D85ACC" w:rsidRDefault="00D85ACC" w:rsidP="00AA1063">
            <w:pPr>
              <w:keepNext/>
              <w:ind w:left="158"/>
              <w:contextualSpacing/>
              <w:jc w:val="center"/>
              <w:rPr>
                <w:rFonts w:cs="Calibri"/>
                <w:color w:val="000000"/>
                <w:sz w:val="20"/>
                <w:szCs w:val="20"/>
              </w:rPr>
            </w:pPr>
            <w:r w:rsidRPr="00D85ACC">
              <w:rPr>
                <w:rFonts w:cs="Calibri"/>
                <w:color w:val="000000"/>
                <w:sz w:val="20"/>
                <w:szCs w:val="20"/>
              </w:rPr>
              <w:t>85</w:t>
            </w:r>
          </w:p>
        </w:tc>
      </w:tr>
      <w:tr w:rsidR="00D85ACC" w:rsidRPr="00D85ACC" w14:paraId="7AEEB921" w14:textId="77777777" w:rsidTr="00C9696A">
        <w:trPr>
          <w:trHeight w:val="272"/>
        </w:trPr>
        <w:tc>
          <w:tcPr>
            <w:tcW w:w="1184" w:type="pct"/>
            <w:tcBorders>
              <w:top w:val="nil"/>
              <w:left w:val="single" w:sz="8" w:space="0" w:color="auto"/>
              <w:bottom w:val="nil"/>
              <w:right w:val="nil"/>
            </w:tcBorders>
            <w:shd w:val="clear" w:color="auto" w:fill="D9D9D9"/>
            <w:noWrap/>
            <w:tcMar>
              <w:top w:w="0" w:type="dxa"/>
              <w:left w:w="108" w:type="dxa"/>
              <w:bottom w:w="0" w:type="dxa"/>
              <w:right w:w="108" w:type="dxa"/>
            </w:tcMar>
            <w:vAlign w:val="bottom"/>
            <w:hideMark/>
          </w:tcPr>
          <w:p w14:paraId="1E3C7151" w14:textId="77777777" w:rsidR="00D85ACC" w:rsidRPr="00D85ACC" w:rsidRDefault="00D85ACC" w:rsidP="00AA1063">
            <w:pPr>
              <w:keepNext/>
              <w:ind w:left="1201"/>
              <w:contextualSpacing/>
              <w:rPr>
                <w:rFonts w:cs="Calibri"/>
                <w:b/>
                <w:bCs/>
                <w:color w:val="000000"/>
                <w:sz w:val="20"/>
                <w:szCs w:val="20"/>
              </w:rPr>
            </w:pPr>
            <w:r w:rsidRPr="00D85ACC">
              <w:rPr>
                <w:rFonts w:cs="Calibri"/>
                <w:b/>
                <w:bCs/>
                <w:sz w:val="20"/>
                <w:szCs w:val="20"/>
              </w:rPr>
              <w:t> </w:t>
            </w:r>
          </w:p>
        </w:tc>
        <w:tc>
          <w:tcPr>
            <w:tcW w:w="982" w:type="pct"/>
            <w:tcBorders>
              <w:top w:val="nil"/>
              <w:left w:val="nil"/>
              <w:bottom w:val="nil"/>
              <w:right w:val="single" w:sz="8" w:space="0" w:color="auto"/>
            </w:tcBorders>
            <w:shd w:val="clear" w:color="auto" w:fill="D9D9D9"/>
            <w:noWrap/>
            <w:tcMar>
              <w:top w:w="0" w:type="dxa"/>
              <w:left w:w="108" w:type="dxa"/>
              <w:bottom w:w="0" w:type="dxa"/>
              <w:right w:w="108" w:type="dxa"/>
            </w:tcMar>
            <w:vAlign w:val="bottom"/>
            <w:hideMark/>
          </w:tcPr>
          <w:p w14:paraId="0FD402A0" w14:textId="77777777" w:rsidR="00D85ACC" w:rsidRPr="00D85ACC" w:rsidRDefault="00D85ACC" w:rsidP="00B4249C">
            <w:pPr>
              <w:keepNext/>
              <w:ind w:left="360"/>
              <w:contextualSpacing/>
              <w:rPr>
                <w:rFonts w:cs="Calibri"/>
                <w:b/>
                <w:bCs/>
                <w:color w:val="000000"/>
                <w:sz w:val="20"/>
                <w:szCs w:val="20"/>
              </w:rPr>
            </w:pPr>
            <w:r w:rsidRPr="00D85ACC">
              <w:rPr>
                <w:rFonts w:cs="Calibri"/>
                <w:b/>
                <w:bCs/>
                <w:sz w:val="20"/>
                <w:szCs w:val="20"/>
              </w:rPr>
              <w:t>Year 9</w:t>
            </w:r>
          </w:p>
        </w:tc>
        <w:tc>
          <w:tcPr>
            <w:tcW w:w="586" w:type="pct"/>
            <w:shd w:val="clear" w:color="auto" w:fill="auto"/>
            <w:noWrap/>
            <w:tcMar>
              <w:top w:w="0" w:type="dxa"/>
              <w:left w:w="108" w:type="dxa"/>
              <w:bottom w:w="0" w:type="dxa"/>
              <w:right w:w="108" w:type="dxa"/>
            </w:tcMar>
            <w:vAlign w:val="bottom"/>
            <w:hideMark/>
          </w:tcPr>
          <w:p w14:paraId="53757191" w14:textId="77777777" w:rsidR="00D85ACC" w:rsidRPr="00D85ACC" w:rsidRDefault="00D85ACC" w:rsidP="00AA1063">
            <w:pPr>
              <w:keepNext/>
              <w:ind w:left="158"/>
              <w:contextualSpacing/>
              <w:jc w:val="center"/>
              <w:rPr>
                <w:rFonts w:cs="Calibri"/>
                <w:color w:val="000000"/>
                <w:sz w:val="20"/>
                <w:szCs w:val="20"/>
              </w:rPr>
            </w:pPr>
            <w:r w:rsidRPr="00D85ACC">
              <w:rPr>
                <w:rFonts w:cs="Calibri"/>
                <w:sz w:val="20"/>
                <w:szCs w:val="20"/>
              </w:rPr>
              <w:t>82</w:t>
            </w:r>
          </w:p>
        </w:tc>
        <w:tc>
          <w:tcPr>
            <w:tcW w:w="586" w:type="pct"/>
            <w:shd w:val="clear" w:color="auto" w:fill="auto"/>
            <w:noWrap/>
            <w:tcMar>
              <w:top w:w="0" w:type="dxa"/>
              <w:left w:w="108" w:type="dxa"/>
              <w:bottom w:w="0" w:type="dxa"/>
              <w:right w:w="108" w:type="dxa"/>
            </w:tcMar>
            <w:vAlign w:val="bottom"/>
            <w:hideMark/>
          </w:tcPr>
          <w:p w14:paraId="5B929F6A" w14:textId="77777777" w:rsidR="00D85ACC" w:rsidRPr="00D85ACC" w:rsidRDefault="00D85ACC" w:rsidP="00AA1063">
            <w:pPr>
              <w:keepNext/>
              <w:ind w:left="158"/>
              <w:contextualSpacing/>
              <w:jc w:val="center"/>
              <w:rPr>
                <w:rFonts w:cs="Calibri"/>
                <w:color w:val="000000"/>
                <w:sz w:val="20"/>
                <w:szCs w:val="20"/>
              </w:rPr>
            </w:pPr>
            <w:r w:rsidRPr="00D85ACC">
              <w:rPr>
                <w:rFonts w:cs="Calibri"/>
                <w:sz w:val="20"/>
                <w:szCs w:val="20"/>
              </w:rPr>
              <w:t>81</w:t>
            </w:r>
          </w:p>
        </w:tc>
        <w:tc>
          <w:tcPr>
            <w:tcW w:w="586" w:type="pct"/>
            <w:shd w:val="clear" w:color="auto" w:fill="auto"/>
            <w:noWrap/>
            <w:tcMar>
              <w:top w:w="0" w:type="dxa"/>
              <w:left w:w="108" w:type="dxa"/>
              <w:bottom w:w="0" w:type="dxa"/>
              <w:right w:w="108" w:type="dxa"/>
            </w:tcMar>
            <w:vAlign w:val="bottom"/>
            <w:hideMark/>
          </w:tcPr>
          <w:p w14:paraId="22FA9A40" w14:textId="77777777" w:rsidR="00D85ACC" w:rsidRPr="00D85ACC" w:rsidRDefault="00D85ACC" w:rsidP="00AA1063">
            <w:pPr>
              <w:keepNext/>
              <w:ind w:left="158"/>
              <w:contextualSpacing/>
              <w:jc w:val="center"/>
              <w:rPr>
                <w:rFonts w:cs="Calibri"/>
                <w:color w:val="000000"/>
                <w:sz w:val="20"/>
                <w:szCs w:val="20"/>
              </w:rPr>
            </w:pPr>
            <w:r w:rsidRPr="00D85ACC">
              <w:rPr>
                <w:rFonts w:cs="Calibri"/>
                <w:color w:val="000000"/>
                <w:sz w:val="20"/>
                <w:szCs w:val="20"/>
              </w:rPr>
              <w:t>81</w:t>
            </w:r>
          </w:p>
        </w:tc>
        <w:tc>
          <w:tcPr>
            <w:tcW w:w="586" w:type="pct"/>
            <w:tcBorders>
              <w:top w:val="nil"/>
              <w:left w:val="nil"/>
              <w:bottom w:val="nil"/>
              <w:right w:val="single" w:sz="8" w:space="0" w:color="auto"/>
            </w:tcBorders>
            <w:shd w:val="clear" w:color="auto" w:fill="auto"/>
            <w:noWrap/>
            <w:tcMar>
              <w:top w:w="0" w:type="dxa"/>
              <w:left w:w="108" w:type="dxa"/>
              <w:bottom w:w="0" w:type="dxa"/>
              <w:right w:w="108" w:type="dxa"/>
            </w:tcMar>
            <w:hideMark/>
          </w:tcPr>
          <w:p w14:paraId="02FC3C94" w14:textId="77777777" w:rsidR="00D85ACC" w:rsidRPr="00D85ACC" w:rsidRDefault="00D85ACC" w:rsidP="00AA1063">
            <w:pPr>
              <w:keepNext/>
              <w:ind w:left="158"/>
              <w:contextualSpacing/>
              <w:jc w:val="center"/>
              <w:rPr>
                <w:rFonts w:cs="Calibri"/>
                <w:color w:val="000000"/>
                <w:sz w:val="20"/>
                <w:szCs w:val="20"/>
              </w:rPr>
            </w:pPr>
            <w:r w:rsidRPr="00D85ACC">
              <w:rPr>
                <w:rFonts w:cs="Calibri"/>
                <w:color w:val="000000"/>
                <w:sz w:val="20"/>
                <w:szCs w:val="20"/>
              </w:rPr>
              <w:t>80</w:t>
            </w:r>
          </w:p>
        </w:tc>
        <w:tc>
          <w:tcPr>
            <w:tcW w:w="491" w:type="pct"/>
            <w:tcBorders>
              <w:top w:val="nil"/>
              <w:left w:val="nil"/>
              <w:bottom w:val="nil"/>
              <w:right w:val="single" w:sz="8" w:space="0" w:color="auto"/>
            </w:tcBorders>
          </w:tcPr>
          <w:p w14:paraId="21ACBD81" w14:textId="77777777" w:rsidR="00D85ACC" w:rsidRPr="00D85ACC" w:rsidRDefault="00D85ACC" w:rsidP="00AA1063">
            <w:pPr>
              <w:keepNext/>
              <w:ind w:left="158"/>
              <w:contextualSpacing/>
              <w:jc w:val="center"/>
              <w:rPr>
                <w:rFonts w:cs="Calibri"/>
                <w:color w:val="000000"/>
                <w:sz w:val="20"/>
                <w:szCs w:val="20"/>
              </w:rPr>
            </w:pPr>
            <w:r w:rsidRPr="00D85ACC">
              <w:rPr>
                <w:rFonts w:cs="Calibri"/>
                <w:color w:val="000000"/>
                <w:sz w:val="20"/>
                <w:szCs w:val="20"/>
              </w:rPr>
              <w:t>84</w:t>
            </w:r>
          </w:p>
        </w:tc>
      </w:tr>
      <w:tr w:rsidR="00D85ACC" w:rsidRPr="00D85ACC" w14:paraId="38AA0E9B" w14:textId="77777777" w:rsidTr="00C9696A">
        <w:trPr>
          <w:trHeight w:val="272"/>
        </w:trPr>
        <w:tc>
          <w:tcPr>
            <w:tcW w:w="1184" w:type="pct"/>
            <w:tcBorders>
              <w:top w:val="nil"/>
              <w:left w:val="single" w:sz="8" w:space="0" w:color="auto"/>
              <w:bottom w:val="nil"/>
              <w:right w:val="nil"/>
            </w:tcBorders>
            <w:shd w:val="clear" w:color="auto" w:fill="D9D9D9"/>
            <w:noWrap/>
            <w:tcMar>
              <w:top w:w="0" w:type="dxa"/>
              <w:left w:w="108" w:type="dxa"/>
              <w:bottom w:w="0" w:type="dxa"/>
              <w:right w:w="108" w:type="dxa"/>
            </w:tcMar>
            <w:vAlign w:val="bottom"/>
            <w:hideMark/>
          </w:tcPr>
          <w:p w14:paraId="334131D5" w14:textId="77777777" w:rsidR="00D85ACC" w:rsidRPr="00D85ACC" w:rsidRDefault="00D85ACC" w:rsidP="00B4249C">
            <w:pPr>
              <w:keepNext/>
              <w:ind w:left="360"/>
              <w:contextualSpacing/>
              <w:rPr>
                <w:rFonts w:cs="Calibri"/>
                <w:b/>
                <w:bCs/>
                <w:color w:val="000000"/>
                <w:sz w:val="20"/>
                <w:szCs w:val="20"/>
              </w:rPr>
            </w:pPr>
            <w:r w:rsidRPr="00D85ACC">
              <w:rPr>
                <w:rFonts w:cs="Calibri"/>
                <w:b/>
                <w:bCs/>
                <w:sz w:val="20"/>
                <w:szCs w:val="20"/>
              </w:rPr>
              <w:t> </w:t>
            </w:r>
          </w:p>
        </w:tc>
        <w:tc>
          <w:tcPr>
            <w:tcW w:w="982" w:type="pct"/>
            <w:tcBorders>
              <w:top w:val="nil"/>
              <w:left w:val="nil"/>
              <w:bottom w:val="single" w:sz="8" w:space="0" w:color="auto"/>
              <w:right w:val="single" w:sz="8" w:space="0" w:color="auto"/>
            </w:tcBorders>
            <w:shd w:val="clear" w:color="auto" w:fill="D9D9D9"/>
            <w:noWrap/>
            <w:tcMar>
              <w:top w:w="0" w:type="dxa"/>
              <w:left w:w="108" w:type="dxa"/>
              <w:bottom w:w="0" w:type="dxa"/>
              <w:right w:w="108" w:type="dxa"/>
            </w:tcMar>
            <w:vAlign w:val="bottom"/>
            <w:hideMark/>
          </w:tcPr>
          <w:p w14:paraId="6721822E" w14:textId="77777777" w:rsidR="00D85ACC" w:rsidRPr="00D85ACC" w:rsidRDefault="00D85ACC" w:rsidP="00B4249C">
            <w:pPr>
              <w:keepNext/>
              <w:ind w:left="360"/>
              <w:contextualSpacing/>
              <w:rPr>
                <w:rFonts w:cs="Calibri"/>
                <w:b/>
                <w:bCs/>
                <w:color w:val="000000"/>
                <w:sz w:val="20"/>
                <w:szCs w:val="20"/>
              </w:rPr>
            </w:pPr>
            <w:r w:rsidRPr="00D85ACC">
              <w:rPr>
                <w:rFonts w:cs="Calibri"/>
                <w:b/>
                <w:bCs/>
                <w:sz w:val="20"/>
                <w:szCs w:val="20"/>
              </w:rPr>
              <w:t>Year 10</w:t>
            </w:r>
          </w:p>
        </w:tc>
        <w:tc>
          <w:tcPr>
            <w:tcW w:w="586" w:type="pct"/>
            <w:tcBorders>
              <w:top w:val="nil"/>
              <w:left w:val="nil"/>
              <w:bottom w:val="single" w:sz="8" w:space="0" w:color="auto"/>
              <w:right w:val="nil"/>
            </w:tcBorders>
            <w:shd w:val="clear" w:color="auto" w:fill="auto"/>
            <w:noWrap/>
            <w:tcMar>
              <w:top w:w="0" w:type="dxa"/>
              <w:left w:w="108" w:type="dxa"/>
              <w:bottom w:w="0" w:type="dxa"/>
              <w:right w:w="108" w:type="dxa"/>
            </w:tcMar>
            <w:vAlign w:val="bottom"/>
            <w:hideMark/>
          </w:tcPr>
          <w:p w14:paraId="0B8C1BB2" w14:textId="77777777" w:rsidR="00D85ACC" w:rsidRPr="00D85ACC" w:rsidRDefault="00D85ACC" w:rsidP="00AA1063">
            <w:pPr>
              <w:keepNext/>
              <w:ind w:left="158"/>
              <w:contextualSpacing/>
              <w:jc w:val="center"/>
              <w:rPr>
                <w:rFonts w:cs="Calibri"/>
                <w:color w:val="000000"/>
                <w:sz w:val="20"/>
                <w:szCs w:val="20"/>
              </w:rPr>
            </w:pPr>
            <w:r w:rsidRPr="00D85ACC">
              <w:rPr>
                <w:rFonts w:cs="Calibri"/>
                <w:sz w:val="20"/>
                <w:szCs w:val="20"/>
              </w:rPr>
              <w:t>82</w:t>
            </w:r>
          </w:p>
        </w:tc>
        <w:tc>
          <w:tcPr>
            <w:tcW w:w="586" w:type="pct"/>
            <w:tcBorders>
              <w:top w:val="nil"/>
              <w:left w:val="nil"/>
              <w:bottom w:val="single" w:sz="8" w:space="0" w:color="auto"/>
              <w:right w:val="nil"/>
            </w:tcBorders>
            <w:shd w:val="clear" w:color="auto" w:fill="auto"/>
            <w:noWrap/>
            <w:tcMar>
              <w:top w:w="0" w:type="dxa"/>
              <w:left w:w="108" w:type="dxa"/>
              <w:bottom w:w="0" w:type="dxa"/>
              <w:right w:w="108" w:type="dxa"/>
            </w:tcMar>
            <w:vAlign w:val="bottom"/>
            <w:hideMark/>
          </w:tcPr>
          <w:p w14:paraId="190F2E3E" w14:textId="77777777" w:rsidR="00D85ACC" w:rsidRPr="00D85ACC" w:rsidRDefault="00D85ACC" w:rsidP="00AA1063">
            <w:pPr>
              <w:keepNext/>
              <w:ind w:left="158"/>
              <w:contextualSpacing/>
              <w:jc w:val="center"/>
              <w:rPr>
                <w:rFonts w:cs="Calibri"/>
                <w:color w:val="000000"/>
                <w:sz w:val="20"/>
                <w:szCs w:val="20"/>
              </w:rPr>
            </w:pPr>
            <w:r w:rsidRPr="00D85ACC">
              <w:rPr>
                <w:rFonts w:cs="Calibri"/>
                <w:sz w:val="20"/>
                <w:szCs w:val="20"/>
              </w:rPr>
              <w:t>81</w:t>
            </w:r>
          </w:p>
        </w:tc>
        <w:tc>
          <w:tcPr>
            <w:tcW w:w="586" w:type="pct"/>
            <w:tcBorders>
              <w:top w:val="nil"/>
              <w:left w:val="nil"/>
              <w:bottom w:val="single" w:sz="8" w:space="0" w:color="auto"/>
              <w:right w:val="nil"/>
            </w:tcBorders>
            <w:shd w:val="clear" w:color="auto" w:fill="auto"/>
            <w:noWrap/>
            <w:tcMar>
              <w:top w:w="0" w:type="dxa"/>
              <w:left w:w="108" w:type="dxa"/>
              <w:bottom w:w="0" w:type="dxa"/>
              <w:right w:w="108" w:type="dxa"/>
            </w:tcMar>
            <w:vAlign w:val="bottom"/>
            <w:hideMark/>
          </w:tcPr>
          <w:p w14:paraId="766DCB4D" w14:textId="77777777" w:rsidR="00D85ACC" w:rsidRPr="00D85ACC" w:rsidRDefault="00D85ACC" w:rsidP="00AA1063">
            <w:pPr>
              <w:keepNext/>
              <w:ind w:left="158"/>
              <w:contextualSpacing/>
              <w:jc w:val="center"/>
              <w:rPr>
                <w:rFonts w:cs="Calibri"/>
                <w:color w:val="000000"/>
                <w:sz w:val="20"/>
                <w:szCs w:val="20"/>
              </w:rPr>
            </w:pPr>
            <w:r w:rsidRPr="00D85ACC">
              <w:rPr>
                <w:rFonts w:cs="Calibri"/>
                <w:color w:val="000000"/>
                <w:sz w:val="20"/>
                <w:szCs w:val="20"/>
              </w:rPr>
              <w:t>80</w:t>
            </w:r>
          </w:p>
        </w:tc>
        <w:tc>
          <w:tcPr>
            <w:tcW w:w="586"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14:paraId="6D1D2D73" w14:textId="77777777" w:rsidR="00D85ACC" w:rsidRPr="00D85ACC" w:rsidRDefault="00D85ACC" w:rsidP="00AA1063">
            <w:pPr>
              <w:keepNext/>
              <w:ind w:left="158"/>
              <w:contextualSpacing/>
              <w:jc w:val="center"/>
              <w:rPr>
                <w:rFonts w:cs="Calibri"/>
                <w:color w:val="000000"/>
                <w:sz w:val="20"/>
                <w:szCs w:val="20"/>
              </w:rPr>
            </w:pPr>
            <w:r w:rsidRPr="00D85ACC">
              <w:rPr>
                <w:rFonts w:cs="Calibri"/>
                <w:color w:val="000000"/>
                <w:sz w:val="20"/>
                <w:szCs w:val="20"/>
              </w:rPr>
              <w:t>79</w:t>
            </w:r>
          </w:p>
        </w:tc>
        <w:tc>
          <w:tcPr>
            <w:tcW w:w="491" w:type="pct"/>
            <w:tcBorders>
              <w:top w:val="nil"/>
              <w:left w:val="nil"/>
              <w:bottom w:val="single" w:sz="8" w:space="0" w:color="auto"/>
              <w:right w:val="single" w:sz="8" w:space="0" w:color="auto"/>
            </w:tcBorders>
          </w:tcPr>
          <w:p w14:paraId="136584F3" w14:textId="77777777" w:rsidR="00D85ACC" w:rsidRPr="00D85ACC" w:rsidRDefault="00D85ACC" w:rsidP="00AA1063">
            <w:pPr>
              <w:keepNext/>
              <w:ind w:left="158"/>
              <w:contextualSpacing/>
              <w:jc w:val="center"/>
              <w:rPr>
                <w:rFonts w:cs="Calibri"/>
                <w:color w:val="000000"/>
                <w:sz w:val="20"/>
                <w:szCs w:val="20"/>
              </w:rPr>
            </w:pPr>
            <w:r w:rsidRPr="00D85ACC">
              <w:rPr>
                <w:rFonts w:cs="Calibri"/>
                <w:color w:val="000000"/>
                <w:sz w:val="20"/>
                <w:szCs w:val="20"/>
              </w:rPr>
              <w:t>83</w:t>
            </w:r>
          </w:p>
        </w:tc>
      </w:tr>
      <w:tr w:rsidR="00D85ACC" w:rsidRPr="00D85ACC" w14:paraId="643C5633" w14:textId="77777777" w:rsidTr="00C9696A">
        <w:trPr>
          <w:trHeight w:val="272"/>
        </w:trPr>
        <w:tc>
          <w:tcPr>
            <w:tcW w:w="1184" w:type="pct"/>
            <w:tcBorders>
              <w:top w:val="nil"/>
              <w:left w:val="single" w:sz="8" w:space="0" w:color="auto"/>
              <w:bottom w:val="nil"/>
              <w:right w:val="nil"/>
            </w:tcBorders>
            <w:shd w:val="clear" w:color="auto" w:fill="D9D9D9"/>
            <w:noWrap/>
            <w:tcMar>
              <w:top w:w="0" w:type="dxa"/>
              <w:left w:w="108" w:type="dxa"/>
              <w:bottom w:w="0" w:type="dxa"/>
              <w:right w:w="108" w:type="dxa"/>
            </w:tcMar>
            <w:vAlign w:val="bottom"/>
            <w:hideMark/>
          </w:tcPr>
          <w:p w14:paraId="6EFF3037" w14:textId="77777777" w:rsidR="00D85ACC" w:rsidRPr="00D85ACC" w:rsidRDefault="00D85ACC" w:rsidP="00B4249C">
            <w:pPr>
              <w:ind w:left="360"/>
              <w:contextualSpacing/>
              <w:rPr>
                <w:rFonts w:cs="Calibri"/>
                <w:b/>
                <w:bCs/>
                <w:color w:val="000000"/>
                <w:sz w:val="20"/>
                <w:szCs w:val="20"/>
              </w:rPr>
            </w:pPr>
            <w:r w:rsidRPr="00D85ACC">
              <w:rPr>
                <w:rFonts w:cs="Calibri"/>
                <w:b/>
                <w:bCs/>
                <w:sz w:val="20"/>
                <w:szCs w:val="20"/>
              </w:rPr>
              <w:t>Non-Indigenous</w:t>
            </w:r>
          </w:p>
        </w:tc>
        <w:tc>
          <w:tcPr>
            <w:tcW w:w="982" w:type="pct"/>
            <w:tcBorders>
              <w:top w:val="nil"/>
              <w:left w:val="nil"/>
              <w:bottom w:val="nil"/>
              <w:right w:val="single" w:sz="8" w:space="0" w:color="auto"/>
            </w:tcBorders>
            <w:shd w:val="clear" w:color="auto" w:fill="D9D9D9"/>
            <w:noWrap/>
            <w:tcMar>
              <w:top w:w="0" w:type="dxa"/>
              <w:left w:w="108" w:type="dxa"/>
              <w:bottom w:w="0" w:type="dxa"/>
              <w:right w:w="108" w:type="dxa"/>
            </w:tcMar>
            <w:vAlign w:val="bottom"/>
            <w:hideMark/>
          </w:tcPr>
          <w:p w14:paraId="4EE99B00" w14:textId="77777777" w:rsidR="00D85ACC" w:rsidRPr="00D85ACC" w:rsidRDefault="00D85ACC" w:rsidP="00B4249C">
            <w:pPr>
              <w:ind w:left="360"/>
              <w:contextualSpacing/>
              <w:rPr>
                <w:rFonts w:cs="Calibri"/>
                <w:b/>
                <w:bCs/>
                <w:color w:val="000000"/>
                <w:sz w:val="20"/>
                <w:szCs w:val="20"/>
              </w:rPr>
            </w:pPr>
            <w:r w:rsidRPr="00D85ACC">
              <w:rPr>
                <w:rFonts w:cs="Calibri"/>
                <w:b/>
                <w:bCs/>
                <w:sz w:val="20"/>
                <w:szCs w:val="20"/>
              </w:rPr>
              <w:t>Year 7</w:t>
            </w:r>
          </w:p>
        </w:tc>
        <w:tc>
          <w:tcPr>
            <w:tcW w:w="586" w:type="pct"/>
            <w:shd w:val="clear" w:color="auto" w:fill="auto"/>
            <w:noWrap/>
            <w:tcMar>
              <w:top w:w="0" w:type="dxa"/>
              <w:left w:w="108" w:type="dxa"/>
              <w:bottom w:w="0" w:type="dxa"/>
              <w:right w:w="108" w:type="dxa"/>
            </w:tcMar>
            <w:vAlign w:val="bottom"/>
            <w:hideMark/>
          </w:tcPr>
          <w:p w14:paraId="72EC33ED" w14:textId="77777777" w:rsidR="00D85ACC" w:rsidRPr="00D85ACC" w:rsidRDefault="00D85ACC" w:rsidP="00AA1063">
            <w:pPr>
              <w:ind w:left="158"/>
              <w:contextualSpacing/>
              <w:jc w:val="center"/>
              <w:rPr>
                <w:rFonts w:cs="Calibri"/>
                <w:color w:val="000000"/>
                <w:sz w:val="20"/>
                <w:szCs w:val="20"/>
              </w:rPr>
            </w:pPr>
            <w:r w:rsidRPr="00D85ACC">
              <w:rPr>
                <w:rFonts w:cs="Calibri"/>
                <w:sz w:val="20"/>
                <w:szCs w:val="20"/>
              </w:rPr>
              <w:t>94</w:t>
            </w:r>
          </w:p>
        </w:tc>
        <w:tc>
          <w:tcPr>
            <w:tcW w:w="586" w:type="pct"/>
            <w:shd w:val="clear" w:color="auto" w:fill="auto"/>
            <w:noWrap/>
            <w:tcMar>
              <w:top w:w="0" w:type="dxa"/>
              <w:left w:w="108" w:type="dxa"/>
              <w:bottom w:w="0" w:type="dxa"/>
              <w:right w:w="108" w:type="dxa"/>
            </w:tcMar>
            <w:vAlign w:val="bottom"/>
            <w:hideMark/>
          </w:tcPr>
          <w:p w14:paraId="6A90FEA3" w14:textId="77777777" w:rsidR="00D85ACC" w:rsidRPr="00D85ACC" w:rsidRDefault="00D85ACC" w:rsidP="00AA1063">
            <w:pPr>
              <w:ind w:left="158"/>
              <w:contextualSpacing/>
              <w:jc w:val="center"/>
              <w:rPr>
                <w:rFonts w:cs="Calibri"/>
                <w:color w:val="000000"/>
                <w:sz w:val="20"/>
                <w:szCs w:val="20"/>
              </w:rPr>
            </w:pPr>
            <w:r w:rsidRPr="00D85ACC">
              <w:rPr>
                <w:rFonts w:cs="Calibri"/>
                <w:sz w:val="20"/>
                <w:szCs w:val="20"/>
              </w:rPr>
              <w:t>93</w:t>
            </w:r>
          </w:p>
        </w:tc>
        <w:tc>
          <w:tcPr>
            <w:tcW w:w="586" w:type="pct"/>
            <w:shd w:val="clear" w:color="auto" w:fill="auto"/>
            <w:noWrap/>
            <w:tcMar>
              <w:top w:w="0" w:type="dxa"/>
              <w:left w:w="108" w:type="dxa"/>
              <w:bottom w:w="0" w:type="dxa"/>
              <w:right w:w="108" w:type="dxa"/>
            </w:tcMar>
            <w:vAlign w:val="bottom"/>
            <w:hideMark/>
          </w:tcPr>
          <w:p w14:paraId="57859080" w14:textId="77777777" w:rsidR="00D85ACC" w:rsidRPr="00D85ACC" w:rsidRDefault="00D85ACC" w:rsidP="00AA1063">
            <w:pPr>
              <w:ind w:left="158"/>
              <w:contextualSpacing/>
              <w:jc w:val="center"/>
              <w:rPr>
                <w:rFonts w:cs="Calibri"/>
                <w:color w:val="000000"/>
                <w:sz w:val="20"/>
                <w:szCs w:val="20"/>
              </w:rPr>
            </w:pPr>
            <w:r w:rsidRPr="00D85ACC">
              <w:rPr>
                <w:rFonts w:cs="Calibri"/>
                <w:sz w:val="20"/>
                <w:szCs w:val="20"/>
              </w:rPr>
              <w:t>93</w:t>
            </w:r>
          </w:p>
        </w:tc>
        <w:tc>
          <w:tcPr>
            <w:tcW w:w="586" w:type="pct"/>
            <w:tcBorders>
              <w:top w:val="nil"/>
              <w:left w:val="nil"/>
              <w:bottom w:val="nil"/>
              <w:right w:val="single" w:sz="8" w:space="0" w:color="auto"/>
            </w:tcBorders>
            <w:shd w:val="clear" w:color="auto" w:fill="auto"/>
            <w:noWrap/>
            <w:tcMar>
              <w:top w:w="0" w:type="dxa"/>
              <w:left w:w="108" w:type="dxa"/>
              <w:bottom w:w="0" w:type="dxa"/>
              <w:right w:w="108" w:type="dxa"/>
            </w:tcMar>
            <w:hideMark/>
          </w:tcPr>
          <w:p w14:paraId="3A055DCF" w14:textId="77777777" w:rsidR="00D85ACC" w:rsidRPr="00D85ACC" w:rsidRDefault="00D85ACC" w:rsidP="00AA1063">
            <w:pPr>
              <w:ind w:left="158"/>
              <w:contextualSpacing/>
              <w:jc w:val="center"/>
              <w:rPr>
                <w:rFonts w:cs="Calibri"/>
                <w:color w:val="000000"/>
                <w:sz w:val="20"/>
                <w:szCs w:val="20"/>
              </w:rPr>
            </w:pPr>
            <w:r w:rsidRPr="00D85ACC">
              <w:rPr>
                <w:rFonts w:cs="Calibri"/>
                <w:color w:val="000000"/>
                <w:sz w:val="20"/>
                <w:szCs w:val="20"/>
              </w:rPr>
              <w:t>93</w:t>
            </w:r>
          </w:p>
        </w:tc>
        <w:tc>
          <w:tcPr>
            <w:tcW w:w="491" w:type="pct"/>
            <w:tcBorders>
              <w:top w:val="nil"/>
              <w:left w:val="nil"/>
              <w:bottom w:val="nil"/>
              <w:right w:val="single" w:sz="8" w:space="0" w:color="auto"/>
            </w:tcBorders>
          </w:tcPr>
          <w:p w14:paraId="7AECA9D5" w14:textId="77777777" w:rsidR="00D85ACC" w:rsidRPr="00D85ACC" w:rsidRDefault="00D85ACC" w:rsidP="00AA1063">
            <w:pPr>
              <w:ind w:left="158"/>
              <w:contextualSpacing/>
              <w:jc w:val="center"/>
              <w:rPr>
                <w:rFonts w:cs="Calibri"/>
                <w:color w:val="000000"/>
                <w:sz w:val="20"/>
                <w:szCs w:val="20"/>
              </w:rPr>
            </w:pPr>
            <w:r w:rsidRPr="00D85ACC">
              <w:rPr>
                <w:rFonts w:cs="Calibri"/>
                <w:color w:val="000000"/>
                <w:sz w:val="20"/>
                <w:szCs w:val="20"/>
              </w:rPr>
              <w:t>94</w:t>
            </w:r>
          </w:p>
        </w:tc>
      </w:tr>
      <w:tr w:rsidR="00D85ACC" w:rsidRPr="00D85ACC" w14:paraId="10236424" w14:textId="77777777" w:rsidTr="00C9696A">
        <w:trPr>
          <w:trHeight w:val="272"/>
        </w:trPr>
        <w:tc>
          <w:tcPr>
            <w:tcW w:w="1184" w:type="pct"/>
            <w:tcBorders>
              <w:top w:val="nil"/>
              <w:left w:val="single" w:sz="8" w:space="0" w:color="auto"/>
              <w:bottom w:val="nil"/>
              <w:right w:val="nil"/>
            </w:tcBorders>
            <w:shd w:val="clear" w:color="auto" w:fill="D9D9D9"/>
            <w:noWrap/>
            <w:tcMar>
              <w:top w:w="0" w:type="dxa"/>
              <w:left w:w="108" w:type="dxa"/>
              <w:bottom w:w="0" w:type="dxa"/>
              <w:right w:w="108" w:type="dxa"/>
            </w:tcMar>
            <w:vAlign w:val="bottom"/>
            <w:hideMark/>
          </w:tcPr>
          <w:p w14:paraId="79C3CC19" w14:textId="77777777" w:rsidR="00D85ACC" w:rsidRPr="00D85ACC" w:rsidRDefault="00D85ACC" w:rsidP="00B4249C">
            <w:pPr>
              <w:ind w:left="360"/>
              <w:contextualSpacing/>
              <w:rPr>
                <w:rFonts w:cs="Calibri"/>
                <w:b/>
                <w:bCs/>
                <w:color w:val="000000"/>
                <w:sz w:val="20"/>
                <w:szCs w:val="20"/>
              </w:rPr>
            </w:pPr>
            <w:r w:rsidRPr="00D85ACC">
              <w:rPr>
                <w:rFonts w:cs="Calibri"/>
                <w:b/>
                <w:bCs/>
                <w:sz w:val="20"/>
                <w:szCs w:val="20"/>
              </w:rPr>
              <w:t> </w:t>
            </w:r>
          </w:p>
        </w:tc>
        <w:tc>
          <w:tcPr>
            <w:tcW w:w="982" w:type="pct"/>
            <w:tcBorders>
              <w:top w:val="nil"/>
              <w:left w:val="nil"/>
              <w:bottom w:val="nil"/>
              <w:right w:val="single" w:sz="8" w:space="0" w:color="auto"/>
            </w:tcBorders>
            <w:shd w:val="clear" w:color="auto" w:fill="D9D9D9"/>
            <w:noWrap/>
            <w:tcMar>
              <w:top w:w="0" w:type="dxa"/>
              <w:left w:w="108" w:type="dxa"/>
              <w:bottom w:w="0" w:type="dxa"/>
              <w:right w:w="108" w:type="dxa"/>
            </w:tcMar>
            <w:vAlign w:val="bottom"/>
            <w:hideMark/>
          </w:tcPr>
          <w:p w14:paraId="6779D8A9" w14:textId="77777777" w:rsidR="00D85ACC" w:rsidRPr="00D85ACC" w:rsidRDefault="00D85ACC" w:rsidP="00B4249C">
            <w:pPr>
              <w:ind w:left="360"/>
              <w:contextualSpacing/>
              <w:rPr>
                <w:rFonts w:cs="Calibri"/>
                <w:b/>
                <w:bCs/>
                <w:color w:val="000000"/>
                <w:sz w:val="20"/>
                <w:szCs w:val="20"/>
              </w:rPr>
            </w:pPr>
            <w:r w:rsidRPr="00D85ACC">
              <w:rPr>
                <w:rFonts w:cs="Calibri"/>
                <w:b/>
                <w:bCs/>
                <w:sz w:val="20"/>
                <w:szCs w:val="20"/>
              </w:rPr>
              <w:t>Year 8</w:t>
            </w:r>
          </w:p>
        </w:tc>
        <w:tc>
          <w:tcPr>
            <w:tcW w:w="586" w:type="pct"/>
            <w:shd w:val="clear" w:color="auto" w:fill="auto"/>
            <w:noWrap/>
            <w:tcMar>
              <w:top w:w="0" w:type="dxa"/>
              <w:left w:w="108" w:type="dxa"/>
              <w:bottom w:w="0" w:type="dxa"/>
              <w:right w:w="108" w:type="dxa"/>
            </w:tcMar>
            <w:vAlign w:val="bottom"/>
            <w:hideMark/>
          </w:tcPr>
          <w:p w14:paraId="4879B5B8" w14:textId="77777777" w:rsidR="00D85ACC" w:rsidRPr="00D85ACC" w:rsidRDefault="00D85ACC" w:rsidP="00AA1063">
            <w:pPr>
              <w:ind w:left="158"/>
              <w:contextualSpacing/>
              <w:jc w:val="center"/>
              <w:rPr>
                <w:rFonts w:cs="Calibri"/>
                <w:color w:val="000000"/>
                <w:sz w:val="20"/>
                <w:szCs w:val="20"/>
              </w:rPr>
            </w:pPr>
            <w:r w:rsidRPr="00D85ACC">
              <w:rPr>
                <w:rFonts w:cs="Calibri"/>
                <w:sz w:val="20"/>
                <w:szCs w:val="20"/>
              </w:rPr>
              <w:t>91</w:t>
            </w:r>
          </w:p>
        </w:tc>
        <w:tc>
          <w:tcPr>
            <w:tcW w:w="586" w:type="pct"/>
            <w:shd w:val="clear" w:color="auto" w:fill="auto"/>
            <w:noWrap/>
            <w:tcMar>
              <w:top w:w="0" w:type="dxa"/>
              <w:left w:w="108" w:type="dxa"/>
              <w:bottom w:w="0" w:type="dxa"/>
              <w:right w:w="108" w:type="dxa"/>
            </w:tcMar>
            <w:vAlign w:val="bottom"/>
            <w:hideMark/>
          </w:tcPr>
          <w:p w14:paraId="003D2405" w14:textId="77777777" w:rsidR="00D85ACC" w:rsidRPr="00D85ACC" w:rsidRDefault="00D85ACC" w:rsidP="00AA1063">
            <w:pPr>
              <w:ind w:left="158"/>
              <w:contextualSpacing/>
              <w:jc w:val="center"/>
              <w:rPr>
                <w:rFonts w:cs="Calibri"/>
                <w:color w:val="000000"/>
                <w:sz w:val="20"/>
                <w:szCs w:val="20"/>
              </w:rPr>
            </w:pPr>
            <w:r w:rsidRPr="00D85ACC">
              <w:rPr>
                <w:rFonts w:cs="Calibri"/>
                <w:sz w:val="20"/>
                <w:szCs w:val="20"/>
              </w:rPr>
              <w:t>91</w:t>
            </w:r>
          </w:p>
        </w:tc>
        <w:tc>
          <w:tcPr>
            <w:tcW w:w="586" w:type="pct"/>
            <w:shd w:val="clear" w:color="auto" w:fill="auto"/>
            <w:noWrap/>
            <w:tcMar>
              <w:top w:w="0" w:type="dxa"/>
              <w:left w:w="108" w:type="dxa"/>
              <w:bottom w:w="0" w:type="dxa"/>
              <w:right w:w="108" w:type="dxa"/>
            </w:tcMar>
            <w:vAlign w:val="bottom"/>
            <w:hideMark/>
          </w:tcPr>
          <w:p w14:paraId="449B94EE" w14:textId="77777777" w:rsidR="00D85ACC" w:rsidRPr="00D85ACC" w:rsidRDefault="00D85ACC" w:rsidP="00AA1063">
            <w:pPr>
              <w:ind w:left="158"/>
              <w:contextualSpacing/>
              <w:jc w:val="center"/>
              <w:rPr>
                <w:rFonts w:cs="Calibri"/>
                <w:color w:val="000000"/>
                <w:sz w:val="20"/>
                <w:szCs w:val="20"/>
              </w:rPr>
            </w:pPr>
            <w:r w:rsidRPr="00D85ACC">
              <w:rPr>
                <w:rFonts w:cs="Calibri"/>
                <w:sz w:val="20"/>
                <w:szCs w:val="20"/>
              </w:rPr>
              <w:t>92</w:t>
            </w:r>
          </w:p>
        </w:tc>
        <w:tc>
          <w:tcPr>
            <w:tcW w:w="586" w:type="pct"/>
            <w:tcBorders>
              <w:top w:val="nil"/>
              <w:left w:val="nil"/>
              <w:bottom w:val="nil"/>
              <w:right w:val="single" w:sz="8" w:space="0" w:color="auto"/>
            </w:tcBorders>
            <w:shd w:val="clear" w:color="auto" w:fill="auto"/>
            <w:noWrap/>
            <w:tcMar>
              <w:top w:w="0" w:type="dxa"/>
              <w:left w:w="108" w:type="dxa"/>
              <w:bottom w:w="0" w:type="dxa"/>
              <w:right w:w="108" w:type="dxa"/>
            </w:tcMar>
            <w:hideMark/>
          </w:tcPr>
          <w:p w14:paraId="1FAD4262" w14:textId="77777777" w:rsidR="00D85ACC" w:rsidRPr="00D85ACC" w:rsidRDefault="00D85ACC" w:rsidP="00AA1063">
            <w:pPr>
              <w:ind w:left="158"/>
              <w:contextualSpacing/>
              <w:jc w:val="center"/>
              <w:rPr>
                <w:rFonts w:cs="Calibri"/>
                <w:color w:val="000000"/>
                <w:sz w:val="20"/>
                <w:szCs w:val="20"/>
              </w:rPr>
            </w:pPr>
            <w:r w:rsidRPr="00D85ACC">
              <w:rPr>
                <w:rFonts w:cs="Calibri"/>
                <w:color w:val="000000"/>
                <w:sz w:val="20"/>
                <w:szCs w:val="20"/>
              </w:rPr>
              <w:t>91</w:t>
            </w:r>
          </w:p>
        </w:tc>
        <w:tc>
          <w:tcPr>
            <w:tcW w:w="491" w:type="pct"/>
            <w:tcBorders>
              <w:top w:val="nil"/>
              <w:left w:val="nil"/>
              <w:bottom w:val="nil"/>
              <w:right w:val="single" w:sz="8" w:space="0" w:color="auto"/>
            </w:tcBorders>
          </w:tcPr>
          <w:p w14:paraId="54D87C3F" w14:textId="77777777" w:rsidR="00D85ACC" w:rsidRPr="00D85ACC" w:rsidRDefault="00D85ACC" w:rsidP="00AA1063">
            <w:pPr>
              <w:ind w:left="158"/>
              <w:contextualSpacing/>
              <w:jc w:val="center"/>
              <w:rPr>
                <w:rFonts w:cs="Calibri"/>
                <w:color w:val="000000"/>
                <w:sz w:val="20"/>
                <w:szCs w:val="20"/>
              </w:rPr>
            </w:pPr>
            <w:r w:rsidRPr="00D85ACC">
              <w:rPr>
                <w:rFonts w:cs="Calibri"/>
                <w:color w:val="000000"/>
                <w:sz w:val="20"/>
                <w:szCs w:val="20"/>
              </w:rPr>
              <w:t>92</w:t>
            </w:r>
          </w:p>
        </w:tc>
      </w:tr>
      <w:tr w:rsidR="00D85ACC" w:rsidRPr="00D85ACC" w14:paraId="1B0FED37" w14:textId="77777777" w:rsidTr="00C9696A">
        <w:trPr>
          <w:trHeight w:val="272"/>
        </w:trPr>
        <w:tc>
          <w:tcPr>
            <w:tcW w:w="1184" w:type="pct"/>
            <w:tcBorders>
              <w:top w:val="nil"/>
              <w:left w:val="single" w:sz="8" w:space="0" w:color="auto"/>
              <w:right w:val="nil"/>
            </w:tcBorders>
            <w:shd w:val="clear" w:color="auto" w:fill="D9D9D9"/>
            <w:noWrap/>
            <w:tcMar>
              <w:top w:w="0" w:type="dxa"/>
              <w:left w:w="108" w:type="dxa"/>
              <w:bottom w:w="0" w:type="dxa"/>
              <w:right w:w="108" w:type="dxa"/>
            </w:tcMar>
            <w:vAlign w:val="bottom"/>
            <w:hideMark/>
          </w:tcPr>
          <w:p w14:paraId="38C57818" w14:textId="77777777" w:rsidR="00D85ACC" w:rsidRPr="00D85ACC" w:rsidRDefault="00D85ACC" w:rsidP="00B4249C">
            <w:pPr>
              <w:ind w:left="360"/>
              <w:contextualSpacing/>
              <w:rPr>
                <w:rFonts w:cs="Calibri"/>
                <w:b/>
                <w:bCs/>
                <w:color w:val="000000"/>
                <w:sz w:val="20"/>
                <w:szCs w:val="20"/>
              </w:rPr>
            </w:pPr>
            <w:r w:rsidRPr="00D85ACC">
              <w:rPr>
                <w:rFonts w:cs="Calibri"/>
                <w:b/>
                <w:bCs/>
                <w:sz w:val="20"/>
                <w:szCs w:val="20"/>
              </w:rPr>
              <w:t> </w:t>
            </w:r>
          </w:p>
        </w:tc>
        <w:tc>
          <w:tcPr>
            <w:tcW w:w="982" w:type="pct"/>
            <w:tcBorders>
              <w:top w:val="nil"/>
              <w:left w:val="nil"/>
              <w:right w:val="single" w:sz="8" w:space="0" w:color="auto"/>
            </w:tcBorders>
            <w:shd w:val="clear" w:color="auto" w:fill="D9D9D9"/>
            <w:noWrap/>
            <w:tcMar>
              <w:top w:w="0" w:type="dxa"/>
              <w:left w:w="108" w:type="dxa"/>
              <w:bottom w:w="0" w:type="dxa"/>
              <w:right w:w="108" w:type="dxa"/>
            </w:tcMar>
            <w:vAlign w:val="bottom"/>
            <w:hideMark/>
          </w:tcPr>
          <w:p w14:paraId="0A9D0158" w14:textId="77777777" w:rsidR="00D85ACC" w:rsidRPr="00D85ACC" w:rsidRDefault="00D85ACC" w:rsidP="00B4249C">
            <w:pPr>
              <w:ind w:left="360"/>
              <w:contextualSpacing/>
              <w:rPr>
                <w:rFonts w:cs="Calibri"/>
                <w:b/>
                <w:bCs/>
                <w:color w:val="000000"/>
                <w:sz w:val="20"/>
                <w:szCs w:val="20"/>
              </w:rPr>
            </w:pPr>
            <w:r w:rsidRPr="00D85ACC">
              <w:rPr>
                <w:rFonts w:cs="Calibri"/>
                <w:b/>
                <w:bCs/>
                <w:sz w:val="20"/>
                <w:szCs w:val="20"/>
              </w:rPr>
              <w:t>Year 9</w:t>
            </w:r>
          </w:p>
        </w:tc>
        <w:tc>
          <w:tcPr>
            <w:tcW w:w="586" w:type="pct"/>
            <w:shd w:val="clear" w:color="auto" w:fill="auto"/>
            <w:noWrap/>
            <w:tcMar>
              <w:top w:w="0" w:type="dxa"/>
              <w:left w:w="108" w:type="dxa"/>
              <w:bottom w:w="0" w:type="dxa"/>
              <w:right w:w="108" w:type="dxa"/>
            </w:tcMar>
            <w:vAlign w:val="bottom"/>
            <w:hideMark/>
          </w:tcPr>
          <w:p w14:paraId="44495187" w14:textId="77777777" w:rsidR="00D85ACC" w:rsidRPr="00D85ACC" w:rsidRDefault="00D85ACC" w:rsidP="00AA1063">
            <w:pPr>
              <w:ind w:left="158"/>
              <w:contextualSpacing/>
              <w:jc w:val="center"/>
              <w:rPr>
                <w:rFonts w:cs="Calibri"/>
                <w:color w:val="000000"/>
                <w:sz w:val="20"/>
                <w:szCs w:val="20"/>
              </w:rPr>
            </w:pPr>
            <w:r w:rsidRPr="00D85ACC">
              <w:rPr>
                <w:rFonts w:cs="Calibri"/>
                <w:sz w:val="20"/>
                <w:szCs w:val="20"/>
              </w:rPr>
              <w:t>90</w:t>
            </w:r>
          </w:p>
        </w:tc>
        <w:tc>
          <w:tcPr>
            <w:tcW w:w="586" w:type="pct"/>
            <w:shd w:val="clear" w:color="auto" w:fill="auto"/>
            <w:noWrap/>
            <w:tcMar>
              <w:top w:w="0" w:type="dxa"/>
              <w:left w:w="108" w:type="dxa"/>
              <w:bottom w:w="0" w:type="dxa"/>
              <w:right w:w="108" w:type="dxa"/>
            </w:tcMar>
            <w:vAlign w:val="bottom"/>
            <w:hideMark/>
          </w:tcPr>
          <w:p w14:paraId="4BC98999" w14:textId="77777777" w:rsidR="00D85ACC" w:rsidRPr="00D85ACC" w:rsidRDefault="00D85ACC" w:rsidP="00AA1063">
            <w:pPr>
              <w:ind w:left="158"/>
              <w:contextualSpacing/>
              <w:jc w:val="center"/>
              <w:rPr>
                <w:rFonts w:cs="Calibri"/>
                <w:color w:val="000000"/>
                <w:sz w:val="20"/>
                <w:szCs w:val="20"/>
              </w:rPr>
            </w:pPr>
            <w:r w:rsidRPr="00D85ACC">
              <w:rPr>
                <w:rFonts w:cs="Calibri"/>
                <w:sz w:val="20"/>
                <w:szCs w:val="20"/>
              </w:rPr>
              <w:t>90</w:t>
            </w:r>
          </w:p>
        </w:tc>
        <w:tc>
          <w:tcPr>
            <w:tcW w:w="586" w:type="pct"/>
            <w:shd w:val="clear" w:color="auto" w:fill="auto"/>
            <w:noWrap/>
            <w:tcMar>
              <w:top w:w="0" w:type="dxa"/>
              <w:left w:w="108" w:type="dxa"/>
              <w:bottom w:w="0" w:type="dxa"/>
              <w:right w:w="108" w:type="dxa"/>
            </w:tcMar>
            <w:vAlign w:val="bottom"/>
            <w:hideMark/>
          </w:tcPr>
          <w:p w14:paraId="0DB09F75" w14:textId="77777777" w:rsidR="00D85ACC" w:rsidRPr="00D85ACC" w:rsidRDefault="00D85ACC" w:rsidP="00AA1063">
            <w:pPr>
              <w:ind w:left="158"/>
              <w:contextualSpacing/>
              <w:jc w:val="center"/>
              <w:rPr>
                <w:rFonts w:cs="Calibri"/>
                <w:color w:val="000000"/>
                <w:sz w:val="20"/>
                <w:szCs w:val="20"/>
              </w:rPr>
            </w:pPr>
            <w:r w:rsidRPr="00D85ACC">
              <w:rPr>
                <w:rFonts w:cs="Calibri"/>
                <w:sz w:val="20"/>
                <w:szCs w:val="20"/>
              </w:rPr>
              <w:t>90</w:t>
            </w:r>
          </w:p>
        </w:tc>
        <w:tc>
          <w:tcPr>
            <w:tcW w:w="586" w:type="pct"/>
            <w:tcBorders>
              <w:top w:val="nil"/>
              <w:left w:val="nil"/>
              <w:right w:val="single" w:sz="8" w:space="0" w:color="auto"/>
            </w:tcBorders>
            <w:shd w:val="clear" w:color="auto" w:fill="auto"/>
            <w:noWrap/>
            <w:tcMar>
              <w:top w:w="0" w:type="dxa"/>
              <w:left w:w="108" w:type="dxa"/>
              <w:bottom w:w="0" w:type="dxa"/>
              <w:right w:w="108" w:type="dxa"/>
            </w:tcMar>
            <w:hideMark/>
          </w:tcPr>
          <w:p w14:paraId="4BE1FC0F" w14:textId="77777777" w:rsidR="00D85ACC" w:rsidRPr="00D85ACC" w:rsidRDefault="00D85ACC" w:rsidP="00AA1063">
            <w:pPr>
              <w:ind w:left="158"/>
              <w:contextualSpacing/>
              <w:jc w:val="center"/>
              <w:rPr>
                <w:rFonts w:cs="Calibri"/>
                <w:color w:val="000000"/>
                <w:sz w:val="20"/>
                <w:szCs w:val="20"/>
              </w:rPr>
            </w:pPr>
            <w:r w:rsidRPr="00D85ACC">
              <w:rPr>
                <w:rFonts w:cs="Calibri"/>
                <w:color w:val="000000"/>
                <w:sz w:val="20"/>
                <w:szCs w:val="20"/>
              </w:rPr>
              <w:t>90</w:t>
            </w:r>
          </w:p>
        </w:tc>
        <w:tc>
          <w:tcPr>
            <w:tcW w:w="491" w:type="pct"/>
            <w:tcBorders>
              <w:top w:val="nil"/>
              <w:left w:val="nil"/>
              <w:right w:val="single" w:sz="8" w:space="0" w:color="auto"/>
            </w:tcBorders>
          </w:tcPr>
          <w:p w14:paraId="378F99E6" w14:textId="77777777" w:rsidR="00D85ACC" w:rsidRPr="00D85ACC" w:rsidRDefault="00D85ACC" w:rsidP="00AA1063">
            <w:pPr>
              <w:ind w:left="158"/>
              <w:contextualSpacing/>
              <w:jc w:val="center"/>
              <w:rPr>
                <w:rFonts w:cs="Calibri"/>
                <w:color w:val="000000"/>
                <w:sz w:val="20"/>
                <w:szCs w:val="20"/>
              </w:rPr>
            </w:pPr>
            <w:r w:rsidRPr="00D85ACC">
              <w:rPr>
                <w:rFonts w:cs="Calibri"/>
                <w:color w:val="000000"/>
                <w:sz w:val="20"/>
                <w:szCs w:val="20"/>
              </w:rPr>
              <w:t>91</w:t>
            </w:r>
          </w:p>
        </w:tc>
      </w:tr>
      <w:tr w:rsidR="00D85ACC" w:rsidRPr="00D85ACC" w14:paraId="48D8FB70" w14:textId="77777777" w:rsidTr="00C9696A">
        <w:trPr>
          <w:trHeight w:val="272"/>
        </w:trPr>
        <w:tc>
          <w:tcPr>
            <w:tcW w:w="1184" w:type="pct"/>
            <w:tcBorders>
              <w:top w:val="nil"/>
              <w:left w:val="single" w:sz="8" w:space="0" w:color="auto"/>
              <w:bottom w:val="single" w:sz="8" w:space="0" w:color="auto"/>
              <w:right w:val="nil"/>
            </w:tcBorders>
            <w:shd w:val="clear" w:color="auto" w:fill="D9D9D9"/>
            <w:noWrap/>
            <w:tcMar>
              <w:top w:w="0" w:type="dxa"/>
              <w:left w:w="108" w:type="dxa"/>
              <w:bottom w:w="0" w:type="dxa"/>
              <w:right w:w="108" w:type="dxa"/>
            </w:tcMar>
            <w:vAlign w:val="bottom"/>
            <w:hideMark/>
          </w:tcPr>
          <w:p w14:paraId="4D0C1698" w14:textId="77777777" w:rsidR="00D85ACC" w:rsidRPr="00D85ACC" w:rsidRDefault="00D85ACC" w:rsidP="00B4249C">
            <w:pPr>
              <w:ind w:left="360"/>
              <w:contextualSpacing/>
              <w:rPr>
                <w:rFonts w:cs="Calibri"/>
                <w:b/>
                <w:bCs/>
                <w:color w:val="000000"/>
                <w:sz w:val="20"/>
                <w:szCs w:val="20"/>
              </w:rPr>
            </w:pPr>
            <w:r w:rsidRPr="00D85ACC">
              <w:rPr>
                <w:rFonts w:cs="Calibri"/>
                <w:b/>
                <w:bCs/>
                <w:sz w:val="20"/>
                <w:szCs w:val="20"/>
              </w:rPr>
              <w:t> </w:t>
            </w:r>
          </w:p>
        </w:tc>
        <w:tc>
          <w:tcPr>
            <w:tcW w:w="982" w:type="pct"/>
            <w:tcBorders>
              <w:top w:val="nil"/>
              <w:left w:val="nil"/>
              <w:bottom w:val="single" w:sz="8" w:space="0" w:color="auto"/>
              <w:right w:val="single" w:sz="8" w:space="0" w:color="auto"/>
            </w:tcBorders>
            <w:shd w:val="clear" w:color="auto" w:fill="D9D9D9"/>
            <w:noWrap/>
            <w:tcMar>
              <w:top w:w="0" w:type="dxa"/>
              <w:left w:w="108" w:type="dxa"/>
              <w:bottom w:w="0" w:type="dxa"/>
              <w:right w:w="108" w:type="dxa"/>
            </w:tcMar>
            <w:vAlign w:val="bottom"/>
            <w:hideMark/>
          </w:tcPr>
          <w:p w14:paraId="63CBA739" w14:textId="77777777" w:rsidR="00D85ACC" w:rsidRPr="00D85ACC" w:rsidRDefault="00D85ACC" w:rsidP="00B4249C">
            <w:pPr>
              <w:ind w:left="360"/>
              <w:contextualSpacing/>
              <w:rPr>
                <w:rFonts w:cs="Calibri"/>
                <w:b/>
                <w:bCs/>
                <w:color w:val="000000"/>
                <w:sz w:val="20"/>
                <w:szCs w:val="20"/>
              </w:rPr>
            </w:pPr>
            <w:r w:rsidRPr="00D85ACC">
              <w:rPr>
                <w:rFonts w:cs="Calibri"/>
                <w:b/>
                <w:bCs/>
                <w:sz w:val="20"/>
                <w:szCs w:val="20"/>
              </w:rPr>
              <w:t>Year 10</w:t>
            </w:r>
          </w:p>
        </w:tc>
        <w:tc>
          <w:tcPr>
            <w:tcW w:w="586" w:type="pct"/>
            <w:tcBorders>
              <w:top w:val="nil"/>
              <w:left w:val="nil"/>
              <w:bottom w:val="single" w:sz="8" w:space="0" w:color="auto"/>
              <w:right w:val="nil"/>
            </w:tcBorders>
            <w:shd w:val="clear" w:color="auto" w:fill="auto"/>
            <w:noWrap/>
            <w:tcMar>
              <w:top w:w="0" w:type="dxa"/>
              <w:left w:w="108" w:type="dxa"/>
              <w:bottom w:w="0" w:type="dxa"/>
              <w:right w:w="108" w:type="dxa"/>
            </w:tcMar>
            <w:vAlign w:val="bottom"/>
            <w:hideMark/>
          </w:tcPr>
          <w:p w14:paraId="16DB2607" w14:textId="77777777" w:rsidR="00D85ACC" w:rsidRPr="00D85ACC" w:rsidRDefault="00D85ACC" w:rsidP="00AA1063">
            <w:pPr>
              <w:ind w:left="158"/>
              <w:contextualSpacing/>
              <w:jc w:val="center"/>
              <w:rPr>
                <w:rFonts w:cs="Calibri"/>
                <w:sz w:val="20"/>
                <w:szCs w:val="20"/>
              </w:rPr>
            </w:pPr>
            <w:r w:rsidRPr="00D85ACC">
              <w:rPr>
                <w:rFonts w:cs="Calibri"/>
                <w:sz w:val="20"/>
                <w:szCs w:val="20"/>
              </w:rPr>
              <w:t>90</w:t>
            </w:r>
          </w:p>
        </w:tc>
        <w:tc>
          <w:tcPr>
            <w:tcW w:w="586" w:type="pct"/>
            <w:tcBorders>
              <w:top w:val="nil"/>
              <w:left w:val="nil"/>
              <w:bottom w:val="single" w:sz="8" w:space="0" w:color="auto"/>
              <w:right w:val="nil"/>
            </w:tcBorders>
            <w:shd w:val="clear" w:color="auto" w:fill="auto"/>
            <w:noWrap/>
            <w:tcMar>
              <w:top w:w="0" w:type="dxa"/>
              <w:left w:w="108" w:type="dxa"/>
              <w:bottom w:w="0" w:type="dxa"/>
              <w:right w:w="108" w:type="dxa"/>
            </w:tcMar>
            <w:vAlign w:val="bottom"/>
            <w:hideMark/>
          </w:tcPr>
          <w:p w14:paraId="704E98BB" w14:textId="77777777" w:rsidR="00D85ACC" w:rsidRPr="00D85ACC" w:rsidRDefault="00D85ACC" w:rsidP="00AA1063">
            <w:pPr>
              <w:ind w:left="158"/>
              <w:contextualSpacing/>
              <w:jc w:val="center"/>
              <w:rPr>
                <w:rFonts w:cs="Calibri"/>
                <w:sz w:val="20"/>
                <w:szCs w:val="20"/>
              </w:rPr>
            </w:pPr>
            <w:r w:rsidRPr="00D85ACC">
              <w:rPr>
                <w:rFonts w:cs="Calibri"/>
                <w:sz w:val="20"/>
                <w:szCs w:val="20"/>
              </w:rPr>
              <w:t>90</w:t>
            </w:r>
          </w:p>
        </w:tc>
        <w:tc>
          <w:tcPr>
            <w:tcW w:w="586" w:type="pct"/>
            <w:tcBorders>
              <w:top w:val="nil"/>
              <w:left w:val="nil"/>
              <w:bottom w:val="single" w:sz="8" w:space="0" w:color="auto"/>
              <w:right w:val="nil"/>
            </w:tcBorders>
            <w:shd w:val="clear" w:color="auto" w:fill="auto"/>
            <w:noWrap/>
            <w:tcMar>
              <w:top w:w="0" w:type="dxa"/>
              <w:left w:w="108" w:type="dxa"/>
              <w:bottom w:w="0" w:type="dxa"/>
              <w:right w:w="108" w:type="dxa"/>
            </w:tcMar>
            <w:vAlign w:val="bottom"/>
            <w:hideMark/>
          </w:tcPr>
          <w:p w14:paraId="124634FF" w14:textId="77777777" w:rsidR="00D85ACC" w:rsidRPr="00D85ACC" w:rsidRDefault="00D85ACC" w:rsidP="00AA1063">
            <w:pPr>
              <w:ind w:left="158"/>
              <w:contextualSpacing/>
              <w:jc w:val="center"/>
              <w:rPr>
                <w:rFonts w:cs="Calibri"/>
                <w:sz w:val="20"/>
                <w:szCs w:val="20"/>
              </w:rPr>
            </w:pPr>
            <w:r w:rsidRPr="00D85ACC">
              <w:rPr>
                <w:rFonts w:cs="Calibri"/>
                <w:sz w:val="20"/>
                <w:szCs w:val="20"/>
              </w:rPr>
              <w:t>90</w:t>
            </w:r>
          </w:p>
        </w:tc>
        <w:tc>
          <w:tcPr>
            <w:tcW w:w="586"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14:paraId="2A6BE63E" w14:textId="77777777" w:rsidR="00D85ACC" w:rsidRPr="00D85ACC" w:rsidRDefault="00D85ACC" w:rsidP="00AA1063">
            <w:pPr>
              <w:ind w:left="158"/>
              <w:contextualSpacing/>
              <w:jc w:val="center"/>
              <w:rPr>
                <w:rFonts w:cs="Calibri"/>
                <w:color w:val="000000"/>
                <w:sz w:val="20"/>
                <w:szCs w:val="20"/>
              </w:rPr>
            </w:pPr>
            <w:r w:rsidRPr="00D85ACC">
              <w:rPr>
                <w:rFonts w:cs="Calibri"/>
                <w:color w:val="000000"/>
                <w:sz w:val="20"/>
                <w:szCs w:val="20"/>
              </w:rPr>
              <w:t>90</w:t>
            </w:r>
          </w:p>
        </w:tc>
        <w:tc>
          <w:tcPr>
            <w:tcW w:w="491" w:type="pct"/>
            <w:tcBorders>
              <w:top w:val="nil"/>
              <w:left w:val="nil"/>
              <w:bottom w:val="single" w:sz="8" w:space="0" w:color="auto"/>
              <w:right w:val="single" w:sz="8" w:space="0" w:color="auto"/>
            </w:tcBorders>
          </w:tcPr>
          <w:p w14:paraId="086C9691" w14:textId="77777777" w:rsidR="00D85ACC" w:rsidRPr="00D85ACC" w:rsidRDefault="00D85ACC" w:rsidP="00AA1063">
            <w:pPr>
              <w:ind w:left="158"/>
              <w:contextualSpacing/>
              <w:jc w:val="center"/>
              <w:rPr>
                <w:rFonts w:cs="Calibri"/>
                <w:color w:val="000000"/>
                <w:sz w:val="20"/>
                <w:szCs w:val="20"/>
              </w:rPr>
            </w:pPr>
            <w:r w:rsidRPr="00D85ACC">
              <w:rPr>
                <w:rFonts w:cs="Calibri"/>
                <w:color w:val="000000"/>
                <w:sz w:val="20"/>
                <w:szCs w:val="20"/>
              </w:rPr>
              <w:t>92</w:t>
            </w:r>
          </w:p>
        </w:tc>
      </w:tr>
    </w:tbl>
    <w:p w14:paraId="4732CB75" w14:textId="77777777" w:rsidR="00D85ACC" w:rsidRPr="00D85ACC" w:rsidRDefault="00D85ACC" w:rsidP="00D85ACC">
      <w:pPr>
        <w:rPr>
          <w:i/>
          <w:sz w:val="20"/>
          <w:szCs w:val="20"/>
        </w:rPr>
      </w:pPr>
      <w:r w:rsidRPr="00D85ACC">
        <w:rPr>
          <w:i/>
          <w:sz w:val="20"/>
          <w:szCs w:val="20"/>
        </w:rPr>
        <w:t xml:space="preserve">Source: </w:t>
      </w:r>
      <w:proofErr w:type="spellStart"/>
      <w:r w:rsidRPr="00D85ACC">
        <w:rPr>
          <w:i/>
          <w:sz w:val="20"/>
          <w:szCs w:val="20"/>
        </w:rPr>
        <w:t>Cases21</w:t>
      </w:r>
      <w:proofErr w:type="spellEnd"/>
      <w:r w:rsidRPr="00D85ACC">
        <w:rPr>
          <w:i/>
          <w:sz w:val="20"/>
          <w:szCs w:val="20"/>
        </w:rPr>
        <w:t xml:space="preserve"> (unpublished) - </w:t>
      </w:r>
      <w:r w:rsidRPr="00D85ACC">
        <w:rPr>
          <w:i/>
          <w:color w:val="000000"/>
          <w:sz w:val="20"/>
          <w:szCs w:val="20"/>
        </w:rPr>
        <w:t>Non-</w:t>
      </w:r>
      <w:r w:rsidR="00063729">
        <w:rPr>
          <w:i/>
          <w:color w:val="000000"/>
          <w:sz w:val="20"/>
          <w:szCs w:val="20"/>
        </w:rPr>
        <w:t>I</w:t>
      </w:r>
      <w:r w:rsidRPr="00D85ACC">
        <w:rPr>
          <w:i/>
          <w:color w:val="000000"/>
          <w:sz w:val="20"/>
          <w:szCs w:val="20"/>
        </w:rPr>
        <w:t>ndigenous includes Unknown</w:t>
      </w:r>
      <w:r w:rsidRPr="00D85ACC">
        <w:rPr>
          <w:color w:val="000000"/>
          <w:sz w:val="20"/>
          <w:szCs w:val="20"/>
        </w:rPr>
        <w:t>.</w:t>
      </w:r>
    </w:p>
    <w:p w14:paraId="02B42432" w14:textId="77777777" w:rsidR="00D85ACC" w:rsidRDefault="00D85ACC" w:rsidP="00095D55">
      <w:pPr>
        <w:spacing w:after="120"/>
        <w:rPr>
          <w:i/>
          <w:sz w:val="20"/>
          <w:szCs w:val="20"/>
        </w:rPr>
      </w:pPr>
      <w:r w:rsidRPr="00D85ACC">
        <w:rPr>
          <w:i/>
          <w:sz w:val="20"/>
          <w:szCs w:val="20"/>
        </w:rPr>
        <w:t>Note that the 2012 data has been calculated from the student unit level for the first time.</w:t>
      </w:r>
    </w:p>
    <w:p w14:paraId="7E0F5E8B" w14:textId="77777777" w:rsidR="00095D55" w:rsidRPr="00D16BC6" w:rsidRDefault="00095D55" w:rsidP="00095D55">
      <w:pPr>
        <w:spacing w:after="120"/>
        <w:rPr>
          <w:i/>
          <w:sz w:val="20"/>
          <w:szCs w:val="20"/>
        </w:rPr>
      </w:pPr>
    </w:p>
    <w:p w14:paraId="68FC6AD0" w14:textId="77777777" w:rsidR="00BA6A85" w:rsidRPr="00BA6A85" w:rsidRDefault="00BA6A85" w:rsidP="00592A44">
      <w:pPr>
        <w:pStyle w:val="Heading4"/>
      </w:pPr>
      <w:r w:rsidRPr="003F186B">
        <w:t>Schools with 30+ Indigenous students, making up 10 per cent or more of their population</w:t>
      </w:r>
    </w:p>
    <w:p w14:paraId="369AA107" w14:textId="5AD6DDA7" w:rsidR="00BA6A85" w:rsidRPr="00BA6A85" w:rsidRDefault="002D74B7" w:rsidP="00310950">
      <w:pPr>
        <w:spacing w:after="120"/>
        <w:jc w:val="both"/>
        <w:rPr>
          <w:color w:val="000000"/>
        </w:rPr>
      </w:pPr>
      <w:r>
        <w:rPr>
          <w:color w:val="000000"/>
        </w:rPr>
        <w:t>T</w:t>
      </w:r>
      <w:r w:rsidR="00BA6A85" w:rsidRPr="00BA6A85">
        <w:rPr>
          <w:color w:val="000000"/>
        </w:rPr>
        <w:t>ables</w:t>
      </w:r>
      <w:r w:rsidR="008544B6">
        <w:rPr>
          <w:color w:val="000000"/>
        </w:rPr>
        <w:t xml:space="preserve"> 10, </w:t>
      </w:r>
      <w:r>
        <w:rPr>
          <w:color w:val="000000"/>
        </w:rPr>
        <w:t>11</w:t>
      </w:r>
      <w:r w:rsidR="008544B6">
        <w:rPr>
          <w:color w:val="000000"/>
        </w:rPr>
        <w:t xml:space="preserve"> and 12</w:t>
      </w:r>
      <w:r w:rsidR="00BA6A85" w:rsidRPr="00BA6A85">
        <w:rPr>
          <w:color w:val="000000"/>
        </w:rPr>
        <w:t xml:space="preserve"> below show total enrolments and Indigenous enrolments in Victorian secondary or P-12 schools that have thirty or more Indigenous students comprising 10 per cent or more of the school’s population. </w:t>
      </w:r>
    </w:p>
    <w:p w14:paraId="65205FDC" w14:textId="77777777" w:rsidR="00BA6A85" w:rsidRPr="00BA6A85" w:rsidRDefault="00BA6A85" w:rsidP="00310950">
      <w:pPr>
        <w:spacing w:after="120"/>
        <w:jc w:val="both"/>
        <w:rPr>
          <w:b/>
          <w:color w:val="000000"/>
        </w:rPr>
      </w:pPr>
      <w:r w:rsidRPr="00BA6A85">
        <w:rPr>
          <w:color w:val="000000"/>
        </w:rPr>
        <w:t>Overall there has been a significant increase in the number of Indigenous enrolments in the target school cohort from Year 9 to Year 12.  Note that due to changing school enrolment patterns the targeted schools in 2011</w:t>
      </w:r>
      <w:r w:rsidR="00063729">
        <w:rPr>
          <w:color w:val="000000"/>
        </w:rPr>
        <w:t xml:space="preserve"> </w:t>
      </w:r>
      <w:r w:rsidRPr="00BA6A85">
        <w:rPr>
          <w:color w:val="000000"/>
        </w:rPr>
        <w:t>differ from the targeted schools in 2012.</w:t>
      </w:r>
    </w:p>
    <w:tbl>
      <w:tblPr>
        <w:tblW w:w="4156" w:type="pct"/>
        <w:tblInd w:w="110" w:type="dxa"/>
        <w:tblLayout w:type="fixed"/>
        <w:tblLook w:val="04A0" w:firstRow="1" w:lastRow="0" w:firstColumn="1" w:lastColumn="0" w:noHBand="0" w:noVBand="1"/>
      </w:tblPr>
      <w:tblGrid>
        <w:gridCol w:w="2181"/>
        <w:gridCol w:w="2356"/>
        <w:gridCol w:w="1866"/>
        <w:gridCol w:w="1291"/>
        <w:gridCol w:w="283"/>
        <w:gridCol w:w="308"/>
      </w:tblGrid>
      <w:tr w:rsidR="00C9696A" w:rsidRPr="003F186B" w14:paraId="043702FD" w14:textId="77777777" w:rsidTr="00C9696A">
        <w:trPr>
          <w:gridAfter w:val="2"/>
          <w:wAfter w:w="357" w:type="pct"/>
          <w:trHeight w:val="312"/>
        </w:trPr>
        <w:tc>
          <w:tcPr>
            <w:tcW w:w="4643" w:type="pct"/>
            <w:gridSpan w:val="4"/>
            <w:tcBorders>
              <w:top w:val="nil"/>
              <w:left w:val="nil"/>
              <w:bottom w:val="nil"/>
              <w:right w:val="nil"/>
            </w:tcBorders>
            <w:shd w:val="clear" w:color="auto" w:fill="auto"/>
            <w:noWrap/>
            <w:vAlign w:val="bottom"/>
            <w:hideMark/>
          </w:tcPr>
          <w:p w14:paraId="76D27DF4" w14:textId="07C4C281" w:rsidR="00C9696A" w:rsidRPr="003F186B" w:rsidRDefault="004F1B7A" w:rsidP="00592A44">
            <w:pPr>
              <w:pStyle w:val="Heading4"/>
            </w:pPr>
            <w:r>
              <w:lastRenderedPageBreak/>
              <w:t>Table 10</w:t>
            </w:r>
            <w:r w:rsidR="00C9696A" w:rsidRPr="003F186B">
              <w:t>: Target schools Full-Time Equivalent Enrolments, all Year 11 and 12</w:t>
            </w:r>
            <w:r w:rsidR="00C9696A">
              <w:t xml:space="preserve"> </w:t>
            </w:r>
            <w:r w:rsidR="00C9696A" w:rsidRPr="003F186B">
              <w:t>students, 2011-2012</w:t>
            </w:r>
          </w:p>
        </w:tc>
      </w:tr>
      <w:tr w:rsidR="00C9696A" w:rsidRPr="003F186B" w14:paraId="53E89BED" w14:textId="77777777" w:rsidTr="00B03B44">
        <w:trPr>
          <w:trHeight w:val="327"/>
        </w:trPr>
        <w:tc>
          <w:tcPr>
            <w:tcW w:w="1316" w:type="pct"/>
            <w:tcBorders>
              <w:top w:val="single" w:sz="8" w:space="0" w:color="auto"/>
              <w:left w:val="single" w:sz="8" w:space="0" w:color="auto"/>
              <w:bottom w:val="single" w:sz="8" w:space="0" w:color="auto"/>
              <w:right w:val="nil"/>
            </w:tcBorders>
            <w:shd w:val="clear" w:color="auto" w:fill="D6E3BC" w:themeFill="accent3" w:themeFillTint="66"/>
            <w:noWrap/>
            <w:vAlign w:val="center"/>
            <w:hideMark/>
          </w:tcPr>
          <w:p w14:paraId="4D7A5570" w14:textId="77777777" w:rsidR="00C9696A" w:rsidRPr="003F186B" w:rsidRDefault="00C9696A" w:rsidP="00BA6A85">
            <w:pPr>
              <w:keepNext/>
              <w:keepLines/>
              <w:spacing w:line="240" w:lineRule="auto"/>
              <w:rPr>
                <w:rFonts w:eastAsia="Times New Roman" w:cs="Calibri"/>
                <w:b/>
                <w:bCs/>
                <w:color w:val="000000"/>
                <w:sz w:val="20"/>
                <w:szCs w:val="20"/>
                <w:lang w:eastAsia="en-AU"/>
              </w:rPr>
            </w:pPr>
            <w:r w:rsidRPr="003F186B">
              <w:rPr>
                <w:rFonts w:eastAsia="Times New Roman" w:cs="Calibri"/>
                <w:b/>
                <w:bCs/>
                <w:color w:val="000000"/>
                <w:sz w:val="20"/>
                <w:szCs w:val="20"/>
                <w:lang w:eastAsia="en-AU"/>
              </w:rPr>
              <w:t> Sector</w:t>
            </w:r>
          </w:p>
        </w:tc>
        <w:tc>
          <w:tcPr>
            <w:tcW w:w="1422" w:type="pct"/>
            <w:tcBorders>
              <w:top w:val="single" w:sz="8" w:space="0" w:color="auto"/>
              <w:left w:val="nil"/>
              <w:bottom w:val="single" w:sz="8" w:space="0" w:color="auto"/>
              <w:right w:val="single" w:sz="8" w:space="0" w:color="auto"/>
            </w:tcBorders>
            <w:shd w:val="clear" w:color="auto" w:fill="D6E3BC" w:themeFill="accent3" w:themeFillTint="66"/>
            <w:noWrap/>
            <w:vAlign w:val="center"/>
            <w:hideMark/>
          </w:tcPr>
          <w:p w14:paraId="692C85FF" w14:textId="77777777" w:rsidR="00C9696A" w:rsidRPr="003F186B" w:rsidRDefault="00C9696A" w:rsidP="00BA6A85">
            <w:pPr>
              <w:keepNext/>
              <w:keepLines/>
              <w:spacing w:line="240" w:lineRule="auto"/>
              <w:rPr>
                <w:rFonts w:eastAsia="Times New Roman" w:cs="Calibri"/>
                <w:b/>
                <w:bCs/>
                <w:color w:val="000000"/>
                <w:sz w:val="20"/>
                <w:szCs w:val="20"/>
                <w:lang w:eastAsia="en-AU"/>
              </w:rPr>
            </w:pPr>
            <w:r w:rsidRPr="003F186B">
              <w:rPr>
                <w:rFonts w:eastAsia="Times New Roman" w:cs="Calibri"/>
                <w:b/>
                <w:bCs/>
                <w:color w:val="000000"/>
                <w:sz w:val="20"/>
                <w:szCs w:val="20"/>
                <w:lang w:eastAsia="en-AU"/>
              </w:rPr>
              <w:t> </w:t>
            </w:r>
          </w:p>
        </w:tc>
        <w:tc>
          <w:tcPr>
            <w:tcW w:w="1126" w:type="pct"/>
            <w:tcBorders>
              <w:top w:val="single" w:sz="8" w:space="0" w:color="auto"/>
              <w:left w:val="nil"/>
              <w:bottom w:val="single" w:sz="8" w:space="0" w:color="auto"/>
              <w:right w:val="single" w:sz="8" w:space="0" w:color="auto"/>
            </w:tcBorders>
            <w:shd w:val="clear" w:color="auto" w:fill="D6E3BC" w:themeFill="accent3" w:themeFillTint="66"/>
            <w:noWrap/>
            <w:vAlign w:val="center"/>
            <w:hideMark/>
          </w:tcPr>
          <w:p w14:paraId="6C1D7F72" w14:textId="77777777" w:rsidR="00C9696A" w:rsidRPr="003F186B" w:rsidRDefault="00C9696A" w:rsidP="00E84099">
            <w:pPr>
              <w:keepNext/>
              <w:keepLines/>
              <w:spacing w:line="240" w:lineRule="auto"/>
              <w:jc w:val="center"/>
              <w:rPr>
                <w:rFonts w:eastAsia="Times New Roman" w:cs="Calibri"/>
                <w:b/>
                <w:bCs/>
                <w:color w:val="000000"/>
                <w:sz w:val="20"/>
                <w:szCs w:val="20"/>
                <w:lang w:eastAsia="en-AU"/>
              </w:rPr>
            </w:pPr>
            <w:r w:rsidRPr="003F186B">
              <w:rPr>
                <w:rFonts w:eastAsia="Times New Roman" w:cs="Calibri"/>
                <w:b/>
                <w:bCs/>
                <w:color w:val="000000"/>
                <w:sz w:val="20"/>
                <w:szCs w:val="20"/>
                <w:lang w:eastAsia="en-AU"/>
              </w:rPr>
              <w:t>Aug-2011</w:t>
            </w:r>
          </w:p>
        </w:tc>
        <w:tc>
          <w:tcPr>
            <w:tcW w:w="1136" w:type="pct"/>
            <w:gridSpan w:val="3"/>
            <w:tcBorders>
              <w:top w:val="single" w:sz="8" w:space="0" w:color="auto"/>
              <w:left w:val="nil"/>
              <w:bottom w:val="single" w:sz="8" w:space="0" w:color="auto"/>
              <w:right w:val="single" w:sz="8" w:space="0" w:color="auto"/>
            </w:tcBorders>
            <w:shd w:val="clear" w:color="auto" w:fill="D6E3BC" w:themeFill="accent3" w:themeFillTint="66"/>
            <w:vAlign w:val="center"/>
          </w:tcPr>
          <w:p w14:paraId="42AF2343" w14:textId="77777777" w:rsidR="00C9696A" w:rsidRPr="003F186B" w:rsidRDefault="00C9696A" w:rsidP="00E84099">
            <w:pPr>
              <w:keepNext/>
              <w:keepLines/>
              <w:spacing w:line="240" w:lineRule="auto"/>
              <w:jc w:val="center"/>
              <w:rPr>
                <w:rFonts w:eastAsia="Times New Roman" w:cs="Calibri"/>
                <w:b/>
                <w:bCs/>
                <w:color w:val="000000"/>
                <w:sz w:val="20"/>
                <w:szCs w:val="20"/>
                <w:lang w:eastAsia="en-AU"/>
              </w:rPr>
            </w:pPr>
            <w:r w:rsidRPr="003F186B">
              <w:rPr>
                <w:rFonts w:eastAsia="Times New Roman" w:cs="Calibri"/>
                <w:b/>
                <w:bCs/>
                <w:color w:val="000000"/>
                <w:sz w:val="20"/>
                <w:szCs w:val="20"/>
                <w:lang w:eastAsia="en-AU"/>
              </w:rPr>
              <w:t>Aug 2012</w:t>
            </w:r>
          </w:p>
        </w:tc>
      </w:tr>
      <w:tr w:rsidR="00C9696A" w:rsidRPr="003F186B" w14:paraId="58EC03A7" w14:textId="77777777" w:rsidTr="00B03B44">
        <w:trPr>
          <w:trHeight w:val="312"/>
        </w:trPr>
        <w:tc>
          <w:tcPr>
            <w:tcW w:w="1316" w:type="pct"/>
            <w:tcBorders>
              <w:top w:val="single" w:sz="8" w:space="0" w:color="auto"/>
              <w:left w:val="single" w:sz="8" w:space="0" w:color="auto"/>
              <w:bottom w:val="nil"/>
              <w:right w:val="nil"/>
            </w:tcBorders>
            <w:shd w:val="clear" w:color="000000" w:fill="D9D9D9"/>
            <w:noWrap/>
            <w:vAlign w:val="bottom"/>
            <w:hideMark/>
          </w:tcPr>
          <w:p w14:paraId="1DB2C418" w14:textId="77777777" w:rsidR="00C9696A" w:rsidRPr="003F186B" w:rsidRDefault="00C9696A" w:rsidP="00BA6A85">
            <w:pPr>
              <w:keepNext/>
              <w:keepLines/>
              <w:spacing w:line="240" w:lineRule="auto"/>
              <w:rPr>
                <w:rFonts w:eastAsia="Times New Roman" w:cs="Calibri"/>
                <w:b/>
                <w:bCs/>
                <w:color w:val="000000"/>
                <w:sz w:val="20"/>
                <w:szCs w:val="20"/>
                <w:lang w:eastAsia="en-AU"/>
              </w:rPr>
            </w:pPr>
            <w:r w:rsidRPr="003F186B">
              <w:rPr>
                <w:rFonts w:eastAsia="Times New Roman" w:cs="Calibri"/>
                <w:b/>
                <w:bCs/>
                <w:color w:val="000000"/>
                <w:sz w:val="20"/>
                <w:szCs w:val="20"/>
                <w:lang w:eastAsia="en-AU"/>
              </w:rPr>
              <w:t>Government</w:t>
            </w:r>
          </w:p>
        </w:tc>
        <w:tc>
          <w:tcPr>
            <w:tcW w:w="1422" w:type="pct"/>
            <w:tcBorders>
              <w:top w:val="single" w:sz="8" w:space="0" w:color="auto"/>
              <w:left w:val="nil"/>
              <w:bottom w:val="nil"/>
              <w:right w:val="single" w:sz="8" w:space="0" w:color="auto"/>
            </w:tcBorders>
            <w:shd w:val="clear" w:color="000000" w:fill="D9D9D9"/>
            <w:noWrap/>
            <w:vAlign w:val="bottom"/>
            <w:hideMark/>
          </w:tcPr>
          <w:p w14:paraId="6E197CE5" w14:textId="77777777" w:rsidR="00C9696A" w:rsidRPr="003F186B" w:rsidRDefault="00C9696A" w:rsidP="00BA6A85">
            <w:pPr>
              <w:keepNext/>
              <w:keepLines/>
              <w:spacing w:line="240" w:lineRule="auto"/>
              <w:rPr>
                <w:rFonts w:eastAsia="Times New Roman" w:cs="Calibri"/>
                <w:b/>
                <w:bCs/>
                <w:color w:val="000000"/>
                <w:sz w:val="20"/>
                <w:szCs w:val="20"/>
                <w:lang w:eastAsia="en-AU"/>
              </w:rPr>
            </w:pPr>
            <w:r w:rsidRPr="003F186B">
              <w:rPr>
                <w:rFonts w:eastAsia="Times New Roman" w:cs="Calibri"/>
                <w:b/>
                <w:bCs/>
                <w:color w:val="000000"/>
                <w:sz w:val="20"/>
                <w:szCs w:val="20"/>
                <w:lang w:eastAsia="en-AU"/>
              </w:rPr>
              <w:t>Year 11</w:t>
            </w:r>
          </w:p>
        </w:tc>
        <w:tc>
          <w:tcPr>
            <w:tcW w:w="1126" w:type="pct"/>
            <w:tcBorders>
              <w:top w:val="single" w:sz="8" w:space="0" w:color="auto"/>
              <w:left w:val="nil"/>
              <w:bottom w:val="nil"/>
              <w:right w:val="single" w:sz="8" w:space="0" w:color="auto"/>
            </w:tcBorders>
            <w:shd w:val="clear" w:color="000000" w:fill="auto"/>
            <w:noWrap/>
            <w:vAlign w:val="bottom"/>
            <w:hideMark/>
          </w:tcPr>
          <w:p w14:paraId="62D95586" w14:textId="77777777" w:rsidR="00C9696A" w:rsidRPr="003F186B" w:rsidRDefault="00C9696A" w:rsidP="00BA6A85">
            <w:pPr>
              <w:keepNext/>
              <w:keepLines/>
              <w:spacing w:line="240" w:lineRule="auto"/>
              <w:ind w:right="510"/>
              <w:jc w:val="right"/>
              <w:rPr>
                <w:rFonts w:eastAsia="Times New Roman" w:cs="Calibri"/>
                <w:color w:val="000000"/>
                <w:sz w:val="20"/>
                <w:szCs w:val="20"/>
                <w:lang w:eastAsia="en-AU"/>
              </w:rPr>
            </w:pPr>
            <w:r w:rsidRPr="003F186B">
              <w:rPr>
                <w:rFonts w:eastAsia="Times New Roman" w:cs="Calibri"/>
                <w:color w:val="000000"/>
                <w:sz w:val="20"/>
                <w:szCs w:val="20"/>
                <w:lang w:eastAsia="en-AU"/>
              </w:rPr>
              <w:t>94.8</w:t>
            </w:r>
          </w:p>
        </w:tc>
        <w:tc>
          <w:tcPr>
            <w:tcW w:w="1136" w:type="pct"/>
            <w:gridSpan w:val="3"/>
            <w:tcBorders>
              <w:top w:val="single" w:sz="8" w:space="0" w:color="auto"/>
              <w:left w:val="nil"/>
              <w:bottom w:val="nil"/>
              <w:right w:val="single" w:sz="8" w:space="0" w:color="auto"/>
            </w:tcBorders>
            <w:shd w:val="clear" w:color="auto" w:fill="FFFFFF" w:themeFill="background1"/>
          </w:tcPr>
          <w:p w14:paraId="46B2EAF1" w14:textId="77777777" w:rsidR="00C9696A" w:rsidRPr="003F186B" w:rsidRDefault="00C9696A" w:rsidP="00BA6A85">
            <w:pPr>
              <w:keepNext/>
              <w:keepLines/>
              <w:spacing w:line="240" w:lineRule="auto"/>
              <w:ind w:right="510"/>
              <w:jc w:val="right"/>
              <w:rPr>
                <w:rFonts w:eastAsia="Times New Roman" w:cs="Calibri"/>
                <w:color w:val="000000"/>
                <w:sz w:val="20"/>
                <w:szCs w:val="20"/>
                <w:lang w:eastAsia="en-AU"/>
              </w:rPr>
            </w:pPr>
            <w:r w:rsidRPr="003F186B">
              <w:rPr>
                <w:rFonts w:eastAsia="Times New Roman" w:cs="Calibri"/>
                <w:color w:val="000000"/>
                <w:sz w:val="20"/>
                <w:szCs w:val="20"/>
                <w:lang w:eastAsia="en-AU"/>
              </w:rPr>
              <w:t>350.6</w:t>
            </w:r>
          </w:p>
        </w:tc>
      </w:tr>
      <w:tr w:rsidR="00C9696A" w:rsidRPr="003F186B" w14:paraId="1FA914C4" w14:textId="77777777" w:rsidTr="00B03B44">
        <w:trPr>
          <w:trHeight w:val="327"/>
        </w:trPr>
        <w:tc>
          <w:tcPr>
            <w:tcW w:w="1316" w:type="pct"/>
            <w:tcBorders>
              <w:top w:val="nil"/>
              <w:left w:val="single" w:sz="8" w:space="0" w:color="auto"/>
              <w:bottom w:val="nil"/>
              <w:right w:val="nil"/>
            </w:tcBorders>
            <w:shd w:val="clear" w:color="000000" w:fill="D9D9D9"/>
            <w:noWrap/>
            <w:vAlign w:val="bottom"/>
            <w:hideMark/>
          </w:tcPr>
          <w:p w14:paraId="71551148" w14:textId="77777777" w:rsidR="00C9696A" w:rsidRPr="003F186B" w:rsidRDefault="00C9696A" w:rsidP="00BA6A85">
            <w:pPr>
              <w:keepNext/>
              <w:keepLines/>
              <w:spacing w:line="240" w:lineRule="auto"/>
              <w:rPr>
                <w:rFonts w:eastAsia="Times New Roman" w:cs="Calibri"/>
                <w:b/>
                <w:bCs/>
                <w:color w:val="000000"/>
                <w:sz w:val="20"/>
                <w:szCs w:val="20"/>
                <w:lang w:eastAsia="en-AU"/>
              </w:rPr>
            </w:pPr>
            <w:r w:rsidRPr="003F186B">
              <w:rPr>
                <w:rFonts w:eastAsia="Times New Roman" w:cs="Calibri"/>
                <w:b/>
                <w:bCs/>
                <w:color w:val="000000"/>
                <w:sz w:val="20"/>
                <w:szCs w:val="20"/>
                <w:lang w:eastAsia="en-AU"/>
              </w:rPr>
              <w:t> </w:t>
            </w:r>
          </w:p>
        </w:tc>
        <w:tc>
          <w:tcPr>
            <w:tcW w:w="1422" w:type="pct"/>
            <w:tcBorders>
              <w:top w:val="nil"/>
              <w:left w:val="nil"/>
              <w:bottom w:val="single" w:sz="8" w:space="0" w:color="auto"/>
              <w:right w:val="single" w:sz="8" w:space="0" w:color="auto"/>
            </w:tcBorders>
            <w:shd w:val="clear" w:color="000000" w:fill="D9D9D9"/>
            <w:noWrap/>
            <w:vAlign w:val="bottom"/>
            <w:hideMark/>
          </w:tcPr>
          <w:p w14:paraId="6784DB69" w14:textId="77777777" w:rsidR="00C9696A" w:rsidRPr="003F186B" w:rsidRDefault="00C9696A" w:rsidP="00BA6A85">
            <w:pPr>
              <w:keepNext/>
              <w:keepLines/>
              <w:spacing w:line="240" w:lineRule="auto"/>
              <w:rPr>
                <w:rFonts w:eastAsia="Times New Roman" w:cs="Calibri"/>
                <w:b/>
                <w:bCs/>
                <w:color w:val="000000"/>
                <w:sz w:val="20"/>
                <w:szCs w:val="20"/>
                <w:lang w:eastAsia="en-AU"/>
              </w:rPr>
            </w:pPr>
            <w:r w:rsidRPr="003F186B">
              <w:rPr>
                <w:rFonts w:eastAsia="Times New Roman" w:cs="Calibri"/>
                <w:b/>
                <w:bCs/>
                <w:color w:val="000000"/>
                <w:sz w:val="20"/>
                <w:szCs w:val="20"/>
                <w:lang w:eastAsia="en-AU"/>
              </w:rPr>
              <w:t>Year 12</w:t>
            </w:r>
          </w:p>
        </w:tc>
        <w:tc>
          <w:tcPr>
            <w:tcW w:w="1126" w:type="pct"/>
            <w:tcBorders>
              <w:top w:val="nil"/>
              <w:left w:val="nil"/>
              <w:bottom w:val="single" w:sz="8" w:space="0" w:color="auto"/>
              <w:right w:val="single" w:sz="8" w:space="0" w:color="auto"/>
            </w:tcBorders>
            <w:shd w:val="clear" w:color="000000" w:fill="auto"/>
            <w:noWrap/>
            <w:vAlign w:val="bottom"/>
            <w:hideMark/>
          </w:tcPr>
          <w:p w14:paraId="6EE22654" w14:textId="77777777" w:rsidR="00C9696A" w:rsidRPr="003F186B" w:rsidRDefault="00C9696A" w:rsidP="00BA6A85">
            <w:pPr>
              <w:keepNext/>
              <w:keepLines/>
              <w:spacing w:line="240" w:lineRule="auto"/>
              <w:ind w:right="510"/>
              <w:jc w:val="right"/>
              <w:rPr>
                <w:rFonts w:eastAsia="Times New Roman" w:cs="Calibri"/>
                <w:color w:val="000000"/>
                <w:sz w:val="20"/>
                <w:szCs w:val="20"/>
                <w:lang w:eastAsia="en-AU"/>
              </w:rPr>
            </w:pPr>
            <w:r w:rsidRPr="003F186B">
              <w:rPr>
                <w:rFonts w:eastAsia="Times New Roman" w:cs="Calibri"/>
                <w:color w:val="000000"/>
                <w:sz w:val="20"/>
                <w:szCs w:val="20"/>
                <w:lang w:eastAsia="en-AU"/>
              </w:rPr>
              <w:t>79.8</w:t>
            </w:r>
          </w:p>
        </w:tc>
        <w:tc>
          <w:tcPr>
            <w:tcW w:w="1136" w:type="pct"/>
            <w:gridSpan w:val="3"/>
            <w:tcBorders>
              <w:top w:val="nil"/>
              <w:left w:val="nil"/>
              <w:bottom w:val="single" w:sz="8" w:space="0" w:color="auto"/>
              <w:right w:val="single" w:sz="8" w:space="0" w:color="auto"/>
            </w:tcBorders>
            <w:shd w:val="clear" w:color="auto" w:fill="FFFFFF" w:themeFill="background1"/>
          </w:tcPr>
          <w:p w14:paraId="74E566E3" w14:textId="77777777" w:rsidR="00C9696A" w:rsidRPr="003F186B" w:rsidRDefault="00C9696A" w:rsidP="00BA6A85">
            <w:pPr>
              <w:keepNext/>
              <w:keepLines/>
              <w:spacing w:line="240" w:lineRule="auto"/>
              <w:ind w:right="510"/>
              <w:jc w:val="right"/>
              <w:rPr>
                <w:rFonts w:eastAsia="Times New Roman" w:cs="Calibri"/>
                <w:color w:val="000000"/>
                <w:sz w:val="20"/>
                <w:szCs w:val="20"/>
                <w:lang w:eastAsia="en-AU"/>
              </w:rPr>
            </w:pPr>
            <w:r w:rsidRPr="003F186B">
              <w:rPr>
                <w:rFonts w:eastAsia="Times New Roman" w:cs="Calibri"/>
                <w:color w:val="000000"/>
                <w:sz w:val="20"/>
                <w:szCs w:val="20"/>
                <w:lang w:eastAsia="en-AU"/>
              </w:rPr>
              <w:t>233.4</w:t>
            </w:r>
          </w:p>
        </w:tc>
      </w:tr>
      <w:tr w:rsidR="00C9696A" w:rsidRPr="003F186B" w14:paraId="63A1FA10" w14:textId="77777777" w:rsidTr="00B03B44">
        <w:trPr>
          <w:trHeight w:val="327"/>
        </w:trPr>
        <w:tc>
          <w:tcPr>
            <w:tcW w:w="1316" w:type="pct"/>
            <w:tcBorders>
              <w:top w:val="nil"/>
              <w:left w:val="single" w:sz="8" w:space="0" w:color="auto"/>
              <w:bottom w:val="single" w:sz="8" w:space="0" w:color="auto"/>
              <w:right w:val="nil"/>
            </w:tcBorders>
            <w:shd w:val="clear" w:color="000000" w:fill="D9D9D9"/>
            <w:noWrap/>
            <w:vAlign w:val="bottom"/>
            <w:hideMark/>
          </w:tcPr>
          <w:p w14:paraId="348E783F" w14:textId="77777777" w:rsidR="00C9696A" w:rsidRPr="003F186B" w:rsidRDefault="00C9696A" w:rsidP="00BA6A85">
            <w:pPr>
              <w:keepNext/>
              <w:keepLines/>
              <w:spacing w:line="240" w:lineRule="auto"/>
              <w:rPr>
                <w:rFonts w:eastAsia="Times New Roman" w:cs="Calibri"/>
                <w:b/>
                <w:bCs/>
                <w:color w:val="000000"/>
                <w:sz w:val="20"/>
                <w:szCs w:val="20"/>
                <w:lang w:eastAsia="en-AU"/>
              </w:rPr>
            </w:pPr>
            <w:r w:rsidRPr="003F186B">
              <w:rPr>
                <w:rFonts w:eastAsia="Times New Roman" w:cs="Calibri"/>
                <w:b/>
                <w:bCs/>
                <w:color w:val="000000"/>
                <w:sz w:val="20"/>
                <w:szCs w:val="20"/>
                <w:lang w:eastAsia="en-AU"/>
              </w:rPr>
              <w:t> </w:t>
            </w:r>
          </w:p>
        </w:tc>
        <w:tc>
          <w:tcPr>
            <w:tcW w:w="1422" w:type="pct"/>
            <w:tcBorders>
              <w:top w:val="nil"/>
              <w:left w:val="nil"/>
              <w:bottom w:val="single" w:sz="8" w:space="0" w:color="auto"/>
              <w:right w:val="single" w:sz="8" w:space="0" w:color="auto"/>
            </w:tcBorders>
            <w:shd w:val="clear" w:color="000000" w:fill="D9D9D9"/>
            <w:noWrap/>
            <w:vAlign w:val="bottom"/>
            <w:hideMark/>
          </w:tcPr>
          <w:p w14:paraId="58A7E8F2" w14:textId="77777777" w:rsidR="00C9696A" w:rsidRPr="003F186B" w:rsidRDefault="00C9696A" w:rsidP="00BA6A85">
            <w:pPr>
              <w:keepNext/>
              <w:keepLines/>
              <w:spacing w:line="240" w:lineRule="auto"/>
              <w:rPr>
                <w:rFonts w:eastAsia="Times New Roman" w:cs="Calibri"/>
                <w:b/>
                <w:bCs/>
                <w:color w:val="000000"/>
                <w:sz w:val="20"/>
                <w:szCs w:val="20"/>
                <w:lang w:eastAsia="en-AU"/>
              </w:rPr>
            </w:pPr>
            <w:r w:rsidRPr="003F186B">
              <w:rPr>
                <w:rFonts w:eastAsia="Times New Roman" w:cs="Calibri"/>
                <w:b/>
                <w:bCs/>
                <w:color w:val="000000"/>
                <w:sz w:val="20"/>
                <w:szCs w:val="20"/>
                <w:lang w:eastAsia="en-AU"/>
              </w:rPr>
              <w:t>Total</w:t>
            </w:r>
          </w:p>
        </w:tc>
        <w:tc>
          <w:tcPr>
            <w:tcW w:w="1126" w:type="pct"/>
            <w:tcBorders>
              <w:top w:val="nil"/>
              <w:left w:val="nil"/>
              <w:bottom w:val="single" w:sz="8" w:space="0" w:color="auto"/>
              <w:right w:val="single" w:sz="8" w:space="0" w:color="auto"/>
            </w:tcBorders>
            <w:shd w:val="clear" w:color="000000" w:fill="auto"/>
            <w:noWrap/>
            <w:vAlign w:val="bottom"/>
            <w:hideMark/>
          </w:tcPr>
          <w:p w14:paraId="3CA06082" w14:textId="77777777" w:rsidR="00C9696A" w:rsidRPr="003F186B" w:rsidRDefault="00C9696A" w:rsidP="00BA6A85">
            <w:pPr>
              <w:keepNext/>
              <w:keepLines/>
              <w:spacing w:line="240" w:lineRule="auto"/>
              <w:ind w:right="510"/>
              <w:jc w:val="right"/>
              <w:rPr>
                <w:rFonts w:eastAsia="Times New Roman" w:cs="Calibri"/>
                <w:color w:val="000000"/>
                <w:sz w:val="20"/>
                <w:szCs w:val="20"/>
                <w:lang w:eastAsia="en-AU"/>
              </w:rPr>
            </w:pPr>
            <w:r w:rsidRPr="003F186B">
              <w:rPr>
                <w:rFonts w:eastAsia="Times New Roman" w:cs="Calibri"/>
                <w:color w:val="000000"/>
                <w:sz w:val="20"/>
                <w:szCs w:val="20"/>
                <w:lang w:eastAsia="en-AU"/>
              </w:rPr>
              <w:t>174.6</w:t>
            </w:r>
          </w:p>
        </w:tc>
        <w:tc>
          <w:tcPr>
            <w:tcW w:w="1136" w:type="pct"/>
            <w:gridSpan w:val="3"/>
            <w:tcBorders>
              <w:top w:val="nil"/>
              <w:left w:val="nil"/>
              <w:bottom w:val="single" w:sz="8" w:space="0" w:color="auto"/>
              <w:right w:val="single" w:sz="8" w:space="0" w:color="auto"/>
            </w:tcBorders>
            <w:shd w:val="clear" w:color="auto" w:fill="FFFFFF" w:themeFill="background1"/>
          </w:tcPr>
          <w:p w14:paraId="6FA337D6" w14:textId="77777777" w:rsidR="00C9696A" w:rsidRPr="003F186B" w:rsidRDefault="00C9696A" w:rsidP="00BA6A85">
            <w:pPr>
              <w:keepNext/>
              <w:keepLines/>
              <w:spacing w:line="240" w:lineRule="auto"/>
              <w:ind w:right="510"/>
              <w:jc w:val="right"/>
              <w:rPr>
                <w:rFonts w:eastAsia="Times New Roman" w:cs="Calibri"/>
                <w:color w:val="000000"/>
                <w:sz w:val="20"/>
                <w:szCs w:val="20"/>
                <w:lang w:eastAsia="en-AU"/>
              </w:rPr>
            </w:pPr>
            <w:r w:rsidRPr="003F186B">
              <w:rPr>
                <w:rFonts w:eastAsia="Times New Roman" w:cs="Calibri"/>
                <w:color w:val="000000"/>
                <w:sz w:val="20"/>
                <w:szCs w:val="20"/>
                <w:lang w:eastAsia="en-AU"/>
              </w:rPr>
              <w:t>584.0</w:t>
            </w:r>
          </w:p>
        </w:tc>
      </w:tr>
      <w:tr w:rsidR="00C9696A" w:rsidRPr="003F186B" w14:paraId="5DE6FA61" w14:textId="77777777" w:rsidTr="00C9696A">
        <w:trPr>
          <w:trHeight w:val="312"/>
        </w:trPr>
        <w:tc>
          <w:tcPr>
            <w:tcW w:w="5000" w:type="pct"/>
            <w:gridSpan w:val="6"/>
            <w:tcBorders>
              <w:top w:val="nil"/>
              <w:left w:val="nil"/>
              <w:bottom w:val="nil"/>
              <w:right w:val="nil"/>
            </w:tcBorders>
            <w:shd w:val="clear" w:color="auto" w:fill="auto"/>
            <w:noWrap/>
            <w:vAlign w:val="bottom"/>
            <w:hideMark/>
          </w:tcPr>
          <w:p w14:paraId="58031240" w14:textId="77777777" w:rsidR="00C9696A" w:rsidRPr="003F186B" w:rsidRDefault="00C9696A" w:rsidP="00B03B44">
            <w:pPr>
              <w:spacing w:after="120" w:line="240" w:lineRule="auto"/>
              <w:rPr>
                <w:rFonts w:eastAsia="Times New Roman" w:cs="Calibri"/>
                <w:color w:val="000000"/>
                <w:lang w:eastAsia="en-AU"/>
              </w:rPr>
            </w:pPr>
            <w:r w:rsidRPr="003F186B">
              <w:rPr>
                <w:i/>
                <w:color w:val="000000"/>
                <w:sz w:val="20"/>
                <w:szCs w:val="20"/>
              </w:rPr>
              <w:t xml:space="preserve">Source: </w:t>
            </w:r>
            <w:proofErr w:type="spellStart"/>
            <w:r w:rsidRPr="003F186B">
              <w:rPr>
                <w:i/>
                <w:color w:val="000000"/>
                <w:sz w:val="20"/>
                <w:szCs w:val="20"/>
              </w:rPr>
              <w:t>DEECD</w:t>
            </w:r>
            <w:proofErr w:type="spellEnd"/>
            <w:r w:rsidRPr="003F186B">
              <w:rPr>
                <w:i/>
                <w:color w:val="000000"/>
                <w:sz w:val="20"/>
                <w:szCs w:val="20"/>
              </w:rPr>
              <w:t xml:space="preserve"> August School Census (unpublished)</w:t>
            </w:r>
          </w:p>
        </w:tc>
      </w:tr>
      <w:tr w:rsidR="00C9696A" w:rsidRPr="003F186B" w14:paraId="005A6EA1" w14:textId="77777777" w:rsidTr="00C9696A">
        <w:trPr>
          <w:gridAfter w:val="2"/>
          <w:wAfter w:w="357" w:type="pct"/>
          <w:trHeight w:val="312"/>
        </w:trPr>
        <w:tc>
          <w:tcPr>
            <w:tcW w:w="4643" w:type="pct"/>
            <w:gridSpan w:val="4"/>
            <w:tcBorders>
              <w:top w:val="nil"/>
              <w:left w:val="nil"/>
              <w:bottom w:val="nil"/>
              <w:right w:val="nil"/>
            </w:tcBorders>
            <w:shd w:val="clear" w:color="auto" w:fill="auto"/>
            <w:noWrap/>
            <w:vAlign w:val="bottom"/>
            <w:hideMark/>
          </w:tcPr>
          <w:p w14:paraId="161D628D" w14:textId="1FB51288" w:rsidR="00C9696A" w:rsidRPr="003F186B" w:rsidRDefault="004F1B7A" w:rsidP="00592A44">
            <w:pPr>
              <w:pStyle w:val="Heading4"/>
            </w:pPr>
            <w:r>
              <w:t>Table 11</w:t>
            </w:r>
            <w:r w:rsidR="00C9696A" w:rsidRPr="003F186B">
              <w:t>: Target schools, Full-Time Equivalent Enrolments, Year 11 and 12 Indigenous students, 2011-2012</w:t>
            </w:r>
          </w:p>
        </w:tc>
      </w:tr>
      <w:tr w:rsidR="00C9696A" w:rsidRPr="003F186B" w14:paraId="37730CD2" w14:textId="77777777" w:rsidTr="00B03B44">
        <w:trPr>
          <w:trHeight w:val="327"/>
        </w:trPr>
        <w:tc>
          <w:tcPr>
            <w:tcW w:w="1316" w:type="pct"/>
            <w:tcBorders>
              <w:top w:val="single" w:sz="8" w:space="0" w:color="auto"/>
              <w:left w:val="single" w:sz="8" w:space="0" w:color="auto"/>
              <w:bottom w:val="single" w:sz="8" w:space="0" w:color="auto"/>
              <w:right w:val="nil"/>
            </w:tcBorders>
            <w:shd w:val="clear" w:color="auto" w:fill="D6E3BC" w:themeFill="accent3" w:themeFillTint="66"/>
            <w:noWrap/>
            <w:vAlign w:val="center"/>
            <w:hideMark/>
          </w:tcPr>
          <w:p w14:paraId="2852BAD5" w14:textId="77777777" w:rsidR="00C9696A" w:rsidRPr="003F186B" w:rsidRDefault="00C9696A" w:rsidP="00BA6A85">
            <w:pPr>
              <w:keepNext/>
              <w:spacing w:line="240" w:lineRule="auto"/>
              <w:contextualSpacing/>
              <w:rPr>
                <w:rFonts w:eastAsia="Times New Roman" w:cs="Calibri"/>
                <w:b/>
                <w:bCs/>
                <w:color w:val="000000"/>
                <w:sz w:val="20"/>
                <w:szCs w:val="20"/>
                <w:lang w:eastAsia="en-AU"/>
              </w:rPr>
            </w:pPr>
            <w:r w:rsidRPr="003F186B">
              <w:rPr>
                <w:rFonts w:eastAsia="Times New Roman" w:cs="Calibri"/>
                <w:b/>
                <w:bCs/>
                <w:color w:val="000000"/>
                <w:sz w:val="20"/>
                <w:szCs w:val="20"/>
                <w:lang w:eastAsia="en-AU"/>
              </w:rPr>
              <w:t>Sector</w:t>
            </w:r>
          </w:p>
        </w:tc>
        <w:tc>
          <w:tcPr>
            <w:tcW w:w="1422" w:type="pct"/>
            <w:tcBorders>
              <w:top w:val="single" w:sz="8" w:space="0" w:color="auto"/>
              <w:left w:val="nil"/>
              <w:bottom w:val="single" w:sz="8" w:space="0" w:color="auto"/>
              <w:right w:val="single" w:sz="8" w:space="0" w:color="auto"/>
            </w:tcBorders>
            <w:shd w:val="clear" w:color="auto" w:fill="D6E3BC" w:themeFill="accent3" w:themeFillTint="66"/>
            <w:noWrap/>
            <w:vAlign w:val="center"/>
            <w:hideMark/>
          </w:tcPr>
          <w:p w14:paraId="08D63488" w14:textId="77777777" w:rsidR="00C9696A" w:rsidRPr="003F186B" w:rsidRDefault="00C9696A" w:rsidP="00BA6A85">
            <w:pPr>
              <w:keepNext/>
              <w:spacing w:line="240" w:lineRule="auto"/>
              <w:ind w:left="720"/>
              <w:contextualSpacing/>
              <w:rPr>
                <w:rFonts w:eastAsia="Times New Roman" w:cs="Calibri"/>
                <w:b/>
                <w:bCs/>
                <w:color w:val="000000"/>
                <w:sz w:val="20"/>
                <w:szCs w:val="20"/>
                <w:lang w:eastAsia="en-AU"/>
              </w:rPr>
            </w:pPr>
            <w:r w:rsidRPr="003F186B">
              <w:rPr>
                <w:rFonts w:eastAsia="Times New Roman" w:cs="Calibri"/>
                <w:b/>
                <w:bCs/>
                <w:color w:val="000000"/>
                <w:sz w:val="20"/>
                <w:szCs w:val="20"/>
                <w:lang w:eastAsia="en-AU"/>
              </w:rPr>
              <w:t> </w:t>
            </w:r>
          </w:p>
        </w:tc>
        <w:tc>
          <w:tcPr>
            <w:tcW w:w="1126" w:type="pct"/>
            <w:tcBorders>
              <w:top w:val="single" w:sz="8" w:space="0" w:color="auto"/>
              <w:left w:val="nil"/>
              <w:bottom w:val="single" w:sz="8" w:space="0" w:color="auto"/>
              <w:right w:val="single" w:sz="8" w:space="0" w:color="auto"/>
            </w:tcBorders>
            <w:shd w:val="clear" w:color="auto" w:fill="D6E3BC" w:themeFill="accent3" w:themeFillTint="66"/>
            <w:noWrap/>
            <w:vAlign w:val="center"/>
            <w:hideMark/>
          </w:tcPr>
          <w:p w14:paraId="1CA9FB48" w14:textId="77777777" w:rsidR="00C9696A" w:rsidRPr="003F186B" w:rsidRDefault="00C9696A" w:rsidP="00E84099">
            <w:pPr>
              <w:keepNext/>
              <w:spacing w:line="240" w:lineRule="auto"/>
              <w:contextualSpacing/>
              <w:jc w:val="center"/>
              <w:rPr>
                <w:rFonts w:eastAsia="Times New Roman" w:cs="Calibri"/>
                <w:b/>
                <w:bCs/>
                <w:color w:val="000000"/>
                <w:sz w:val="20"/>
                <w:szCs w:val="20"/>
                <w:lang w:eastAsia="en-AU"/>
              </w:rPr>
            </w:pPr>
            <w:r w:rsidRPr="003F186B">
              <w:rPr>
                <w:rFonts w:eastAsia="Times New Roman" w:cs="Calibri"/>
                <w:b/>
                <w:bCs/>
                <w:color w:val="000000"/>
                <w:sz w:val="20"/>
                <w:szCs w:val="20"/>
                <w:lang w:eastAsia="en-AU"/>
              </w:rPr>
              <w:t>Aug-2011</w:t>
            </w:r>
          </w:p>
        </w:tc>
        <w:tc>
          <w:tcPr>
            <w:tcW w:w="1136" w:type="pct"/>
            <w:gridSpan w:val="3"/>
            <w:tcBorders>
              <w:top w:val="single" w:sz="8" w:space="0" w:color="auto"/>
              <w:left w:val="nil"/>
              <w:bottom w:val="single" w:sz="8" w:space="0" w:color="auto"/>
              <w:right w:val="single" w:sz="8" w:space="0" w:color="auto"/>
            </w:tcBorders>
            <w:shd w:val="clear" w:color="auto" w:fill="D6E3BC" w:themeFill="accent3" w:themeFillTint="66"/>
            <w:vAlign w:val="center"/>
          </w:tcPr>
          <w:p w14:paraId="4019C3A3" w14:textId="77777777" w:rsidR="00C9696A" w:rsidRPr="003F186B" w:rsidRDefault="00C9696A" w:rsidP="00E84099">
            <w:pPr>
              <w:keepNext/>
              <w:spacing w:line="240" w:lineRule="auto"/>
              <w:contextualSpacing/>
              <w:jc w:val="center"/>
              <w:rPr>
                <w:rFonts w:eastAsia="Times New Roman" w:cs="Calibri"/>
                <w:b/>
                <w:bCs/>
                <w:color w:val="000000"/>
                <w:sz w:val="20"/>
                <w:szCs w:val="20"/>
                <w:lang w:eastAsia="en-AU"/>
              </w:rPr>
            </w:pPr>
            <w:r w:rsidRPr="003F186B">
              <w:rPr>
                <w:rFonts w:eastAsia="Times New Roman" w:cs="Calibri"/>
                <w:b/>
                <w:bCs/>
                <w:color w:val="000000"/>
                <w:sz w:val="20"/>
                <w:szCs w:val="20"/>
                <w:lang w:eastAsia="en-AU"/>
              </w:rPr>
              <w:t>Aug 2012</w:t>
            </w:r>
          </w:p>
        </w:tc>
      </w:tr>
      <w:tr w:rsidR="00C9696A" w:rsidRPr="003F186B" w14:paraId="2CA4F37C" w14:textId="77777777" w:rsidTr="00B03B44">
        <w:trPr>
          <w:trHeight w:val="312"/>
        </w:trPr>
        <w:tc>
          <w:tcPr>
            <w:tcW w:w="1316" w:type="pct"/>
            <w:tcBorders>
              <w:top w:val="single" w:sz="8" w:space="0" w:color="auto"/>
              <w:left w:val="single" w:sz="8" w:space="0" w:color="auto"/>
              <w:bottom w:val="nil"/>
              <w:right w:val="nil"/>
            </w:tcBorders>
            <w:shd w:val="clear" w:color="000000" w:fill="D9D9D9"/>
            <w:noWrap/>
            <w:vAlign w:val="bottom"/>
            <w:hideMark/>
          </w:tcPr>
          <w:p w14:paraId="53BFAE80" w14:textId="77777777" w:rsidR="00C9696A" w:rsidRPr="003F186B" w:rsidRDefault="00C9696A" w:rsidP="00BA6A85">
            <w:pPr>
              <w:keepNext/>
              <w:spacing w:line="240" w:lineRule="auto"/>
              <w:rPr>
                <w:rFonts w:eastAsia="Times New Roman" w:cs="Calibri"/>
                <w:b/>
                <w:bCs/>
                <w:color w:val="000000"/>
                <w:sz w:val="20"/>
                <w:szCs w:val="20"/>
                <w:lang w:eastAsia="en-AU"/>
              </w:rPr>
            </w:pPr>
            <w:r w:rsidRPr="003F186B">
              <w:rPr>
                <w:rFonts w:eastAsia="Times New Roman" w:cs="Calibri"/>
                <w:b/>
                <w:bCs/>
                <w:color w:val="000000"/>
                <w:sz w:val="20"/>
                <w:szCs w:val="20"/>
                <w:lang w:eastAsia="en-AU"/>
              </w:rPr>
              <w:t>Government</w:t>
            </w:r>
          </w:p>
        </w:tc>
        <w:tc>
          <w:tcPr>
            <w:tcW w:w="1422" w:type="pct"/>
            <w:tcBorders>
              <w:top w:val="single" w:sz="8" w:space="0" w:color="auto"/>
              <w:left w:val="nil"/>
              <w:bottom w:val="nil"/>
              <w:right w:val="single" w:sz="8" w:space="0" w:color="auto"/>
            </w:tcBorders>
            <w:shd w:val="clear" w:color="000000" w:fill="D9D9D9"/>
            <w:noWrap/>
            <w:vAlign w:val="bottom"/>
            <w:hideMark/>
          </w:tcPr>
          <w:p w14:paraId="7B965903" w14:textId="77777777" w:rsidR="00C9696A" w:rsidRPr="003F186B" w:rsidRDefault="00C9696A" w:rsidP="00BA6A85">
            <w:pPr>
              <w:keepNext/>
              <w:spacing w:line="240" w:lineRule="auto"/>
              <w:rPr>
                <w:rFonts w:eastAsia="Times New Roman" w:cs="Calibri"/>
                <w:b/>
                <w:bCs/>
                <w:color w:val="000000"/>
                <w:sz w:val="20"/>
                <w:szCs w:val="20"/>
                <w:lang w:eastAsia="en-AU"/>
              </w:rPr>
            </w:pPr>
            <w:r w:rsidRPr="003F186B">
              <w:rPr>
                <w:rFonts w:eastAsia="Times New Roman" w:cs="Calibri"/>
                <w:b/>
                <w:bCs/>
                <w:color w:val="000000"/>
                <w:sz w:val="20"/>
                <w:szCs w:val="20"/>
                <w:lang w:eastAsia="en-AU"/>
              </w:rPr>
              <w:t>Year 11</w:t>
            </w:r>
          </w:p>
        </w:tc>
        <w:tc>
          <w:tcPr>
            <w:tcW w:w="1126" w:type="pct"/>
            <w:tcBorders>
              <w:top w:val="single" w:sz="8" w:space="0" w:color="auto"/>
              <w:left w:val="nil"/>
              <w:bottom w:val="nil"/>
              <w:right w:val="single" w:sz="8" w:space="0" w:color="auto"/>
            </w:tcBorders>
            <w:shd w:val="clear" w:color="000000" w:fill="auto"/>
            <w:noWrap/>
            <w:vAlign w:val="bottom"/>
            <w:hideMark/>
          </w:tcPr>
          <w:p w14:paraId="51E1B33D" w14:textId="77777777" w:rsidR="00C9696A" w:rsidRPr="003F186B" w:rsidRDefault="00C9696A" w:rsidP="00BA6A85">
            <w:pPr>
              <w:keepNext/>
              <w:spacing w:line="240" w:lineRule="auto"/>
              <w:ind w:right="510"/>
              <w:jc w:val="right"/>
              <w:rPr>
                <w:rFonts w:eastAsia="Times New Roman" w:cs="Calibri"/>
                <w:color w:val="000000"/>
                <w:lang w:eastAsia="en-AU"/>
              </w:rPr>
            </w:pPr>
            <w:r w:rsidRPr="003F186B">
              <w:rPr>
                <w:rFonts w:eastAsia="Times New Roman" w:cs="Calibri"/>
                <w:color w:val="000000"/>
                <w:lang w:eastAsia="en-AU"/>
              </w:rPr>
              <w:t>13.8</w:t>
            </w:r>
          </w:p>
        </w:tc>
        <w:tc>
          <w:tcPr>
            <w:tcW w:w="1136" w:type="pct"/>
            <w:gridSpan w:val="3"/>
            <w:tcBorders>
              <w:top w:val="single" w:sz="8" w:space="0" w:color="auto"/>
              <w:left w:val="nil"/>
              <w:bottom w:val="nil"/>
              <w:right w:val="single" w:sz="8" w:space="0" w:color="auto"/>
            </w:tcBorders>
            <w:shd w:val="clear" w:color="auto" w:fill="FFFFFF" w:themeFill="background1"/>
          </w:tcPr>
          <w:p w14:paraId="5AA5FB42" w14:textId="77777777" w:rsidR="00C9696A" w:rsidRPr="003F186B" w:rsidRDefault="00C9696A" w:rsidP="00BA6A85">
            <w:pPr>
              <w:keepNext/>
              <w:spacing w:line="240" w:lineRule="auto"/>
              <w:ind w:right="510"/>
              <w:jc w:val="right"/>
              <w:rPr>
                <w:rFonts w:eastAsia="Times New Roman" w:cs="Calibri"/>
                <w:color w:val="000000"/>
                <w:lang w:eastAsia="en-AU"/>
              </w:rPr>
            </w:pPr>
            <w:r w:rsidRPr="003F186B">
              <w:rPr>
                <w:rFonts w:eastAsia="Times New Roman" w:cs="Calibri"/>
                <w:color w:val="000000"/>
                <w:lang w:eastAsia="en-AU"/>
              </w:rPr>
              <w:t>53.1</w:t>
            </w:r>
          </w:p>
        </w:tc>
      </w:tr>
      <w:tr w:rsidR="00C9696A" w:rsidRPr="003F186B" w14:paraId="028FF12C" w14:textId="77777777" w:rsidTr="00B03B44">
        <w:trPr>
          <w:trHeight w:val="327"/>
        </w:trPr>
        <w:tc>
          <w:tcPr>
            <w:tcW w:w="1316" w:type="pct"/>
            <w:tcBorders>
              <w:top w:val="nil"/>
              <w:left w:val="single" w:sz="8" w:space="0" w:color="auto"/>
              <w:bottom w:val="nil"/>
              <w:right w:val="nil"/>
            </w:tcBorders>
            <w:shd w:val="clear" w:color="000000" w:fill="D9D9D9"/>
            <w:noWrap/>
            <w:vAlign w:val="bottom"/>
            <w:hideMark/>
          </w:tcPr>
          <w:p w14:paraId="4F1DB416" w14:textId="77777777" w:rsidR="00C9696A" w:rsidRPr="003F186B" w:rsidRDefault="00C9696A" w:rsidP="00BA6A85">
            <w:pPr>
              <w:keepNext/>
              <w:spacing w:line="240" w:lineRule="auto"/>
              <w:rPr>
                <w:rFonts w:eastAsia="Times New Roman" w:cs="Calibri"/>
                <w:b/>
                <w:bCs/>
                <w:color w:val="000000"/>
                <w:sz w:val="20"/>
                <w:szCs w:val="20"/>
                <w:lang w:eastAsia="en-AU"/>
              </w:rPr>
            </w:pPr>
            <w:r w:rsidRPr="003F186B">
              <w:rPr>
                <w:rFonts w:eastAsia="Times New Roman" w:cs="Calibri"/>
                <w:b/>
                <w:bCs/>
                <w:color w:val="000000"/>
                <w:sz w:val="20"/>
                <w:szCs w:val="20"/>
                <w:lang w:eastAsia="en-AU"/>
              </w:rPr>
              <w:t> </w:t>
            </w:r>
          </w:p>
        </w:tc>
        <w:tc>
          <w:tcPr>
            <w:tcW w:w="1422" w:type="pct"/>
            <w:tcBorders>
              <w:top w:val="nil"/>
              <w:left w:val="nil"/>
              <w:bottom w:val="single" w:sz="8" w:space="0" w:color="auto"/>
              <w:right w:val="single" w:sz="8" w:space="0" w:color="auto"/>
            </w:tcBorders>
            <w:shd w:val="clear" w:color="000000" w:fill="D9D9D9"/>
            <w:noWrap/>
            <w:vAlign w:val="bottom"/>
            <w:hideMark/>
          </w:tcPr>
          <w:p w14:paraId="41929A3E" w14:textId="77777777" w:rsidR="00C9696A" w:rsidRPr="003F186B" w:rsidRDefault="00C9696A" w:rsidP="00BA6A85">
            <w:pPr>
              <w:keepNext/>
              <w:spacing w:line="240" w:lineRule="auto"/>
              <w:rPr>
                <w:rFonts w:eastAsia="Times New Roman" w:cs="Calibri"/>
                <w:b/>
                <w:bCs/>
                <w:color w:val="000000"/>
                <w:sz w:val="20"/>
                <w:szCs w:val="20"/>
                <w:lang w:eastAsia="en-AU"/>
              </w:rPr>
            </w:pPr>
            <w:r w:rsidRPr="003F186B">
              <w:rPr>
                <w:rFonts w:eastAsia="Times New Roman" w:cs="Calibri"/>
                <w:b/>
                <w:bCs/>
                <w:color w:val="000000"/>
                <w:sz w:val="20"/>
                <w:szCs w:val="20"/>
                <w:lang w:eastAsia="en-AU"/>
              </w:rPr>
              <w:t>Year 12</w:t>
            </w:r>
          </w:p>
        </w:tc>
        <w:tc>
          <w:tcPr>
            <w:tcW w:w="1126" w:type="pct"/>
            <w:tcBorders>
              <w:top w:val="nil"/>
              <w:left w:val="nil"/>
              <w:bottom w:val="single" w:sz="8" w:space="0" w:color="auto"/>
              <w:right w:val="single" w:sz="8" w:space="0" w:color="auto"/>
            </w:tcBorders>
            <w:shd w:val="clear" w:color="000000" w:fill="auto"/>
            <w:noWrap/>
            <w:vAlign w:val="bottom"/>
            <w:hideMark/>
          </w:tcPr>
          <w:p w14:paraId="303405BB" w14:textId="77777777" w:rsidR="00C9696A" w:rsidRPr="003F186B" w:rsidRDefault="00C9696A" w:rsidP="00BA6A85">
            <w:pPr>
              <w:keepNext/>
              <w:spacing w:line="240" w:lineRule="auto"/>
              <w:ind w:right="510"/>
              <w:jc w:val="right"/>
              <w:rPr>
                <w:rFonts w:eastAsia="Times New Roman" w:cs="Calibri"/>
                <w:color w:val="000000"/>
                <w:lang w:eastAsia="en-AU"/>
              </w:rPr>
            </w:pPr>
            <w:r w:rsidRPr="003F186B">
              <w:rPr>
                <w:rFonts w:eastAsia="Times New Roman" w:cs="Calibri"/>
                <w:color w:val="000000"/>
                <w:lang w:eastAsia="en-AU"/>
              </w:rPr>
              <w:t>4.8</w:t>
            </w:r>
          </w:p>
        </w:tc>
        <w:tc>
          <w:tcPr>
            <w:tcW w:w="1136" w:type="pct"/>
            <w:gridSpan w:val="3"/>
            <w:tcBorders>
              <w:top w:val="nil"/>
              <w:left w:val="nil"/>
              <w:bottom w:val="single" w:sz="8" w:space="0" w:color="auto"/>
              <w:right w:val="single" w:sz="8" w:space="0" w:color="auto"/>
            </w:tcBorders>
            <w:shd w:val="clear" w:color="auto" w:fill="FFFFFF" w:themeFill="background1"/>
          </w:tcPr>
          <w:p w14:paraId="56CC9C2B" w14:textId="77777777" w:rsidR="00C9696A" w:rsidRPr="003F186B" w:rsidRDefault="00C9696A" w:rsidP="00BA6A85">
            <w:pPr>
              <w:keepNext/>
              <w:spacing w:line="240" w:lineRule="auto"/>
              <w:ind w:right="510"/>
              <w:jc w:val="right"/>
              <w:rPr>
                <w:rFonts w:eastAsia="Times New Roman" w:cs="Calibri"/>
                <w:color w:val="000000"/>
                <w:lang w:eastAsia="en-AU"/>
              </w:rPr>
            </w:pPr>
            <w:r w:rsidRPr="003F186B">
              <w:rPr>
                <w:rFonts w:eastAsia="Times New Roman" w:cs="Calibri"/>
                <w:color w:val="000000"/>
                <w:lang w:eastAsia="en-AU"/>
              </w:rPr>
              <w:t>24.9</w:t>
            </w:r>
          </w:p>
        </w:tc>
      </w:tr>
      <w:tr w:rsidR="00C9696A" w:rsidRPr="003F186B" w14:paraId="1B75BD8B" w14:textId="77777777" w:rsidTr="00B03B44">
        <w:trPr>
          <w:trHeight w:val="327"/>
        </w:trPr>
        <w:tc>
          <w:tcPr>
            <w:tcW w:w="1316" w:type="pct"/>
            <w:tcBorders>
              <w:top w:val="nil"/>
              <w:left w:val="single" w:sz="8" w:space="0" w:color="auto"/>
              <w:bottom w:val="single" w:sz="8" w:space="0" w:color="auto"/>
              <w:right w:val="nil"/>
            </w:tcBorders>
            <w:shd w:val="clear" w:color="000000" w:fill="D9D9D9"/>
            <w:noWrap/>
            <w:vAlign w:val="bottom"/>
            <w:hideMark/>
          </w:tcPr>
          <w:p w14:paraId="6723C666" w14:textId="77777777" w:rsidR="00C9696A" w:rsidRPr="003F186B" w:rsidRDefault="00C9696A" w:rsidP="00BA6A85">
            <w:pPr>
              <w:spacing w:line="240" w:lineRule="auto"/>
              <w:rPr>
                <w:rFonts w:eastAsia="Times New Roman" w:cs="Calibri"/>
                <w:b/>
                <w:bCs/>
                <w:color w:val="000000"/>
                <w:sz w:val="20"/>
                <w:szCs w:val="20"/>
                <w:lang w:eastAsia="en-AU"/>
              </w:rPr>
            </w:pPr>
            <w:r w:rsidRPr="003F186B">
              <w:rPr>
                <w:rFonts w:eastAsia="Times New Roman" w:cs="Calibri"/>
                <w:b/>
                <w:bCs/>
                <w:color w:val="000000"/>
                <w:sz w:val="20"/>
                <w:szCs w:val="20"/>
                <w:lang w:eastAsia="en-AU"/>
              </w:rPr>
              <w:t> </w:t>
            </w:r>
          </w:p>
        </w:tc>
        <w:tc>
          <w:tcPr>
            <w:tcW w:w="1422" w:type="pct"/>
            <w:tcBorders>
              <w:top w:val="nil"/>
              <w:left w:val="nil"/>
              <w:bottom w:val="single" w:sz="8" w:space="0" w:color="auto"/>
              <w:right w:val="single" w:sz="8" w:space="0" w:color="auto"/>
            </w:tcBorders>
            <w:shd w:val="clear" w:color="000000" w:fill="D9D9D9"/>
            <w:noWrap/>
            <w:vAlign w:val="bottom"/>
            <w:hideMark/>
          </w:tcPr>
          <w:p w14:paraId="627F37B5" w14:textId="77777777" w:rsidR="00C9696A" w:rsidRPr="003F186B" w:rsidRDefault="00C9696A" w:rsidP="00BA6A85">
            <w:pPr>
              <w:spacing w:line="240" w:lineRule="auto"/>
              <w:rPr>
                <w:rFonts w:eastAsia="Times New Roman" w:cs="Calibri"/>
                <w:b/>
                <w:bCs/>
                <w:color w:val="000000"/>
                <w:sz w:val="20"/>
                <w:szCs w:val="20"/>
                <w:lang w:eastAsia="en-AU"/>
              </w:rPr>
            </w:pPr>
            <w:r w:rsidRPr="003F186B">
              <w:rPr>
                <w:rFonts w:eastAsia="Times New Roman" w:cs="Calibri"/>
                <w:b/>
                <w:bCs/>
                <w:color w:val="000000"/>
                <w:sz w:val="20"/>
                <w:szCs w:val="20"/>
                <w:lang w:eastAsia="en-AU"/>
              </w:rPr>
              <w:t>Total</w:t>
            </w:r>
          </w:p>
        </w:tc>
        <w:tc>
          <w:tcPr>
            <w:tcW w:w="1126" w:type="pct"/>
            <w:tcBorders>
              <w:top w:val="nil"/>
              <w:left w:val="nil"/>
              <w:bottom w:val="single" w:sz="8" w:space="0" w:color="auto"/>
              <w:right w:val="single" w:sz="8" w:space="0" w:color="auto"/>
            </w:tcBorders>
            <w:shd w:val="clear" w:color="000000" w:fill="auto"/>
            <w:noWrap/>
            <w:vAlign w:val="bottom"/>
            <w:hideMark/>
          </w:tcPr>
          <w:p w14:paraId="458906E0" w14:textId="77777777" w:rsidR="00C9696A" w:rsidRPr="003F186B" w:rsidRDefault="00C9696A" w:rsidP="00BA6A85">
            <w:pPr>
              <w:spacing w:line="240" w:lineRule="auto"/>
              <w:ind w:right="510"/>
              <w:jc w:val="right"/>
              <w:rPr>
                <w:rFonts w:eastAsia="Times New Roman" w:cs="Calibri"/>
                <w:color w:val="000000"/>
                <w:lang w:eastAsia="en-AU"/>
              </w:rPr>
            </w:pPr>
            <w:r w:rsidRPr="003F186B">
              <w:rPr>
                <w:rFonts w:eastAsia="Times New Roman" w:cs="Calibri"/>
                <w:color w:val="000000"/>
                <w:lang w:eastAsia="en-AU"/>
              </w:rPr>
              <w:t>18.6</w:t>
            </w:r>
          </w:p>
        </w:tc>
        <w:tc>
          <w:tcPr>
            <w:tcW w:w="1136" w:type="pct"/>
            <w:gridSpan w:val="3"/>
            <w:tcBorders>
              <w:top w:val="nil"/>
              <w:left w:val="nil"/>
              <w:bottom w:val="single" w:sz="8" w:space="0" w:color="auto"/>
              <w:right w:val="single" w:sz="8" w:space="0" w:color="auto"/>
            </w:tcBorders>
            <w:shd w:val="clear" w:color="auto" w:fill="FFFFFF" w:themeFill="background1"/>
          </w:tcPr>
          <w:p w14:paraId="34D99D56" w14:textId="77777777" w:rsidR="00C9696A" w:rsidRPr="003F186B" w:rsidRDefault="00C9696A" w:rsidP="00BA6A85">
            <w:pPr>
              <w:spacing w:line="240" w:lineRule="auto"/>
              <w:ind w:right="510"/>
              <w:jc w:val="right"/>
              <w:rPr>
                <w:rFonts w:eastAsia="Times New Roman" w:cs="Calibri"/>
                <w:color w:val="000000"/>
                <w:lang w:eastAsia="en-AU"/>
              </w:rPr>
            </w:pPr>
            <w:r w:rsidRPr="003F186B">
              <w:rPr>
                <w:rFonts w:eastAsia="Times New Roman" w:cs="Calibri"/>
                <w:color w:val="000000"/>
                <w:lang w:eastAsia="en-AU"/>
              </w:rPr>
              <w:t>78.0</w:t>
            </w:r>
          </w:p>
        </w:tc>
      </w:tr>
      <w:tr w:rsidR="00C9696A" w:rsidRPr="003F186B" w14:paraId="212CC625" w14:textId="77777777" w:rsidTr="00C9696A">
        <w:trPr>
          <w:trHeight w:val="312"/>
        </w:trPr>
        <w:tc>
          <w:tcPr>
            <w:tcW w:w="5000" w:type="pct"/>
            <w:gridSpan w:val="6"/>
            <w:tcBorders>
              <w:top w:val="nil"/>
              <w:left w:val="nil"/>
              <w:bottom w:val="nil"/>
              <w:right w:val="nil"/>
            </w:tcBorders>
            <w:shd w:val="clear" w:color="auto" w:fill="auto"/>
            <w:noWrap/>
            <w:vAlign w:val="bottom"/>
            <w:hideMark/>
          </w:tcPr>
          <w:p w14:paraId="0EF5340C" w14:textId="77777777" w:rsidR="00C9696A" w:rsidRPr="003F186B" w:rsidRDefault="00C9696A" w:rsidP="00B03B44">
            <w:pPr>
              <w:spacing w:after="120"/>
              <w:rPr>
                <w:i/>
                <w:color w:val="000000"/>
                <w:sz w:val="20"/>
                <w:szCs w:val="20"/>
              </w:rPr>
            </w:pPr>
            <w:r w:rsidRPr="003F186B">
              <w:rPr>
                <w:i/>
                <w:color w:val="000000"/>
                <w:sz w:val="20"/>
                <w:szCs w:val="20"/>
              </w:rPr>
              <w:t xml:space="preserve">Source: </w:t>
            </w:r>
            <w:proofErr w:type="spellStart"/>
            <w:r w:rsidRPr="003F186B">
              <w:rPr>
                <w:i/>
                <w:color w:val="000000"/>
                <w:sz w:val="20"/>
                <w:szCs w:val="20"/>
              </w:rPr>
              <w:t>DEECD</w:t>
            </w:r>
            <w:proofErr w:type="spellEnd"/>
            <w:r w:rsidRPr="003F186B">
              <w:rPr>
                <w:i/>
                <w:color w:val="000000"/>
                <w:sz w:val="20"/>
                <w:szCs w:val="20"/>
              </w:rPr>
              <w:t xml:space="preserve"> August School Census (unpublished)</w:t>
            </w:r>
          </w:p>
        </w:tc>
      </w:tr>
      <w:tr w:rsidR="00C9696A" w:rsidRPr="003F186B" w14:paraId="5D79224E" w14:textId="77777777" w:rsidTr="00C9696A">
        <w:trPr>
          <w:gridAfter w:val="1"/>
          <w:wAfter w:w="186" w:type="pct"/>
          <w:trHeight w:val="312"/>
        </w:trPr>
        <w:tc>
          <w:tcPr>
            <w:tcW w:w="4814" w:type="pct"/>
            <w:gridSpan w:val="5"/>
            <w:tcBorders>
              <w:top w:val="nil"/>
              <w:left w:val="nil"/>
              <w:bottom w:val="nil"/>
              <w:right w:val="nil"/>
            </w:tcBorders>
            <w:shd w:val="clear" w:color="auto" w:fill="auto"/>
            <w:noWrap/>
            <w:vAlign w:val="bottom"/>
            <w:hideMark/>
          </w:tcPr>
          <w:p w14:paraId="478F3F38" w14:textId="7812CEFF" w:rsidR="00C9696A" w:rsidRPr="003F186B" w:rsidRDefault="004F1B7A" w:rsidP="00592A44">
            <w:pPr>
              <w:pStyle w:val="Heading4"/>
            </w:pPr>
            <w:r>
              <w:t>Table 12</w:t>
            </w:r>
            <w:r w:rsidR="00C9696A" w:rsidRPr="003F186B">
              <w:t>: Target schools, Full-Time Equivalent Enrolments, Year 9 and 10 Indigenous students, 2011-2012</w:t>
            </w:r>
          </w:p>
        </w:tc>
      </w:tr>
      <w:tr w:rsidR="00C9696A" w:rsidRPr="003F186B" w14:paraId="15CE1D1E" w14:textId="77777777" w:rsidTr="00B03B44">
        <w:trPr>
          <w:trHeight w:val="327"/>
        </w:trPr>
        <w:tc>
          <w:tcPr>
            <w:tcW w:w="1316" w:type="pct"/>
            <w:tcBorders>
              <w:top w:val="single" w:sz="8" w:space="0" w:color="auto"/>
              <w:left w:val="single" w:sz="8" w:space="0" w:color="auto"/>
              <w:bottom w:val="single" w:sz="8" w:space="0" w:color="auto"/>
              <w:right w:val="nil"/>
            </w:tcBorders>
            <w:shd w:val="clear" w:color="auto" w:fill="D6E3BC" w:themeFill="accent3" w:themeFillTint="66"/>
            <w:noWrap/>
            <w:vAlign w:val="center"/>
            <w:hideMark/>
          </w:tcPr>
          <w:p w14:paraId="0B25F7CF" w14:textId="77777777" w:rsidR="00C9696A" w:rsidRPr="003F186B" w:rsidRDefault="00C9696A" w:rsidP="00BA6A85">
            <w:pPr>
              <w:keepNext/>
              <w:spacing w:line="240" w:lineRule="auto"/>
              <w:rPr>
                <w:rFonts w:eastAsia="Times New Roman" w:cs="Calibri"/>
                <w:b/>
                <w:bCs/>
                <w:color w:val="000000"/>
                <w:sz w:val="20"/>
                <w:szCs w:val="20"/>
                <w:lang w:eastAsia="en-AU"/>
              </w:rPr>
            </w:pPr>
            <w:r w:rsidRPr="003F186B">
              <w:rPr>
                <w:rFonts w:eastAsia="Times New Roman" w:cs="Calibri"/>
                <w:b/>
                <w:bCs/>
                <w:color w:val="000000"/>
                <w:sz w:val="20"/>
                <w:szCs w:val="20"/>
                <w:lang w:eastAsia="en-AU"/>
              </w:rPr>
              <w:t> Sector</w:t>
            </w:r>
          </w:p>
        </w:tc>
        <w:tc>
          <w:tcPr>
            <w:tcW w:w="1422" w:type="pct"/>
            <w:tcBorders>
              <w:top w:val="single" w:sz="8" w:space="0" w:color="auto"/>
              <w:left w:val="nil"/>
              <w:bottom w:val="single" w:sz="8" w:space="0" w:color="auto"/>
              <w:right w:val="single" w:sz="8" w:space="0" w:color="auto"/>
            </w:tcBorders>
            <w:shd w:val="clear" w:color="auto" w:fill="D6E3BC" w:themeFill="accent3" w:themeFillTint="66"/>
            <w:noWrap/>
            <w:vAlign w:val="center"/>
            <w:hideMark/>
          </w:tcPr>
          <w:p w14:paraId="4AA08223" w14:textId="77777777" w:rsidR="00C9696A" w:rsidRPr="003F186B" w:rsidRDefault="00C9696A" w:rsidP="00BA6A85">
            <w:pPr>
              <w:keepNext/>
              <w:spacing w:line="240" w:lineRule="auto"/>
              <w:rPr>
                <w:rFonts w:eastAsia="Times New Roman" w:cs="Calibri"/>
                <w:b/>
                <w:bCs/>
                <w:color w:val="000000"/>
                <w:sz w:val="20"/>
                <w:szCs w:val="20"/>
                <w:lang w:eastAsia="en-AU"/>
              </w:rPr>
            </w:pPr>
          </w:p>
        </w:tc>
        <w:tc>
          <w:tcPr>
            <w:tcW w:w="1126" w:type="pct"/>
            <w:tcBorders>
              <w:top w:val="single" w:sz="8" w:space="0" w:color="auto"/>
              <w:left w:val="nil"/>
              <w:bottom w:val="single" w:sz="8" w:space="0" w:color="auto"/>
              <w:right w:val="single" w:sz="8" w:space="0" w:color="auto"/>
            </w:tcBorders>
            <w:shd w:val="clear" w:color="auto" w:fill="D6E3BC" w:themeFill="accent3" w:themeFillTint="66"/>
            <w:noWrap/>
            <w:vAlign w:val="center"/>
            <w:hideMark/>
          </w:tcPr>
          <w:p w14:paraId="0AAD4C90" w14:textId="77777777" w:rsidR="00C9696A" w:rsidRPr="003F186B" w:rsidRDefault="00C9696A" w:rsidP="00E84099">
            <w:pPr>
              <w:keepNext/>
              <w:spacing w:line="240" w:lineRule="auto"/>
              <w:jc w:val="center"/>
              <w:rPr>
                <w:rFonts w:eastAsia="Times New Roman" w:cs="Calibri"/>
                <w:b/>
                <w:bCs/>
                <w:color w:val="000000"/>
                <w:sz w:val="20"/>
                <w:szCs w:val="20"/>
                <w:lang w:eastAsia="en-AU"/>
              </w:rPr>
            </w:pPr>
            <w:r w:rsidRPr="003F186B">
              <w:rPr>
                <w:rFonts w:eastAsia="Times New Roman" w:cs="Calibri"/>
                <w:b/>
                <w:bCs/>
                <w:color w:val="000000"/>
                <w:sz w:val="20"/>
                <w:szCs w:val="20"/>
                <w:lang w:eastAsia="en-AU"/>
              </w:rPr>
              <w:t>Aug-2011</w:t>
            </w:r>
          </w:p>
        </w:tc>
        <w:tc>
          <w:tcPr>
            <w:tcW w:w="1136" w:type="pct"/>
            <w:gridSpan w:val="3"/>
            <w:tcBorders>
              <w:top w:val="single" w:sz="8" w:space="0" w:color="auto"/>
              <w:left w:val="nil"/>
              <w:bottom w:val="single" w:sz="8" w:space="0" w:color="auto"/>
              <w:right w:val="single" w:sz="8" w:space="0" w:color="auto"/>
            </w:tcBorders>
            <w:shd w:val="clear" w:color="auto" w:fill="D6E3BC" w:themeFill="accent3" w:themeFillTint="66"/>
            <w:vAlign w:val="center"/>
          </w:tcPr>
          <w:p w14:paraId="355EED9B" w14:textId="77777777" w:rsidR="00C9696A" w:rsidRPr="003F186B" w:rsidRDefault="00C9696A" w:rsidP="00E84099">
            <w:pPr>
              <w:keepNext/>
              <w:spacing w:line="240" w:lineRule="auto"/>
              <w:jc w:val="center"/>
              <w:rPr>
                <w:rFonts w:eastAsia="Times New Roman" w:cs="Calibri"/>
                <w:b/>
                <w:bCs/>
                <w:color w:val="000000"/>
                <w:sz w:val="20"/>
                <w:szCs w:val="20"/>
                <w:lang w:eastAsia="en-AU"/>
              </w:rPr>
            </w:pPr>
            <w:r w:rsidRPr="003F186B">
              <w:rPr>
                <w:rFonts w:eastAsia="Times New Roman" w:cs="Calibri"/>
                <w:b/>
                <w:bCs/>
                <w:color w:val="000000"/>
                <w:sz w:val="20"/>
                <w:szCs w:val="20"/>
                <w:lang w:eastAsia="en-AU"/>
              </w:rPr>
              <w:t>Aug 2012</w:t>
            </w:r>
          </w:p>
        </w:tc>
      </w:tr>
      <w:tr w:rsidR="00C9696A" w:rsidRPr="003F186B" w14:paraId="46BBBB35" w14:textId="77777777" w:rsidTr="00B03B44">
        <w:trPr>
          <w:trHeight w:val="312"/>
        </w:trPr>
        <w:tc>
          <w:tcPr>
            <w:tcW w:w="1316" w:type="pct"/>
            <w:tcBorders>
              <w:top w:val="single" w:sz="8" w:space="0" w:color="auto"/>
              <w:left w:val="single" w:sz="8" w:space="0" w:color="auto"/>
              <w:bottom w:val="nil"/>
              <w:right w:val="nil"/>
            </w:tcBorders>
            <w:shd w:val="clear" w:color="000000" w:fill="D9D9D9"/>
            <w:noWrap/>
            <w:vAlign w:val="bottom"/>
            <w:hideMark/>
          </w:tcPr>
          <w:p w14:paraId="1F3FB828" w14:textId="77777777" w:rsidR="00C9696A" w:rsidRPr="003F186B" w:rsidRDefault="00C9696A" w:rsidP="00BA6A85">
            <w:pPr>
              <w:keepNext/>
              <w:spacing w:line="240" w:lineRule="auto"/>
              <w:rPr>
                <w:rFonts w:eastAsia="Times New Roman" w:cs="Calibri"/>
                <w:b/>
                <w:bCs/>
                <w:color w:val="000000"/>
                <w:sz w:val="20"/>
                <w:szCs w:val="20"/>
                <w:lang w:eastAsia="en-AU"/>
              </w:rPr>
            </w:pPr>
            <w:r w:rsidRPr="003F186B">
              <w:rPr>
                <w:rFonts w:eastAsia="Times New Roman" w:cs="Calibri"/>
                <w:b/>
                <w:bCs/>
                <w:color w:val="000000"/>
                <w:sz w:val="20"/>
                <w:szCs w:val="20"/>
                <w:lang w:eastAsia="en-AU"/>
              </w:rPr>
              <w:t>Government</w:t>
            </w:r>
          </w:p>
        </w:tc>
        <w:tc>
          <w:tcPr>
            <w:tcW w:w="1422" w:type="pct"/>
            <w:tcBorders>
              <w:top w:val="single" w:sz="8" w:space="0" w:color="auto"/>
              <w:left w:val="nil"/>
              <w:bottom w:val="nil"/>
              <w:right w:val="single" w:sz="8" w:space="0" w:color="auto"/>
            </w:tcBorders>
            <w:shd w:val="clear" w:color="000000" w:fill="D9D9D9"/>
            <w:noWrap/>
            <w:vAlign w:val="bottom"/>
            <w:hideMark/>
          </w:tcPr>
          <w:p w14:paraId="6A88891B" w14:textId="77777777" w:rsidR="00C9696A" w:rsidRPr="003F186B" w:rsidRDefault="00C9696A" w:rsidP="00BA6A85">
            <w:pPr>
              <w:keepNext/>
              <w:spacing w:line="240" w:lineRule="auto"/>
              <w:rPr>
                <w:rFonts w:eastAsia="Times New Roman" w:cs="Calibri"/>
                <w:b/>
                <w:bCs/>
                <w:color w:val="000000"/>
                <w:sz w:val="20"/>
                <w:szCs w:val="20"/>
                <w:lang w:eastAsia="en-AU"/>
              </w:rPr>
            </w:pPr>
            <w:r w:rsidRPr="003F186B">
              <w:rPr>
                <w:rFonts w:eastAsia="Times New Roman" w:cs="Calibri"/>
                <w:b/>
                <w:bCs/>
                <w:color w:val="000000"/>
                <w:sz w:val="20"/>
                <w:szCs w:val="20"/>
                <w:lang w:eastAsia="en-AU"/>
              </w:rPr>
              <w:t>Year 9</w:t>
            </w:r>
          </w:p>
        </w:tc>
        <w:tc>
          <w:tcPr>
            <w:tcW w:w="1126" w:type="pct"/>
            <w:tcBorders>
              <w:top w:val="single" w:sz="8" w:space="0" w:color="auto"/>
              <w:left w:val="nil"/>
              <w:bottom w:val="nil"/>
              <w:right w:val="single" w:sz="8" w:space="0" w:color="auto"/>
            </w:tcBorders>
            <w:shd w:val="clear" w:color="000000" w:fill="auto"/>
            <w:noWrap/>
            <w:vAlign w:val="bottom"/>
            <w:hideMark/>
          </w:tcPr>
          <w:p w14:paraId="1300C1F4" w14:textId="77777777" w:rsidR="00C9696A" w:rsidRPr="003F186B" w:rsidRDefault="00C9696A" w:rsidP="00BA6A85">
            <w:pPr>
              <w:keepNext/>
              <w:spacing w:line="240" w:lineRule="auto"/>
              <w:ind w:right="510"/>
              <w:jc w:val="right"/>
              <w:rPr>
                <w:rFonts w:eastAsia="Times New Roman" w:cs="Calibri"/>
                <w:color w:val="000000"/>
                <w:lang w:eastAsia="en-AU"/>
              </w:rPr>
            </w:pPr>
            <w:r w:rsidRPr="003F186B">
              <w:rPr>
                <w:rFonts w:eastAsia="Times New Roman" w:cs="Calibri"/>
                <w:color w:val="000000"/>
                <w:lang w:eastAsia="en-AU"/>
              </w:rPr>
              <w:t>36.0</w:t>
            </w:r>
          </w:p>
        </w:tc>
        <w:tc>
          <w:tcPr>
            <w:tcW w:w="1136" w:type="pct"/>
            <w:gridSpan w:val="3"/>
            <w:tcBorders>
              <w:top w:val="single" w:sz="8" w:space="0" w:color="auto"/>
              <w:left w:val="nil"/>
              <w:bottom w:val="nil"/>
              <w:right w:val="single" w:sz="8" w:space="0" w:color="auto"/>
            </w:tcBorders>
            <w:shd w:val="clear" w:color="auto" w:fill="FFFFFF" w:themeFill="background1"/>
          </w:tcPr>
          <w:p w14:paraId="1F1D6BC2" w14:textId="77777777" w:rsidR="00C9696A" w:rsidRPr="003F186B" w:rsidRDefault="00C9696A" w:rsidP="00BA6A85">
            <w:pPr>
              <w:keepNext/>
              <w:spacing w:line="240" w:lineRule="auto"/>
              <w:ind w:right="510"/>
              <w:jc w:val="right"/>
              <w:rPr>
                <w:rFonts w:eastAsia="Times New Roman" w:cs="Calibri"/>
                <w:color w:val="000000"/>
                <w:lang w:eastAsia="en-AU"/>
              </w:rPr>
            </w:pPr>
            <w:r w:rsidRPr="003F186B">
              <w:rPr>
                <w:rFonts w:eastAsia="Times New Roman" w:cs="Calibri"/>
                <w:color w:val="000000"/>
                <w:lang w:eastAsia="en-AU"/>
              </w:rPr>
              <w:t>68.0</w:t>
            </w:r>
          </w:p>
        </w:tc>
      </w:tr>
      <w:tr w:rsidR="00C9696A" w:rsidRPr="003F186B" w14:paraId="36B27A1C" w14:textId="77777777" w:rsidTr="00B03B44">
        <w:trPr>
          <w:trHeight w:val="327"/>
        </w:trPr>
        <w:tc>
          <w:tcPr>
            <w:tcW w:w="1316" w:type="pct"/>
            <w:tcBorders>
              <w:top w:val="nil"/>
              <w:left w:val="single" w:sz="8" w:space="0" w:color="auto"/>
              <w:bottom w:val="nil"/>
              <w:right w:val="nil"/>
            </w:tcBorders>
            <w:shd w:val="clear" w:color="000000" w:fill="D9D9D9"/>
            <w:noWrap/>
            <w:vAlign w:val="bottom"/>
            <w:hideMark/>
          </w:tcPr>
          <w:p w14:paraId="2B09AFE7" w14:textId="77777777" w:rsidR="00C9696A" w:rsidRPr="003F186B" w:rsidRDefault="00C9696A" w:rsidP="00BA6A85">
            <w:pPr>
              <w:keepNext/>
              <w:spacing w:line="240" w:lineRule="auto"/>
              <w:rPr>
                <w:rFonts w:eastAsia="Times New Roman" w:cs="Calibri"/>
                <w:b/>
                <w:bCs/>
                <w:color w:val="000000"/>
                <w:sz w:val="20"/>
                <w:szCs w:val="20"/>
                <w:lang w:eastAsia="en-AU"/>
              </w:rPr>
            </w:pPr>
            <w:r w:rsidRPr="003F186B">
              <w:rPr>
                <w:rFonts w:eastAsia="Times New Roman" w:cs="Calibri"/>
                <w:b/>
                <w:bCs/>
                <w:color w:val="000000"/>
                <w:sz w:val="20"/>
                <w:szCs w:val="20"/>
                <w:lang w:eastAsia="en-AU"/>
              </w:rPr>
              <w:t> </w:t>
            </w:r>
          </w:p>
        </w:tc>
        <w:tc>
          <w:tcPr>
            <w:tcW w:w="1422" w:type="pct"/>
            <w:tcBorders>
              <w:top w:val="nil"/>
              <w:left w:val="nil"/>
              <w:bottom w:val="single" w:sz="8" w:space="0" w:color="auto"/>
              <w:right w:val="single" w:sz="8" w:space="0" w:color="auto"/>
            </w:tcBorders>
            <w:shd w:val="clear" w:color="000000" w:fill="D9D9D9"/>
            <w:noWrap/>
            <w:vAlign w:val="bottom"/>
            <w:hideMark/>
          </w:tcPr>
          <w:p w14:paraId="2DAE0DFB" w14:textId="77777777" w:rsidR="00C9696A" w:rsidRPr="003F186B" w:rsidRDefault="00C9696A" w:rsidP="00BA6A85">
            <w:pPr>
              <w:keepNext/>
              <w:spacing w:line="240" w:lineRule="auto"/>
              <w:rPr>
                <w:rFonts w:eastAsia="Times New Roman" w:cs="Calibri"/>
                <w:b/>
                <w:bCs/>
                <w:color w:val="000000"/>
                <w:sz w:val="20"/>
                <w:szCs w:val="20"/>
                <w:lang w:eastAsia="en-AU"/>
              </w:rPr>
            </w:pPr>
            <w:r w:rsidRPr="003F186B">
              <w:rPr>
                <w:rFonts w:eastAsia="Times New Roman" w:cs="Calibri"/>
                <w:b/>
                <w:bCs/>
                <w:color w:val="000000"/>
                <w:sz w:val="20"/>
                <w:szCs w:val="20"/>
                <w:lang w:eastAsia="en-AU"/>
              </w:rPr>
              <w:t>Year 10</w:t>
            </w:r>
          </w:p>
        </w:tc>
        <w:tc>
          <w:tcPr>
            <w:tcW w:w="1126" w:type="pct"/>
            <w:tcBorders>
              <w:top w:val="nil"/>
              <w:left w:val="nil"/>
              <w:bottom w:val="single" w:sz="8" w:space="0" w:color="auto"/>
              <w:right w:val="single" w:sz="8" w:space="0" w:color="auto"/>
            </w:tcBorders>
            <w:shd w:val="clear" w:color="000000" w:fill="auto"/>
            <w:noWrap/>
            <w:vAlign w:val="bottom"/>
            <w:hideMark/>
          </w:tcPr>
          <w:p w14:paraId="095B2097" w14:textId="77777777" w:rsidR="00C9696A" w:rsidRPr="003F186B" w:rsidRDefault="00C9696A" w:rsidP="00BA6A85">
            <w:pPr>
              <w:keepNext/>
              <w:spacing w:line="240" w:lineRule="auto"/>
              <w:ind w:right="510"/>
              <w:jc w:val="right"/>
              <w:rPr>
                <w:rFonts w:eastAsia="Times New Roman" w:cs="Calibri"/>
                <w:color w:val="000000"/>
                <w:lang w:eastAsia="en-AU"/>
              </w:rPr>
            </w:pPr>
            <w:r w:rsidRPr="003F186B">
              <w:rPr>
                <w:rFonts w:eastAsia="Times New Roman" w:cs="Calibri"/>
                <w:color w:val="000000"/>
                <w:lang w:eastAsia="en-AU"/>
              </w:rPr>
              <w:t>28.6</w:t>
            </w:r>
          </w:p>
        </w:tc>
        <w:tc>
          <w:tcPr>
            <w:tcW w:w="1136" w:type="pct"/>
            <w:gridSpan w:val="3"/>
            <w:tcBorders>
              <w:top w:val="nil"/>
              <w:left w:val="nil"/>
              <w:bottom w:val="single" w:sz="8" w:space="0" w:color="auto"/>
              <w:right w:val="single" w:sz="8" w:space="0" w:color="auto"/>
            </w:tcBorders>
            <w:shd w:val="clear" w:color="auto" w:fill="FFFFFF" w:themeFill="background1"/>
          </w:tcPr>
          <w:p w14:paraId="07FE027F" w14:textId="77777777" w:rsidR="00C9696A" w:rsidRPr="003F186B" w:rsidRDefault="00C9696A" w:rsidP="00BA6A85">
            <w:pPr>
              <w:keepNext/>
              <w:spacing w:line="240" w:lineRule="auto"/>
              <w:ind w:right="510"/>
              <w:jc w:val="right"/>
              <w:rPr>
                <w:rFonts w:eastAsia="Times New Roman" w:cs="Calibri"/>
                <w:color w:val="000000"/>
                <w:lang w:eastAsia="en-AU"/>
              </w:rPr>
            </w:pPr>
            <w:r w:rsidRPr="003F186B">
              <w:rPr>
                <w:rFonts w:eastAsia="Times New Roman" w:cs="Calibri"/>
                <w:color w:val="000000"/>
                <w:lang w:eastAsia="en-AU"/>
              </w:rPr>
              <w:t>82.4</w:t>
            </w:r>
          </w:p>
        </w:tc>
      </w:tr>
      <w:tr w:rsidR="00C9696A" w:rsidRPr="003F186B" w14:paraId="42E63BA1" w14:textId="77777777" w:rsidTr="00B03B44">
        <w:trPr>
          <w:trHeight w:val="327"/>
        </w:trPr>
        <w:tc>
          <w:tcPr>
            <w:tcW w:w="1316" w:type="pct"/>
            <w:tcBorders>
              <w:top w:val="nil"/>
              <w:left w:val="single" w:sz="8" w:space="0" w:color="auto"/>
              <w:bottom w:val="single" w:sz="8" w:space="0" w:color="auto"/>
              <w:right w:val="nil"/>
            </w:tcBorders>
            <w:shd w:val="clear" w:color="000000" w:fill="D9D9D9"/>
            <w:noWrap/>
            <w:vAlign w:val="bottom"/>
            <w:hideMark/>
          </w:tcPr>
          <w:p w14:paraId="780351F2" w14:textId="77777777" w:rsidR="00C9696A" w:rsidRPr="003F186B" w:rsidRDefault="00C9696A" w:rsidP="00BA6A85">
            <w:pPr>
              <w:keepNext/>
              <w:spacing w:line="240" w:lineRule="auto"/>
              <w:rPr>
                <w:rFonts w:eastAsia="Times New Roman" w:cs="Calibri"/>
                <w:b/>
                <w:bCs/>
                <w:color w:val="000000"/>
                <w:sz w:val="20"/>
                <w:szCs w:val="20"/>
                <w:lang w:eastAsia="en-AU"/>
              </w:rPr>
            </w:pPr>
            <w:r w:rsidRPr="003F186B">
              <w:rPr>
                <w:rFonts w:eastAsia="Times New Roman" w:cs="Calibri"/>
                <w:b/>
                <w:bCs/>
                <w:color w:val="000000"/>
                <w:sz w:val="20"/>
                <w:szCs w:val="20"/>
                <w:lang w:eastAsia="en-AU"/>
              </w:rPr>
              <w:t> </w:t>
            </w:r>
          </w:p>
        </w:tc>
        <w:tc>
          <w:tcPr>
            <w:tcW w:w="1422" w:type="pct"/>
            <w:tcBorders>
              <w:top w:val="nil"/>
              <w:left w:val="nil"/>
              <w:bottom w:val="single" w:sz="8" w:space="0" w:color="auto"/>
              <w:right w:val="single" w:sz="8" w:space="0" w:color="auto"/>
            </w:tcBorders>
            <w:shd w:val="clear" w:color="000000" w:fill="D9D9D9"/>
            <w:noWrap/>
            <w:vAlign w:val="bottom"/>
            <w:hideMark/>
          </w:tcPr>
          <w:p w14:paraId="326B9F96" w14:textId="77777777" w:rsidR="00C9696A" w:rsidRPr="003F186B" w:rsidRDefault="00C9696A" w:rsidP="00BA6A85">
            <w:pPr>
              <w:keepNext/>
              <w:spacing w:line="240" w:lineRule="auto"/>
              <w:rPr>
                <w:rFonts w:eastAsia="Times New Roman" w:cs="Calibri"/>
                <w:b/>
                <w:bCs/>
                <w:color w:val="000000"/>
                <w:sz w:val="20"/>
                <w:szCs w:val="20"/>
                <w:lang w:eastAsia="en-AU"/>
              </w:rPr>
            </w:pPr>
            <w:r w:rsidRPr="003F186B">
              <w:rPr>
                <w:rFonts w:eastAsia="Times New Roman" w:cs="Calibri"/>
                <w:b/>
                <w:bCs/>
                <w:color w:val="000000"/>
                <w:sz w:val="20"/>
                <w:szCs w:val="20"/>
                <w:lang w:eastAsia="en-AU"/>
              </w:rPr>
              <w:t>Total</w:t>
            </w:r>
          </w:p>
        </w:tc>
        <w:tc>
          <w:tcPr>
            <w:tcW w:w="1126" w:type="pct"/>
            <w:tcBorders>
              <w:top w:val="nil"/>
              <w:left w:val="nil"/>
              <w:bottom w:val="single" w:sz="8" w:space="0" w:color="auto"/>
              <w:right w:val="single" w:sz="8" w:space="0" w:color="auto"/>
            </w:tcBorders>
            <w:shd w:val="clear" w:color="000000" w:fill="auto"/>
            <w:noWrap/>
            <w:vAlign w:val="bottom"/>
            <w:hideMark/>
          </w:tcPr>
          <w:p w14:paraId="65D5FBE8" w14:textId="77777777" w:rsidR="00C9696A" w:rsidRPr="003F186B" w:rsidRDefault="00C9696A" w:rsidP="00BA6A85">
            <w:pPr>
              <w:keepNext/>
              <w:spacing w:line="240" w:lineRule="auto"/>
              <w:ind w:right="510"/>
              <w:jc w:val="right"/>
              <w:rPr>
                <w:rFonts w:eastAsia="Times New Roman" w:cs="Calibri"/>
                <w:color w:val="000000"/>
                <w:lang w:eastAsia="en-AU"/>
              </w:rPr>
            </w:pPr>
            <w:r w:rsidRPr="003F186B">
              <w:rPr>
                <w:rFonts w:eastAsia="Times New Roman" w:cs="Calibri"/>
                <w:color w:val="000000"/>
                <w:lang w:eastAsia="en-AU"/>
              </w:rPr>
              <w:t>64.6</w:t>
            </w:r>
          </w:p>
        </w:tc>
        <w:tc>
          <w:tcPr>
            <w:tcW w:w="1136" w:type="pct"/>
            <w:gridSpan w:val="3"/>
            <w:tcBorders>
              <w:top w:val="nil"/>
              <w:left w:val="nil"/>
              <w:bottom w:val="single" w:sz="8" w:space="0" w:color="auto"/>
              <w:right w:val="single" w:sz="8" w:space="0" w:color="auto"/>
            </w:tcBorders>
            <w:shd w:val="clear" w:color="auto" w:fill="FFFFFF" w:themeFill="background1"/>
          </w:tcPr>
          <w:p w14:paraId="5D2DD8E2" w14:textId="77777777" w:rsidR="00C9696A" w:rsidRPr="003F186B" w:rsidRDefault="00C9696A" w:rsidP="00BA6A85">
            <w:pPr>
              <w:keepNext/>
              <w:spacing w:line="240" w:lineRule="auto"/>
              <w:ind w:right="510"/>
              <w:jc w:val="right"/>
              <w:rPr>
                <w:rFonts w:eastAsia="Times New Roman" w:cs="Calibri"/>
                <w:color w:val="000000"/>
                <w:lang w:eastAsia="en-AU"/>
              </w:rPr>
            </w:pPr>
            <w:r w:rsidRPr="003F186B">
              <w:rPr>
                <w:rFonts w:eastAsia="Times New Roman" w:cs="Calibri"/>
                <w:color w:val="000000"/>
                <w:lang w:eastAsia="en-AU"/>
              </w:rPr>
              <w:t>150.4</w:t>
            </w:r>
          </w:p>
        </w:tc>
      </w:tr>
    </w:tbl>
    <w:p w14:paraId="7AACA509" w14:textId="2AE24F52" w:rsidR="00BA6A85" w:rsidRPr="004F1B7A" w:rsidRDefault="00BA6A85" w:rsidP="004F1B7A">
      <w:pPr>
        <w:rPr>
          <w:i/>
          <w:color w:val="000000"/>
          <w:sz w:val="20"/>
          <w:szCs w:val="20"/>
        </w:rPr>
      </w:pPr>
      <w:r w:rsidRPr="003F186B">
        <w:rPr>
          <w:i/>
          <w:color w:val="000000"/>
          <w:sz w:val="20"/>
          <w:szCs w:val="20"/>
        </w:rPr>
        <w:t xml:space="preserve">Source: </w:t>
      </w:r>
      <w:proofErr w:type="spellStart"/>
      <w:r w:rsidRPr="003F186B">
        <w:rPr>
          <w:i/>
          <w:color w:val="000000"/>
          <w:sz w:val="20"/>
          <w:szCs w:val="20"/>
        </w:rPr>
        <w:t>DEECD</w:t>
      </w:r>
      <w:proofErr w:type="spellEnd"/>
      <w:r w:rsidRPr="003F186B">
        <w:rPr>
          <w:i/>
          <w:color w:val="000000"/>
          <w:sz w:val="20"/>
          <w:szCs w:val="20"/>
        </w:rPr>
        <w:t xml:space="preserve"> Aug</w:t>
      </w:r>
      <w:r w:rsidR="004F1B7A">
        <w:rPr>
          <w:i/>
          <w:color w:val="000000"/>
          <w:sz w:val="20"/>
          <w:szCs w:val="20"/>
        </w:rPr>
        <w:t>ust School Census (unpublished)</w:t>
      </w:r>
    </w:p>
    <w:p w14:paraId="742EA703" w14:textId="4622789E" w:rsidR="00BA6A85" w:rsidRPr="003F186B" w:rsidRDefault="00BA6A85" w:rsidP="00095D55">
      <w:pPr>
        <w:spacing w:after="120"/>
        <w:jc w:val="both"/>
        <w:rPr>
          <w:color w:val="000000"/>
        </w:rPr>
      </w:pPr>
      <w:r w:rsidRPr="00BA6A85">
        <w:rPr>
          <w:color w:val="000000"/>
        </w:rPr>
        <w:t xml:space="preserve">Apparent retention of students within the target schools is represented </w:t>
      </w:r>
      <w:r w:rsidR="008544B6">
        <w:rPr>
          <w:color w:val="000000"/>
        </w:rPr>
        <w:t>in Table 13</w:t>
      </w:r>
      <w:r w:rsidR="002D74B7">
        <w:rPr>
          <w:color w:val="000000"/>
        </w:rPr>
        <w:t xml:space="preserve"> </w:t>
      </w:r>
      <w:r w:rsidRPr="00BA6A85">
        <w:rPr>
          <w:color w:val="000000"/>
        </w:rPr>
        <w:t xml:space="preserve">below. </w:t>
      </w:r>
    </w:p>
    <w:tbl>
      <w:tblPr>
        <w:tblW w:w="4148" w:type="pct"/>
        <w:tblInd w:w="110" w:type="dxa"/>
        <w:tblLayout w:type="fixed"/>
        <w:tblLook w:val="04A0" w:firstRow="1" w:lastRow="0" w:firstColumn="1" w:lastColumn="0" w:noHBand="0" w:noVBand="1"/>
      </w:tblPr>
      <w:tblGrid>
        <w:gridCol w:w="1732"/>
        <w:gridCol w:w="1619"/>
        <w:gridCol w:w="1642"/>
        <w:gridCol w:w="1561"/>
        <w:gridCol w:w="1685"/>
        <w:gridCol w:w="30"/>
      </w:tblGrid>
      <w:tr w:rsidR="00C9696A" w:rsidRPr="003F186B" w14:paraId="2EAADB2E" w14:textId="77777777" w:rsidTr="0033629A">
        <w:trPr>
          <w:trHeight w:val="300"/>
        </w:trPr>
        <w:tc>
          <w:tcPr>
            <w:tcW w:w="5000" w:type="pct"/>
            <w:gridSpan w:val="6"/>
            <w:tcBorders>
              <w:top w:val="nil"/>
              <w:left w:val="nil"/>
              <w:bottom w:val="nil"/>
              <w:right w:val="nil"/>
            </w:tcBorders>
            <w:shd w:val="clear" w:color="auto" w:fill="auto"/>
            <w:noWrap/>
            <w:vAlign w:val="bottom"/>
            <w:hideMark/>
          </w:tcPr>
          <w:p w14:paraId="3CCA1886" w14:textId="79374441" w:rsidR="00C9696A" w:rsidRPr="003F186B" w:rsidRDefault="004F1B7A" w:rsidP="00592A44">
            <w:pPr>
              <w:pStyle w:val="Heading4"/>
            </w:pPr>
            <w:r>
              <w:t>Table 13</w:t>
            </w:r>
            <w:r w:rsidR="00C9696A" w:rsidRPr="003F186B">
              <w:t>: Target schools, Apparent Retention Rates (percentage), by Indigenous Status, 2011-12</w:t>
            </w:r>
          </w:p>
        </w:tc>
      </w:tr>
      <w:tr w:rsidR="00D35F01" w:rsidRPr="003F186B" w14:paraId="7BD8FB28" w14:textId="77777777" w:rsidTr="0033629A">
        <w:trPr>
          <w:gridAfter w:val="1"/>
          <w:wAfter w:w="18" w:type="pct"/>
          <w:trHeight w:val="315"/>
        </w:trPr>
        <w:tc>
          <w:tcPr>
            <w:tcW w:w="1047" w:type="pct"/>
            <w:tcBorders>
              <w:top w:val="single" w:sz="8" w:space="0" w:color="auto"/>
              <w:left w:val="single" w:sz="8" w:space="0" w:color="auto"/>
              <w:bottom w:val="single" w:sz="8" w:space="0" w:color="auto"/>
              <w:right w:val="nil"/>
            </w:tcBorders>
            <w:shd w:val="clear" w:color="auto" w:fill="D6E3BC" w:themeFill="accent3" w:themeFillTint="66"/>
            <w:noWrap/>
            <w:vAlign w:val="center"/>
            <w:hideMark/>
          </w:tcPr>
          <w:p w14:paraId="6BA74B73" w14:textId="77777777" w:rsidR="00BA6A85" w:rsidRPr="003F186B" w:rsidRDefault="00BA6A85" w:rsidP="00C9696A">
            <w:pPr>
              <w:keepNext/>
              <w:spacing w:line="240" w:lineRule="auto"/>
              <w:rPr>
                <w:rFonts w:eastAsia="Times New Roman" w:cs="Calibri"/>
                <w:color w:val="000000"/>
                <w:sz w:val="20"/>
                <w:szCs w:val="20"/>
                <w:lang w:eastAsia="en-AU"/>
              </w:rPr>
            </w:pPr>
            <w:r w:rsidRPr="003F186B">
              <w:rPr>
                <w:rFonts w:eastAsia="Times New Roman" w:cs="Calibri"/>
                <w:color w:val="000000"/>
                <w:sz w:val="20"/>
                <w:szCs w:val="20"/>
                <w:lang w:eastAsia="en-AU"/>
              </w:rPr>
              <w:t> </w:t>
            </w:r>
          </w:p>
        </w:tc>
        <w:tc>
          <w:tcPr>
            <w:tcW w:w="979" w:type="pct"/>
            <w:tcBorders>
              <w:top w:val="single" w:sz="8" w:space="0" w:color="auto"/>
              <w:left w:val="nil"/>
              <w:bottom w:val="single" w:sz="8" w:space="0" w:color="auto"/>
              <w:right w:val="nil"/>
            </w:tcBorders>
            <w:shd w:val="clear" w:color="auto" w:fill="D6E3BC" w:themeFill="accent3" w:themeFillTint="66"/>
            <w:noWrap/>
            <w:vAlign w:val="center"/>
            <w:hideMark/>
          </w:tcPr>
          <w:p w14:paraId="0C066F85" w14:textId="77777777" w:rsidR="00BA6A85" w:rsidRPr="003F186B" w:rsidRDefault="00BA6A85" w:rsidP="00C9696A">
            <w:pPr>
              <w:keepNext/>
              <w:spacing w:line="240" w:lineRule="auto"/>
              <w:rPr>
                <w:rFonts w:eastAsia="Times New Roman" w:cs="Calibri"/>
                <w:b/>
                <w:bCs/>
                <w:color w:val="000000"/>
                <w:sz w:val="20"/>
                <w:szCs w:val="20"/>
                <w:lang w:eastAsia="en-AU"/>
              </w:rPr>
            </w:pPr>
            <w:r w:rsidRPr="003F186B">
              <w:rPr>
                <w:rFonts w:eastAsia="Times New Roman" w:cs="Calibri"/>
                <w:b/>
                <w:bCs/>
                <w:color w:val="000000"/>
                <w:sz w:val="20"/>
                <w:szCs w:val="20"/>
                <w:lang w:eastAsia="en-AU"/>
              </w:rPr>
              <w:t> Sector</w:t>
            </w:r>
          </w:p>
        </w:tc>
        <w:tc>
          <w:tcPr>
            <w:tcW w:w="993" w:type="pct"/>
            <w:tcBorders>
              <w:top w:val="single" w:sz="8" w:space="0" w:color="auto"/>
              <w:left w:val="nil"/>
              <w:bottom w:val="single" w:sz="8" w:space="0" w:color="auto"/>
              <w:right w:val="single" w:sz="8" w:space="0" w:color="auto"/>
            </w:tcBorders>
            <w:shd w:val="clear" w:color="auto" w:fill="D6E3BC" w:themeFill="accent3" w:themeFillTint="66"/>
            <w:noWrap/>
            <w:vAlign w:val="center"/>
            <w:hideMark/>
          </w:tcPr>
          <w:p w14:paraId="6DF0F4A4" w14:textId="77777777" w:rsidR="00BA6A85" w:rsidRPr="003F186B" w:rsidRDefault="00BA6A85" w:rsidP="00C9696A">
            <w:pPr>
              <w:keepNext/>
              <w:spacing w:line="240" w:lineRule="auto"/>
              <w:rPr>
                <w:rFonts w:eastAsia="Times New Roman" w:cs="Calibri"/>
                <w:b/>
                <w:bCs/>
                <w:color w:val="000000"/>
                <w:sz w:val="20"/>
                <w:szCs w:val="20"/>
                <w:lang w:eastAsia="en-AU"/>
              </w:rPr>
            </w:pPr>
            <w:r w:rsidRPr="003F186B">
              <w:rPr>
                <w:rFonts w:eastAsia="Times New Roman" w:cs="Calibri"/>
                <w:b/>
                <w:bCs/>
                <w:color w:val="000000"/>
                <w:sz w:val="20"/>
                <w:szCs w:val="20"/>
                <w:lang w:eastAsia="en-AU"/>
              </w:rPr>
              <w:t> </w:t>
            </w:r>
          </w:p>
        </w:tc>
        <w:tc>
          <w:tcPr>
            <w:tcW w:w="944" w:type="pct"/>
            <w:tcBorders>
              <w:top w:val="single" w:sz="8" w:space="0" w:color="auto"/>
              <w:left w:val="nil"/>
              <w:bottom w:val="single" w:sz="8" w:space="0" w:color="auto"/>
              <w:right w:val="single" w:sz="8" w:space="0" w:color="auto"/>
            </w:tcBorders>
            <w:shd w:val="clear" w:color="auto" w:fill="D6E3BC" w:themeFill="accent3" w:themeFillTint="66"/>
            <w:noWrap/>
            <w:vAlign w:val="center"/>
            <w:hideMark/>
          </w:tcPr>
          <w:p w14:paraId="4FE621AD" w14:textId="77777777" w:rsidR="00BA6A85" w:rsidRPr="003F186B" w:rsidRDefault="00BA6A85" w:rsidP="00C9696A">
            <w:pPr>
              <w:keepNext/>
              <w:spacing w:line="240" w:lineRule="auto"/>
              <w:jc w:val="center"/>
              <w:rPr>
                <w:rFonts w:eastAsia="Times New Roman" w:cs="Calibri"/>
                <w:b/>
                <w:bCs/>
                <w:color w:val="000000"/>
                <w:sz w:val="20"/>
                <w:szCs w:val="20"/>
                <w:lang w:eastAsia="en-AU"/>
              </w:rPr>
            </w:pPr>
            <w:r w:rsidRPr="003F186B">
              <w:rPr>
                <w:rFonts w:eastAsia="Times New Roman" w:cs="Calibri"/>
                <w:b/>
                <w:bCs/>
                <w:color w:val="000000"/>
                <w:sz w:val="20"/>
                <w:szCs w:val="20"/>
                <w:lang w:eastAsia="en-AU"/>
              </w:rPr>
              <w:t>Aug-2011</w:t>
            </w:r>
          </w:p>
        </w:tc>
        <w:tc>
          <w:tcPr>
            <w:tcW w:w="1019" w:type="pct"/>
            <w:tcBorders>
              <w:top w:val="single" w:sz="8" w:space="0" w:color="auto"/>
              <w:left w:val="nil"/>
              <w:bottom w:val="single" w:sz="8" w:space="0" w:color="auto"/>
              <w:right w:val="single" w:sz="8" w:space="0" w:color="auto"/>
            </w:tcBorders>
            <w:shd w:val="clear" w:color="auto" w:fill="D6E3BC" w:themeFill="accent3" w:themeFillTint="66"/>
            <w:vAlign w:val="center"/>
          </w:tcPr>
          <w:p w14:paraId="4AA6CB7B" w14:textId="77777777" w:rsidR="00BA6A85" w:rsidRPr="003F186B" w:rsidRDefault="00BA6A85" w:rsidP="00C9696A">
            <w:pPr>
              <w:keepNext/>
              <w:spacing w:line="240" w:lineRule="auto"/>
              <w:jc w:val="center"/>
              <w:rPr>
                <w:rFonts w:eastAsia="Times New Roman" w:cs="Calibri"/>
                <w:b/>
                <w:bCs/>
                <w:color w:val="000000"/>
                <w:sz w:val="20"/>
                <w:szCs w:val="20"/>
                <w:lang w:eastAsia="en-AU"/>
              </w:rPr>
            </w:pPr>
            <w:r w:rsidRPr="003F186B">
              <w:rPr>
                <w:rFonts w:eastAsia="Times New Roman" w:cs="Calibri"/>
                <w:b/>
                <w:bCs/>
                <w:color w:val="000000"/>
                <w:sz w:val="20"/>
                <w:szCs w:val="20"/>
                <w:lang w:eastAsia="en-AU"/>
              </w:rPr>
              <w:t>Aug 2012</w:t>
            </w:r>
          </w:p>
        </w:tc>
      </w:tr>
      <w:tr w:rsidR="00D35F01" w:rsidRPr="003F186B" w14:paraId="7D00A236" w14:textId="77777777" w:rsidTr="0033629A">
        <w:trPr>
          <w:gridAfter w:val="1"/>
          <w:wAfter w:w="18" w:type="pct"/>
          <w:trHeight w:val="300"/>
        </w:trPr>
        <w:tc>
          <w:tcPr>
            <w:tcW w:w="1047" w:type="pct"/>
            <w:tcBorders>
              <w:top w:val="single" w:sz="8" w:space="0" w:color="auto"/>
              <w:left w:val="single" w:sz="8" w:space="0" w:color="auto"/>
              <w:bottom w:val="nil"/>
              <w:right w:val="nil"/>
            </w:tcBorders>
            <w:shd w:val="clear" w:color="000000" w:fill="D9D9D9"/>
            <w:noWrap/>
            <w:vAlign w:val="bottom"/>
            <w:hideMark/>
          </w:tcPr>
          <w:p w14:paraId="4E2826B1" w14:textId="77777777" w:rsidR="00BA6A85" w:rsidRPr="003F186B" w:rsidRDefault="00BA6A85" w:rsidP="00C9696A">
            <w:pPr>
              <w:keepNext/>
              <w:spacing w:line="240" w:lineRule="auto"/>
              <w:rPr>
                <w:rFonts w:eastAsia="Times New Roman" w:cs="Calibri"/>
                <w:b/>
                <w:bCs/>
                <w:color w:val="000000"/>
                <w:sz w:val="20"/>
                <w:szCs w:val="20"/>
                <w:lang w:eastAsia="en-AU"/>
              </w:rPr>
            </w:pPr>
            <w:r w:rsidRPr="003F186B">
              <w:rPr>
                <w:rFonts w:eastAsia="Times New Roman" w:cs="Calibri"/>
                <w:b/>
                <w:bCs/>
                <w:color w:val="000000"/>
                <w:sz w:val="20"/>
                <w:szCs w:val="20"/>
                <w:lang w:eastAsia="en-AU"/>
              </w:rPr>
              <w:t>Indigenous</w:t>
            </w:r>
          </w:p>
        </w:tc>
        <w:tc>
          <w:tcPr>
            <w:tcW w:w="979" w:type="pct"/>
            <w:tcBorders>
              <w:top w:val="single" w:sz="8" w:space="0" w:color="auto"/>
              <w:left w:val="nil"/>
              <w:bottom w:val="nil"/>
              <w:right w:val="nil"/>
            </w:tcBorders>
            <w:shd w:val="clear" w:color="000000" w:fill="D9D9D9"/>
            <w:noWrap/>
            <w:vAlign w:val="bottom"/>
            <w:hideMark/>
          </w:tcPr>
          <w:p w14:paraId="75612333" w14:textId="77777777" w:rsidR="00BA6A85" w:rsidRPr="003F186B" w:rsidRDefault="00BA6A85" w:rsidP="00C9696A">
            <w:pPr>
              <w:keepNext/>
              <w:spacing w:line="240" w:lineRule="auto"/>
              <w:rPr>
                <w:rFonts w:eastAsia="Times New Roman" w:cs="Calibri"/>
                <w:b/>
                <w:bCs/>
                <w:color w:val="000000"/>
                <w:sz w:val="20"/>
                <w:szCs w:val="20"/>
                <w:lang w:eastAsia="en-AU"/>
              </w:rPr>
            </w:pPr>
            <w:r w:rsidRPr="003F186B">
              <w:rPr>
                <w:rFonts w:eastAsia="Times New Roman" w:cs="Calibri"/>
                <w:b/>
                <w:bCs/>
                <w:color w:val="000000"/>
                <w:sz w:val="20"/>
                <w:szCs w:val="20"/>
                <w:lang w:eastAsia="en-AU"/>
              </w:rPr>
              <w:t>Government</w:t>
            </w:r>
          </w:p>
        </w:tc>
        <w:tc>
          <w:tcPr>
            <w:tcW w:w="993" w:type="pct"/>
            <w:tcBorders>
              <w:top w:val="single" w:sz="8" w:space="0" w:color="auto"/>
              <w:left w:val="nil"/>
              <w:bottom w:val="nil"/>
              <w:right w:val="single" w:sz="8" w:space="0" w:color="auto"/>
            </w:tcBorders>
            <w:shd w:val="clear" w:color="000000" w:fill="D9D9D9"/>
            <w:noWrap/>
            <w:vAlign w:val="bottom"/>
            <w:hideMark/>
          </w:tcPr>
          <w:p w14:paraId="2A903FA2" w14:textId="77777777" w:rsidR="00BA6A85" w:rsidRPr="003F186B" w:rsidRDefault="00BA6A85" w:rsidP="00C9696A">
            <w:pPr>
              <w:keepNext/>
              <w:spacing w:line="240" w:lineRule="auto"/>
              <w:rPr>
                <w:rFonts w:eastAsia="Times New Roman" w:cs="Calibri"/>
                <w:b/>
                <w:bCs/>
                <w:color w:val="000000"/>
                <w:sz w:val="20"/>
                <w:szCs w:val="20"/>
                <w:lang w:eastAsia="en-AU"/>
              </w:rPr>
            </w:pPr>
            <w:r w:rsidRPr="003F186B">
              <w:rPr>
                <w:rFonts w:eastAsia="Times New Roman" w:cs="Calibri"/>
                <w:b/>
                <w:bCs/>
                <w:color w:val="000000"/>
                <w:sz w:val="20"/>
                <w:szCs w:val="20"/>
                <w:lang w:eastAsia="en-AU"/>
              </w:rPr>
              <w:t>Year 7-10</w:t>
            </w:r>
          </w:p>
        </w:tc>
        <w:tc>
          <w:tcPr>
            <w:tcW w:w="944" w:type="pct"/>
            <w:tcBorders>
              <w:top w:val="single" w:sz="8" w:space="0" w:color="auto"/>
              <w:left w:val="nil"/>
              <w:bottom w:val="nil"/>
              <w:right w:val="single" w:sz="8" w:space="0" w:color="auto"/>
            </w:tcBorders>
            <w:shd w:val="clear" w:color="000000" w:fill="auto"/>
            <w:noWrap/>
            <w:vAlign w:val="bottom"/>
            <w:hideMark/>
          </w:tcPr>
          <w:p w14:paraId="7AE5F719" w14:textId="77777777" w:rsidR="00BA6A85" w:rsidRPr="003F186B" w:rsidRDefault="00BA6A85" w:rsidP="00C9696A">
            <w:pPr>
              <w:keepNext/>
              <w:spacing w:line="240" w:lineRule="auto"/>
              <w:ind w:right="510"/>
              <w:jc w:val="right"/>
              <w:rPr>
                <w:rFonts w:eastAsia="Times New Roman" w:cs="Calibri"/>
                <w:color w:val="000000"/>
                <w:lang w:eastAsia="en-AU"/>
              </w:rPr>
            </w:pPr>
            <w:r w:rsidRPr="003F186B">
              <w:rPr>
                <w:rFonts w:eastAsia="Times New Roman" w:cs="Calibri"/>
                <w:color w:val="000000"/>
                <w:lang w:eastAsia="en-AU"/>
              </w:rPr>
              <w:t>89.8</w:t>
            </w:r>
          </w:p>
        </w:tc>
        <w:tc>
          <w:tcPr>
            <w:tcW w:w="1019" w:type="pct"/>
            <w:tcBorders>
              <w:top w:val="single" w:sz="8" w:space="0" w:color="auto"/>
              <w:left w:val="nil"/>
              <w:bottom w:val="nil"/>
              <w:right w:val="single" w:sz="8" w:space="0" w:color="auto"/>
            </w:tcBorders>
            <w:shd w:val="clear" w:color="auto" w:fill="FFFFFF" w:themeFill="background1"/>
          </w:tcPr>
          <w:p w14:paraId="634584B3" w14:textId="77777777" w:rsidR="00BA6A85" w:rsidRPr="003F186B" w:rsidRDefault="00BA6A85" w:rsidP="00C9696A">
            <w:pPr>
              <w:keepNext/>
              <w:spacing w:line="240" w:lineRule="auto"/>
              <w:ind w:right="510"/>
              <w:jc w:val="right"/>
              <w:rPr>
                <w:rFonts w:eastAsia="Times New Roman" w:cs="Calibri"/>
                <w:color w:val="000000"/>
                <w:lang w:eastAsia="en-AU"/>
              </w:rPr>
            </w:pPr>
            <w:r w:rsidRPr="003F186B">
              <w:rPr>
                <w:rFonts w:eastAsia="Times New Roman" w:cs="Calibri"/>
                <w:color w:val="000000"/>
                <w:lang w:eastAsia="en-AU"/>
              </w:rPr>
              <w:t>139.7</w:t>
            </w:r>
          </w:p>
        </w:tc>
      </w:tr>
      <w:tr w:rsidR="00D35F01" w:rsidRPr="003F186B" w14:paraId="06658094" w14:textId="77777777" w:rsidTr="0033629A">
        <w:trPr>
          <w:gridAfter w:val="1"/>
          <w:wAfter w:w="18" w:type="pct"/>
          <w:trHeight w:val="315"/>
        </w:trPr>
        <w:tc>
          <w:tcPr>
            <w:tcW w:w="1047" w:type="pct"/>
            <w:tcBorders>
              <w:top w:val="nil"/>
              <w:left w:val="single" w:sz="8" w:space="0" w:color="auto"/>
              <w:bottom w:val="nil"/>
              <w:right w:val="nil"/>
            </w:tcBorders>
            <w:shd w:val="clear" w:color="000000" w:fill="D9D9D9"/>
            <w:noWrap/>
            <w:vAlign w:val="bottom"/>
            <w:hideMark/>
          </w:tcPr>
          <w:p w14:paraId="1C5BF3FF" w14:textId="77777777" w:rsidR="00BA6A85" w:rsidRPr="003F186B" w:rsidRDefault="00BA6A85" w:rsidP="00C9696A">
            <w:pPr>
              <w:keepNext/>
              <w:spacing w:line="240" w:lineRule="auto"/>
              <w:rPr>
                <w:rFonts w:eastAsia="Times New Roman" w:cs="Calibri"/>
                <w:b/>
                <w:bCs/>
                <w:color w:val="000000"/>
                <w:sz w:val="20"/>
                <w:szCs w:val="20"/>
                <w:lang w:eastAsia="en-AU"/>
              </w:rPr>
            </w:pPr>
            <w:r w:rsidRPr="003F186B">
              <w:rPr>
                <w:rFonts w:eastAsia="Times New Roman" w:cs="Calibri"/>
                <w:b/>
                <w:bCs/>
                <w:color w:val="000000"/>
                <w:sz w:val="20"/>
                <w:szCs w:val="20"/>
                <w:lang w:eastAsia="en-AU"/>
              </w:rPr>
              <w:t> </w:t>
            </w:r>
          </w:p>
        </w:tc>
        <w:tc>
          <w:tcPr>
            <w:tcW w:w="979" w:type="pct"/>
            <w:tcBorders>
              <w:top w:val="nil"/>
              <w:left w:val="nil"/>
              <w:bottom w:val="nil"/>
              <w:right w:val="nil"/>
            </w:tcBorders>
            <w:shd w:val="clear" w:color="000000" w:fill="D9D9D9"/>
            <w:noWrap/>
            <w:vAlign w:val="bottom"/>
            <w:hideMark/>
          </w:tcPr>
          <w:p w14:paraId="0EAC3337" w14:textId="77777777" w:rsidR="00BA6A85" w:rsidRPr="003F186B" w:rsidRDefault="00BA6A85" w:rsidP="00C9696A">
            <w:pPr>
              <w:keepNext/>
              <w:spacing w:line="240" w:lineRule="auto"/>
              <w:rPr>
                <w:rFonts w:eastAsia="Times New Roman" w:cs="Calibri"/>
                <w:b/>
                <w:bCs/>
                <w:color w:val="000000"/>
                <w:sz w:val="20"/>
                <w:szCs w:val="20"/>
                <w:lang w:eastAsia="en-AU"/>
              </w:rPr>
            </w:pPr>
            <w:r w:rsidRPr="003F186B">
              <w:rPr>
                <w:rFonts w:eastAsia="Times New Roman" w:cs="Calibri"/>
                <w:b/>
                <w:bCs/>
                <w:color w:val="000000"/>
                <w:sz w:val="20"/>
                <w:szCs w:val="20"/>
                <w:lang w:eastAsia="en-AU"/>
              </w:rPr>
              <w:t> </w:t>
            </w:r>
          </w:p>
        </w:tc>
        <w:tc>
          <w:tcPr>
            <w:tcW w:w="993" w:type="pct"/>
            <w:tcBorders>
              <w:top w:val="nil"/>
              <w:left w:val="nil"/>
              <w:bottom w:val="single" w:sz="8" w:space="0" w:color="auto"/>
              <w:right w:val="single" w:sz="8" w:space="0" w:color="auto"/>
            </w:tcBorders>
            <w:shd w:val="clear" w:color="000000" w:fill="D9D9D9"/>
            <w:noWrap/>
            <w:vAlign w:val="bottom"/>
            <w:hideMark/>
          </w:tcPr>
          <w:p w14:paraId="7F357395" w14:textId="77777777" w:rsidR="00BA6A85" w:rsidRPr="003F186B" w:rsidRDefault="00BA6A85" w:rsidP="00C9696A">
            <w:pPr>
              <w:keepNext/>
              <w:spacing w:line="240" w:lineRule="auto"/>
              <w:rPr>
                <w:rFonts w:eastAsia="Times New Roman" w:cs="Calibri"/>
                <w:b/>
                <w:bCs/>
                <w:color w:val="000000"/>
                <w:sz w:val="20"/>
                <w:szCs w:val="20"/>
                <w:lang w:eastAsia="en-AU"/>
              </w:rPr>
            </w:pPr>
            <w:r w:rsidRPr="003F186B">
              <w:rPr>
                <w:rFonts w:eastAsia="Times New Roman" w:cs="Calibri"/>
                <w:b/>
                <w:bCs/>
                <w:color w:val="000000"/>
                <w:sz w:val="20"/>
                <w:szCs w:val="20"/>
                <w:lang w:eastAsia="en-AU"/>
              </w:rPr>
              <w:t>Year 7-12</w:t>
            </w:r>
          </w:p>
        </w:tc>
        <w:tc>
          <w:tcPr>
            <w:tcW w:w="944" w:type="pct"/>
            <w:tcBorders>
              <w:top w:val="nil"/>
              <w:left w:val="nil"/>
              <w:bottom w:val="single" w:sz="8" w:space="0" w:color="auto"/>
              <w:right w:val="single" w:sz="8" w:space="0" w:color="auto"/>
            </w:tcBorders>
            <w:shd w:val="clear" w:color="000000" w:fill="auto"/>
            <w:noWrap/>
            <w:vAlign w:val="bottom"/>
            <w:hideMark/>
          </w:tcPr>
          <w:p w14:paraId="40A01A95" w14:textId="77777777" w:rsidR="00BA6A85" w:rsidRPr="003F186B" w:rsidRDefault="00BA6A85" w:rsidP="00C9696A">
            <w:pPr>
              <w:keepNext/>
              <w:spacing w:line="240" w:lineRule="auto"/>
              <w:ind w:right="510"/>
              <w:jc w:val="right"/>
              <w:rPr>
                <w:rFonts w:eastAsia="Times New Roman" w:cs="Calibri"/>
                <w:color w:val="000000"/>
                <w:lang w:eastAsia="en-AU"/>
              </w:rPr>
            </w:pPr>
            <w:r w:rsidRPr="003F186B">
              <w:rPr>
                <w:rFonts w:eastAsia="Times New Roman" w:cs="Calibri"/>
                <w:color w:val="000000"/>
                <w:lang w:eastAsia="en-AU"/>
              </w:rPr>
              <w:t>28.8</w:t>
            </w:r>
          </w:p>
        </w:tc>
        <w:tc>
          <w:tcPr>
            <w:tcW w:w="1019" w:type="pct"/>
            <w:tcBorders>
              <w:top w:val="nil"/>
              <w:left w:val="nil"/>
              <w:bottom w:val="single" w:sz="8" w:space="0" w:color="auto"/>
              <w:right w:val="single" w:sz="8" w:space="0" w:color="auto"/>
            </w:tcBorders>
            <w:shd w:val="clear" w:color="auto" w:fill="FFFFFF" w:themeFill="background1"/>
          </w:tcPr>
          <w:p w14:paraId="59289EEB" w14:textId="77777777" w:rsidR="00BA6A85" w:rsidRPr="003F186B" w:rsidRDefault="00BA6A85" w:rsidP="00C9696A">
            <w:pPr>
              <w:keepNext/>
              <w:spacing w:line="240" w:lineRule="auto"/>
              <w:ind w:right="510"/>
              <w:jc w:val="right"/>
              <w:rPr>
                <w:rFonts w:eastAsia="Times New Roman" w:cs="Calibri"/>
                <w:color w:val="000000"/>
                <w:lang w:eastAsia="en-AU"/>
              </w:rPr>
            </w:pPr>
            <w:r w:rsidRPr="003F186B">
              <w:rPr>
                <w:rFonts w:eastAsia="Times New Roman" w:cs="Calibri"/>
                <w:color w:val="000000"/>
                <w:lang w:eastAsia="en-AU"/>
              </w:rPr>
              <w:t>40.8</w:t>
            </w:r>
          </w:p>
        </w:tc>
      </w:tr>
      <w:tr w:rsidR="00D35F01" w:rsidRPr="003F186B" w14:paraId="4CC75FE7" w14:textId="77777777" w:rsidTr="0033629A">
        <w:trPr>
          <w:gridAfter w:val="1"/>
          <w:wAfter w:w="18" w:type="pct"/>
          <w:trHeight w:val="300"/>
        </w:trPr>
        <w:tc>
          <w:tcPr>
            <w:tcW w:w="1047" w:type="pct"/>
            <w:tcBorders>
              <w:top w:val="nil"/>
              <w:left w:val="single" w:sz="8" w:space="0" w:color="auto"/>
              <w:bottom w:val="nil"/>
              <w:right w:val="nil"/>
            </w:tcBorders>
            <w:shd w:val="clear" w:color="000000" w:fill="D9D9D9"/>
            <w:noWrap/>
            <w:vAlign w:val="bottom"/>
            <w:hideMark/>
          </w:tcPr>
          <w:p w14:paraId="7F02741F" w14:textId="77777777" w:rsidR="00BA6A85" w:rsidRPr="003F186B" w:rsidRDefault="00BA6A85" w:rsidP="00C9696A">
            <w:pPr>
              <w:keepNext/>
              <w:spacing w:line="240" w:lineRule="auto"/>
              <w:rPr>
                <w:rFonts w:eastAsia="Times New Roman" w:cs="Calibri"/>
                <w:b/>
                <w:bCs/>
                <w:color w:val="000000"/>
                <w:sz w:val="20"/>
                <w:szCs w:val="20"/>
                <w:lang w:eastAsia="en-AU"/>
              </w:rPr>
            </w:pPr>
            <w:r w:rsidRPr="003F186B">
              <w:rPr>
                <w:rFonts w:eastAsia="Times New Roman" w:cs="Calibri"/>
                <w:b/>
                <w:bCs/>
                <w:color w:val="000000"/>
                <w:sz w:val="20"/>
                <w:szCs w:val="20"/>
                <w:lang w:eastAsia="en-AU"/>
              </w:rPr>
              <w:t>Non</w:t>
            </w:r>
            <w:r w:rsidR="009169B9">
              <w:rPr>
                <w:rFonts w:eastAsia="Times New Roman" w:cs="Calibri"/>
                <w:b/>
                <w:bCs/>
                <w:color w:val="000000"/>
                <w:sz w:val="20"/>
                <w:szCs w:val="20"/>
                <w:lang w:eastAsia="en-AU"/>
              </w:rPr>
              <w:t>-</w:t>
            </w:r>
            <w:r w:rsidRPr="003F186B">
              <w:rPr>
                <w:rFonts w:eastAsia="Times New Roman" w:cs="Calibri"/>
                <w:b/>
                <w:bCs/>
                <w:color w:val="000000"/>
                <w:sz w:val="20"/>
                <w:szCs w:val="20"/>
                <w:lang w:eastAsia="en-AU"/>
              </w:rPr>
              <w:t>Indigenous</w:t>
            </w:r>
          </w:p>
        </w:tc>
        <w:tc>
          <w:tcPr>
            <w:tcW w:w="979" w:type="pct"/>
            <w:tcBorders>
              <w:top w:val="nil"/>
              <w:left w:val="nil"/>
              <w:bottom w:val="nil"/>
              <w:right w:val="nil"/>
            </w:tcBorders>
            <w:shd w:val="clear" w:color="000000" w:fill="D9D9D9"/>
            <w:noWrap/>
            <w:vAlign w:val="bottom"/>
            <w:hideMark/>
          </w:tcPr>
          <w:p w14:paraId="1C2DB89C" w14:textId="77777777" w:rsidR="00BA6A85" w:rsidRPr="003F186B" w:rsidRDefault="00BA6A85" w:rsidP="00C9696A">
            <w:pPr>
              <w:keepNext/>
              <w:spacing w:line="240" w:lineRule="auto"/>
              <w:rPr>
                <w:rFonts w:eastAsia="Times New Roman" w:cs="Calibri"/>
                <w:b/>
                <w:bCs/>
                <w:color w:val="000000"/>
                <w:sz w:val="20"/>
                <w:szCs w:val="20"/>
                <w:lang w:eastAsia="en-AU"/>
              </w:rPr>
            </w:pPr>
            <w:r w:rsidRPr="003F186B">
              <w:rPr>
                <w:rFonts w:eastAsia="Times New Roman" w:cs="Calibri"/>
                <w:b/>
                <w:bCs/>
                <w:color w:val="000000"/>
                <w:sz w:val="20"/>
                <w:szCs w:val="20"/>
                <w:lang w:eastAsia="en-AU"/>
              </w:rPr>
              <w:t>Government</w:t>
            </w:r>
          </w:p>
        </w:tc>
        <w:tc>
          <w:tcPr>
            <w:tcW w:w="993" w:type="pct"/>
            <w:tcBorders>
              <w:top w:val="nil"/>
              <w:left w:val="nil"/>
              <w:bottom w:val="nil"/>
              <w:right w:val="single" w:sz="8" w:space="0" w:color="auto"/>
            </w:tcBorders>
            <w:shd w:val="clear" w:color="000000" w:fill="D9D9D9"/>
            <w:noWrap/>
            <w:vAlign w:val="bottom"/>
            <w:hideMark/>
          </w:tcPr>
          <w:p w14:paraId="210FE901" w14:textId="77777777" w:rsidR="00BA6A85" w:rsidRPr="003F186B" w:rsidRDefault="00BA6A85" w:rsidP="00C9696A">
            <w:pPr>
              <w:keepNext/>
              <w:spacing w:line="240" w:lineRule="auto"/>
              <w:rPr>
                <w:rFonts w:eastAsia="Times New Roman" w:cs="Calibri"/>
                <w:b/>
                <w:bCs/>
                <w:color w:val="000000"/>
                <w:sz w:val="20"/>
                <w:szCs w:val="20"/>
                <w:lang w:eastAsia="en-AU"/>
              </w:rPr>
            </w:pPr>
            <w:r w:rsidRPr="003F186B">
              <w:rPr>
                <w:rFonts w:eastAsia="Times New Roman" w:cs="Calibri"/>
                <w:b/>
                <w:bCs/>
                <w:color w:val="000000"/>
                <w:sz w:val="20"/>
                <w:szCs w:val="20"/>
                <w:lang w:eastAsia="en-AU"/>
              </w:rPr>
              <w:t>Year 7-10</w:t>
            </w:r>
          </w:p>
        </w:tc>
        <w:tc>
          <w:tcPr>
            <w:tcW w:w="944" w:type="pct"/>
            <w:tcBorders>
              <w:top w:val="nil"/>
              <w:left w:val="nil"/>
              <w:bottom w:val="nil"/>
              <w:right w:val="single" w:sz="8" w:space="0" w:color="auto"/>
            </w:tcBorders>
            <w:shd w:val="clear" w:color="000000" w:fill="auto"/>
            <w:noWrap/>
            <w:vAlign w:val="bottom"/>
            <w:hideMark/>
          </w:tcPr>
          <w:p w14:paraId="7A6A84E8" w14:textId="77777777" w:rsidR="00BA6A85" w:rsidRPr="003F186B" w:rsidRDefault="00BA6A85" w:rsidP="00C9696A">
            <w:pPr>
              <w:keepNext/>
              <w:spacing w:line="240" w:lineRule="auto"/>
              <w:ind w:right="510"/>
              <w:jc w:val="right"/>
              <w:rPr>
                <w:rFonts w:eastAsia="Times New Roman" w:cs="Calibri"/>
                <w:color w:val="000000"/>
                <w:lang w:eastAsia="en-AU"/>
              </w:rPr>
            </w:pPr>
            <w:r w:rsidRPr="003F186B">
              <w:rPr>
                <w:rFonts w:eastAsia="Times New Roman" w:cs="Calibri"/>
                <w:color w:val="000000"/>
                <w:lang w:eastAsia="en-AU"/>
              </w:rPr>
              <w:t>112.5</w:t>
            </w:r>
          </w:p>
        </w:tc>
        <w:tc>
          <w:tcPr>
            <w:tcW w:w="1019" w:type="pct"/>
            <w:tcBorders>
              <w:top w:val="nil"/>
              <w:left w:val="nil"/>
              <w:bottom w:val="nil"/>
              <w:right w:val="single" w:sz="8" w:space="0" w:color="auto"/>
            </w:tcBorders>
            <w:shd w:val="clear" w:color="auto" w:fill="FFFFFF" w:themeFill="background1"/>
          </w:tcPr>
          <w:p w14:paraId="6379A54D" w14:textId="77777777" w:rsidR="00BA6A85" w:rsidRPr="003F186B" w:rsidRDefault="00BA6A85" w:rsidP="00C9696A">
            <w:pPr>
              <w:keepNext/>
              <w:spacing w:line="240" w:lineRule="auto"/>
              <w:ind w:right="510"/>
              <w:jc w:val="right"/>
              <w:rPr>
                <w:rFonts w:eastAsia="Times New Roman" w:cs="Calibri"/>
                <w:color w:val="000000"/>
                <w:lang w:eastAsia="en-AU"/>
              </w:rPr>
            </w:pPr>
            <w:r w:rsidRPr="003F186B">
              <w:rPr>
                <w:rFonts w:eastAsia="Times New Roman" w:cs="Calibri"/>
                <w:color w:val="000000"/>
                <w:lang w:eastAsia="en-AU"/>
              </w:rPr>
              <w:t>149.9</w:t>
            </w:r>
          </w:p>
        </w:tc>
      </w:tr>
      <w:tr w:rsidR="00D35F01" w:rsidRPr="003F186B" w14:paraId="1842676C" w14:textId="77777777" w:rsidTr="0033629A">
        <w:trPr>
          <w:gridAfter w:val="1"/>
          <w:wAfter w:w="18" w:type="pct"/>
          <w:trHeight w:val="315"/>
        </w:trPr>
        <w:tc>
          <w:tcPr>
            <w:tcW w:w="1047" w:type="pct"/>
            <w:tcBorders>
              <w:top w:val="nil"/>
              <w:left w:val="single" w:sz="8" w:space="0" w:color="auto"/>
              <w:bottom w:val="nil"/>
              <w:right w:val="nil"/>
            </w:tcBorders>
            <w:shd w:val="clear" w:color="000000" w:fill="D9D9D9"/>
            <w:noWrap/>
            <w:vAlign w:val="bottom"/>
            <w:hideMark/>
          </w:tcPr>
          <w:p w14:paraId="17B6EE19" w14:textId="77777777" w:rsidR="00BA6A85" w:rsidRPr="003F186B" w:rsidRDefault="00BA6A85" w:rsidP="00C9696A">
            <w:pPr>
              <w:keepNext/>
              <w:spacing w:line="240" w:lineRule="auto"/>
              <w:contextualSpacing/>
              <w:rPr>
                <w:rFonts w:eastAsia="Times New Roman" w:cs="Calibri"/>
                <w:b/>
                <w:bCs/>
                <w:color w:val="000000"/>
                <w:sz w:val="20"/>
                <w:szCs w:val="20"/>
                <w:lang w:eastAsia="en-AU"/>
              </w:rPr>
            </w:pPr>
            <w:r w:rsidRPr="003F186B">
              <w:rPr>
                <w:rFonts w:eastAsia="Times New Roman" w:cs="Calibri"/>
                <w:b/>
                <w:bCs/>
                <w:color w:val="000000"/>
                <w:sz w:val="20"/>
                <w:szCs w:val="20"/>
                <w:lang w:eastAsia="en-AU"/>
              </w:rPr>
              <w:t> </w:t>
            </w:r>
          </w:p>
        </w:tc>
        <w:tc>
          <w:tcPr>
            <w:tcW w:w="979" w:type="pct"/>
            <w:tcBorders>
              <w:top w:val="nil"/>
              <w:left w:val="nil"/>
              <w:bottom w:val="nil"/>
              <w:right w:val="nil"/>
            </w:tcBorders>
            <w:shd w:val="clear" w:color="000000" w:fill="D9D9D9"/>
            <w:noWrap/>
            <w:vAlign w:val="bottom"/>
            <w:hideMark/>
          </w:tcPr>
          <w:p w14:paraId="5FD8EC01" w14:textId="77777777" w:rsidR="00BA6A85" w:rsidRPr="003F186B" w:rsidRDefault="00BA6A85" w:rsidP="00C9696A">
            <w:pPr>
              <w:keepNext/>
              <w:spacing w:line="240" w:lineRule="auto"/>
              <w:contextualSpacing/>
              <w:rPr>
                <w:rFonts w:eastAsia="Times New Roman" w:cs="Calibri"/>
                <w:b/>
                <w:bCs/>
                <w:color w:val="000000"/>
                <w:sz w:val="20"/>
                <w:szCs w:val="20"/>
                <w:lang w:eastAsia="en-AU"/>
              </w:rPr>
            </w:pPr>
            <w:r w:rsidRPr="003F186B">
              <w:rPr>
                <w:rFonts w:eastAsia="Times New Roman" w:cs="Calibri"/>
                <w:b/>
                <w:bCs/>
                <w:color w:val="000000"/>
                <w:sz w:val="20"/>
                <w:szCs w:val="20"/>
                <w:lang w:eastAsia="en-AU"/>
              </w:rPr>
              <w:t> </w:t>
            </w:r>
          </w:p>
        </w:tc>
        <w:tc>
          <w:tcPr>
            <w:tcW w:w="993" w:type="pct"/>
            <w:tcBorders>
              <w:top w:val="nil"/>
              <w:left w:val="nil"/>
              <w:bottom w:val="single" w:sz="8" w:space="0" w:color="auto"/>
              <w:right w:val="single" w:sz="8" w:space="0" w:color="auto"/>
            </w:tcBorders>
            <w:shd w:val="clear" w:color="000000" w:fill="D9D9D9"/>
            <w:noWrap/>
            <w:vAlign w:val="bottom"/>
            <w:hideMark/>
          </w:tcPr>
          <w:p w14:paraId="1FE2C1AD" w14:textId="77777777" w:rsidR="00BA6A85" w:rsidRPr="003F186B" w:rsidRDefault="00BA6A85" w:rsidP="00C9696A">
            <w:pPr>
              <w:keepNext/>
              <w:spacing w:line="240" w:lineRule="auto"/>
              <w:contextualSpacing/>
              <w:rPr>
                <w:rFonts w:eastAsia="Times New Roman" w:cs="Calibri"/>
                <w:b/>
                <w:bCs/>
                <w:color w:val="000000"/>
                <w:sz w:val="20"/>
                <w:szCs w:val="20"/>
                <w:lang w:eastAsia="en-AU"/>
              </w:rPr>
            </w:pPr>
            <w:r w:rsidRPr="003F186B">
              <w:rPr>
                <w:rFonts w:eastAsia="Times New Roman" w:cs="Calibri"/>
                <w:b/>
                <w:bCs/>
                <w:color w:val="000000"/>
                <w:sz w:val="20"/>
                <w:szCs w:val="20"/>
                <w:lang w:eastAsia="en-AU"/>
              </w:rPr>
              <w:t>Year 7-12</w:t>
            </w:r>
          </w:p>
        </w:tc>
        <w:tc>
          <w:tcPr>
            <w:tcW w:w="944" w:type="pct"/>
            <w:tcBorders>
              <w:top w:val="nil"/>
              <w:left w:val="nil"/>
              <w:bottom w:val="single" w:sz="8" w:space="0" w:color="auto"/>
              <w:right w:val="single" w:sz="8" w:space="0" w:color="auto"/>
            </w:tcBorders>
            <w:shd w:val="clear" w:color="000000" w:fill="auto"/>
            <w:noWrap/>
            <w:vAlign w:val="bottom"/>
            <w:hideMark/>
          </w:tcPr>
          <w:p w14:paraId="592CBF1F" w14:textId="77777777" w:rsidR="00BA6A85" w:rsidRPr="003F186B" w:rsidRDefault="00BA6A85" w:rsidP="00C9696A">
            <w:pPr>
              <w:keepNext/>
              <w:spacing w:line="240" w:lineRule="auto"/>
              <w:ind w:right="510"/>
              <w:contextualSpacing/>
              <w:jc w:val="right"/>
              <w:rPr>
                <w:rFonts w:eastAsia="Times New Roman" w:cs="Calibri"/>
                <w:color w:val="000000"/>
                <w:lang w:eastAsia="en-AU"/>
              </w:rPr>
            </w:pPr>
            <w:r w:rsidRPr="003F186B">
              <w:rPr>
                <w:rFonts w:eastAsia="Times New Roman" w:cs="Calibri"/>
                <w:color w:val="000000"/>
                <w:lang w:eastAsia="en-AU"/>
              </w:rPr>
              <w:t>35.5</w:t>
            </w:r>
          </w:p>
        </w:tc>
        <w:tc>
          <w:tcPr>
            <w:tcW w:w="1019" w:type="pct"/>
            <w:tcBorders>
              <w:top w:val="nil"/>
              <w:left w:val="nil"/>
              <w:bottom w:val="single" w:sz="8" w:space="0" w:color="auto"/>
              <w:right w:val="single" w:sz="8" w:space="0" w:color="auto"/>
            </w:tcBorders>
            <w:shd w:val="clear" w:color="auto" w:fill="FFFFFF" w:themeFill="background1"/>
          </w:tcPr>
          <w:p w14:paraId="24ACE7B9" w14:textId="77777777" w:rsidR="00BA6A85" w:rsidRPr="003F186B" w:rsidRDefault="00BA6A85" w:rsidP="00C9696A">
            <w:pPr>
              <w:keepNext/>
              <w:spacing w:line="240" w:lineRule="auto"/>
              <w:ind w:right="510"/>
              <w:contextualSpacing/>
              <w:jc w:val="right"/>
              <w:rPr>
                <w:rFonts w:eastAsia="Times New Roman" w:cs="Calibri"/>
                <w:color w:val="000000"/>
                <w:lang w:eastAsia="en-AU"/>
              </w:rPr>
            </w:pPr>
            <w:r w:rsidRPr="003F186B">
              <w:rPr>
                <w:rFonts w:eastAsia="Times New Roman" w:cs="Calibri"/>
                <w:color w:val="000000"/>
                <w:lang w:eastAsia="en-AU"/>
              </w:rPr>
              <w:t>51.1</w:t>
            </w:r>
          </w:p>
        </w:tc>
      </w:tr>
      <w:tr w:rsidR="00D35F01" w:rsidRPr="003F186B" w14:paraId="6A7C68C5" w14:textId="77777777" w:rsidTr="0033629A">
        <w:trPr>
          <w:gridAfter w:val="1"/>
          <w:wAfter w:w="18" w:type="pct"/>
          <w:trHeight w:val="300"/>
        </w:trPr>
        <w:tc>
          <w:tcPr>
            <w:tcW w:w="1047" w:type="pct"/>
            <w:tcBorders>
              <w:top w:val="nil"/>
              <w:left w:val="single" w:sz="8" w:space="0" w:color="auto"/>
              <w:bottom w:val="nil"/>
              <w:right w:val="nil"/>
            </w:tcBorders>
            <w:shd w:val="clear" w:color="000000" w:fill="D9D9D9"/>
            <w:noWrap/>
            <w:vAlign w:val="bottom"/>
            <w:hideMark/>
          </w:tcPr>
          <w:p w14:paraId="46864B16" w14:textId="77777777" w:rsidR="00BA6A85" w:rsidRPr="003F186B" w:rsidRDefault="00BA6A85" w:rsidP="00C9696A">
            <w:pPr>
              <w:spacing w:line="240" w:lineRule="auto"/>
              <w:contextualSpacing/>
              <w:jc w:val="both"/>
              <w:rPr>
                <w:rFonts w:eastAsia="Times New Roman" w:cs="Calibri"/>
                <w:b/>
                <w:color w:val="000000"/>
                <w:sz w:val="20"/>
                <w:szCs w:val="20"/>
                <w:lang w:eastAsia="en-AU"/>
              </w:rPr>
            </w:pPr>
            <w:r w:rsidRPr="003F186B">
              <w:rPr>
                <w:rFonts w:eastAsia="Times New Roman" w:cs="Calibri"/>
                <w:b/>
                <w:color w:val="000000"/>
                <w:sz w:val="20"/>
                <w:szCs w:val="20"/>
                <w:lang w:eastAsia="en-AU"/>
              </w:rPr>
              <w:t>All Students </w:t>
            </w:r>
          </w:p>
        </w:tc>
        <w:tc>
          <w:tcPr>
            <w:tcW w:w="979" w:type="pct"/>
            <w:tcBorders>
              <w:top w:val="nil"/>
              <w:left w:val="nil"/>
              <w:bottom w:val="nil"/>
              <w:right w:val="nil"/>
            </w:tcBorders>
            <w:shd w:val="clear" w:color="000000" w:fill="D9D9D9"/>
            <w:noWrap/>
            <w:vAlign w:val="bottom"/>
            <w:hideMark/>
          </w:tcPr>
          <w:p w14:paraId="28FB7551" w14:textId="77777777" w:rsidR="00BA6A85" w:rsidRPr="003F186B" w:rsidRDefault="00BA6A85" w:rsidP="00C9696A">
            <w:pPr>
              <w:spacing w:line="240" w:lineRule="auto"/>
              <w:contextualSpacing/>
              <w:rPr>
                <w:rFonts w:eastAsia="Times New Roman" w:cs="Calibri"/>
                <w:b/>
                <w:bCs/>
                <w:color w:val="000000"/>
                <w:sz w:val="20"/>
                <w:szCs w:val="20"/>
                <w:lang w:eastAsia="en-AU"/>
              </w:rPr>
            </w:pPr>
            <w:r w:rsidRPr="003F186B">
              <w:rPr>
                <w:rFonts w:eastAsia="Times New Roman" w:cs="Calibri"/>
                <w:b/>
                <w:bCs/>
                <w:color w:val="000000"/>
                <w:sz w:val="20"/>
                <w:szCs w:val="20"/>
                <w:lang w:eastAsia="en-AU"/>
              </w:rPr>
              <w:t>Government</w:t>
            </w:r>
          </w:p>
        </w:tc>
        <w:tc>
          <w:tcPr>
            <w:tcW w:w="993" w:type="pct"/>
            <w:tcBorders>
              <w:top w:val="nil"/>
              <w:left w:val="nil"/>
              <w:bottom w:val="nil"/>
              <w:right w:val="single" w:sz="8" w:space="0" w:color="auto"/>
            </w:tcBorders>
            <w:shd w:val="clear" w:color="000000" w:fill="D9D9D9"/>
            <w:noWrap/>
            <w:vAlign w:val="bottom"/>
            <w:hideMark/>
          </w:tcPr>
          <w:p w14:paraId="51D07499" w14:textId="77777777" w:rsidR="00BA6A85" w:rsidRPr="003F186B" w:rsidRDefault="00BA6A85" w:rsidP="00C9696A">
            <w:pPr>
              <w:spacing w:line="240" w:lineRule="auto"/>
              <w:contextualSpacing/>
              <w:rPr>
                <w:rFonts w:eastAsia="Times New Roman" w:cs="Calibri"/>
                <w:b/>
                <w:bCs/>
                <w:color w:val="000000"/>
                <w:sz w:val="20"/>
                <w:szCs w:val="20"/>
                <w:lang w:eastAsia="en-AU"/>
              </w:rPr>
            </w:pPr>
            <w:r w:rsidRPr="003F186B">
              <w:rPr>
                <w:rFonts w:eastAsia="Times New Roman" w:cs="Calibri"/>
                <w:b/>
                <w:bCs/>
                <w:color w:val="000000"/>
                <w:sz w:val="20"/>
                <w:szCs w:val="20"/>
                <w:lang w:eastAsia="en-AU"/>
              </w:rPr>
              <w:t>Year 7-10</w:t>
            </w:r>
          </w:p>
        </w:tc>
        <w:tc>
          <w:tcPr>
            <w:tcW w:w="944" w:type="pct"/>
            <w:tcBorders>
              <w:top w:val="nil"/>
              <w:left w:val="nil"/>
              <w:bottom w:val="nil"/>
              <w:right w:val="single" w:sz="8" w:space="0" w:color="auto"/>
            </w:tcBorders>
            <w:shd w:val="clear" w:color="000000" w:fill="auto"/>
            <w:noWrap/>
            <w:vAlign w:val="bottom"/>
            <w:hideMark/>
          </w:tcPr>
          <w:p w14:paraId="4515F90F" w14:textId="77777777" w:rsidR="00BA6A85" w:rsidRPr="003F186B" w:rsidRDefault="00BA6A85" w:rsidP="00C9696A">
            <w:pPr>
              <w:spacing w:line="240" w:lineRule="auto"/>
              <w:ind w:right="510"/>
              <w:contextualSpacing/>
              <w:jc w:val="right"/>
              <w:rPr>
                <w:rFonts w:eastAsia="Times New Roman" w:cs="Calibri"/>
                <w:color w:val="000000"/>
                <w:lang w:eastAsia="en-AU"/>
              </w:rPr>
            </w:pPr>
            <w:r w:rsidRPr="003F186B">
              <w:rPr>
                <w:rFonts w:eastAsia="Times New Roman" w:cs="Calibri"/>
                <w:color w:val="000000"/>
                <w:lang w:eastAsia="en-AU"/>
              </w:rPr>
              <w:t>112.6</w:t>
            </w:r>
          </w:p>
        </w:tc>
        <w:tc>
          <w:tcPr>
            <w:tcW w:w="1019" w:type="pct"/>
            <w:tcBorders>
              <w:top w:val="nil"/>
              <w:left w:val="nil"/>
              <w:bottom w:val="nil"/>
              <w:right w:val="single" w:sz="8" w:space="0" w:color="auto"/>
            </w:tcBorders>
            <w:shd w:val="clear" w:color="auto" w:fill="FFFFFF" w:themeFill="background1"/>
          </w:tcPr>
          <w:p w14:paraId="7700885E" w14:textId="77777777" w:rsidR="00BA6A85" w:rsidRPr="003F186B" w:rsidRDefault="00BA6A85" w:rsidP="00C9696A">
            <w:pPr>
              <w:spacing w:line="240" w:lineRule="auto"/>
              <w:ind w:right="510"/>
              <w:contextualSpacing/>
              <w:jc w:val="right"/>
              <w:rPr>
                <w:rFonts w:eastAsia="Times New Roman" w:cs="Calibri"/>
                <w:color w:val="000000"/>
                <w:lang w:eastAsia="en-AU"/>
              </w:rPr>
            </w:pPr>
            <w:r w:rsidRPr="003F186B">
              <w:rPr>
                <w:rFonts w:eastAsia="Times New Roman" w:cs="Calibri"/>
                <w:color w:val="000000"/>
                <w:lang w:eastAsia="en-AU"/>
              </w:rPr>
              <w:t>148.5</w:t>
            </w:r>
          </w:p>
        </w:tc>
      </w:tr>
      <w:tr w:rsidR="00D35F01" w:rsidRPr="003F186B" w14:paraId="66749575" w14:textId="77777777" w:rsidTr="0033629A">
        <w:trPr>
          <w:gridAfter w:val="1"/>
          <w:wAfter w:w="18" w:type="pct"/>
          <w:trHeight w:val="315"/>
        </w:trPr>
        <w:tc>
          <w:tcPr>
            <w:tcW w:w="1047" w:type="pct"/>
            <w:tcBorders>
              <w:top w:val="nil"/>
              <w:left w:val="single" w:sz="8" w:space="0" w:color="auto"/>
              <w:bottom w:val="single" w:sz="8" w:space="0" w:color="auto"/>
              <w:right w:val="nil"/>
            </w:tcBorders>
            <w:shd w:val="clear" w:color="000000" w:fill="D9D9D9"/>
            <w:noWrap/>
            <w:vAlign w:val="bottom"/>
            <w:hideMark/>
          </w:tcPr>
          <w:p w14:paraId="41CC39B0" w14:textId="77777777" w:rsidR="00BA6A85" w:rsidRPr="003F186B" w:rsidRDefault="00BA6A85" w:rsidP="00C9696A">
            <w:pPr>
              <w:spacing w:line="240" w:lineRule="auto"/>
              <w:contextualSpacing/>
              <w:rPr>
                <w:rFonts w:eastAsia="Times New Roman" w:cs="Calibri"/>
                <w:color w:val="000000"/>
                <w:sz w:val="20"/>
                <w:szCs w:val="20"/>
                <w:lang w:eastAsia="en-AU"/>
              </w:rPr>
            </w:pPr>
            <w:r w:rsidRPr="003F186B">
              <w:rPr>
                <w:rFonts w:eastAsia="Times New Roman" w:cs="Calibri"/>
                <w:color w:val="000000"/>
                <w:sz w:val="20"/>
                <w:szCs w:val="20"/>
                <w:lang w:eastAsia="en-AU"/>
              </w:rPr>
              <w:t> </w:t>
            </w:r>
          </w:p>
        </w:tc>
        <w:tc>
          <w:tcPr>
            <w:tcW w:w="979" w:type="pct"/>
            <w:tcBorders>
              <w:top w:val="nil"/>
              <w:left w:val="nil"/>
              <w:bottom w:val="single" w:sz="8" w:space="0" w:color="auto"/>
              <w:right w:val="nil"/>
            </w:tcBorders>
            <w:shd w:val="clear" w:color="000000" w:fill="D9D9D9"/>
            <w:noWrap/>
            <w:vAlign w:val="bottom"/>
            <w:hideMark/>
          </w:tcPr>
          <w:p w14:paraId="52CDF2E6" w14:textId="77777777" w:rsidR="00BA6A85" w:rsidRPr="003F186B" w:rsidRDefault="00BA6A85" w:rsidP="00C9696A">
            <w:pPr>
              <w:spacing w:line="240" w:lineRule="auto"/>
              <w:contextualSpacing/>
              <w:rPr>
                <w:rFonts w:eastAsia="Times New Roman" w:cs="Calibri"/>
                <w:b/>
                <w:bCs/>
                <w:color w:val="000000"/>
                <w:sz w:val="20"/>
                <w:szCs w:val="20"/>
                <w:lang w:eastAsia="en-AU"/>
              </w:rPr>
            </w:pPr>
            <w:r w:rsidRPr="003F186B">
              <w:rPr>
                <w:rFonts w:eastAsia="Times New Roman" w:cs="Calibri"/>
                <w:b/>
                <w:bCs/>
                <w:color w:val="000000"/>
                <w:sz w:val="20"/>
                <w:szCs w:val="20"/>
                <w:lang w:eastAsia="en-AU"/>
              </w:rPr>
              <w:t> </w:t>
            </w:r>
          </w:p>
        </w:tc>
        <w:tc>
          <w:tcPr>
            <w:tcW w:w="993" w:type="pct"/>
            <w:tcBorders>
              <w:top w:val="nil"/>
              <w:left w:val="nil"/>
              <w:bottom w:val="single" w:sz="8" w:space="0" w:color="auto"/>
              <w:right w:val="single" w:sz="8" w:space="0" w:color="auto"/>
            </w:tcBorders>
            <w:shd w:val="clear" w:color="000000" w:fill="D9D9D9"/>
            <w:noWrap/>
            <w:vAlign w:val="bottom"/>
            <w:hideMark/>
          </w:tcPr>
          <w:p w14:paraId="41EC32DA" w14:textId="77777777" w:rsidR="00BA6A85" w:rsidRPr="003F186B" w:rsidRDefault="00BA6A85" w:rsidP="00C9696A">
            <w:pPr>
              <w:spacing w:line="240" w:lineRule="auto"/>
              <w:contextualSpacing/>
              <w:rPr>
                <w:rFonts w:eastAsia="Times New Roman" w:cs="Calibri"/>
                <w:b/>
                <w:bCs/>
                <w:color w:val="000000"/>
                <w:sz w:val="20"/>
                <w:szCs w:val="20"/>
                <w:lang w:eastAsia="en-AU"/>
              </w:rPr>
            </w:pPr>
            <w:r w:rsidRPr="003F186B">
              <w:rPr>
                <w:rFonts w:eastAsia="Times New Roman" w:cs="Calibri"/>
                <w:b/>
                <w:bCs/>
                <w:color w:val="000000"/>
                <w:sz w:val="20"/>
                <w:szCs w:val="20"/>
                <w:lang w:eastAsia="en-AU"/>
              </w:rPr>
              <w:t>Year 7-12</w:t>
            </w:r>
          </w:p>
        </w:tc>
        <w:tc>
          <w:tcPr>
            <w:tcW w:w="944" w:type="pct"/>
            <w:tcBorders>
              <w:top w:val="nil"/>
              <w:left w:val="nil"/>
              <w:bottom w:val="single" w:sz="8" w:space="0" w:color="auto"/>
              <w:right w:val="single" w:sz="8" w:space="0" w:color="auto"/>
            </w:tcBorders>
            <w:shd w:val="clear" w:color="000000" w:fill="auto"/>
            <w:noWrap/>
            <w:vAlign w:val="bottom"/>
            <w:hideMark/>
          </w:tcPr>
          <w:p w14:paraId="1D67B21C" w14:textId="77777777" w:rsidR="00BA6A85" w:rsidRPr="003F186B" w:rsidRDefault="00BA6A85" w:rsidP="00C9696A">
            <w:pPr>
              <w:spacing w:line="240" w:lineRule="auto"/>
              <w:ind w:right="510"/>
              <w:contextualSpacing/>
              <w:jc w:val="right"/>
              <w:rPr>
                <w:rFonts w:eastAsia="Times New Roman" w:cs="Calibri"/>
                <w:color w:val="000000"/>
                <w:lang w:eastAsia="en-AU"/>
              </w:rPr>
            </w:pPr>
            <w:r w:rsidRPr="003F186B">
              <w:rPr>
                <w:rFonts w:eastAsia="Times New Roman" w:cs="Calibri"/>
                <w:color w:val="000000"/>
                <w:lang w:eastAsia="en-AU"/>
              </w:rPr>
              <w:t>33.2</w:t>
            </w:r>
          </w:p>
        </w:tc>
        <w:tc>
          <w:tcPr>
            <w:tcW w:w="1019" w:type="pct"/>
            <w:tcBorders>
              <w:top w:val="nil"/>
              <w:left w:val="nil"/>
              <w:bottom w:val="single" w:sz="8" w:space="0" w:color="auto"/>
              <w:right w:val="single" w:sz="8" w:space="0" w:color="auto"/>
            </w:tcBorders>
            <w:shd w:val="clear" w:color="auto" w:fill="FFFFFF" w:themeFill="background1"/>
          </w:tcPr>
          <w:p w14:paraId="2E2898A4" w14:textId="77777777" w:rsidR="00BA6A85" w:rsidRPr="003F186B" w:rsidRDefault="00BA6A85" w:rsidP="00C9696A">
            <w:pPr>
              <w:spacing w:line="240" w:lineRule="auto"/>
              <w:ind w:right="510"/>
              <w:contextualSpacing/>
              <w:jc w:val="right"/>
              <w:rPr>
                <w:rFonts w:eastAsia="Times New Roman" w:cs="Calibri"/>
                <w:color w:val="000000"/>
                <w:lang w:eastAsia="en-AU"/>
              </w:rPr>
            </w:pPr>
            <w:r w:rsidRPr="003F186B">
              <w:rPr>
                <w:rFonts w:eastAsia="Times New Roman" w:cs="Calibri"/>
                <w:color w:val="000000"/>
                <w:lang w:eastAsia="en-AU"/>
              </w:rPr>
              <w:t>49.8</w:t>
            </w:r>
          </w:p>
        </w:tc>
      </w:tr>
      <w:tr w:rsidR="00BA6A85" w:rsidRPr="003F186B" w14:paraId="26C9522D" w14:textId="77777777" w:rsidTr="0033629A">
        <w:trPr>
          <w:gridAfter w:val="1"/>
          <w:wAfter w:w="18" w:type="pct"/>
          <w:trHeight w:val="300"/>
        </w:trPr>
        <w:tc>
          <w:tcPr>
            <w:tcW w:w="4982" w:type="pct"/>
            <w:gridSpan w:val="5"/>
            <w:tcBorders>
              <w:top w:val="nil"/>
              <w:left w:val="nil"/>
              <w:bottom w:val="nil"/>
              <w:right w:val="nil"/>
            </w:tcBorders>
            <w:shd w:val="clear" w:color="auto" w:fill="auto"/>
            <w:noWrap/>
            <w:vAlign w:val="bottom"/>
            <w:hideMark/>
          </w:tcPr>
          <w:p w14:paraId="21968717" w14:textId="77777777" w:rsidR="00BA6A85" w:rsidRPr="003F186B" w:rsidRDefault="00BA6A85" w:rsidP="00500247">
            <w:pPr>
              <w:spacing w:after="120" w:line="240" w:lineRule="auto"/>
              <w:rPr>
                <w:rFonts w:ascii="Arial" w:eastAsia="Times New Roman" w:hAnsi="Arial" w:cs="Arial"/>
                <w:color w:val="000000"/>
                <w:sz w:val="18"/>
                <w:szCs w:val="18"/>
                <w:lang w:eastAsia="en-AU"/>
              </w:rPr>
            </w:pPr>
            <w:r w:rsidRPr="003F186B">
              <w:rPr>
                <w:i/>
                <w:color w:val="000000"/>
                <w:sz w:val="20"/>
                <w:szCs w:val="20"/>
              </w:rPr>
              <w:t xml:space="preserve">Source: </w:t>
            </w:r>
            <w:proofErr w:type="spellStart"/>
            <w:r w:rsidRPr="003F186B">
              <w:rPr>
                <w:i/>
                <w:color w:val="000000"/>
                <w:sz w:val="20"/>
                <w:szCs w:val="20"/>
              </w:rPr>
              <w:t>DEECD</w:t>
            </w:r>
            <w:proofErr w:type="spellEnd"/>
            <w:r w:rsidRPr="003F186B">
              <w:rPr>
                <w:i/>
                <w:color w:val="000000"/>
                <w:sz w:val="20"/>
                <w:szCs w:val="20"/>
              </w:rPr>
              <w:t xml:space="preserve"> August School Census (unpublished)</w:t>
            </w:r>
          </w:p>
        </w:tc>
      </w:tr>
    </w:tbl>
    <w:p w14:paraId="1B2A3676" w14:textId="46152AC3" w:rsidR="00D85ACC" w:rsidRPr="00D85ACC" w:rsidRDefault="00D85ACC" w:rsidP="001213AE">
      <w:pPr>
        <w:spacing w:after="120"/>
        <w:rPr>
          <w:color w:val="000000"/>
        </w:rPr>
      </w:pPr>
      <w:r w:rsidRPr="00D85ACC">
        <w:rPr>
          <w:color w:val="000000"/>
        </w:rPr>
        <w:t>Attendance rates for students in Years 7-10 for schools with thirty or more Indigenous students comprising 10 per cent or more of the school</w:t>
      </w:r>
      <w:r w:rsidR="001213AE">
        <w:rPr>
          <w:color w:val="000000"/>
        </w:rPr>
        <w:t xml:space="preserve">’s population are shown </w:t>
      </w:r>
      <w:r w:rsidR="008544B6">
        <w:rPr>
          <w:color w:val="000000"/>
        </w:rPr>
        <w:t>in Table 14</w:t>
      </w:r>
      <w:r w:rsidR="002D74B7">
        <w:rPr>
          <w:color w:val="000000"/>
        </w:rPr>
        <w:t xml:space="preserve"> </w:t>
      </w:r>
      <w:r w:rsidR="001213AE">
        <w:rPr>
          <w:color w:val="000000"/>
        </w:rPr>
        <w:t xml:space="preserve">below. </w:t>
      </w:r>
    </w:p>
    <w:p w14:paraId="0F416168" w14:textId="77777777" w:rsidR="00837063" w:rsidRDefault="00837063">
      <w:pPr>
        <w:spacing w:after="200"/>
        <w:rPr>
          <w:rFonts w:ascii="Calibri" w:eastAsiaTheme="majorEastAsia" w:hAnsi="Calibri" w:cstheme="majorBidi"/>
          <w:b/>
          <w:bCs/>
          <w:i/>
          <w:iCs/>
          <w:color w:val="000000" w:themeColor="text1"/>
        </w:rPr>
      </w:pPr>
      <w:r>
        <w:br w:type="page"/>
      </w:r>
    </w:p>
    <w:p w14:paraId="3D7801FE" w14:textId="11E16737" w:rsidR="00D85ACC" w:rsidRPr="00D85ACC" w:rsidRDefault="00095D55" w:rsidP="00592A44">
      <w:pPr>
        <w:pStyle w:val="Heading4"/>
      </w:pPr>
      <w:r>
        <w:lastRenderedPageBreak/>
        <w:t>Table 14</w:t>
      </w:r>
      <w:r w:rsidR="00D85ACC" w:rsidRPr="00D85ACC">
        <w:t>: Target schools, percentage attendance of Indigenous and Non-Indigenous students, Years 7-10 2012 (Preliminary)</w:t>
      </w:r>
    </w:p>
    <w:tbl>
      <w:tblPr>
        <w:tblW w:w="4172" w:type="pct"/>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A6A6A6"/>
        <w:tblLayout w:type="fixed"/>
        <w:tblCellMar>
          <w:left w:w="0" w:type="dxa"/>
          <w:right w:w="0" w:type="dxa"/>
        </w:tblCellMar>
        <w:tblLook w:val="04A0" w:firstRow="1" w:lastRow="0" w:firstColumn="1" w:lastColumn="0" w:noHBand="0" w:noVBand="1"/>
      </w:tblPr>
      <w:tblGrid>
        <w:gridCol w:w="2598"/>
        <w:gridCol w:w="1512"/>
        <w:gridCol w:w="1505"/>
        <w:gridCol w:w="1321"/>
        <w:gridCol w:w="1381"/>
      </w:tblGrid>
      <w:tr w:rsidR="00D85ACC" w:rsidRPr="00D85ACC" w14:paraId="0E55F41D" w14:textId="77777777" w:rsidTr="00F81216">
        <w:trPr>
          <w:trHeight w:val="634"/>
        </w:trPr>
        <w:tc>
          <w:tcPr>
            <w:tcW w:w="1562" w:type="pct"/>
            <w:tcBorders>
              <w:bottom w:val="single" w:sz="8" w:space="0" w:color="auto"/>
            </w:tcBorders>
            <w:shd w:val="clear" w:color="auto" w:fill="D6E3BC" w:themeFill="accent3" w:themeFillTint="66"/>
            <w:tcMar>
              <w:top w:w="0" w:type="dxa"/>
              <w:left w:w="108" w:type="dxa"/>
              <w:bottom w:w="0" w:type="dxa"/>
              <w:right w:w="108" w:type="dxa"/>
            </w:tcMar>
            <w:vAlign w:val="center"/>
            <w:hideMark/>
          </w:tcPr>
          <w:p w14:paraId="3FF13ECC" w14:textId="145A4579" w:rsidR="00D85ACC" w:rsidRPr="00F81216" w:rsidRDefault="00D85ACC" w:rsidP="00F81216">
            <w:pPr>
              <w:widowControl w:val="0"/>
              <w:contextualSpacing/>
              <w:rPr>
                <w:rFonts w:cs="Calibri"/>
                <w:b/>
                <w:color w:val="000000"/>
                <w:sz w:val="20"/>
                <w:szCs w:val="20"/>
              </w:rPr>
            </w:pPr>
            <w:r w:rsidRPr="00F81216">
              <w:rPr>
                <w:rFonts w:cs="Calibri"/>
                <w:b/>
                <w:sz w:val="20"/>
                <w:szCs w:val="20"/>
              </w:rPr>
              <w:t> </w:t>
            </w:r>
            <w:r w:rsidR="00F81216" w:rsidRPr="00F81216">
              <w:rPr>
                <w:rFonts w:cs="Calibri"/>
                <w:b/>
                <w:sz w:val="20"/>
                <w:szCs w:val="20"/>
              </w:rPr>
              <w:t>Background</w:t>
            </w:r>
          </w:p>
        </w:tc>
        <w:tc>
          <w:tcPr>
            <w:tcW w:w="909" w:type="pct"/>
            <w:tcBorders>
              <w:bottom w:val="single" w:sz="8" w:space="0" w:color="auto"/>
            </w:tcBorders>
            <w:shd w:val="clear" w:color="auto" w:fill="D6E3BC" w:themeFill="accent3" w:themeFillTint="66"/>
            <w:tcMar>
              <w:top w:w="0" w:type="dxa"/>
              <w:left w:w="108" w:type="dxa"/>
              <w:bottom w:w="0" w:type="dxa"/>
              <w:right w:w="108" w:type="dxa"/>
            </w:tcMar>
            <w:vAlign w:val="center"/>
            <w:hideMark/>
          </w:tcPr>
          <w:p w14:paraId="2502E390" w14:textId="77777777" w:rsidR="00D85ACC" w:rsidRPr="00D85ACC" w:rsidRDefault="00D85ACC" w:rsidP="00F81216">
            <w:pPr>
              <w:widowControl w:val="0"/>
              <w:ind w:left="360" w:hanging="243"/>
              <w:contextualSpacing/>
              <w:rPr>
                <w:rFonts w:cs="Calibri"/>
                <w:b/>
                <w:bCs/>
                <w:color w:val="000000"/>
                <w:sz w:val="20"/>
                <w:szCs w:val="20"/>
              </w:rPr>
            </w:pPr>
            <w:r w:rsidRPr="00D85ACC">
              <w:rPr>
                <w:rFonts w:cs="Calibri"/>
                <w:b/>
                <w:bCs/>
                <w:sz w:val="20"/>
                <w:szCs w:val="20"/>
              </w:rPr>
              <w:t>Year 7</w:t>
            </w:r>
          </w:p>
        </w:tc>
        <w:tc>
          <w:tcPr>
            <w:tcW w:w="905" w:type="pct"/>
            <w:tcBorders>
              <w:bottom w:val="single" w:sz="8" w:space="0" w:color="auto"/>
            </w:tcBorders>
            <w:shd w:val="clear" w:color="auto" w:fill="D6E3BC" w:themeFill="accent3" w:themeFillTint="66"/>
            <w:tcMar>
              <w:top w:w="0" w:type="dxa"/>
              <w:left w:w="108" w:type="dxa"/>
              <w:bottom w:w="0" w:type="dxa"/>
              <w:right w:w="108" w:type="dxa"/>
            </w:tcMar>
            <w:vAlign w:val="center"/>
            <w:hideMark/>
          </w:tcPr>
          <w:p w14:paraId="7AE0E1C7" w14:textId="77777777" w:rsidR="00D85ACC" w:rsidRPr="00D85ACC" w:rsidRDefault="00D85ACC" w:rsidP="00F81216">
            <w:pPr>
              <w:widowControl w:val="0"/>
              <w:ind w:left="360" w:hanging="243"/>
              <w:contextualSpacing/>
              <w:rPr>
                <w:rFonts w:cs="Calibri"/>
                <w:b/>
                <w:bCs/>
                <w:color w:val="000000"/>
                <w:sz w:val="20"/>
                <w:szCs w:val="20"/>
              </w:rPr>
            </w:pPr>
            <w:r w:rsidRPr="00D85ACC">
              <w:rPr>
                <w:rFonts w:cs="Calibri"/>
                <w:b/>
                <w:bCs/>
                <w:sz w:val="20"/>
                <w:szCs w:val="20"/>
              </w:rPr>
              <w:t>Year 8</w:t>
            </w:r>
          </w:p>
        </w:tc>
        <w:tc>
          <w:tcPr>
            <w:tcW w:w="794" w:type="pct"/>
            <w:tcBorders>
              <w:bottom w:val="single" w:sz="8" w:space="0" w:color="auto"/>
            </w:tcBorders>
            <w:shd w:val="clear" w:color="auto" w:fill="D6E3BC" w:themeFill="accent3" w:themeFillTint="66"/>
            <w:tcMar>
              <w:top w:w="0" w:type="dxa"/>
              <w:left w:w="108" w:type="dxa"/>
              <w:bottom w:w="0" w:type="dxa"/>
              <w:right w:w="108" w:type="dxa"/>
            </w:tcMar>
            <w:vAlign w:val="center"/>
            <w:hideMark/>
          </w:tcPr>
          <w:p w14:paraId="204280A9" w14:textId="77777777" w:rsidR="00D85ACC" w:rsidRPr="00D85ACC" w:rsidRDefault="00D85ACC" w:rsidP="00F81216">
            <w:pPr>
              <w:widowControl w:val="0"/>
              <w:ind w:left="360" w:hanging="243"/>
              <w:contextualSpacing/>
              <w:rPr>
                <w:rFonts w:cs="Calibri"/>
                <w:b/>
                <w:bCs/>
                <w:color w:val="000000"/>
                <w:sz w:val="20"/>
                <w:szCs w:val="20"/>
              </w:rPr>
            </w:pPr>
            <w:r w:rsidRPr="00D85ACC">
              <w:rPr>
                <w:rFonts w:cs="Calibri"/>
                <w:b/>
                <w:bCs/>
                <w:sz w:val="20"/>
                <w:szCs w:val="20"/>
              </w:rPr>
              <w:t>Year 9</w:t>
            </w:r>
          </w:p>
        </w:tc>
        <w:tc>
          <w:tcPr>
            <w:tcW w:w="830" w:type="pct"/>
            <w:tcBorders>
              <w:bottom w:val="single" w:sz="8" w:space="0" w:color="auto"/>
            </w:tcBorders>
            <w:shd w:val="clear" w:color="auto" w:fill="D6E3BC" w:themeFill="accent3" w:themeFillTint="66"/>
            <w:tcMar>
              <w:top w:w="0" w:type="dxa"/>
              <w:left w:w="108" w:type="dxa"/>
              <w:bottom w:w="0" w:type="dxa"/>
              <w:right w:w="108" w:type="dxa"/>
            </w:tcMar>
            <w:vAlign w:val="center"/>
            <w:hideMark/>
          </w:tcPr>
          <w:p w14:paraId="324EA67E" w14:textId="77777777" w:rsidR="00D85ACC" w:rsidRPr="00D85ACC" w:rsidRDefault="00D85ACC" w:rsidP="00F81216">
            <w:pPr>
              <w:widowControl w:val="0"/>
              <w:ind w:left="360" w:hanging="243"/>
              <w:contextualSpacing/>
              <w:rPr>
                <w:rFonts w:cs="Calibri"/>
                <w:b/>
                <w:bCs/>
                <w:color w:val="000000"/>
                <w:sz w:val="20"/>
                <w:szCs w:val="20"/>
              </w:rPr>
            </w:pPr>
            <w:r w:rsidRPr="00D85ACC">
              <w:rPr>
                <w:rFonts w:cs="Calibri"/>
                <w:b/>
                <w:bCs/>
                <w:sz w:val="20"/>
                <w:szCs w:val="20"/>
              </w:rPr>
              <w:t>Year 10</w:t>
            </w:r>
          </w:p>
        </w:tc>
      </w:tr>
      <w:tr w:rsidR="00D85ACC" w:rsidRPr="00D85ACC" w14:paraId="18571C40" w14:textId="77777777" w:rsidTr="00C9696A">
        <w:trPr>
          <w:trHeight w:val="332"/>
        </w:trPr>
        <w:tc>
          <w:tcPr>
            <w:tcW w:w="1562" w:type="pct"/>
            <w:shd w:val="clear" w:color="auto" w:fill="D9D9D9"/>
            <w:noWrap/>
            <w:tcMar>
              <w:top w:w="0" w:type="dxa"/>
              <w:left w:w="108" w:type="dxa"/>
              <w:bottom w:w="0" w:type="dxa"/>
              <w:right w:w="108" w:type="dxa"/>
            </w:tcMar>
            <w:vAlign w:val="bottom"/>
            <w:hideMark/>
          </w:tcPr>
          <w:p w14:paraId="1282A2D4" w14:textId="77777777" w:rsidR="00D85ACC" w:rsidRPr="00D85ACC" w:rsidRDefault="00D85ACC" w:rsidP="00B4249C">
            <w:pPr>
              <w:widowControl w:val="0"/>
              <w:ind w:left="142"/>
              <w:contextualSpacing/>
              <w:rPr>
                <w:rFonts w:cs="Calibri"/>
                <w:b/>
                <w:bCs/>
                <w:color w:val="000000"/>
                <w:sz w:val="20"/>
                <w:szCs w:val="20"/>
              </w:rPr>
            </w:pPr>
            <w:r w:rsidRPr="00D85ACC">
              <w:rPr>
                <w:rFonts w:cs="Calibri"/>
                <w:b/>
                <w:bCs/>
                <w:sz w:val="20"/>
                <w:szCs w:val="20"/>
              </w:rPr>
              <w:t>Indigenous</w:t>
            </w:r>
          </w:p>
        </w:tc>
        <w:tc>
          <w:tcPr>
            <w:tcW w:w="909" w:type="pct"/>
            <w:shd w:val="clear" w:color="auto" w:fill="auto"/>
            <w:noWrap/>
            <w:tcMar>
              <w:top w:w="0" w:type="dxa"/>
              <w:left w:w="108" w:type="dxa"/>
              <w:bottom w:w="0" w:type="dxa"/>
              <w:right w:w="108" w:type="dxa"/>
            </w:tcMar>
            <w:vAlign w:val="bottom"/>
            <w:hideMark/>
          </w:tcPr>
          <w:p w14:paraId="38AD4B86" w14:textId="77777777" w:rsidR="00D85ACC" w:rsidRPr="00D85ACC" w:rsidRDefault="00D85ACC" w:rsidP="00B4249C">
            <w:pPr>
              <w:ind w:left="360" w:right="227" w:hanging="243"/>
              <w:contextualSpacing/>
              <w:jc w:val="right"/>
              <w:rPr>
                <w:rFonts w:cs="Calibri"/>
                <w:color w:val="000000"/>
                <w:sz w:val="20"/>
                <w:szCs w:val="20"/>
              </w:rPr>
            </w:pPr>
            <w:r w:rsidRPr="00D85ACC">
              <w:rPr>
                <w:rFonts w:cs="Calibri"/>
                <w:color w:val="000000"/>
                <w:sz w:val="20"/>
                <w:szCs w:val="20"/>
              </w:rPr>
              <w:t>86</w:t>
            </w:r>
          </w:p>
        </w:tc>
        <w:tc>
          <w:tcPr>
            <w:tcW w:w="905" w:type="pct"/>
            <w:shd w:val="clear" w:color="auto" w:fill="auto"/>
            <w:noWrap/>
            <w:tcMar>
              <w:top w:w="0" w:type="dxa"/>
              <w:left w:w="108" w:type="dxa"/>
              <w:bottom w:w="0" w:type="dxa"/>
              <w:right w:w="108" w:type="dxa"/>
            </w:tcMar>
            <w:vAlign w:val="bottom"/>
            <w:hideMark/>
          </w:tcPr>
          <w:p w14:paraId="6B372978" w14:textId="77777777" w:rsidR="00D85ACC" w:rsidRPr="00D85ACC" w:rsidRDefault="00D85ACC" w:rsidP="00B4249C">
            <w:pPr>
              <w:ind w:left="360" w:right="227" w:hanging="243"/>
              <w:contextualSpacing/>
              <w:jc w:val="right"/>
              <w:rPr>
                <w:rFonts w:cs="Calibri"/>
                <w:color w:val="000000"/>
                <w:sz w:val="20"/>
                <w:szCs w:val="20"/>
              </w:rPr>
            </w:pPr>
            <w:r w:rsidRPr="00D85ACC">
              <w:rPr>
                <w:rFonts w:cs="Calibri"/>
                <w:color w:val="000000"/>
                <w:sz w:val="20"/>
                <w:szCs w:val="20"/>
              </w:rPr>
              <w:t>78</w:t>
            </w:r>
          </w:p>
        </w:tc>
        <w:tc>
          <w:tcPr>
            <w:tcW w:w="794" w:type="pct"/>
            <w:shd w:val="clear" w:color="auto" w:fill="auto"/>
            <w:noWrap/>
            <w:tcMar>
              <w:top w:w="0" w:type="dxa"/>
              <w:left w:w="108" w:type="dxa"/>
              <w:bottom w:w="0" w:type="dxa"/>
              <w:right w:w="108" w:type="dxa"/>
            </w:tcMar>
            <w:vAlign w:val="bottom"/>
            <w:hideMark/>
          </w:tcPr>
          <w:p w14:paraId="3E3EDFF9" w14:textId="77777777" w:rsidR="00D85ACC" w:rsidRPr="00D85ACC" w:rsidRDefault="00D85ACC" w:rsidP="00B4249C">
            <w:pPr>
              <w:ind w:left="360" w:right="227" w:hanging="243"/>
              <w:contextualSpacing/>
              <w:jc w:val="right"/>
              <w:rPr>
                <w:rFonts w:cs="Calibri"/>
                <w:color w:val="000000"/>
                <w:sz w:val="20"/>
                <w:szCs w:val="20"/>
              </w:rPr>
            </w:pPr>
            <w:r w:rsidRPr="00D85ACC">
              <w:rPr>
                <w:rFonts w:cs="Calibri"/>
                <w:color w:val="000000"/>
                <w:sz w:val="20"/>
                <w:szCs w:val="20"/>
              </w:rPr>
              <w:t>76</w:t>
            </w:r>
          </w:p>
        </w:tc>
        <w:tc>
          <w:tcPr>
            <w:tcW w:w="830" w:type="pct"/>
            <w:shd w:val="clear" w:color="auto" w:fill="auto"/>
            <w:noWrap/>
            <w:tcMar>
              <w:top w:w="0" w:type="dxa"/>
              <w:left w:w="108" w:type="dxa"/>
              <w:bottom w:w="0" w:type="dxa"/>
              <w:right w:w="108" w:type="dxa"/>
            </w:tcMar>
            <w:vAlign w:val="bottom"/>
            <w:hideMark/>
          </w:tcPr>
          <w:p w14:paraId="0D232535" w14:textId="77777777" w:rsidR="00D85ACC" w:rsidRPr="00D85ACC" w:rsidRDefault="00D85ACC" w:rsidP="00B4249C">
            <w:pPr>
              <w:ind w:left="360" w:right="227" w:hanging="243"/>
              <w:contextualSpacing/>
              <w:jc w:val="right"/>
              <w:rPr>
                <w:rFonts w:cs="Calibri"/>
                <w:color w:val="000000"/>
                <w:sz w:val="20"/>
                <w:szCs w:val="20"/>
              </w:rPr>
            </w:pPr>
            <w:r w:rsidRPr="00D85ACC">
              <w:rPr>
                <w:rFonts w:cs="Calibri"/>
                <w:color w:val="000000"/>
                <w:sz w:val="20"/>
                <w:szCs w:val="20"/>
              </w:rPr>
              <w:t>72</w:t>
            </w:r>
          </w:p>
        </w:tc>
      </w:tr>
      <w:tr w:rsidR="00D85ACC" w:rsidRPr="00D85ACC" w14:paraId="703064F1" w14:textId="77777777" w:rsidTr="00C9696A">
        <w:trPr>
          <w:trHeight w:val="332"/>
        </w:trPr>
        <w:tc>
          <w:tcPr>
            <w:tcW w:w="1562" w:type="pct"/>
            <w:shd w:val="clear" w:color="auto" w:fill="D9D9D9"/>
            <w:noWrap/>
            <w:tcMar>
              <w:top w:w="0" w:type="dxa"/>
              <w:left w:w="108" w:type="dxa"/>
              <w:bottom w:w="0" w:type="dxa"/>
              <w:right w:w="108" w:type="dxa"/>
            </w:tcMar>
            <w:vAlign w:val="bottom"/>
            <w:hideMark/>
          </w:tcPr>
          <w:p w14:paraId="60E38D5A" w14:textId="77777777" w:rsidR="00D85ACC" w:rsidRPr="00D85ACC" w:rsidRDefault="00D85ACC" w:rsidP="00B4249C">
            <w:pPr>
              <w:widowControl w:val="0"/>
              <w:ind w:left="142"/>
              <w:contextualSpacing/>
              <w:rPr>
                <w:rFonts w:cs="Calibri"/>
                <w:b/>
                <w:bCs/>
                <w:color w:val="000000"/>
                <w:sz w:val="20"/>
                <w:szCs w:val="20"/>
              </w:rPr>
            </w:pPr>
            <w:r w:rsidRPr="00D85ACC">
              <w:rPr>
                <w:rFonts w:cs="Calibri"/>
                <w:b/>
                <w:bCs/>
                <w:sz w:val="20"/>
                <w:szCs w:val="20"/>
              </w:rPr>
              <w:t>Non-Indigenous</w:t>
            </w:r>
          </w:p>
        </w:tc>
        <w:tc>
          <w:tcPr>
            <w:tcW w:w="909" w:type="pct"/>
            <w:shd w:val="clear" w:color="auto" w:fill="auto"/>
            <w:noWrap/>
            <w:tcMar>
              <w:top w:w="0" w:type="dxa"/>
              <w:left w:w="108" w:type="dxa"/>
              <w:bottom w:w="0" w:type="dxa"/>
              <w:right w:w="108" w:type="dxa"/>
            </w:tcMar>
            <w:vAlign w:val="bottom"/>
            <w:hideMark/>
          </w:tcPr>
          <w:p w14:paraId="14B2A830" w14:textId="77777777" w:rsidR="00D85ACC" w:rsidRPr="00D85ACC" w:rsidRDefault="00D85ACC" w:rsidP="00B4249C">
            <w:pPr>
              <w:ind w:left="360" w:right="227" w:hanging="243"/>
              <w:contextualSpacing/>
              <w:jc w:val="right"/>
              <w:rPr>
                <w:rFonts w:cs="Calibri"/>
                <w:color w:val="000000"/>
                <w:sz w:val="20"/>
                <w:szCs w:val="20"/>
              </w:rPr>
            </w:pPr>
            <w:r w:rsidRPr="00D85ACC">
              <w:rPr>
                <w:rFonts w:cs="Calibri"/>
                <w:color w:val="000000"/>
                <w:sz w:val="20"/>
                <w:szCs w:val="20"/>
              </w:rPr>
              <w:t>91</w:t>
            </w:r>
          </w:p>
        </w:tc>
        <w:tc>
          <w:tcPr>
            <w:tcW w:w="905" w:type="pct"/>
            <w:shd w:val="clear" w:color="auto" w:fill="auto"/>
            <w:noWrap/>
            <w:tcMar>
              <w:top w:w="0" w:type="dxa"/>
              <w:left w:w="108" w:type="dxa"/>
              <w:bottom w:w="0" w:type="dxa"/>
              <w:right w:w="108" w:type="dxa"/>
            </w:tcMar>
            <w:vAlign w:val="bottom"/>
            <w:hideMark/>
          </w:tcPr>
          <w:p w14:paraId="24EB01E5" w14:textId="77777777" w:rsidR="00D85ACC" w:rsidRPr="00D85ACC" w:rsidRDefault="00D85ACC" w:rsidP="00B4249C">
            <w:pPr>
              <w:ind w:left="360" w:right="227" w:hanging="243"/>
              <w:contextualSpacing/>
              <w:jc w:val="right"/>
              <w:rPr>
                <w:rFonts w:cs="Calibri"/>
                <w:color w:val="000000"/>
                <w:sz w:val="20"/>
                <w:szCs w:val="20"/>
              </w:rPr>
            </w:pPr>
            <w:r w:rsidRPr="00D85ACC">
              <w:rPr>
                <w:rFonts w:cs="Calibri"/>
                <w:color w:val="000000"/>
                <w:sz w:val="20"/>
                <w:szCs w:val="20"/>
              </w:rPr>
              <w:t>88</w:t>
            </w:r>
          </w:p>
        </w:tc>
        <w:tc>
          <w:tcPr>
            <w:tcW w:w="794" w:type="pct"/>
            <w:shd w:val="clear" w:color="auto" w:fill="auto"/>
            <w:noWrap/>
            <w:tcMar>
              <w:top w:w="0" w:type="dxa"/>
              <w:left w:w="108" w:type="dxa"/>
              <w:bottom w:w="0" w:type="dxa"/>
              <w:right w:w="108" w:type="dxa"/>
            </w:tcMar>
            <w:vAlign w:val="bottom"/>
            <w:hideMark/>
          </w:tcPr>
          <w:p w14:paraId="66B47A77" w14:textId="77777777" w:rsidR="00D85ACC" w:rsidRPr="00D85ACC" w:rsidRDefault="00D85ACC" w:rsidP="00B4249C">
            <w:pPr>
              <w:ind w:left="360" w:right="227" w:hanging="243"/>
              <w:contextualSpacing/>
              <w:jc w:val="right"/>
              <w:rPr>
                <w:rFonts w:cs="Calibri"/>
                <w:color w:val="000000"/>
                <w:sz w:val="20"/>
                <w:szCs w:val="20"/>
              </w:rPr>
            </w:pPr>
            <w:r w:rsidRPr="00D85ACC">
              <w:rPr>
                <w:rFonts w:cs="Calibri"/>
                <w:color w:val="000000"/>
                <w:sz w:val="20"/>
                <w:szCs w:val="20"/>
              </w:rPr>
              <w:t>84</w:t>
            </w:r>
          </w:p>
        </w:tc>
        <w:tc>
          <w:tcPr>
            <w:tcW w:w="830" w:type="pct"/>
            <w:shd w:val="clear" w:color="auto" w:fill="auto"/>
            <w:noWrap/>
            <w:tcMar>
              <w:top w:w="0" w:type="dxa"/>
              <w:left w:w="108" w:type="dxa"/>
              <w:bottom w:w="0" w:type="dxa"/>
              <w:right w:w="108" w:type="dxa"/>
            </w:tcMar>
            <w:vAlign w:val="bottom"/>
            <w:hideMark/>
          </w:tcPr>
          <w:p w14:paraId="34CB23FD" w14:textId="77777777" w:rsidR="00D85ACC" w:rsidRPr="00D85ACC" w:rsidRDefault="00D85ACC" w:rsidP="00B4249C">
            <w:pPr>
              <w:ind w:left="360" w:right="227" w:hanging="243"/>
              <w:contextualSpacing/>
              <w:jc w:val="right"/>
              <w:rPr>
                <w:rFonts w:cs="Calibri"/>
                <w:color w:val="000000"/>
                <w:sz w:val="20"/>
                <w:szCs w:val="20"/>
              </w:rPr>
            </w:pPr>
            <w:r w:rsidRPr="00D85ACC">
              <w:rPr>
                <w:rFonts w:cs="Calibri"/>
                <w:color w:val="000000"/>
                <w:sz w:val="20"/>
                <w:szCs w:val="20"/>
              </w:rPr>
              <w:t>83</w:t>
            </w:r>
          </w:p>
        </w:tc>
      </w:tr>
      <w:tr w:rsidR="00D85ACC" w:rsidRPr="00D85ACC" w14:paraId="68156F6A" w14:textId="77777777" w:rsidTr="00C9696A">
        <w:trPr>
          <w:trHeight w:val="332"/>
        </w:trPr>
        <w:tc>
          <w:tcPr>
            <w:tcW w:w="1562" w:type="pct"/>
            <w:shd w:val="clear" w:color="auto" w:fill="D9D9D9"/>
            <w:noWrap/>
            <w:tcMar>
              <w:top w:w="0" w:type="dxa"/>
              <w:left w:w="108" w:type="dxa"/>
              <w:bottom w:w="0" w:type="dxa"/>
              <w:right w:w="108" w:type="dxa"/>
            </w:tcMar>
            <w:vAlign w:val="bottom"/>
            <w:hideMark/>
          </w:tcPr>
          <w:p w14:paraId="0B9D6F0F" w14:textId="77777777" w:rsidR="00D85ACC" w:rsidRPr="00D85ACC" w:rsidRDefault="00D85ACC" w:rsidP="00B4249C">
            <w:pPr>
              <w:widowControl w:val="0"/>
              <w:ind w:left="142"/>
              <w:contextualSpacing/>
              <w:rPr>
                <w:rFonts w:cs="Calibri"/>
                <w:b/>
                <w:bCs/>
                <w:color w:val="000000"/>
                <w:sz w:val="20"/>
                <w:szCs w:val="20"/>
              </w:rPr>
            </w:pPr>
            <w:r w:rsidRPr="00D85ACC">
              <w:rPr>
                <w:rFonts w:cs="Calibri"/>
                <w:b/>
                <w:bCs/>
                <w:sz w:val="20"/>
                <w:szCs w:val="20"/>
              </w:rPr>
              <w:t>Total</w:t>
            </w:r>
          </w:p>
        </w:tc>
        <w:tc>
          <w:tcPr>
            <w:tcW w:w="909" w:type="pct"/>
            <w:shd w:val="clear" w:color="auto" w:fill="auto"/>
            <w:noWrap/>
            <w:tcMar>
              <w:top w:w="0" w:type="dxa"/>
              <w:left w:w="108" w:type="dxa"/>
              <w:bottom w:w="0" w:type="dxa"/>
              <w:right w:w="108" w:type="dxa"/>
            </w:tcMar>
            <w:vAlign w:val="bottom"/>
            <w:hideMark/>
          </w:tcPr>
          <w:p w14:paraId="31BA4F84" w14:textId="77777777" w:rsidR="00D85ACC" w:rsidRPr="00D85ACC" w:rsidRDefault="00D85ACC" w:rsidP="00B4249C">
            <w:pPr>
              <w:ind w:left="360" w:right="227" w:hanging="243"/>
              <w:contextualSpacing/>
              <w:jc w:val="right"/>
              <w:rPr>
                <w:rFonts w:cs="Calibri"/>
                <w:color w:val="000000"/>
                <w:sz w:val="20"/>
                <w:szCs w:val="20"/>
              </w:rPr>
            </w:pPr>
            <w:r w:rsidRPr="00D85ACC">
              <w:rPr>
                <w:rFonts w:cs="Calibri"/>
                <w:color w:val="000000"/>
                <w:sz w:val="20"/>
                <w:szCs w:val="20"/>
              </w:rPr>
              <w:t>90</w:t>
            </w:r>
          </w:p>
        </w:tc>
        <w:tc>
          <w:tcPr>
            <w:tcW w:w="905" w:type="pct"/>
            <w:shd w:val="clear" w:color="auto" w:fill="auto"/>
            <w:noWrap/>
            <w:tcMar>
              <w:top w:w="0" w:type="dxa"/>
              <w:left w:w="108" w:type="dxa"/>
              <w:bottom w:w="0" w:type="dxa"/>
              <w:right w:w="108" w:type="dxa"/>
            </w:tcMar>
            <w:vAlign w:val="bottom"/>
            <w:hideMark/>
          </w:tcPr>
          <w:p w14:paraId="53895637" w14:textId="77777777" w:rsidR="00D85ACC" w:rsidRPr="00D85ACC" w:rsidRDefault="00D85ACC" w:rsidP="00B4249C">
            <w:pPr>
              <w:ind w:left="360" w:right="227" w:hanging="243"/>
              <w:contextualSpacing/>
              <w:jc w:val="right"/>
              <w:rPr>
                <w:rFonts w:cs="Calibri"/>
                <w:color w:val="000000"/>
                <w:sz w:val="20"/>
                <w:szCs w:val="20"/>
              </w:rPr>
            </w:pPr>
            <w:r w:rsidRPr="00D85ACC">
              <w:rPr>
                <w:rFonts w:cs="Calibri"/>
                <w:color w:val="000000"/>
                <w:sz w:val="20"/>
                <w:szCs w:val="20"/>
              </w:rPr>
              <w:t>87</w:t>
            </w:r>
          </w:p>
        </w:tc>
        <w:tc>
          <w:tcPr>
            <w:tcW w:w="794" w:type="pct"/>
            <w:shd w:val="clear" w:color="auto" w:fill="auto"/>
            <w:noWrap/>
            <w:tcMar>
              <w:top w:w="0" w:type="dxa"/>
              <w:left w:w="108" w:type="dxa"/>
              <w:bottom w:w="0" w:type="dxa"/>
              <w:right w:w="108" w:type="dxa"/>
            </w:tcMar>
            <w:vAlign w:val="bottom"/>
            <w:hideMark/>
          </w:tcPr>
          <w:p w14:paraId="56BD5EF6" w14:textId="77777777" w:rsidR="00D85ACC" w:rsidRPr="00D85ACC" w:rsidRDefault="00D85ACC" w:rsidP="00B4249C">
            <w:pPr>
              <w:ind w:left="360" w:right="227" w:hanging="243"/>
              <w:contextualSpacing/>
              <w:jc w:val="right"/>
              <w:rPr>
                <w:rFonts w:cs="Calibri"/>
                <w:color w:val="000000"/>
                <w:sz w:val="20"/>
                <w:szCs w:val="20"/>
              </w:rPr>
            </w:pPr>
            <w:r w:rsidRPr="00D85ACC">
              <w:rPr>
                <w:rFonts w:cs="Calibri"/>
                <w:color w:val="000000"/>
                <w:sz w:val="20"/>
                <w:szCs w:val="20"/>
              </w:rPr>
              <w:t>83</w:t>
            </w:r>
          </w:p>
        </w:tc>
        <w:tc>
          <w:tcPr>
            <w:tcW w:w="830" w:type="pct"/>
            <w:shd w:val="clear" w:color="auto" w:fill="auto"/>
            <w:noWrap/>
            <w:tcMar>
              <w:top w:w="0" w:type="dxa"/>
              <w:left w:w="108" w:type="dxa"/>
              <w:bottom w:w="0" w:type="dxa"/>
              <w:right w:w="108" w:type="dxa"/>
            </w:tcMar>
            <w:vAlign w:val="bottom"/>
            <w:hideMark/>
          </w:tcPr>
          <w:p w14:paraId="39F0DB2F" w14:textId="77777777" w:rsidR="00D85ACC" w:rsidRPr="00D85ACC" w:rsidRDefault="00D85ACC" w:rsidP="00B4249C">
            <w:pPr>
              <w:ind w:left="360" w:right="227" w:hanging="243"/>
              <w:contextualSpacing/>
              <w:jc w:val="right"/>
              <w:rPr>
                <w:rFonts w:cs="Calibri"/>
                <w:color w:val="000000"/>
                <w:sz w:val="20"/>
                <w:szCs w:val="20"/>
              </w:rPr>
            </w:pPr>
            <w:r w:rsidRPr="00D85ACC">
              <w:rPr>
                <w:rFonts w:cs="Calibri"/>
                <w:color w:val="000000"/>
                <w:sz w:val="20"/>
                <w:szCs w:val="20"/>
              </w:rPr>
              <w:t>82</w:t>
            </w:r>
          </w:p>
        </w:tc>
      </w:tr>
    </w:tbl>
    <w:p w14:paraId="19603171" w14:textId="77777777" w:rsidR="00D85ACC" w:rsidRPr="00D85ACC" w:rsidRDefault="00D85ACC" w:rsidP="00D85ACC">
      <w:pPr>
        <w:rPr>
          <w:i/>
          <w:sz w:val="20"/>
          <w:szCs w:val="20"/>
        </w:rPr>
      </w:pPr>
      <w:r w:rsidRPr="00D85ACC">
        <w:rPr>
          <w:i/>
          <w:sz w:val="20"/>
          <w:szCs w:val="20"/>
        </w:rPr>
        <w:t xml:space="preserve">Source: </w:t>
      </w:r>
      <w:proofErr w:type="spellStart"/>
      <w:r w:rsidRPr="00D85ACC">
        <w:rPr>
          <w:i/>
          <w:sz w:val="20"/>
          <w:szCs w:val="20"/>
        </w:rPr>
        <w:t>Cases21</w:t>
      </w:r>
      <w:proofErr w:type="spellEnd"/>
      <w:r w:rsidRPr="00D85ACC">
        <w:rPr>
          <w:i/>
          <w:sz w:val="20"/>
          <w:szCs w:val="20"/>
        </w:rPr>
        <w:t xml:space="preserve"> (unpublished) </w:t>
      </w:r>
      <w:r w:rsidR="00D50ACA">
        <w:rPr>
          <w:i/>
          <w:sz w:val="20"/>
          <w:szCs w:val="20"/>
        </w:rPr>
        <w:t>–</w:t>
      </w:r>
      <w:r w:rsidRPr="00D85ACC">
        <w:rPr>
          <w:i/>
          <w:sz w:val="20"/>
          <w:szCs w:val="20"/>
        </w:rPr>
        <w:t xml:space="preserve"> </w:t>
      </w:r>
      <w:r w:rsidRPr="00D85ACC">
        <w:rPr>
          <w:i/>
          <w:color w:val="000000"/>
          <w:sz w:val="20"/>
          <w:szCs w:val="20"/>
        </w:rPr>
        <w:t>Non</w:t>
      </w:r>
      <w:r w:rsidR="00D50ACA">
        <w:rPr>
          <w:i/>
          <w:color w:val="000000"/>
          <w:sz w:val="20"/>
          <w:szCs w:val="20"/>
        </w:rPr>
        <w:t xml:space="preserve"> </w:t>
      </w:r>
      <w:r w:rsidR="006212F9">
        <w:rPr>
          <w:i/>
          <w:color w:val="000000"/>
          <w:sz w:val="20"/>
          <w:szCs w:val="20"/>
        </w:rPr>
        <w:t>I</w:t>
      </w:r>
      <w:r w:rsidRPr="00D85ACC">
        <w:rPr>
          <w:i/>
          <w:color w:val="000000"/>
          <w:sz w:val="20"/>
          <w:szCs w:val="20"/>
        </w:rPr>
        <w:t>ndigenous includes Unknown</w:t>
      </w:r>
      <w:r w:rsidRPr="00D85ACC">
        <w:rPr>
          <w:color w:val="000000"/>
          <w:sz w:val="20"/>
          <w:szCs w:val="20"/>
        </w:rPr>
        <w:t>.</w:t>
      </w:r>
    </w:p>
    <w:p w14:paraId="5B154971" w14:textId="68A6924F" w:rsidR="00A35972" w:rsidRPr="00A35972" w:rsidRDefault="00D85ACC" w:rsidP="00D85ACC">
      <w:pPr>
        <w:widowControl w:val="0"/>
        <w:rPr>
          <w:i/>
          <w:sz w:val="20"/>
          <w:szCs w:val="20"/>
        </w:rPr>
      </w:pPr>
      <w:r w:rsidRPr="00D85ACC">
        <w:rPr>
          <w:i/>
          <w:sz w:val="20"/>
          <w:szCs w:val="20"/>
        </w:rPr>
        <w:t>Note that the 2012 data has been calculated from the student unit level for the first time.</w:t>
      </w:r>
    </w:p>
    <w:p w14:paraId="10089C9A" w14:textId="77777777" w:rsidR="00BA6A85" w:rsidRPr="00D85ACC" w:rsidRDefault="00BA6A85" w:rsidP="00592A44">
      <w:pPr>
        <w:pStyle w:val="Heading4"/>
      </w:pPr>
      <w:r w:rsidRPr="003F186B">
        <w:t xml:space="preserve">School level strategies to </w:t>
      </w:r>
      <w:r w:rsidR="00D85ACC">
        <w:t>support Indigenous young people</w:t>
      </w:r>
    </w:p>
    <w:p w14:paraId="356C6E41" w14:textId="77777777" w:rsidR="00BA6A85" w:rsidRPr="00BA6A85" w:rsidRDefault="00BA6A85" w:rsidP="002D74B7">
      <w:pPr>
        <w:widowControl w:val="0"/>
        <w:spacing w:after="120"/>
        <w:jc w:val="both"/>
        <w:rPr>
          <w:color w:val="000000"/>
        </w:rPr>
      </w:pPr>
      <w:r w:rsidRPr="00BA6A85">
        <w:rPr>
          <w:color w:val="000000"/>
        </w:rPr>
        <w:t xml:space="preserve">In Victoria, schools may adopt a number of strategies that may assist in supporting Indigenous young people.  For Government schools only, the August School Census captures details of activities. For the five government secondary/P-12 schools that were identified as having 30 or more Indigenous students making up at least 10 per cent of the total school population: </w:t>
      </w:r>
    </w:p>
    <w:p w14:paraId="1BCE70D5" w14:textId="77777777" w:rsidR="00BA6A85" w:rsidRPr="00BA6A85" w:rsidRDefault="00BA6A85" w:rsidP="003957AD">
      <w:pPr>
        <w:numPr>
          <w:ilvl w:val="0"/>
          <w:numId w:val="3"/>
        </w:numPr>
        <w:spacing w:after="120"/>
        <w:jc w:val="both"/>
        <w:rPr>
          <w:color w:val="000000"/>
        </w:rPr>
      </w:pPr>
      <w:r w:rsidRPr="00BA6A85">
        <w:rPr>
          <w:color w:val="000000"/>
        </w:rPr>
        <w:t xml:space="preserve">All schools had targets to improve </w:t>
      </w:r>
      <w:proofErr w:type="spellStart"/>
      <w:r w:rsidRPr="00BA6A85">
        <w:rPr>
          <w:color w:val="000000"/>
        </w:rPr>
        <w:t>Koorie</w:t>
      </w:r>
      <w:proofErr w:type="spellEnd"/>
      <w:r w:rsidRPr="00BA6A85">
        <w:rPr>
          <w:color w:val="000000"/>
        </w:rPr>
        <w:t xml:space="preserve"> student outcomes in the Annual Implementation Plan</w:t>
      </w:r>
      <w:r w:rsidR="009169B9">
        <w:rPr>
          <w:color w:val="000000"/>
        </w:rPr>
        <w:t>;</w:t>
      </w:r>
    </w:p>
    <w:p w14:paraId="59CB5E37" w14:textId="77777777" w:rsidR="00BA6A85" w:rsidRPr="00BA6A85" w:rsidRDefault="00BA6A85" w:rsidP="003957AD">
      <w:pPr>
        <w:numPr>
          <w:ilvl w:val="0"/>
          <w:numId w:val="3"/>
        </w:numPr>
        <w:spacing w:after="120"/>
        <w:jc w:val="both"/>
        <w:rPr>
          <w:color w:val="000000"/>
        </w:rPr>
      </w:pPr>
      <w:r w:rsidRPr="00BA6A85">
        <w:rPr>
          <w:color w:val="000000"/>
        </w:rPr>
        <w:t xml:space="preserve">Four of the five schools had targets to improve </w:t>
      </w:r>
      <w:proofErr w:type="spellStart"/>
      <w:r w:rsidRPr="00BA6A85">
        <w:rPr>
          <w:color w:val="000000"/>
        </w:rPr>
        <w:t>Koorie</w:t>
      </w:r>
      <w:proofErr w:type="spellEnd"/>
      <w:r w:rsidRPr="00BA6A85">
        <w:rPr>
          <w:color w:val="000000"/>
        </w:rPr>
        <w:t xml:space="preserve"> student outcomes in the Principal’s Performance Plan, and where this wasn’t the case the Principal undertook professional development training through </w:t>
      </w:r>
      <w:r w:rsidRPr="00BA6A85">
        <w:rPr>
          <w:i/>
          <w:color w:val="000000"/>
        </w:rPr>
        <w:t>Dare to Lead</w:t>
      </w:r>
      <w:r w:rsidR="009169B9">
        <w:rPr>
          <w:i/>
          <w:color w:val="000000"/>
        </w:rPr>
        <w:t>;</w:t>
      </w:r>
      <w:r w:rsidRPr="00BA6A85">
        <w:rPr>
          <w:color w:val="000000"/>
        </w:rPr>
        <w:t xml:space="preserve"> </w:t>
      </w:r>
    </w:p>
    <w:p w14:paraId="69EA3EB7" w14:textId="77777777" w:rsidR="00BA6A85" w:rsidRPr="00BA6A85" w:rsidRDefault="00BA6A85" w:rsidP="003957AD">
      <w:pPr>
        <w:numPr>
          <w:ilvl w:val="0"/>
          <w:numId w:val="3"/>
        </w:numPr>
        <w:spacing w:after="120"/>
        <w:jc w:val="both"/>
        <w:rPr>
          <w:color w:val="000000"/>
        </w:rPr>
      </w:pPr>
      <w:r w:rsidRPr="00BA6A85">
        <w:rPr>
          <w:color w:val="000000"/>
        </w:rPr>
        <w:t xml:space="preserve">All schools had engaged with the national programs </w:t>
      </w:r>
      <w:r w:rsidRPr="00BA6A85">
        <w:rPr>
          <w:i/>
          <w:color w:val="000000"/>
        </w:rPr>
        <w:t>What Works</w:t>
      </w:r>
      <w:r w:rsidRPr="00BA6A85">
        <w:rPr>
          <w:color w:val="000000"/>
        </w:rPr>
        <w:t xml:space="preserve"> or </w:t>
      </w:r>
      <w:r w:rsidRPr="00BA6A85">
        <w:rPr>
          <w:i/>
          <w:color w:val="000000"/>
        </w:rPr>
        <w:t>Dare to Lead</w:t>
      </w:r>
      <w:r w:rsidRPr="00BA6A85">
        <w:rPr>
          <w:color w:val="000000"/>
        </w:rPr>
        <w:t>;</w:t>
      </w:r>
    </w:p>
    <w:p w14:paraId="5A74F168" w14:textId="6E88A64A" w:rsidR="00BA6A85" w:rsidRPr="00BA6A85" w:rsidRDefault="00B03B44" w:rsidP="003957AD">
      <w:pPr>
        <w:numPr>
          <w:ilvl w:val="0"/>
          <w:numId w:val="3"/>
        </w:numPr>
        <w:spacing w:after="120"/>
        <w:jc w:val="both"/>
        <w:rPr>
          <w:color w:val="000000"/>
        </w:rPr>
      </w:pPr>
      <w:r>
        <w:rPr>
          <w:color w:val="000000"/>
        </w:rPr>
        <w:t>On hundred</w:t>
      </w:r>
      <w:r w:rsidR="00BA6A85" w:rsidRPr="00BA6A85">
        <w:rPr>
          <w:color w:val="000000"/>
        </w:rPr>
        <w:t xml:space="preserve"> per cent used the Victorian Student Mapping Tool to determine intervention and support requirements for </w:t>
      </w:r>
      <w:proofErr w:type="spellStart"/>
      <w:r w:rsidR="00BA6A85" w:rsidRPr="00BA6A85">
        <w:rPr>
          <w:color w:val="000000"/>
        </w:rPr>
        <w:t>Koorie</w:t>
      </w:r>
      <w:proofErr w:type="spellEnd"/>
      <w:r w:rsidR="00BA6A85" w:rsidRPr="00BA6A85">
        <w:rPr>
          <w:color w:val="000000"/>
        </w:rPr>
        <w:t xml:space="preserve"> students;</w:t>
      </w:r>
    </w:p>
    <w:p w14:paraId="535E1772" w14:textId="77777777" w:rsidR="00BA6A85" w:rsidRPr="00BA6A85" w:rsidRDefault="00BA6A85" w:rsidP="003957AD">
      <w:pPr>
        <w:numPr>
          <w:ilvl w:val="0"/>
          <w:numId w:val="3"/>
        </w:numPr>
        <w:spacing w:after="120"/>
        <w:jc w:val="both"/>
        <w:rPr>
          <w:color w:val="000000"/>
        </w:rPr>
      </w:pPr>
      <w:r w:rsidRPr="00BA6A85">
        <w:rPr>
          <w:color w:val="000000"/>
        </w:rPr>
        <w:t xml:space="preserve">All schools had </w:t>
      </w:r>
      <w:r w:rsidR="006212F9">
        <w:rPr>
          <w:color w:val="000000"/>
        </w:rPr>
        <w:t>I</w:t>
      </w:r>
      <w:r w:rsidRPr="00BA6A85">
        <w:rPr>
          <w:color w:val="000000"/>
        </w:rPr>
        <w:t xml:space="preserve">ndividual Education Plans for all </w:t>
      </w:r>
      <w:proofErr w:type="spellStart"/>
      <w:r w:rsidRPr="00BA6A85">
        <w:rPr>
          <w:color w:val="000000"/>
        </w:rPr>
        <w:t>Koorie</w:t>
      </w:r>
      <w:proofErr w:type="spellEnd"/>
      <w:r w:rsidRPr="00BA6A85">
        <w:rPr>
          <w:color w:val="000000"/>
        </w:rPr>
        <w:t xml:space="preserve"> students;</w:t>
      </w:r>
      <w:r w:rsidR="009169B9">
        <w:rPr>
          <w:color w:val="000000"/>
        </w:rPr>
        <w:t xml:space="preserve"> and</w:t>
      </w:r>
    </w:p>
    <w:p w14:paraId="5BB64322" w14:textId="77777777" w:rsidR="001213AE" w:rsidRPr="001213AE" w:rsidRDefault="00BA6A85" w:rsidP="003957AD">
      <w:pPr>
        <w:pStyle w:val="ListParagraph"/>
        <w:numPr>
          <w:ilvl w:val="0"/>
          <w:numId w:val="3"/>
        </w:numPr>
        <w:spacing w:after="120"/>
        <w:contextualSpacing w:val="0"/>
        <w:jc w:val="both"/>
        <w:rPr>
          <w:b/>
        </w:rPr>
      </w:pPr>
      <w:r w:rsidRPr="00BA6A85">
        <w:rPr>
          <w:color w:val="000000"/>
        </w:rPr>
        <w:t xml:space="preserve">Four of the five schools utilised a </w:t>
      </w:r>
      <w:proofErr w:type="spellStart"/>
      <w:r w:rsidRPr="00BA6A85">
        <w:rPr>
          <w:color w:val="000000"/>
        </w:rPr>
        <w:t>Koorie</w:t>
      </w:r>
      <w:proofErr w:type="spellEnd"/>
      <w:r w:rsidRPr="00BA6A85">
        <w:rPr>
          <w:color w:val="000000"/>
        </w:rPr>
        <w:t xml:space="preserve"> specific version of the </w:t>
      </w:r>
      <w:r w:rsidRPr="00BA6A85">
        <w:rPr>
          <w:i/>
          <w:color w:val="000000"/>
        </w:rPr>
        <w:t>It’s Not OK to Be Away</w:t>
      </w:r>
      <w:r w:rsidRPr="00BA6A85">
        <w:rPr>
          <w:color w:val="000000"/>
        </w:rPr>
        <w:t xml:space="preserve"> attendance strategy to support </w:t>
      </w:r>
      <w:proofErr w:type="spellStart"/>
      <w:r w:rsidRPr="00BA6A85">
        <w:rPr>
          <w:color w:val="000000"/>
        </w:rPr>
        <w:t>Koorie</w:t>
      </w:r>
      <w:proofErr w:type="spellEnd"/>
      <w:r w:rsidRPr="00BA6A85">
        <w:rPr>
          <w:color w:val="000000"/>
        </w:rPr>
        <w:t xml:space="preserve"> students.</w:t>
      </w:r>
      <w:bookmarkStart w:id="18" w:name="_Toc329085893"/>
    </w:p>
    <w:p w14:paraId="7A3A5D91" w14:textId="77777777" w:rsidR="001213AE" w:rsidRPr="007F4AC5" w:rsidRDefault="001213AE" w:rsidP="001213AE">
      <w:pPr>
        <w:pStyle w:val="Heading2"/>
      </w:pPr>
      <w:bookmarkStart w:id="19" w:name="_Toc384042852"/>
      <w:r w:rsidRPr="007F4AC5">
        <w:t>The Compact with Young Australians</w:t>
      </w:r>
      <w:bookmarkEnd w:id="19"/>
    </w:p>
    <w:p w14:paraId="2C248B4C" w14:textId="77777777" w:rsidR="001213AE" w:rsidRPr="00223AE8" w:rsidRDefault="001213AE" w:rsidP="00592A44">
      <w:pPr>
        <w:pStyle w:val="Heading4"/>
      </w:pPr>
      <w:r w:rsidRPr="00223AE8">
        <w:t>Education or Training Entitlement</w:t>
      </w:r>
    </w:p>
    <w:p w14:paraId="1100B39C" w14:textId="77777777" w:rsidR="001213AE" w:rsidRDefault="001213AE" w:rsidP="00592A44">
      <w:pPr>
        <w:jc w:val="both"/>
      </w:pPr>
      <w:r w:rsidRPr="007F4AC5">
        <w:t xml:space="preserve">At the July 2012 out-of-session meeting of Council of Australian Governments it was agreed that the education or training entitlement under the </w:t>
      </w:r>
      <w:r w:rsidR="00D50ACA">
        <w:t>YAT NP</w:t>
      </w:r>
      <w:r w:rsidRPr="007F4AC5">
        <w:t xml:space="preserve"> would not be extended past the end date of 31 December 2011 in recognition that State and Territory </w:t>
      </w:r>
      <w:r w:rsidR="00A30707">
        <w:t xml:space="preserve">governments have embedded the entitlement in their </w:t>
      </w:r>
      <w:r w:rsidRPr="007F4AC5">
        <w:t>policies</w:t>
      </w:r>
      <w:r w:rsidR="00A30707">
        <w:t>.</w:t>
      </w:r>
      <w:r w:rsidRPr="007F4AC5">
        <w:t xml:space="preserve"> </w:t>
      </w:r>
    </w:p>
    <w:p w14:paraId="62F728B5" w14:textId="77777777" w:rsidR="001213AE" w:rsidRDefault="001213AE" w:rsidP="00592A44">
      <w:pPr>
        <w:pStyle w:val="Heading4"/>
      </w:pPr>
      <w:r>
        <w:t>National Youth Participation requirement</w:t>
      </w:r>
    </w:p>
    <w:p w14:paraId="3EE19B12" w14:textId="77777777" w:rsidR="00441186" w:rsidRPr="00343508" w:rsidRDefault="00AA5A4D" w:rsidP="002D74B7">
      <w:pPr>
        <w:autoSpaceDE w:val="0"/>
        <w:autoSpaceDN w:val="0"/>
        <w:adjustRightInd w:val="0"/>
        <w:spacing w:after="120"/>
        <w:jc w:val="both"/>
        <w:rPr>
          <w:rFonts w:cs="Calibri"/>
          <w:color w:val="000000"/>
        </w:rPr>
      </w:pPr>
      <w:r>
        <w:rPr>
          <w:rFonts w:cs="Calibri"/>
          <w:color w:val="000000"/>
        </w:rPr>
        <w:t>A driver of t</w:t>
      </w:r>
      <w:r w:rsidR="00441186" w:rsidRPr="00343508">
        <w:rPr>
          <w:rFonts w:cs="Calibri"/>
          <w:color w:val="000000"/>
        </w:rPr>
        <w:t xml:space="preserve">he Victorian </w:t>
      </w:r>
      <w:r>
        <w:rPr>
          <w:rFonts w:cs="Calibri"/>
          <w:color w:val="000000"/>
        </w:rPr>
        <w:t xml:space="preserve">training </w:t>
      </w:r>
      <w:r w:rsidR="00441186" w:rsidRPr="00343508">
        <w:rPr>
          <w:rFonts w:cs="Calibri"/>
          <w:color w:val="000000"/>
        </w:rPr>
        <w:t xml:space="preserve">system is </w:t>
      </w:r>
      <w:r w:rsidR="00D50ACA">
        <w:rPr>
          <w:rFonts w:cs="Calibri"/>
          <w:color w:val="000000"/>
        </w:rPr>
        <w:t xml:space="preserve">the Victorian Training Guarantee, which provides </w:t>
      </w:r>
      <w:r w:rsidR="00441186" w:rsidRPr="00343508">
        <w:rPr>
          <w:rFonts w:cs="Calibri"/>
          <w:color w:val="000000"/>
        </w:rPr>
        <w:t>a</w:t>
      </w:r>
      <w:r w:rsidR="00D50ACA">
        <w:rPr>
          <w:rFonts w:cs="Calibri"/>
          <w:color w:val="000000"/>
        </w:rPr>
        <w:t>n</w:t>
      </w:r>
      <w:r w:rsidR="00441186" w:rsidRPr="00343508">
        <w:rPr>
          <w:rFonts w:cs="Calibri"/>
          <w:color w:val="000000"/>
        </w:rPr>
        <w:t xml:space="preserve"> entitlement to </w:t>
      </w:r>
      <w:r w:rsidR="00D50ACA">
        <w:rPr>
          <w:rFonts w:cs="Calibri"/>
          <w:color w:val="000000"/>
        </w:rPr>
        <w:t>government subsidised training place</w:t>
      </w:r>
      <w:r w:rsidR="00441186" w:rsidRPr="00343508">
        <w:rPr>
          <w:rFonts w:cs="Calibri"/>
          <w:color w:val="000000"/>
        </w:rPr>
        <w:t xml:space="preserve"> in any area of study, </w:t>
      </w:r>
      <w:r w:rsidR="00D50ACA">
        <w:rPr>
          <w:rFonts w:cs="Calibri"/>
          <w:color w:val="000000"/>
        </w:rPr>
        <w:t>subject to eligibility criteria. This means</w:t>
      </w:r>
      <w:r w:rsidR="00441186" w:rsidRPr="00343508">
        <w:rPr>
          <w:rFonts w:cs="Calibri"/>
          <w:color w:val="000000"/>
        </w:rPr>
        <w:t>:</w:t>
      </w:r>
    </w:p>
    <w:p w14:paraId="7006C9EB" w14:textId="77777777" w:rsidR="00441186" w:rsidRPr="00343508" w:rsidRDefault="00D50ACA" w:rsidP="003957AD">
      <w:pPr>
        <w:numPr>
          <w:ilvl w:val="0"/>
          <w:numId w:val="6"/>
        </w:numPr>
        <w:spacing w:after="120"/>
        <w:jc w:val="both"/>
      </w:pPr>
      <w:r>
        <w:t xml:space="preserve">For </w:t>
      </w:r>
      <w:r w:rsidR="00441186" w:rsidRPr="00343508">
        <w:t>Victorians aged under 20</w:t>
      </w:r>
      <w:r>
        <w:t xml:space="preserve"> years, they</w:t>
      </w:r>
      <w:r w:rsidR="00441186" w:rsidRPr="00343508">
        <w:t xml:space="preserve"> can access training at any level, regardless of any qualifications already held</w:t>
      </w:r>
      <w:r>
        <w:t>;</w:t>
      </w:r>
    </w:p>
    <w:p w14:paraId="4F7D280B" w14:textId="128DD5E3" w:rsidR="00441186" w:rsidRPr="00343508" w:rsidRDefault="00D50ACA" w:rsidP="003957AD">
      <w:pPr>
        <w:numPr>
          <w:ilvl w:val="0"/>
          <w:numId w:val="6"/>
        </w:numPr>
        <w:spacing w:after="120"/>
        <w:jc w:val="both"/>
      </w:pPr>
      <w:r>
        <w:t xml:space="preserve">For </w:t>
      </w:r>
      <w:r w:rsidR="00441186" w:rsidRPr="00343508">
        <w:t>those aged 20</w:t>
      </w:r>
      <w:r>
        <w:t xml:space="preserve"> years</w:t>
      </w:r>
      <w:r w:rsidR="00441186" w:rsidRPr="00343508">
        <w:t xml:space="preserve"> and over</w:t>
      </w:r>
      <w:r>
        <w:t>, they</w:t>
      </w:r>
      <w:r w:rsidR="00500247">
        <w:t xml:space="preserve"> can access</w:t>
      </w:r>
      <w:r w:rsidR="00441186" w:rsidRPr="00343508">
        <w:t xml:space="preserve"> training </w:t>
      </w:r>
      <w:r>
        <w:t>for</w:t>
      </w:r>
      <w:r w:rsidR="00441186" w:rsidRPr="00343508">
        <w:t xml:space="preserve"> any qualification higher than </w:t>
      </w:r>
      <w:r>
        <w:t xml:space="preserve">that </w:t>
      </w:r>
      <w:r w:rsidR="00441186" w:rsidRPr="00343508">
        <w:t>they already hold</w:t>
      </w:r>
      <w:r>
        <w:t>;</w:t>
      </w:r>
    </w:p>
    <w:p w14:paraId="0F760896" w14:textId="07A1EE19" w:rsidR="00441186" w:rsidRPr="00343508" w:rsidRDefault="00D50ACA" w:rsidP="003957AD">
      <w:pPr>
        <w:numPr>
          <w:ilvl w:val="0"/>
          <w:numId w:val="6"/>
        </w:numPr>
        <w:spacing w:after="120"/>
        <w:jc w:val="both"/>
      </w:pPr>
      <w:r>
        <w:t xml:space="preserve">All Victorians can </w:t>
      </w:r>
      <w:r w:rsidR="00441186" w:rsidRPr="00343508">
        <w:t xml:space="preserve">access </w:t>
      </w:r>
      <w:r>
        <w:t>training in</w:t>
      </w:r>
      <w:r w:rsidR="00441186" w:rsidRPr="00343508">
        <w:t xml:space="preserve"> foundation level skills, regardless of age or qualifications already held</w:t>
      </w:r>
      <w:r w:rsidR="00B03B44">
        <w:t>; and</w:t>
      </w:r>
    </w:p>
    <w:p w14:paraId="72B3D4CD" w14:textId="6A37E2DC" w:rsidR="00441186" w:rsidRPr="002D74B7" w:rsidRDefault="00D50ACA" w:rsidP="003957AD">
      <w:pPr>
        <w:numPr>
          <w:ilvl w:val="0"/>
          <w:numId w:val="6"/>
        </w:numPr>
        <w:spacing w:after="120"/>
        <w:jc w:val="both"/>
      </w:pPr>
      <w:r>
        <w:lastRenderedPageBreak/>
        <w:t xml:space="preserve">All Victorians can </w:t>
      </w:r>
      <w:r w:rsidR="00441186" w:rsidRPr="00343508">
        <w:t xml:space="preserve">access </w:t>
      </w:r>
      <w:r>
        <w:t>t</w:t>
      </w:r>
      <w:r w:rsidR="00441186" w:rsidRPr="00343508">
        <w:t>raining in an apprenticeship qualification</w:t>
      </w:r>
      <w:r>
        <w:t xml:space="preserve">, </w:t>
      </w:r>
      <w:r w:rsidR="00441186" w:rsidRPr="00343508">
        <w:t>regardless of</w:t>
      </w:r>
      <w:r w:rsidR="002D74B7">
        <w:t xml:space="preserve"> age or previous qualifications</w:t>
      </w:r>
      <w:r w:rsidR="00B03B44">
        <w:t>.</w:t>
      </w:r>
    </w:p>
    <w:p w14:paraId="74E03819" w14:textId="2BF9C889" w:rsidR="00AA5A4D" w:rsidRPr="002D74B7" w:rsidRDefault="00441186" w:rsidP="00F167FB">
      <w:pPr>
        <w:spacing w:after="120"/>
        <w:jc w:val="both"/>
        <w:rPr>
          <w:rFonts w:cs="Calibri"/>
          <w:color w:val="000000"/>
        </w:rPr>
      </w:pPr>
      <w:r w:rsidRPr="00343508">
        <w:rPr>
          <w:rFonts w:cs="Calibri"/>
          <w:color w:val="000000"/>
        </w:rPr>
        <w:t>Th</w:t>
      </w:r>
      <w:r w:rsidR="00D50ACA">
        <w:rPr>
          <w:rFonts w:cs="Calibri"/>
          <w:color w:val="000000"/>
        </w:rPr>
        <w:t xml:space="preserve">e Victorian Training Guarantee </w:t>
      </w:r>
      <w:r w:rsidRPr="00343508">
        <w:rPr>
          <w:rFonts w:cs="Calibri"/>
          <w:color w:val="000000"/>
        </w:rPr>
        <w:t>extends beyond requirements under the YAT NP ‘Compact with Young Australians,</w:t>
      </w:r>
      <w:r w:rsidR="00D50ACA">
        <w:rPr>
          <w:rFonts w:cs="Calibri"/>
          <w:color w:val="000000"/>
        </w:rPr>
        <w:t>’</w:t>
      </w:r>
      <w:r w:rsidRPr="00343508">
        <w:rPr>
          <w:rFonts w:cs="Calibri"/>
          <w:color w:val="000000"/>
        </w:rPr>
        <w:t xml:space="preserve"> and offers young people in Victoria increased access to qualifications that will improve their existing skills.</w:t>
      </w:r>
    </w:p>
    <w:p w14:paraId="18EFE6F5" w14:textId="615EA149" w:rsidR="001213AE" w:rsidRDefault="00AA5A4D" w:rsidP="00B03B44">
      <w:pPr>
        <w:spacing w:after="240"/>
        <w:jc w:val="both"/>
      </w:pPr>
      <w:r>
        <w:rPr>
          <w:color w:val="000000"/>
        </w:rPr>
        <w:t>Since</w:t>
      </w:r>
      <w:r w:rsidRPr="001D7215">
        <w:rPr>
          <w:color w:val="000000"/>
        </w:rPr>
        <w:t xml:space="preserve"> 1 July 2012, </w:t>
      </w:r>
      <w:r>
        <w:rPr>
          <w:color w:val="000000"/>
        </w:rPr>
        <w:t xml:space="preserve">the </w:t>
      </w:r>
      <w:r w:rsidR="00D50ACA">
        <w:rPr>
          <w:color w:val="000000"/>
        </w:rPr>
        <w:t>Victorian Training Guarantee has been</w:t>
      </w:r>
      <w:r>
        <w:rPr>
          <w:color w:val="000000"/>
        </w:rPr>
        <w:t xml:space="preserve"> </w:t>
      </w:r>
      <w:r w:rsidRPr="001D7215">
        <w:rPr>
          <w:color w:val="000000"/>
        </w:rPr>
        <w:t xml:space="preserve">extended </w:t>
      </w:r>
      <w:r>
        <w:rPr>
          <w:color w:val="000000"/>
        </w:rPr>
        <w:t>to ensure Vict</w:t>
      </w:r>
      <w:r w:rsidRPr="001D7215">
        <w:rPr>
          <w:color w:val="000000"/>
        </w:rPr>
        <w:t xml:space="preserve">orians of any age whose highest qualification is </w:t>
      </w:r>
      <w:proofErr w:type="spellStart"/>
      <w:r w:rsidRPr="001D7215">
        <w:rPr>
          <w:color w:val="000000"/>
        </w:rPr>
        <w:t>VCE</w:t>
      </w:r>
      <w:proofErr w:type="spellEnd"/>
      <w:r w:rsidRPr="001D7215">
        <w:rPr>
          <w:color w:val="000000"/>
        </w:rPr>
        <w:t xml:space="preserve"> or </w:t>
      </w:r>
      <w:proofErr w:type="spellStart"/>
      <w:r w:rsidRPr="001D7215">
        <w:rPr>
          <w:color w:val="000000"/>
        </w:rPr>
        <w:t>VCAL</w:t>
      </w:r>
      <w:proofErr w:type="spellEnd"/>
      <w:r w:rsidRPr="001D7215">
        <w:rPr>
          <w:color w:val="000000"/>
        </w:rPr>
        <w:t xml:space="preserve"> </w:t>
      </w:r>
      <w:r>
        <w:rPr>
          <w:color w:val="000000"/>
        </w:rPr>
        <w:t>were also</w:t>
      </w:r>
      <w:r w:rsidRPr="001D7215">
        <w:rPr>
          <w:color w:val="000000"/>
        </w:rPr>
        <w:t xml:space="preserve"> eligible</w:t>
      </w:r>
      <w:r>
        <w:rPr>
          <w:color w:val="000000"/>
        </w:rPr>
        <w:t xml:space="preserve"> to enrol</w:t>
      </w:r>
      <w:r w:rsidRPr="001D7215">
        <w:rPr>
          <w:color w:val="000000"/>
        </w:rPr>
        <w:t xml:space="preserve"> in a government-subsidised </w:t>
      </w:r>
      <w:r>
        <w:rPr>
          <w:color w:val="000000"/>
        </w:rPr>
        <w:t xml:space="preserve">training place </w:t>
      </w:r>
      <w:r w:rsidRPr="001D7215">
        <w:rPr>
          <w:color w:val="000000"/>
        </w:rPr>
        <w:t>at Certificate II level</w:t>
      </w:r>
      <w:r>
        <w:rPr>
          <w:color w:val="000000"/>
        </w:rPr>
        <w:t>.</w:t>
      </w:r>
    </w:p>
    <w:p w14:paraId="467BF615" w14:textId="77777777" w:rsidR="001213AE" w:rsidRPr="00624D9E" w:rsidRDefault="001213AE" w:rsidP="00592A44">
      <w:pPr>
        <w:pStyle w:val="Heading4"/>
      </w:pPr>
      <w:r w:rsidRPr="00F73E31">
        <w:t>Challenges experienced in 201</w:t>
      </w:r>
      <w:r>
        <w:t xml:space="preserve">2 </w:t>
      </w:r>
      <w:r w:rsidRPr="00377278">
        <w:t>(if any)</w:t>
      </w:r>
      <w:r>
        <w:t xml:space="preserve">  </w:t>
      </w:r>
    </w:p>
    <w:p w14:paraId="359537F3" w14:textId="343C7DD6" w:rsidR="005A0E20" w:rsidRPr="00802BDC" w:rsidRDefault="00B41338" w:rsidP="00B03B44">
      <w:pPr>
        <w:spacing w:after="240"/>
        <w:jc w:val="both"/>
        <w:rPr>
          <w:color w:val="FF0000"/>
        </w:rPr>
      </w:pPr>
      <w:r>
        <w:t>I</w:t>
      </w:r>
      <w:r w:rsidR="00802BDC" w:rsidRPr="00802BDC">
        <w:t xml:space="preserve">t will always be a challenge to ensure that all students under 17 years are participating in </w:t>
      </w:r>
      <w:r w:rsidR="00802BDC">
        <w:t xml:space="preserve">some form of </w:t>
      </w:r>
      <w:r w:rsidR="00802BDC" w:rsidRPr="00802BDC">
        <w:t>education</w:t>
      </w:r>
      <w:r w:rsidR="00802BDC">
        <w:t>,</w:t>
      </w:r>
      <w:r>
        <w:t xml:space="preserve"> employment or training.  A</w:t>
      </w:r>
      <w:r w:rsidR="00802BDC" w:rsidRPr="00802BDC">
        <w:t>t this stage the mechanisms for surveying what proportion of young people under 17 years that are no longer in education</w:t>
      </w:r>
      <w:r w:rsidR="00802BDC">
        <w:t>, employment or</w:t>
      </w:r>
      <w:r w:rsidR="00802BDC" w:rsidRPr="00802BDC">
        <w:t xml:space="preserve"> training</w:t>
      </w:r>
      <w:r w:rsidR="0047641A">
        <w:t xml:space="preserve"> a</w:t>
      </w:r>
      <w:r w:rsidR="00802BDC" w:rsidRPr="00802BDC">
        <w:t>re not robust enough to provide a reasonable assessment</w:t>
      </w:r>
      <w:r w:rsidR="00802BDC">
        <w:t xml:space="preserve"> for reporting purposes</w:t>
      </w:r>
      <w:r w:rsidR="00802BDC" w:rsidRPr="00802BDC">
        <w:t>.</w:t>
      </w:r>
    </w:p>
    <w:p w14:paraId="0D48BC50" w14:textId="3C0D7BA7" w:rsidR="005A0E20" w:rsidRPr="00802BDC" w:rsidRDefault="001213AE" w:rsidP="00592A44">
      <w:pPr>
        <w:pStyle w:val="Heading4"/>
      </w:pPr>
      <w:r w:rsidRPr="00802BDC">
        <w:t>Exemptions to the participation requirement</w:t>
      </w:r>
    </w:p>
    <w:p w14:paraId="01213752" w14:textId="74A175C0" w:rsidR="005A0E20" w:rsidRPr="00343508" w:rsidRDefault="005A0E20" w:rsidP="00B03B44">
      <w:pPr>
        <w:spacing w:after="120"/>
        <w:jc w:val="both"/>
        <w:rPr>
          <w:color w:val="000000"/>
        </w:rPr>
      </w:pPr>
      <w:r w:rsidRPr="00343508">
        <w:rPr>
          <w:color w:val="000000"/>
        </w:rPr>
        <w:t>The National Youth Participation Requirement was implemented in Victoria through amendments to the Education and Training Reform Act (2006), with young people under the age of 17 who have attained Year 10 and are participating full-time in education, training or employment, or a combination of these activities, exempted from school atten</w:t>
      </w:r>
      <w:r w:rsidR="002D74B7">
        <w:rPr>
          <w:color w:val="000000"/>
        </w:rPr>
        <w:t>dance by Ministerial Order 294.</w:t>
      </w:r>
    </w:p>
    <w:p w14:paraId="17D01841" w14:textId="3E9686D1" w:rsidR="005A0E20" w:rsidRPr="00343508" w:rsidRDefault="005A0E20" w:rsidP="002D74B7">
      <w:pPr>
        <w:spacing w:after="120"/>
        <w:jc w:val="both"/>
        <w:rPr>
          <w:color w:val="000000"/>
        </w:rPr>
      </w:pPr>
      <w:r w:rsidRPr="00343508">
        <w:rPr>
          <w:color w:val="000000"/>
        </w:rPr>
        <w:t xml:space="preserve">In 2010, Victoria introduced a formal school exit process.  It requires that students leaving school before completing Year 12 (excluding those transferring to another school) complete an exit form which includes destination and transitions information, to be signed by all parties (student, parent and school principal). For students under the age of 17 who wish to leave school before completing Year 10, the form requires exemption from school attendance to be authorised by the relevant </w:t>
      </w:r>
      <w:proofErr w:type="spellStart"/>
      <w:r w:rsidRPr="00343508">
        <w:rPr>
          <w:color w:val="000000"/>
        </w:rPr>
        <w:t>DEECD</w:t>
      </w:r>
      <w:proofErr w:type="spellEnd"/>
      <w:r w:rsidRPr="00343508">
        <w:rPr>
          <w:color w:val="000000"/>
        </w:rPr>
        <w:t xml:space="preserve"> Regional Director. As a result of information collected in the form, some students may be referred to local support mechanisms (including Youth Connections providers). Government schools must supply copies of all completed School Exit forms to their Regional Office. Students from Independent and Catholic sectors requiring approved exemption from school attendance must also apply via the re</w:t>
      </w:r>
      <w:r w:rsidR="002D74B7">
        <w:rPr>
          <w:color w:val="000000"/>
        </w:rPr>
        <w:t xml:space="preserve">levant </w:t>
      </w:r>
      <w:proofErr w:type="spellStart"/>
      <w:r w:rsidR="002D74B7">
        <w:rPr>
          <w:color w:val="000000"/>
        </w:rPr>
        <w:t>DEECD</w:t>
      </w:r>
      <w:proofErr w:type="spellEnd"/>
      <w:r w:rsidR="002D74B7">
        <w:rPr>
          <w:color w:val="000000"/>
        </w:rPr>
        <w:t xml:space="preserve"> Regional Director.</w:t>
      </w:r>
    </w:p>
    <w:p w14:paraId="372E014E" w14:textId="5467C9F2" w:rsidR="00472225" w:rsidRDefault="005B260B" w:rsidP="002D74B7">
      <w:pPr>
        <w:spacing w:after="240"/>
        <w:jc w:val="both"/>
        <w:rPr>
          <w:color w:val="000000"/>
        </w:rPr>
      </w:pPr>
      <w:r w:rsidRPr="005B260B">
        <w:rPr>
          <w:color w:val="000000"/>
        </w:rPr>
        <w:t xml:space="preserve">For those not exempted from school attendance (either through the above process or under Ministerial Order 294), the Victorian Government has committed to ensuring that all school aged children are engaged in approved education and that those enrolled in a registered school attend school at all times that the school is open for instruction.  The </w:t>
      </w:r>
      <w:r w:rsidRPr="005B260B">
        <w:rPr>
          <w:i/>
          <w:iCs/>
          <w:color w:val="000000"/>
        </w:rPr>
        <w:t>Education and Training Reform Amendment (School Attendance)Bill 2013</w:t>
      </w:r>
      <w:r w:rsidRPr="005B260B">
        <w:rPr>
          <w:color w:val="000000"/>
        </w:rPr>
        <w:t>,</w:t>
      </w:r>
      <w:r w:rsidRPr="005B260B">
        <w:rPr>
          <w:i/>
          <w:iCs/>
          <w:color w:val="000000"/>
        </w:rPr>
        <w:t xml:space="preserve"> </w:t>
      </w:r>
      <w:r w:rsidRPr="005B260B">
        <w:rPr>
          <w:color w:val="000000"/>
        </w:rPr>
        <w:t xml:space="preserve">which has now passed through the Legislative Assembly, proposes amendments to the </w:t>
      </w:r>
      <w:r w:rsidRPr="005B260B">
        <w:rPr>
          <w:i/>
          <w:iCs/>
          <w:color w:val="000000"/>
        </w:rPr>
        <w:t>Education and Training Reform Act 2006</w:t>
      </w:r>
      <w:r w:rsidRPr="005B260B">
        <w:rPr>
          <w:color w:val="000000"/>
        </w:rPr>
        <w:t xml:space="preserve"> to this effect.  The aim of the Bill is to improve school attendance, not to penalise parents who want to do the right thing.  Infringement notices will only be issued as a last resort.  To support the reforms, the Department is currently developing and updating a package of support materials to assist schools and parents to improve attendance.  This includes revision of the Attendance Guidelines and Enrolment Guidelines in direct r</w:t>
      </w:r>
      <w:r w:rsidR="008544B6">
        <w:rPr>
          <w:color w:val="000000"/>
        </w:rPr>
        <w:t>esponse to public consultation.</w:t>
      </w:r>
    </w:p>
    <w:p w14:paraId="11260EEC" w14:textId="7C172A0E" w:rsidR="00307970" w:rsidRDefault="00307970">
      <w:pPr>
        <w:spacing w:after="200"/>
        <w:rPr>
          <w:color w:val="000000"/>
        </w:rPr>
      </w:pPr>
      <w:r>
        <w:rPr>
          <w:color w:val="000000"/>
        </w:rPr>
        <w:br w:type="page"/>
      </w:r>
    </w:p>
    <w:p w14:paraId="03ADA24E" w14:textId="77777777" w:rsidR="00441186" w:rsidRPr="000D6C77" w:rsidRDefault="00441186" w:rsidP="002D74B7">
      <w:pPr>
        <w:pStyle w:val="Heading2"/>
        <w:spacing w:before="0" w:after="120" w:line="23" w:lineRule="atLeast"/>
        <w:jc w:val="both"/>
      </w:pPr>
      <w:bookmarkStart w:id="20" w:name="_Toc384042853"/>
      <w:r>
        <w:lastRenderedPageBreak/>
        <w:t>School Business Community Partnership Brokers</w:t>
      </w:r>
      <w:bookmarkEnd w:id="20"/>
    </w:p>
    <w:p w14:paraId="37384D3F" w14:textId="77777777" w:rsidR="00441186" w:rsidRPr="006100C3" w:rsidRDefault="00441186" w:rsidP="00592A44">
      <w:pPr>
        <w:pStyle w:val="Heading3"/>
        <w:ind w:left="0"/>
      </w:pPr>
      <w:r w:rsidRPr="006100C3">
        <w:t>Context</w:t>
      </w:r>
    </w:p>
    <w:p w14:paraId="05F84B99" w14:textId="77777777" w:rsidR="00441186" w:rsidRDefault="00441186" w:rsidP="002D74B7">
      <w:pPr>
        <w:spacing w:after="120"/>
        <w:jc w:val="both"/>
        <w:rPr>
          <w:rFonts w:cs="Calibri"/>
        </w:rPr>
      </w:pPr>
      <w:r w:rsidRPr="006100C3">
        <w:rPr>
          <w:rFonts w:cs="Calibri"/>
        </w:rPr>
        <w:t xml:space="preserve">In Victoria, the </w:t>
      </w:r>
      <w:r>
        <w:rPr>
          <w:rFonts w:cs="Calibri"/>
        </w:rPr>
        <w:t xml:space="preserve">School Business Community </w:t>
      </w:r>
      <w:r w:rsidRPr="006100C3">
        <w:rPr>
          <w:rFonts w:cs="Calibri"/>
        </w:rPr>
        <w:t>Partnership Broker initiative has been implemented through the 31 Local Learning and Employment Networks (</w:t>
      </w:r>
      <w:proofErr w:type="spellStart"/>
      <w:r w:rsidRPr="006100C3">
        <w:rPr>
          <w:rFonts w:cs="Calibri"/>
        </w:rPr>
        <w:t>LLENs</w:t>
      </w:r>
      <w:proofErr w:type="spellEnd"/>
      <w:r w:rsidRPr="006100C3">
        <w:rPr>
          <w:rFonts w:cs="Calibri"/>
        </w:rPr>
        <w:t>) that have</w:t>
      </w:r>
      <w:r>
        <w:rPr>
          <w:rFonts w:cs="Calibri"/>
        </w:rPr>
        <w:t xml:space="preserve"> been operating across the State since</w:t>
      </w:r>
      <w:r w:rsidRPr="006100C3">
        <w:rPr>
          <w:rFonts w:cs="Calibri"/>
        </w:rPr>
        <w:t xml:space="preserve"> 2001/2002.  </w:t>
      </w:r>
      <w:r>
        <w:rPr>
          <w:rFonts w:cs="Calibri"/>
        </w:rPr>
        <w:t>For this reason, the section outlining progress of the Partnership Brokers in Victoria appears in this section of the report rather than in the Annexure provided by the Commonwealth.</w:t>
      </w:r>
    </w:p>
    <w:p w14:paraId="2178DAAA" w14:textId="77777777" w:rsidR="00441186" w:rsidRDefault="00441186" w:rsidP="002D74B7">
      <w:pPr>
        <w:spacing w:after="120"/>
        <w:jc w:val="both"/>
        <w:rPr>
          <w:rFonts w:cs="Calibri"/>
        </w:rPr>
      </w:pPr>
      <w:proofErr w:type="spellStart"/>
      <w:r>
        <w:rPr>
          <w:rFonts w:cs="Calibri"/>
        </w:rPr>
        <w:t>LLENs</w:t>
      </w:r>
      <w:proofErr w:type="spellEnd"/>
      <w:r>
        <w:rPr>
          <w:rFonts w:cs="Calibri"/>
        </w:rPr>
        <w:t xml:space="preserve"> are independently incorporated associations with a mandated governance structure comprising cross-sectoral community stakeholders who are elected to office and have oversight of strategy, review and finance for each LLEN. The LLEN initiative has been built upon and extended to incorporate all the requirements of the Partnership Broker initiative through variations to LLEN Funding Agreements.</w:t>
      </w:r>
    </w:p>
    <w:p w14:paraId="34697A6F" w14:textId="77777777" w:rsidR="00441186" w:rsidRDefault="00441186" w:rsidP="002D74B7">
      <w:pPr>
        <w:spacing w:after="120"/>
        <w:jc w:val="both"/>
        <w:rPr>
          <w:rFonts w:cs="Calibri"/>
        </w:rPr>
      </w:pPr>
      <w:r>
        <w:rPr>
          <w:rFonts w:cs="Calibri"/>
        </w:rPr>
        <w:t xml:space="preserve">LLEN Funding Agreements continue to be managed by </w:t>
      </w:r>
      <w:proofErr w:type="spellStart"/>
      <w:r>
        <w:rPr>
          <w:rFonts w:cs="Calibri"/>
        </w:rPr>
        <w:t>DEECD</w:t>
      </w:r>
      <w:proofErr w:type="spellEnd"/>
      <w:r>
        <w:rPr>
          <w:rFonts w:cs="Calibri"/>
        </w:rPr>
        <w:t xml:space="preserve"> and build upon the 11 year relationship between LLEN and </w:t>
      </w:r>
      <w:proofErr w:type="spellStart"/>
      <w:r>
        <w:rPr>
          <w:rFonts w:cs="Calibri"/>
        </w:rPr>
        <w:t>DEECD</w:t>
      </w:r>
      <w:proofErr w:type="spellEnd"/>
      <w:r>
        <w:rPr>
          <w:rFonts w:cs="Calibri"/>
        </w:rPr>
        <w:t>.</w:t>
      </w:r>
    </w:p>
    <w:p w14:paraId="17D1073C" w14:textId="2A416148" w:rsidR="002D74B7" w:rsidRPr="006100C3" w:rsidRDefault="00441186" w:rsidP="002D74B7">
      <w:pPr>
        <w:spacing w:after="120"/>
        <w:jc w:val="both"/>
        <w:rPr>
          <w:rFonts w:cs="Calibri"/>
        </w:rPr>
      </w:pPr>
      <w:r w:rsidRPr="006100C3">
        <w:rPr>
          <w:rFonts w:cs="Calibri"/>
        </w:rPr>
        <w:t>In Victoria, each LLEN provides</w:t>
      </w:r>
      <w:r>
        <w:rPr>
          <w:rFonts w:cs="Calibri"/>
        </w:rPr>
        <w:t xml:space="preserve"> comprehensive</w:t>
      </w:r>
      <w:r w:rsidRPr="006100C3">
        <w:rPr>
          <w:rFonts w:cs="Calibri"/>
        </w:rPr>
        <w:t xml:space="preserve"> t</w:t>
      </w:r>
      <w:r>
        <w:rPr>
          <w:rFonts w:cs="Calibri"/>
        </w:rPr>
        <w:t xml:space="preserve">wice yearly reports to </w:t>
      </w:r>
      <w:proofErr w:type="spellStart"/>
      <w:r>
        <w:rPr>
          <w:rFonts w:cs="Calibri"/>
        </w:rPr>
        <w:t>DEECD</w:t>
      </w:r>
      <w:proofErr w:type="spellEnd"/>
      <w:r>
        <w:rPr>
          <w:rFonts w:cs="Calibri"/>
        </w:rPr>
        <w:t xml:space="preserve"> on </w:t>
      </w:r>
      <w:r w:rsidRPr="006100C3">
        <w:rPr>
          <w:rFonts w:cs="Calibri"/>
        </w:rPr>
        <w:t xml:space="preserve">progress </w:t>
      </w:r>
      <w:r>
        <w:rPr>
          <w:rFonts w:cs="Calibri"/>
        </w:rPr>
        <w:t xml:space="preserve">against the </w:t>
      </w:r>
      <w:r w:rsidRPr="006100C3">
        <w:rPr>
          <w:rFonts w:cs="Calibri"/>
        </w:rPr>
        <w:t xml:space="preserve">goals and targets </w:t>
      </w:r>
      <w:r>
        <w:rPr>
          <w:rFonts w:cs="Calibri"/>
        </w:rPr>
        <w:t xml:space="preserve">in individually negotiated and agreed </w:t>
      </w:r>
      <w:r w:rsidR="00B03B44">
        <w:rPr>
          <w:rFonts w:cs="Calibri"/>
        </w:rPr>
        <w:t xml:space="preserve">LLEN Strategic Plans. </w:t>
      </w:r>
      <w:r>
        <w:rPr>
          <w:rFonts w:cs="Calibri"/>
        </w:rPr>
        <w:t xml:space="preserve">The information in this report is based upon </w:t>
      </w:r>
      <w:r w:rsidRPr="006100C3">
        <w:rPr>
          <w:rFonts w:cs="Calibri"/>
        </w:rPr>
        <w:t>LLEN 201</w:t>
      </w:r>
      <w:r>
        <w:rPr>
          <w:rFonts w:cs="Calibri"/>
        </w:rPr>
        <w:t>2</w:t>
      </w:r>
      <w:r w:rsidRPr="006100C3">
        <w:rPr>
          <w:rFonts w:cs="Calibri"/>
        </w:rPr>
        <w:t xml:space="preserve"> Annual Reports to </w:t>
      </w:r>
      <w:proofErr w:type="spellStart"/>
      <w:r w:rsidRPr="006100C3">
        <w:rPr>
          <w:rFonts w:cs="Calibri"/>
        </w:rPr>
        <w:t>DEECD</w:t>
      </w:r>
      <w:proofErr w:type="spellEnd"/>
      <w:r w:rsidRPr="006100C3">
        <w:rPr>
          <w:rFonts w:cs="Calibri"/>
        </w:rPr>
        <w:t xml:space="preserve"> </w:t>
      </w:r>
      <w:r w:rsidR="00A35972">
        <w:rPr>
          <w:rFonts w:cs="Calibri"/>
        </w:rPr>
        <w:t>submitted in March 2013.</w:t>
      </w:r>
    </w:p>
    <w:p w14:paraId="5F7BC54B" w14:textId="77777777" w:rsidR="00441186" w:rsidRPr="006100C3" w:rsidRDefault="00441186" w:rsidP="00592A44">
      <w:pPr>
        <w:pStyle w:val="Heading3"/>
        <w:ind w:left="0"/>
      </w:pPr>
      <w:r w:rsidRPr="006100C3">
        <w:t xml:space="preserve">Program Status </w:t>
      </w:r>
    </w:p>
    <w:p w14:paraId="2A4CB161" w14:textId="457A6D7B" w:rsidR="00441186" w:rsidRDefault="00441186" w:rsidP="002D74B7">
      <w:pPr>
        <w:spacing w:after="120"/>
        <w:jc w:val="both"/>
        <w:rPr>
          <w:rFonts w:cs="Calibri"/>
        </w:rPr>
      </w:pPr>
      <w:r>
        <w:rPr>
          <w:rFonts w:cs="Calibri"/>
        </w:rPr>
        <w:t>There were 5</w:t>
      </w:r>
      <w:r w:rsidR="000240C5">
        <w:rPr>
          <w:rFonts w:cs="Calibri"/>
        </w:rPr>
        <w:t>,</w:t>
      </w:r>
      <w:r>
        <w:rPr>
          <w:rFonts w:cs="Calibri"/>
        </w:rPr>
        <w:t>592 LLEN member organisations that contributed to 1</w:t>
      </w:r>
      <w:r w:rsidR="000240C5">
        <w:rPr>
          <w:rFonts w:cs="Calibri"/>
        </w:rPr>
        <w:t>,</w:t>
      </w:r>
      <w:r>
        <w:rPr>
          <w:rFonts w:cs="Calibri"/>
        </w:rPr>
        <w:t>004</w:t>
      </w:r>
      <w:r w:rsidRPr="00245981">
        <w:rPr>
          <w:rFonts w:cs="Calibri"/>
        </w:rPr>
        <w:t xml:space="preserve"> active partnerships </w:t>
      </w:r>
      <w:r>
        <w:rPr>
          <w:rFonts w:cs="Calibri"/>
        </w:rPr>
        <w:t>in Victoria in 2012 with a primary focus on the brokerage and development of strategic partnerships and relationships that respond to locally identified needs and priorities</w:t>
      </w:r>
      <w:r w:rsidRPr="00245981">
        <w:rPr>
          <w:rFonts w:cs="Calibri"/>
        </w:rPr>
        <w:t xml:space="preserve">. These partnerships </w:t>
      </w:r>
      <w:r>
        <w:rPr>
          <w:rFonts w:cs="Calibri"/>
        </w:rPr>
        <w:t xml:space="preserve">address objectives, outcomes and targets agreed to by key local stakeholders and demonstrate improved education and training outcomes for </w:t>
      </w:r>
      <w:r w:rsidRPr="00245981">
        <w:rPr>
          <w:rFonts w:cs="Calibri"/>
        </w:rPr>
        <w:t>young people in their community</w:t>
      </w:r>
      <w:r w:rsidR="00B03B44">
        <w:rPr>
          <w:rFonts w:cs="Calibri"/>
        </w:rPr>
        <w:t xml:space="preserve">. </w:t>
      </w:r>
      <w:r>
        <w:rPr>
          <w:rFonts w:cs="Calibri"/>
        </w:rPr>
        <w:t>It should be recognised that u</w:t>
      </w:r>
      <w:r w:rsidRPr="006100C3">
        <w:rPr>
          <w:rFonts w:cs="Calibri"/>
        </w:rPr>
        <w:t>sing the number of partnerships as a mechan</w:t>
      </w:r>
      <w:r>
        <w:rPr>
          <w:rFonts w:cs="Calibri"/>
        </w:rPr>
        <w:t>ism for evaluating progress has limitations.  Given the place</w:t>
      </w:r>
      <w:r w:rsidR="000240C5">
        <w:rPr>
          <w:rFonts w:cs="Calibri"/>
        </w:rPr>
        <w:t>-</w:t>
      </w:r>
      <w:r>
        <w:rPr>
          <w:rFonts w:cs="Calibri"/>
        </w:rPr>
        <w:t>based nature of the initiative, there remains an ongoing challenge in aggregating outcomes across the state.</w:t>
      </w:r>
    </w:p>
    <w:p w14:paraId="5B3D95A0" w14:textId="77777777" w:rsidR="00441186" w:rsidRDefault="00441186" w:rsidP="002D74B7">
      <w:pPr>
        <w:spacing w:after="120"/>
        <w:jc w:val="both"/>
        <w:rPr>
          <w:rFonts w:cs="Calibri"/>
        </w:rPr>
      </w:pPr>
      <w:r>
        <w:rPr>
          <w:rFonts w:cs="Calibri"/>
        </w:rPr>
        <w:t>In July 2012</w:t>
      </w:r>
      <w:r w:rsidR="000240C5">
        <w:rPr>
          <w:rFonts w:cs="Calibri"/>
        </w:rPr>
        <w:t>,</w:t>
      </w:r>
      <w:r w:rsidRPr="00245981">
        <w:rPr>
          <w:rFonts w:cs="Calibri"/>
        </w:rPr>
        <w:t xml:space="preserve"> </w:t>
      </w:r>
      <w:r>
        <w:rPr>
          <w:rFonts w:cs="Calibri"/>
        </w:rPr>
        <w:t>a Partner Survey was administered in Victoria using a similar tool to that used with Partnership Brokers across all jurisdictions.  The survey reported</w:t>
      </w:r>
      <w:r w:rsidRPr="00245981">
        <w:rPr>
          <w:rFonts w:cs="Calibri"/>
        </w:rPr>
        <w:t xml:space="preserve"> partner organisations’ views on the quality of the partnership </w:t>
      </w:r>
      <w:r>
        <w:rPr>
          <w:rFonts w:cs="Calibri"/>
        </w:rPr>
        <w:t>in which they are involved</w:t>
      </w:r>
      <w:r w:rsidRPr="00245981">
        <w:rPr>
          <w:rFonts w:cs="Calibri"/>
        </w:rPr>
        <w:t xml:space="preserve"> and the effectiveness of the </w:t>
      </w:r>
      <w:r>
        <w:rPr>
          <w:rFonts w:cs="Calibri"/>
        </w:rPr>
        <w:t>LLEN</w:t>
      </w:r>
      <w:r w:rsidRPr="00245981">
        <w:rPr>
          <w:rFonts w:cs="Calibri"/>
        </w:rPr>
        <w:t xml:space="preserve"> role. </w:t>
      </w:r>
      <w:r>
        <w:rPr>
          <w:rFonts w:cs="Calibri"/>
        </w:rPr>
        <w:t xml:space="preserve"> </w:t>
      </w:r>
      <w:r w:rsidR="000240C5">
        <w:rPr>
          <w:rFonts w:cs="Calibri"/>
        </w:rPr>
        <w:t xml:space="preserve">Thirty-one </w:t>
      </w:r>
      <w:proofErr w:type="spellStart"/>
      <w:r>
        <w:rPr>
          <w:rFonts w:cs="Calibri"/>
        </w:rPr>
        <w:t>LLENs</w:t>
      </w:r>
      <w:proofErr w:type="spellEnd"/>
      <w:r>
        <w:rPr>
          <w:rFonts w:cs="Calibri"/>
        </w:rPr>
        <w:t xml:space="preserve"> were asked to provide survey information to the participating partners in each of 10 separate partnerships facilitated/brokered by the LLEN. The total number of survey responses was 964. The Victorian survey findings were extremely positive.</w:t>
      </w:r>
    </w:p>
    <w:p w14:paraId="64A20E96" w14:textId="256C6504" w:rsidR="00441186" w:rsidRDefault="00441186" w:rsidP="002D74B7">
      <w:pPr>
        <w:spacing w:after="120"/>
        <w:jc w:val="both"/>
        <w:rPr>
          <w:rFonts w:cs="Calibri"/>
        </w:rPr>
      </w:pPr>
      <w:r>
        <w:rPr>
          <w:rFonts w:cs="Calibri"/>
        </w:rPr>
        <w:t>In Victoria, the majority of partnership organisations felt that the LLEN provides valuable support (92%</w:t>
      </w:r>
      <w:r w:rsidR="002A430B">
        <w:rPr>
          <w:rFonts w:cs="Calibri"/>
        </w:rPr>
        <w:t>)</w:t>
      </w:r>
      <w:r>
        <w:rPr>
          <w:rFonts w:cs="Calibri"/>
        </w:rPr>
        <w:t xml:space="preserve"> was instrumental in establishing the partnership (84%), supported the partnership to achieve its goals (90%), and has appropriate mechanisms in place to monitor and review outcomes and progress (75%).</w:t>
      </w:r>
    </w:p>
    <w:p w14:paraId="38168D2C" w14:textId="77777777" w:rsidR="00441186" w:rsidRPr="00D12065" w:rsidRDefault="00441186" w:rsidP="002D74B7">
      <w:pPr>
        <w:spacing w:after="120"/>
        <w:jc w:val="both"/>
        <w:rPr>
          <w:rFonts w:cs="Calibri"/>
        </w:rPr>
      </w:pPr>
      <w:r>
        <w:rPr>
          <w:rFonts w:cs="Calibri"/>
        </w:rPr>
        <w:t>O</w:t>
      </w:r>
      <w:r w:rsidRPr="00D12065">
        <w:rPr>
          <w:rFonts w:cs="Calibri"/>
        </w:rPr>
        <w:t xml:space="preserve">verwhelmingly </w:t>
      </w:r>
      <w:r>
        <w:rPr>
          <w:rFonts w:cs="Calibri"/>
        </w:rPr>
        <w:t>supportive comments were received, f</w:t>
      </w:r>
      <w:r w:rsidRPr="00D12065">
        <w:rPr>
          <w:rFonts w:cs="Calibri"/>
        </w:rPr>
        <w:t>or example:</w:t>
      </w:r>
    </w:p>
    <w:p w14:paraId="5432B46A" w14:textId="77777777" w:rsidR="00441186" w:rsidRDefault="00441186" w:rsidP="003957AD">
      <w:pPr>
        <w:numPr>
          <w:ilvl w:val="0"/>
          <w:numId w:val="6"/>
        </w:numPr>
        <w:spacing w:after="120"/>
        <w:jc w:val="both"/>
      </w:pPr>
      <w:r w:rsidRPr="004A5510">
        <w:t>“</w:t>
      </w:r>
      <w:r>
        <w:t>This is a great program and gives us as a business an opportunity to give something back to the community.”</w:t>
      </w:r>
    </w:p>
    <w:p w14:paraId="384021C5" w14:textId="77777777" w:rsidR="00441186" w:rsidRDefault="00441186" w:rsidP="003957AD">
      <w:pPr>
        <w:numPr>
          <w:ilvl w:val="0"/>
          <w:numId w:val="6"/>
        </w:numPr>
        <w:spacing w:after="120"/>
        <w:jc w:val="both"/>
      </w:pPr>
      <w:r>
        <w:t>“Each partner understands the other’s operating environment, its strengths and limitations and respects the way work is done.  Very encouraging interaction 100% of the time, I have rarely encountered such a positive and engaging dynamic which is a credit to staff involved at the LLEN.”</w:t>
      </w:r>
    </w:p>
    <w:p w14:paraId="66B083AC" w14:textId="3DDB0EBC" w:rsidR="00441186" w:rsidRDefault="00441186" w:rsidP="003957AD">
      <w:pPr>
        <w:numPr>
          <w:ilvl w:val="0"/>
          <w:numId w:val="6"/>
        </w:numPr>
        <w:spacing w:after="120"/>
        <w:jc w:val="both"/>
      </w:pPr>
      <w:r>
        <w:t>The role of the LLEN in coordinating and energising the partnership is essential.”</w:t>
      </w:r>
    </w:p>
    <w:p w14:paraId="57B82049" w14:textId="77777777" w:rsidR="00307970" w:rsidRDefault="00441186" w:rsidP="00592A44">
      <w:pPr>
        <w:pStyle w:val="Heading4"/>
      </w:pPr>
      <w:r w:rsidRPr="00CC78E3">
        <w:lastRenderedPageBreak/>
        <w:t xml:space="preserve">Stakeholder membership of Local Learning and Employment Networks </w:t>
      </w:r>
    </w:p>
    <w:p w14:paraId="6742825E" w14:textId="4DBB694F" w:rsidR="00441186" w:rsidRPr="00CC78E3" w:rsidRDefault="00441186" w:rsidP="00307970">
      <w:pPr>
        <w:jc w:val="both"/>
      </w:pPr>
      <w:r>
        <w:rPr>
          <w:rFonts w:cs="Calibri"/>
        </w:rPr>
        <w:t>A feature of the LLEN model of partnership support is its governance arrangements which seek to ensure b</w:t>
      </w:r>
      <w:r w:rsidR="00F82724">
        <w:rPr>
          <w:rFonts w:cs="Calibri"/>
        </w:rPr>
        <w:t>r</w:t>
      </w:r>
      <w:r>
        <w:rPr>
          <w:rFonts w:cs="Calibri"/>
        </w:rPr>
        <w:t>oad based support and representation from key community stakeholder groups on Board</w:t>
      </w:r>
      <w:r w:rsidR="00B03B44">
        <w:rPr>
          <w:rFonts w:cs="Calibri"/>
        </w:rPr>
        <w:t>s and Committees of Management.</w:t>
      </w:r>
      <w:r>
        <w:rPr>
          <w:rFonts w:cs="Calibri"/>
        </w:rPr>
        <w:t xml:space="preserve"> In 2012, </w:t>
      </w:r>
      <w:r w:rsidR="00AA1063">
        <w:rPr>
          <w:rFonts w:cs="Calibri"/>
        </w:rPr>
        <w:t>81</w:t>
      </w:r>
      <w:r>
        <w:rPr>
          <w:rFonts w:cs="Calibri"/>
        </w:rPr>
        <w:t xml:space="preserve"> Schools (Catholic, Government and Independent) and </w:t>
      </w:r>
      <w:r w:rsidR="00AA1063">
        <w:rPr>
          <w:rFonts w:cs="Calibri"/>
        </w:rPr>
        <w:t>102</w:t>
      </w:r>
      <w:r>
        <w:rPr>
          <w:rFonts w:cs="Calibri"/>
        </w:rPr>
        <w:t xml:space="preserve"> Registered Training Organisations and other education institutions such as Universities were represented on LLEN Bo</w:t>
      </w:r>
      <w:r w:rsidR="00B03B44">
        <w:rPr>
          <w:rFonts w:cs="Calibri"/>
        </w:rPr>
        <w:t xml:space="preserve">ards/Committees of Management. </w:t>
      </w:r>
      <w:r>
        <w:rPr>
          <w:rFonts w:cs="Calibri"/>
        </w:rPr>
        <w:t xml:space="preserve">This number is less than 2011 (99 Schools and 118 Registered Training Organisations) </w:t>
      </w:r>
      <w:r w:rsidR="000240C5">
        <w:rPr>
          <w:rFonts w:cs="Calibri"/>
        </w:rPr>
        <w:t xml:space="preserve">which </w:t>
      </w:r>
      <w:r>
        <w:rPr>
          <w:rFonts w:cs="Calibri"/>
        </w:rPr>
        <w:t xml:space="preserve">is due to a number of </w:t>
      </w:r>
      <w:proofErr w:type="spellStart"/>
      <w:r>
        <w:rPr>
          <w:rFonts w:cs="Calibri"/>
        </w:rPr>
        <w:t>LLENs</w:t>
      </w:r>
      <w:proofErr w:type="spellEnd"/>
      <w:r>
        <w:rPr>
          <w:rFonts w:cs="Calibri"/>
        </w:rPr>
        <w:t xml:space="preserve"> seeking greater balance in the stakeholder categories represented including participation in 2012 by business and industry (67), Local Government (61) a</w:t>
      </w:r>
      <w:r w:rsidR="00B03B44">
        <w:rPr>
          <w:rFonts w:cs="Calibri"/>
        </w:rPr>
        <w:t>nd Community (51) stakeholders.</w:t>
      </w:r>
      <w:r>
        <w:rPr>
          <w:rFonts w:cs="Calibri"/>
        </w:rPr>
        <w:t xml:space="preserve"> The number of members continues to be high with </w:t>
      </w:r>
      <w:r w:rsidRPr="00944745">
        <w:rPr>
          <w:rFonts w:eastAsia="Times New Roman"/>
          <w:color w:val="000000"/>
          <w:lang w:eastAsia="en-AU"/>
        </w:rPr>
        <w:t>5</w:t>
      </w:r>
      <w:r w:rsidR="003F7925">
        <w:rPr>
          <w:rFonts w:eastAsia="Times New Roman"/>
          <w:color w:val="000000"/>
          <w:lang w:eastAsia="en-AU"/>
        </w:rPr>
        <w:t>,</w:t>
      </w:r>
      <w:r w:rsidRPr="00944745">
        <w:rPr>
          <w:rFonts w:eastAsia="Times New Roman"/>
          <w:color w:val="000000"/>
          <w:lang w:eastAsia="en-AU"/>
        </w:rPr>
        <w:t>592</w:t>
      </w:r>
      <w:r>
        <w:rPr>
          <w:rFonts w:eastAsia="Times New Roman"/>
          <w:color w:val="000000"/>
          <w:lang w:eastAsia="en-AU"/>
        </w:rPr>
        <w:t xml:space="preserve"> organisations and individuals involved in 2012 compared with 5</w:t>
      </w:r>
      <w:r w:rsidR="000240C5">
        <w:rPr>
          <w:rFonts w:eastAsia="Times New Roman"/>
          <w:color w:val="000000"/>
          <w:lang w:eastAsia="en-AU"/>
        </w:rPr>
        <w:t>,</w:t>
      </w:r>
      <w:r>
        <w:rPr>
          <w:rFonts w:eastAsia="Times New Roman"/>
          <w:color w:val="000000"/>
          <w:lang w:eastAsia="en-AU"/>
        </w:rPr>
        <w:t xml:space="preserve">369 in 2011. </w:t>
      </w:r>
      <w:r>
        <w:rPr>
          <w:rFonts w:cs="Calibri"/>
        </w:rPr>
        <w:t>LLEN Committee/Board and membershi</w:t>
      </w:r>
      <w:r w:rsidR="008544B6">
        <w:rPr>
          <w:rFonts w:cs="Calibri"/>
        </w:rPr>
        <w:t>p details are listed in Table 15</w:t>
      </w:r>
      <w:r w:rsidR="003F7925">
        <w:rPr>
          <w:rFonts w:cs="Calibri"/>
        </w:rPr>
        <w:t>.</w:t>
      </w:r>
    </w:p>
    <w:p w14:paraId="7D903A9E" w14:textId="77777777" w:rsidR="00441186" w:rsidRPr="006100C3" w:rsidRDefault="00441186" w:rsidP="00592A44">
      <w:pPr>
        <w:pStyle w:val="Heading4"/>
      </w:pPr>
      <w:r w:rsidRPr="006100C3">
        <w:t>Performance of Partnership Brokers (</w:t>
      </w:r>
      <w:proofErr w:type="spellStart"/>
      <w:r w:rsidRPr="006100C3">
        <w:t>LLENs</w:t>
      </w:r>
      <w:proofErr w:type="spellEnd"/>
      <w:r w:rsidRPr="006100C3">
        <w:t>) in Victoria</w:t>
      </w:r>
    </w:p>
    <w:p w14:paraId="56F550D0" w14:textId="339C806C" w:rsidR="009632F8" w:rsidRDefault="00441186" w:rsidP="009632F8">
      <w:pPr>
        <w:keepNext/>
        <w:spacing w:after="120"/>
        <w:jc w:val="both"/>
        <w:rPr>
          <w:rFonts w:cs="Calibri"/>
        </w:rPr>
      </w:pPr>
      <w:r w:rsidRPr="006100C3">
        <w:rPr>
          <w:rFonts w:cs="Calibri"/>
        </w:rPr>
        <w:t xml:space="preserve">The following section provides information relating to partnerships facilitated by </w:t>
      </w:r>
      <w:proofErr w:type="spellStart"/>
      <w:r w:rsidRPr="006100C3">
        <w:rPr>
          <w:rFonts w:cs="Calibri"/>
        </w:rPr>
        <w:t>LLENs</w:t>
      </w:r>
      <w:proofErr w:type="spellEnd"/>
      <w:r>
        <w:rPr>
          <w:rFonts w:cs="Calibri"/>
        </w:rPr>
        <w:t>,</w:t>
      </w:r>
      <w:r w:rsidRPr="006100C3">
        <w:rPr>
          <w:rFonts w:cs="Calibri"/>
        </w:rPr>
        <w:t xml:space="preserve"> relevant to each </w:t>
      </w:r>
      <w:r>
        <w:rPr>
          <w:rFonts w:cs="Calibri"/>
        </w:rPr>
        <w:t>outcome area</w:t>
      </w:r>
      <w:r w:rsidRPr="006100C3">
        <w:rPr>
          <w:rFonts w:cs="Calibri"/>
        </w:rPr>
        <w:t>. Outcomes 1-4 relate to the key stakeholder groups of the Partnership Brokers initiative</w:t>
      </w:r>
      <w:r>
        <w:rPr>
          <w:rFonts w:cs="Calibri"/>
        </w:rPr>
        <w:t>.</w:t>
      </w:r>
    </w:p>
    <w:p w14:paraId="3E80428E" w14:textId="1C2A2D3B" w:rsidR="00441186" w:rsidRPr="009C7287" w:rsidRDefault="00441186" w:rsidP="009632F8">
      <w:pPr>
        <w:keepNext/>
        <w:spacing w:after="120"/>
        <w:jc w:val="both"/>
        <w:rPr>
          <w:rFonts w:cs="Calibri"/>
        </w:rPr>
      </w:pPr>
      <w:r w:rsidRPr="007F4AC5">
        <w:rPr>
          <w:rFonts w:cs="Calibri"/>
          <w:b/>
          <w:i/>
        </w:rPr>
        <w:t>OUTCOME 1:</w:t>
      </w:r>
      <w:r w:rsidR="0089320F">
        <w:rPr>
          <w:rFonts w:cs="Calibri"/>
          <w:i/>
        </w:rPr>
        <w:tab/>
      </w:r>
      <w:r w:rsidRPr="002D74B7">
        <w:rPr>
          <w:rFonts w:cs="Calibri"/>
          <w:i/>
        </w:rPr>
        <w:t>Education and training providers partnering with stakeholders in their community to ensure all young people participate in challenging, relevant and engaging learning that broadens personal aspirations and improves education and transition outcomes.</w:t>
      </w:r>
    </w:p>
    <w:p w14:paraId="5986252A" w14:textId="77777777" w:rsidR="00441186" w:rsidRPr="006100C3" w:rsidRDefault="00441186" w:rsidP="009632F8">
      <w:pPr>
        <w:spacing w:after="120" w:line="240" w:lineRule="auto"/>
        <w:jc w:val="both"/>
        <w:rPr>
          <w:rFonts w:cs="Calibri"/>
        </w:rPr>
      </w:pPr>
      <w:r w:rsidRPr="006100C3">
        <w:rPr>
          <w:rFonts w:cs="Calibri"/>
        </w:rPr>
        <w:t xml:space="preserve">LLEN </w:t>
      </w:r>
      <w:r>
        <w:rPr>
          <w:rFonts w:cs="Calibri"/>
        </w:rPr>
        <w:t>strategies</w:t>
      </w:r>
      <w:r w:rsidRPr="006100C3">
        <w:rPr>
          <w:rFonts w:cs="Calibri"/>
        </w:rPr>
        <w:t xml:space="preserve"> in relation to this outcome centre on:  </w:t>
      </w:r>
    </w:p>
    <w:p w14:paraId="0A4CA576" w14:textId="77777777" w:rsidR="00441186" w:rsidRPr="00EB132C" w:rsidRDefault="00441186" w:rsidP="003957AD">
      <w:pPr>
        <w:numPr>
          <w:ilvl w:val="0"/>
          <w:numId w:val="6"/>
        </w:numPr>
        <w:spacing w:after="120"/>
        <w:ind w:left="714" w:hanging="357"/>
        <w:jc w:val="both"/>
      </w:pPr>
      <w:r w:rsidRPr="00EB132C">
        <w:t>Improving retention and attainment rates, the creation or improvement of pathway options, and increasing aspirations for local young people;</w:t>
      </w:r>
    </w:p>
    <w:p w14:paraId="3974543E" w14:textId="0E44970C" w:rsidR="00441186" w:rsidRPr="00EB132C" w:rsidRDefault="00441186" w:rsidP="003957AD">
      <w:pPr>
        <w:numPr>
          <w:ilvl w:val="0"/>
          <w:numId w:val="6"/>
        </w:numPr>
        <w:spacing w:after="120"/>
        <w:ind w:left="714" w:hanging="357"/>
        <w:jc w:val="both"/>
      </w:pPr>
      <w:r w:rsidRPr="00EB132C">
        <w:t>Developing partnership strategies to build the capacity and effectiveness of career development and transition support programs in their area;</w:t>
      </w:r>
      <w:r w:rsidR="000703C7">
        <w:t xml:space="preserve"> and</w:t>
      </w:r>
    </w:p>
    <w:p w14:paraId="65A6EBA7" w14:textId="78C8E5AC" w:rsidR="00441186" w:rsidRPr="00EB132C" w:rsidRDefault="00441186" w:rsidP="003957AD">
      <w:pPr>
        <w:numPr>
          <w:ilvl w:val="0"/>
          <w:numId w:val="6"/>
        </w:numPr>
        <w:spacing w:after="120"/>
        <w:ind w:left="714" w:hanging="357"/>
        <w:jc w:val="both"/>
      </w:pPr>
      <w:r w:rsidRPr="00EB132C">
        <w:t xml:space="preserve">Participating with </w:t>
      </w:r>
      <w:proofErr w:type="spellStart"/>
      <w:r w:rsidRPr="00EB132C">
        <w:t>DEECD</w:t>
      </w:r>
      <w:proofErr w:type="spellEnd"/>
      <w:r w:rsidRPr="00EB132C">
        <w:t xml:space="preserve"> Regional Offices</w:t>
      </w:r>
      <w:r w:rsidR="00C67D0C">
        <w:t>,</w:t>
      </w:r>
      <w:r w:rsidRPr="00EB132C">
        <w:t xml:space="preserve"> TAFE and L</w:t>
      </w:r>
      <w:r w:rsidR="00C67D0C">
        <w:t>earn Local planning processes to collaborat</w:t>
      </w:r>
      <w:r w:rsidRPr="00EB132C">
        <w:t xml:space="preserve">e </w:t>
      </w:r>
      <w:r w:rsidR="00C67D0C">
        <w:t>and plan</w:t>
      </w:r>
      <w:r w:rsidRPr="00EB132C">
        <w:t xml:space="preserve"> for</w:t>
      </w:r>
      <w:r w:rsidR="00C67D0C">
        <w:t xml:space="preserve"> the</w:t>
      </w:r>
      <w:r w:rsidRPr="00EB132C">
        <w:t xml:space="preserve"> local delivery of multiple learning pathways.</w:t>
      </w:r>
    </w:p>
    <w:p w14:paraId="4FAB5EC0" w14:textId="77777777" w:rsidR="00441186" w:rsidRPr="00FA0551" w:rsidRDefault="00441186" w:rsidP="00C67D0C">
      <w:pPr>
        <w:spacing w:after="120"/>
        <w:jc w:val="both"/>
        <w:rPr>
          <w:rFonts w:cs="Calibri"/>
        </w:rPr>
      </w:pPr>
      <w:r w:rsidRPr="00FA0551">
        <w:rPr>
          <w:rFonts w:cs="Calibri"/>
        </w:rPr>
        <w:t>E</w:t>
      </w:r>
      <w:r>
        <w:rPr>
          <w:rFonts w:cs="Calibri"/>
        </w:rPr>
        <w:t xml:space="preserve">xamples of specific partnerships related to this outcome </w:t>
      </w:r>
      <w:r w:rsidRPr="00FA0551">
        <w:rPr>
          <w:rFonts w:cs="Calibri"/>
        </w:rPr>
        <w:t>include:</w:t>
      </w:r>
    </w:p>
    <w:p w14:paraId="7C5ED9F7" w14:textId="77777777" w:rsidR="00441186" w:rsidRPr="003F68EE" w:rsidRDefault="00441186" w:rsidP="003957AD">
      <w:pPr>
        <w:numPr>
          <w:ilvl w:val="0"/>
          <w:numId w:val="7"/>
        </w:numPr>
        <w:spacing w:after="120"/>
        <w:jc w:val="both"/>
      </w:pPr>
      <w:r w:rsidRPr="003F68EE">
        <w:t xml:space="preserve">The </w:t>
      </w:r>
      <w:proofErr w:type="spellStart"/>
      <w:r w:rsidRPr="003F68EE">
        <w:t>Wynbay</w:t>
      </w:r>
      <w:proofErr w:type="spellEnd"/>
      <w:r w:rsidRPr="003F68EE">
        <w:t xml:space="preserve"> LLEN worked with the Melbourne City Mission, the </w:t>
      </w:r>
      <w:proofErr w:type="spellStart"/>
      <w:r w:rsidRPr="003F68EE">
        <w:t>Heathdale</w:t>
      </w:r>
      <w:proofErr w:type="spellEnd"/>
      <w:r w:rsidRPr="003F68EE">
        <w:t xml:space="preserve"> and Neighbours Community Shed in Werribee an</w:t>
      </w:r>
      <w:r w:rsidR="0089320F">
        <w:t xml:space="preserve">d the Gordon Institute of TAFE </w:t>
      </w:r>
      <w:r w:rsidRPr="003F68EE">
        <w:t xml:space="preserve">to offer the Certificate II in Building and Construction Carpentry pre-apprenticeship. The partnership led to the first local provision of the qualification in Wyndham and has greatly benefitted young people seeking careers in the building and construction industry. The program commenced with 51 enrolments in 2011 and in 2012 an additional 39 enrolments from </w:t>
      </w:r>
      <w:r w:rsidR="003F7925">
        <w:t xml:space="preserve">five </w:t>
      </w:r>
      <w:r w:rsidRPr="003F68EE">
        <w:t>schools in the Wyndham Cluster area. The initiative has made a positive contribution to increasing</w:t>
      </w:r>
      <w:r w:rsidRPr="003F68EE">
        <w:rPr>
          <w:bCs/>
          <w:iCs/>
        </w:rPr>
        <w:t xml:space="preserve"> real retention rates in state secondary schools in the Wyndham area. </w:t>
      </w:r>
      <w:r w:rsidRPr="003F68EE">
        <w:t>Students will continue to enrol in the certificate delivered from the community shed facilities in 2013 and 2014 until the new Wyndham Trade Training Centre Hub for carpentry is completed and operational.</w:t>
      </w:r>
    </w:p>
    <w:p w14:paraId="5DDCE059" w14:textId="77777777" w:rsidR="00441186" w:rsidRPr="003F68EE" w:rsidRDefault="00441186" w:rsidP="003957AD">
      <w:pPr>
        <w:numPr>
          <w:ilvl w:val="0"/>
          <w:numId w:val="7"/>
        </w:numPr>
        <w:spacing w:after="120"/>
        <w:jc w:val="both"/>
      </w:pPr>
      <w:r w:rsidRPr="003F68EE">
        <w:t xml:space="preserve">The Maribyrnong and Moonee Valley LLEN facilitated a partnership between the Kensington Community College and Melbourne City Mission to establish a community </w:t>
      </w:r>
      <w:proofErr w:type="spellStart"/>
      <w:r w:rsidRPr="003F68EE">
        <w:t>VCAL</w:t>
      </w:r>
      <w:proofErr w:type="spellEnd"/>
      <w:r w:rsidRPr="003F68EE">
        <w:t xml:space="preserve"> program for young people with a high level of disadvantage. The partnership has resulted in the registration of the Melbourne City Mission as a Non</w:t>
      </w:r>
      <w:r w:rsidR="003F7925">
        <w:t>-</w:t>
      </w:r>
      <w:r w:rsidRPr="003F68EE">
        <w:t xml:space="preserve">School Provider of Senior Education and 20 vulnerable young people have enrolled in the </w:t>
      </w:r>
      <w:proofErr w:type="spellStart"/>
      <w:r w:rsidRPr="003F68EE">
        <w:t>VCAL</w:t>
      </w:r>
      <w:proofErr w:type="spellEnd"/>
      <w:r w:rsidRPr="003F68EE">
        <w:t xml:space="preserve"> program to commence delivery in 2013.</w:t>
      </w:r>
    </w:p>
    <w:p w14:paraId="5FA23FA8" w14:textId="2099DAAC" w:rsidR="00A35972" w:rsidRPr="00F167FB" w:rsidRDefault="00441186" w:rsidP="003957AD">
      <w:pPr>
        <w:numPr>
          <w:ilvl w:val="0"/>
          <w:numId w:val="7"/>
        </w:numPr>
        <w:spacing w:after="120"/>
        <w:jc w:val="both"/>
        <w:rPr>
          <w:rFonts w:eastAsia="Arial Unicode MS" w:cs="Arial"/>
          <w:b/>
        </w:rPr>
      </w:pPr>
      <w:r w:rsidRPr="003F68EE">
        <w:t xml:space="preserve">Outer Eastern LLEN brokered a partnership to commence the </w:t>
      </w:r>
      <w:r w:rsidRPr="003F68EE">
        <w:rPr>
          <w:rFonts w:eastAsia="Arial Unicode MS" w:cs="Arial"/>
          <w:i/>
        </w:rPr>
        <w:t xml:space="preserve">ADD </w:t>
      </w:r>
      <w:proofErr w:type="gramStart"/>
      <w:r w:rsidRPr="003F68EE">
        <w:rPr>
          <w:rFonts w:eastAsia="Arial Unicode MS" w:cs="Arial"/>
          <w:i/>
        </w:rPr>
        <w:t>Me</w:t>
      </w:r>
      <w:proofErr w:type="gramEnd"/>
      <w:r w:rsidRPr="003F68EE">
        <w:rPr>
          <w:rFonts w:eastAsia="Arial Unicode MS" w:cs="Arial"/>
          <w:i/>
        </w:rPr>
        <w:t xml:space="preserve"> program for students ‘at risk’</w:t>
      </w:r>
      <w:r w:rsidR="00485599">
        <w:rPr>
          <w:rFonts w:eastAsia="Arial Unicode MS" w:cs="Arial"/>
          <w:i/>
        </w:rPr>
        <w:t>,</w:t>
      </w:r>
      <w:r w:rsidRPr="003F68EE">
        <w:rPr>
          <w:rFonts w:eastAsia="Arial Unicode MS" w:cs="Arial"/>
        </w:rPr>
        <w:t xml:space="preserve"> a</w:t>
      </w:r>
      <w:r w:rsidRPr="003F68EE">
        <w:rPr>
          <w:rFonts w:cs="Arial"/>
        </w:rPr>
        <w:t xml:space="preserve"> pilot for a group of ten </w:t>
      </w:r>
      <w:r w:rsidR="00485599">
        <w:rPr>
          <w:rFonts w:cs="Arial"/>
        </w:rPr>
        <w:t>Y</w:t>
      </w:r>
      <w:r w:rsidRPr="003F68EE">
        <w:rPr>
          <w:rFonts w:cs="Arial"/>
        </w:rPr>
        <w:t xml:space="preserve">ear 10 ‘at risk’ students at Croydon Community School. The partnership </w:t>
      </w:r>
      <w:r w:rsidRPr="003F68EE">
        <w:rPr>
          <w:rFonts w:cs="Arial"/>
        </w:rPr>
        <w:lastRenderedPageBreak/>
        <w:t>includes Victoria Police, Eastern Access Community Health and Swinburne University. The partnership aims to keep students engaged in education, to help them build a sense of their community and introduce work related skills. Two students will be taking up apprenticeships and a further three have attained ongoing part</w:t>
      </w:r>
      <w:r w:rsidR="00DE01C0">
        <w:rPr>
          <w:rFonts w:cs="Arial"/>
        </w:rPr>
        <w:t>-</w:t>
      </w:r>
      <w:r w:rsidRPr="003F68EE">
        <w:rPr>
          <w:rFonts w:cs="Arial"/>
        </w:rPr>
        <w:t xml:space="preserve">time employment. </w:t>
      </w:r>
    </w:p>
    <w:p w14:paraId="7C783457" w14:textId="77777777" w:rsidR="00441186" w:rsidRPr="006100C3" w:rsidRDefault="00441186" w:rsidP="000703C7">
      <w:pPr>
        <w:keepNext/>
        <w:spacing w:after="120"/>
        <w:ind w:left="1440" w:hanging="1440"/>
        <w:jc w:val="both"/>
        <w:rPr>
          <w:rFonts w:cs="Calibri"/>
          <w:i/>
        </w:rPr>
      </w:pPr>
      <w:r w:rsidRPr="007F4AC5">
        <w:rPr>
          <w:rFonts w:cs="Calibri"/>
          <w:b/>
          <w:i/>
        </w:rPr>
        <w:t>OUTCOME 2</w:t>
      </w:r>
      <w:r w:rsidR="0089320F">
        <w:rPr>
          <w:rFonts w:cs="Calibri"/>
          <w:i/>
        </w:rPr>
        <w:t>:</w:t>
      </w:r>
      <w:r w:rsidR="0089320F">
        <w:rPr>
          <w:rFonts w:cs="Calibri"/>
          <w:i/>
        </w:rPr>
        <w:tab/>
      </w:r>
      <w:r w:rsidRPr="002D74B7">
        <w:rPr>
          <w:rFonts w:cs="Calibri"/>
          <w:i/>
        </w:rPr>
        <w:t>Business and industry actively engaged in sustainable partnerships that develop the work readiness of young people, contribute to the skills and knowledge of the future workforce and improve young people’s education and transition outcomes.</w:t>
      </w:r>
    </w:p>
    <w:p w14:paraId="0903D53C" w14:textId="77777777" w:rsidR="00A859F8" w:rsidRDefault="00441186" w:rsidP="000703C7">
      <w:pPr>
        <w:spacing w:after="120"/>
        <w:jc w:val="both"/>
        <w:rPr>
          <w:rFonts w:cs="Calibri"/>
        </w:rPr>
      </w:pPr>
      <w:r w:rsidRPr="006100C3">
        <w:rPr>
          <w:rFonts w:cs="Calibri"/>
        </w:rPr>
        <w:t xml:space="preserve">LLEN </w:t>
      </w:r>
      <w:r>
        <w:rPr>
          <w:rFonts w:cs="Calibri"/>
        </w:rPr>
        <w:t>strategies</w:t>
      </w:r>
      <w:r w:rsidRPr="006100C3">
        <w:rPr>
          <w:rFonts w:cs="Calibri"/>
        </w:rPr>
        <w:t xml:space="preserve"> in relation to this outcome centre </w:t>
      </w:r>
      <w:r w:rsidR="00A859F8">
        <w:rPr>
          <w:rFonts w:cs="Calibri"/>
        </w:rPr>
        <w:t xml:space="preserve">on: </w:t>
      </w:r>
    </w:p>
    <w:p w14:paraId="131E2E02" w14:textId="73181DCF" w:rsidR="00441186" w:rsidRPr="00A859F8" w:rsidRDefault="00441186" w:rsidP="003957AD">
      <w:pPr>
        <w:pStyle w:val="ListParagraph"/>
        <w:numPr>
          <w:ilvl w:val="0"/>
          <w:numId w:val="24"/>
        </w:numPr>
        <w:spacing w:after="120"/>
        <w:contextualSpacing w:val="0"/>
        <w:jc w:val="both"/>
        <w:rPr>
          <w:rFonts w:cs="Calibri"/>
        </w:rPr>
      </w:pPr>
      <w:r w:rsidRPr="00EB132C">
        <w:t>Linking business and industry with partnership opportunities, schools (primary and secondary) and other education and training providers that assist in delivering relevant classroom programs and support for students;</w:t>
      </w:r>
    </w:p>
    <w:p w14:paraId="07D7B6E1" w14:textId="77777777" w:rsidR="00441186" w:rsidRPr="00EB132C" w:rsidRDefault="00441186" w:rsidP="003957AD">
      <w:pPr>
        <w:numPr>
          <w:ilvl w:val="0"/>
          <w:numId w:val="6"/>
        </w:numPr>
        <w:spacing w:after="120"/>
        <w:jc w:val="both"/>
      </w:pPr>
      <w:r w:rsidRPr="00EB132C">
        <w:t>Working to build business, industry and community engagement in education and training pathways;</w:t>
      </w:r>
    </w:p>
    <w:p w14:paraId="798F9965" w14:textId="77777777" w:rsidR="00441186" w:rsidRPr="00EB132C" w:rsidRDefault="00441186" w:rsidP="003957AD">
      <w:pPr>
        <w:numPr>
          <w:ilvl w:val="0"/>
          <w:numId w:val="6"/>
        </w:numPr>
        <w:spacing w:after="120"/>
        <w:jc w:val="both"/>
      </w:pPr>
      <w:r w:rsidRPr="00EB132C">
        <w:t>Creating strategic links and partnerships with business and industry, to improve and better coordinate employment opportunities, career information, pathways and outcomes for young people;</w:t>
      </w:r>
      <w:r w:rsidR="0099079D">
        <w:t xml:space="preserve"> and</w:t>
      </w:r>
    </w:p>
    <w:p w14:paraId="3E473C71" w14:textId="559E69D5" w:rsidR="00441186" w:rsidRPr="00A35972" w:rsidRDefault="00441186" w:rsidP="003957AD">
      <w:pPr>
        <w:numPr>
          <w:ilvl w:val="0"/>
          <w:numId w:val="6"/>
        </w:numPr>
        <w:spacing w:after="120"/>
        <w:jc w:val="both"/>
      </w:pPr>
      <w:r w:rsidRPr="00EB132C">
        <w:t>Addressing local and regional existing and emerging high priority skill needs by linking education and training with business, industry and economic development and in particular, with local and regional employment and enterprise opportunities</w:t>
      </w:r>
      <w:r>
        <w:t>.</w:t>
      </w:r>
    </w:p>
    <w:p w14:paraId="4DE68D79" w14:textId="77777777" w:rsidR="00441186" w:rsidRPr="00FA0551" w:rsidRDefault="00441186" w:rsidP="000703C7">
      <w:pPr>
        <w:spacing w:after="120"/>
        <w:jc w:val="both"/>
        <w:rPr>
          <w:rFonts w:cs="Calibri"/>
        </w:rPr>
      </w:pPr>
      <w:r w:rsidRPr="00FA0551">
        <w:rPr>
          <w:rFonts w:cs="Calibri"/>
        </w:rPr>
        <w:t>E</w:t>
      </w:r>
      <w:r>
        <w:rPr>
          <w:rFonts w:cs="Calibri"/>
        </w:rPr>
        <w:t xml:space="preserve">xamples of specific partnerships related to this outcome </w:t>
      </w:r>
      <w:r w:rsidRPr="00FA0551">
        <w:rPr>
          <w:rFonts w:cs="Calibri"/>
        </w:rPr>
        <w:t>include:</w:t>
      </w:r>
    </w:p>
    <w:p w14:paraId="20CE2D4E" w14:textId="09772FF5" w:rsidR="00441186" w:rsidRPr="003F68EE" w:rsidRDefault="00441186" w:rsidP="003957AD">
      <w:pPr>
        <w:numPr>
          <w:ilvl w:val="0"/>
          <w:numId w:val="8"/>
        </w:numPr>
        <w:spacing w:after="120"/>
        <w:jc w:val="both"/>
        <w:rPr>
          <w:rFonts w:cs="Arial"/>
        </w:rPr>
      </w:pPr>
      <w:r w:rsidRPr="003F68EE">
        <w:t>The South West</w:t>
      </w:r>
      <w:r w:rsidRPr="00C67D0C">
        <w:t xml:space="preserve"> LLEN </w:t>
      </w:r>
      <w:r w:rsidRPr="003F68EE">
        <w:t xml:space="preserve">brokered a partnership with </w:t>
      </w:r>
      <w:proofErr w:type="spellStart"/>
      <w:r w:rsidRPr="003F68EE">
        <w:rPr>
          <w:rFonts w:cs="Arial"/>
        </w:rPr>
        <w:t>WestVic</w:t>
      </w:r>
      <w:proofErr w:type="spellEnd"/>
      <w:r w:rsidRPr="003F68EE">
        <w:rPr>
          <w:rFonts w:cs="Arial"/>
        </w:rPr>
        <w:t xml:space="preserve"> Dairy and regional sc</w:t>
      </w:r>
      <w:r w:rsidR="0089320F">
        <w:rPr>
          <w:rFonts w:cs="Arial"/>
        </w:rPr>
        <w:t xml:space="preserve">hools to develop pathways from </w:t>
      </w:r>
      <w:r w:rsidR="00C67D0C" w:rsidRPr="003F68EE">
        <w:rPr>
          <w:rFonts w:cs="Arial"/>
        </w:rPr>
        <w:t>school to</w:t>
      </w:r>
      <w:r w:rsidRPr="003F68EE">
        <w:rPr>
          <w:rFonts w:cs="Arial"/>
        </w:rPr>
        <w:t xml:space="preserve"> the dairy industry in response to identified skill shortages. The project titled “</w:t>
      </w:r>
      <w:r w:rsidRPr="003F68EE">
        <w:rPr>
          <w:rFonts w:cs="Arial"/>
          <w:i/>
        </w:rPr>
        <w:t>From little things big things grow”</w:t>
      </w:r>
      <w:r w:rsidRPr="003F68EE">
        <w:rPr>
          <w:rFonts w:cs="Arial"/>
        </w:rPr>
        <w:t xml:space="preserve"> aimed to develop the capacity of the dairy industry to engage with its future workforce, that is, those who are currently at school. A workshop was arranged by the LLEN to discuss the challenges facing the industry</w:t>
      </w:r>
      <w:r w:rsidR="00C67D0C" w:rsidRPr="003F68EE">
        <w:rPr>
          <w:rFonts w:cs="Arial"/>
        </w:rPr>
        <w:t>, review</w:t>
      </w:r>
      <w:r w:rsidR="002646CA">
        <w:rPr>
          <w:rFonts w:cs="Arial"/>
        </w:rPr>
        <w:t xml:space="preserve"> </w:t>
      </w:r>
      <w:r w:rsidRPr="003F68EE">
        <w:rPr>
          <w:rFonts w:cs="Arial"/>
        </w:rPr>
        <w:t>the current activity being undertaken in the region to promote dairy as a career and attract and retain staff, assess opportunities to better coordinate that activity, and identify gaps and ways</w:t>
      </w:r>
      <w:r w:rsidR="000703C7">
        <w:rPr>
          <w:rFonts w:cs="Arial"/>
        </w:rPr>
        <w:t xml:space="preserve"> to fill them.</w:t>
      </w:r>
      <w:r w:rsidRPr="003F68EE">
        <w:rPr>
          <w:rFonts w:cs="Arial"/>
        </w:rPr>
        <w:t xml:space="preserve"> A number of </w:t>
      </w:r>
      <w:r w:rsidR="0051432F">
        <w:rPr>
          <w:rFonts w:cs="Arial"/>
        </w:rPr>
        <w:t>k</w:t>
      </w:r>
      <w:r w:rsidRPr="003F68EE">
        <w:rPr>
          <w:rFonts w:cs="Arial"/>
        </w:rPr>
        <w:t xml:space="preserve">ey stakeholders were involved in the workshop, including milk processors, farmers, group training organisations, schools, Dairy Australia, Department of Primary Industries, United Dairy Farmers of Victoria, Melbourne University, South West TAFE, National Centre of Dairy Education and </w:t>
      </w:r>
      <w:proofErr w:type="spellStart"/>
      <w:r w:rsidRPr="003F68EE">
        <w:rPr>
          <w:rFonts w:cs="Arial"/>
        </w:rPr>
        <w:t>WestVic</w:t>
      </w:r>
      <w:proofErr w:type="spellEnd"/>
      <w:r w:rsidRPr="003F68EE">
        <w:rPr>
          <w:rFonts w:cs="Arial"/>
        </w:rPr>
        <w:t xml:space="preserve"> Dairy. Outcomes to date include the appointment of a Dairy Careers </w:t>
      </w:r>
      <w:r w:rsidR="00C67D0C" w:rsidRPr="003F68EE">
        <w:rPr>
          <w:rFonts w:cs="Arial"/>
        </w:rPr>
        <w:t>Advisor and</w:t>
      </w:r>
      <w:r w:rsidRPr="003F68EE">
        <w:rPr>
          <w:rFonts w:cs="Arial"/>
        </w:rPr>
        <w:t xml:space="preserve"> the introduction of dairy and agriculture-related subjects in regional schools.</w:t>
      </w:r>
    </w:p>
    <w:p w14:paraId="20ACD4B7" w14:textId="24FEC3EF" w:rsidR="00441186" w:rsidRPr="003F68EE" w:rsidRDefault="00441186" w:rsidP="003957AD">
      <w:pPr>
        <w:numPr>
          <w:ilvl w:val="0"/>
          <w:numId w:val="8"/>
        </w:numPr>
        <w:spacing w:after="120"/>
        <w:jc w:val="both"/>
      </w:pPr>
      <w:r w:rsidRPr="003F68EE">
        <w:t xml:space="preserve">Highlands LLEN brokered a partnership between the </w:t>
      </w:r>
      <w:proofErr w:type="spellStart"/>
      <w:r w:rsidR="00C67D0C" w:rsidRPr="003F68EE">
        <w:t>VETiS</w:t>
      </w:r>
      <w:proofErr w:type="spellEnd"/>
      <w:r w:rsidRPr="003F68EE">
        <w:t xml:space="preserve"> Cluster, City of Ballarat, </w:t>
      </w:r>
      <w:proofErr w:type="spellStart"/>
      <w:r w:rsidRPr="003F68EE">
        <w:t>RTO</w:t>
      </w:r>
      <w:proofErr w:type="spellEnd"/>
      <w:r w:rsidRPr="003F68EE">
        <w:t xml:space="preserve"> </w:t>
      </w:r>
      <w:proofErr w:type="spellStart"/>
      <w:r w:rsidRPr="003F68EE">
        <w:t>NatAssess</w:t>
      </w:r>
      <w:proofErr w:type="spellEnd"/>
      <w:r w:rsidRPr="003F68EE">
        <w:t xml:space="preserve"> and the Ballarat Aero Club to facilitate the development of the Certificate III in Aviation</w:t>
      </w:r>
      <w:r w:rsidR="00C67D0C">
        <w:t>.</w:t>
      </w:r>
      <w:r w:rsidRPr="003F68EE">
        <w:t xml:space="preserve"> </w:t>
      </w:r>
      <w:r w:rsidR="00C67D0C">
        <w:t xml:space="preserve">Twelve students </w:t>
      </w:r>
      <w:r w:rsidRPr="003F68EE">
        <w:t>enrolled in 2012. This is in response to the upgrade of the Ballarat aerodrome to situate Ballarat as a freight hub for Western Victoria - linked to City of Ballarat plans for the Ballarat West Employment Zone.</w:t>
      </w:r>
    </w:p>
    <w:p w14:paraId="5DC84F4E" w14:textId="10229C6B" w:rsidR="00441186" w:rsidRPr="00A859F8" w:rsidRDefault="00441186" w:rsidP="003957AD">
      <w:pPr>
        <w:numPr>
          <w:ilvl w:val="0"/>
          <w:numId w:val="8"/>
        </w:numPr>
        <w:spacing w:after="240"/>
        <w:ind w:left="714" w:hanging="357"/>
        <w:jc w:val="both"/>
        <w:rPr>
          <w:rFonts w:eastAsia="Times New Roman"/>
          <w:color w:val="000000"/>
        </w:rPr>
      </w:pPr>
      <w:r>
        <w:rPr>
          <w:rFonts w:eastAsia="Times New Roman"/>
        </w:rPr>
        <w:t xml:space="preserve">The Geelong Region LLEN has initiated the “Careers in Health &amp; Community Services” project designed to develop education and training pathways for young people, including </w:t>
      </w:r>
      <w:r w:rsidR="006B4AA3">
        <w:rPr>
          <w:rFonts w:eastAsia="Times New Roman"/>
        </w:rPr>
        <w:t xml:space="preserve">Indigenous </w:t>
      </w:r>
      <w:r>
        <w:rPr>
          <w:rFonts w:eastAsia="Times New Roman"/>
        </w:rPr>
        <w:t>young people, to address skill shortages in the Health &amp; Community Services</w:t>
      </w:r>
      <w:r w:rsidR="000F622B">
        <w:rPr>
          <w:rFonts w:eastAsia="Times New Roman"/>
        </w:rPr>
        <w:t xml:space="preserve"> (</w:t>
      </w:r>
      <w:proofErr w:type="spellStart"/>
      <w:r w:rsidR="000F622B">
        <w:rPr>
          <w:rFonts w:eastAsia="Times New Roman"/>
        </w:rPr>
        <w:t>H&amp;CS</w:t>
      </w:r>
      <w:proofErr w:type="spellEnd"/>
      <w:r w:rsidR="000F622B">
        <w:rPr>
          <w:rFonts w:eastAsia="Times New Roman"/>
        </w:rPr>
        <w:t>)</w:t>
      </w:r>
      <w:r>
        <w:rPr>
          <w:rFonts w:eastAsia="Times New Roman"/>
        </w:rPr>
        <w:t xml:space="preserve"> industry in the Geelong area. The project is aligned to the Health &amp; Wellbeing Workforce Strategy and Plan and has linked employers in the </w:t>
      </w:r>
      <w:proofErr w:type="spellStart"/>
      <w:r>
        <w:rPr>
          <w:rFonts w:eastAsia="Times New Roman"/>
        </w:rPr>
        <w:t>H&amp;CS</w:t>
      </w:r>
      <w:proofErr w:type="spellEnd"/>
      <w:r>
        <w:rPr>
          <w:rFonts w:eastAsia="Times New Roman"/>
        </w:rPr>
        <w:t xml:space="preserve"> industry, schools, training providers, government departments and </w:t>
      </w:r>
      <w:r w:rsidR="00E54C7F">
        <w:rPr>
          <w:rFonts w:eastAsia="Times New Roman"/>
        </w:rPr>
        <w:t xml:space="preserve">Indigenous </w:t>
      </w:r>
      <w:r>
        <w:rPr>
          <w:rFonts w:eastAsia="Times New Roman"/>
        </w:rPr>
        <w:t>representatives to focus on an agreed Action Plan. Achievements to date include</w:t>
      </w:r>
      <w:r w:rsidR="00B9249D">
        <w:rPr>
          <w:rFonts w:eastAsia="Times New Roman"/>
        </w:rPr>
        <w:t>:</w:t>
      </w:r>
      <w:r>
        <w:rPr>
          <w:rFonts w:eastAsia="Times New Roman"/>
        </w:rPr>
        <w:t xml:space="preserve"> a </w:t>
      </w:r>
      <w:r>
        <w:rPr>
          <w:rFonts w:eastAsia="Times New Roman"/>
        </w:rPr>
        <w:lastRenderedPageBreak/>
        <w:t>coordinated program of awareness raising activities for students, parents a</w:t>
      </w:r>
      <w:r w:rsidR="0089320F">
        <w:rPr>
          <w:rFonts w:eastAsia="Times New Roman"/>
        </w:rPr>
        <w:t xml:space="preserve">nd teachers from Year 5 to 12; </w:t>
      </w:r>
      <w:r w:rsidR="00A753C6">
        <w:rPr>
          <w:rFonts w:eastAsia="Times New Roman"/>
        </w:rPr>
        <w:t xml:space="preserve">nine </w:t>
      </w:r>
      <w:r>
        <w:rPr>
          <w:rFonts w:eastAsia="Times New Roman"/>
        </w:rPr>
        <w:t xml:space="preserve">schools are involved in delivering two new VET pathways with 12 senior secondary students enrolled in Certificate III in Allied Health Assistance and </w:t>
      </w:r>
      <w:r w:rsidR="000800B9">
        <w:rPr>
          <w:rFonts w:eastAsia="Times New Roman"/>
        </w:rPr>
        <w:t xml:space="preserve">seven </w:t>
      </w:r>
      <w:r>
        <w:rPr>
          <w:rFonts w:eastAsia="Times New Roman"/>
        </w:rPr>
        <w:t>students enrolled in Certificate III in Community Services Work.</w:t>
      </w:r>
    </w:p>
    <w:p w14:paraId="68975C58" w14:textId="77777777" w:rsidR="00441186" w:rsidRPr="006100C3" w:rsidRDefault="00441186" w:rsidP="00A35972">
      <w:pPr>
        <w:spacing w:after="120"/>
        <w:ind w:left="1440" w:hanging="1440"/>
        <w:jc w:val="both"/>
        <w:rPr>
          <w:rFonts w:cs="Calibri"/>
          <w:bCs/>
        </w:rPr>
      </w:pPr>
      <w:r w:rsidRPr="007F4AC5">
        <w:rPr>
          <w:rFonts w:cs="Calibri"/>
          <w:b/>
          <w:bCs/>
          <w:i/>
        </w:rPr>
        <w:t>OUTCOME 3</w:t>
      </w:r>
      <w:r w:rsidR="0089320F">
        <w:rPr>
          <w:rFonts w:cs="Calibri"/>
          <w:bCs/>
          <w:i/>
        </w:rPr>
        <w:t>:</w:t>
      </w:r>
      <w:r w:rsidR="0089320F">
        <w:rPr>
          <w:rFonts w:cs="Calibri"/>
          <w:bCs/>
          <w:i/>
        </w:rPr>
        <w:tab/>
      </w:r>
      <w:r w:rsidRPr="002D74B7">
        <w:rPr>
          <w:rFonts w:cs="Calibri"/>
          <w:bCs/>
          <w:i/>
        </w:rPr>
        <w:t>Partnerships that support parents and families</w:t>
      </w:r>
      <w:r w:rsidRPr="002D74B7">
        <w:rPr>
          <w:rFonts w:cs="Calibri"/>
          <w:b/>
          <w:bCs/>
          <w:i/>
        </w:rPr>
        <w:t xml:space="preserve"> </w:t>
      </w:r>
      <w:r w:rsidRPr="002D74B7">
        <w:rPr>
          <w:rFonts w:cs="Calibri"/>
          <w:bCs/>
          <w:i/>
        </w:rPr>
        <w:t>to provide an informed and supportive environment for all young people to enable lifelong learning and career and pathway planning; and improve their education and transition outcomes.</w:t>
      </w:r>
    </w:p>
    <w:p w14:paraId="2C96DDA6" w14:textId="77777777" w:rsidR="00A859F8" w:rsidRDefault="00441186" w:rsidP="00A859F8">
      <w:pPr>
        <w:spacing w:after="120"/>
        <w:jc w:val="both"/>
        <w:rPr>
          <w:rFonts w:cs="Calibri"/>
        </w:rPr>
      </w:pPr>
      <w:r w:rsidRPr="006100C3">
        <w:rPr>
          <w:rFonts w:cs="Calibri"/>
        </w:rPr>
        <w:t xml:space="preserve">LLEN </w:t>
      </w:r>
      <w:r>
        <w:rPr>
          <w:rFonts w:cs="Calibri"/>
        </w:rPr>
        <w:t>strategies</w:t>
      </w:r>
      <w:r w:rsidRPr="006100C3">
        <w:rPr>
          <w:rFonts w:cs="Calibri"/>
        </w:rPr>
        <w:t xml:space="preserve"> in relation to this outcome centre on:  </w:t>
      </w:r>
    </w:p>
    <w:p w14:paraId="54BCE0B9" w14:textId="32C1EFBD" w:rsidR="00441186" w:rsidRPr="00A859F8" w:rsidRDefault="00441186" w:rsidP="003957AD">
      <w:pPr>
        <w:pStyle w:val="ListParagraph"/>
        <w:numPr>
          <w:ilvl w:val="0"/>
          <w:numId w:val="23"/>
        </w:numPr>
        <w:spacing w:after="120"/>
        <w:jc w:val="both"/>
        <w:rPr>
          <w:rFonts w:cs="Calibri"/>
        </w:rPr>
      </w:pPr>
      <w:r w:rsidRPr="00EB132C">
        <w:t>Maintaining regular contact with parent and family groups within their LLEN area, and looking for opportunities to develop relationships with peak parent and family associations and other groups representative of parents and families within their region;</w:t>
      </w:r>
    </w:p>
    <w:p w14:paraId="6D05E9D4" w14:textId="77777777" w:rsidR="00441186" w:rsidRPr="00EB132C" w:rsidRDefault="00441186" w:rsidP="003957AD">
      <w:pPr>
        <w:numPr>
          <w:ilvl w:val="0"/>
          <w:numId w:val="6"/>
        </w:numPr>
        <w:spacing w:after="120"/>
        <w:jc w:val="both"/>
      </w:pPr>
      <w:r w:rsidRPr="00EB132C">
        <w:t>Building partnerships that enhance the capacity of parents and families to support young people to engage in and achieve success in education or training, and to make informed decisions about their future and careers;</w:t>
      </w:r>
      <w:r w:rsidR="00B9249D">
        <w:t xml:space="preserve"> and</w:t>
      </w:r>
    </w:p>
    <w:p w14:paraId="6A0F5CD1" w14:textId="2BDE5DF5" w:rsidR="00441186" w:rsidRPr="00A859F8" w:rsidRDefault="00441186" w:rsidP="003957AD">
      <w:pPr>
        <w:numPr>
          <w:ilvl w:val="0"/>
          <w:numId w:val="6"/>
        </w:numPr>
        <w:spacing w:after="120"/>
        <w:jc w:val="both"/>
      </w:pPr>
      <w:r w:rsidRPr="00EB132C">
        <w:t xml:space="preserve">Building better understanding in the parent community (with a special focus on Indigenous and migrant communities) </w:t>
      </w:r>
      <w:r>
        <w:t xml:space="preserve">as to </w:t>
      </w:r>
      <w:r w:rsidRPr="00EB132C">
        <w:t>how the education and training system works, and how to assist their children to acce</w:t>
      </w:r>
      <w:r>
        <w:t>ss the most appropriate options.</w:t>
      </w:r>
    </w:p>
    <w:p w14:paraId="6A68B1C3" w14:textId="77777777" w:rsidR="00441186" w:rsidRPr="00FA0551" w:rsidRDefault="00441186" w:rsidP="00A859F8">
      <w:pPr>
        <w:spacing w:after="120"/>
        <w:jc w:val="both"/>
        <w:rPr>
          <w:rFonts w:cs="Calibri"/>
        </w:rPr>
      </w:pPr>
      <w:r w:rsidRPr="00FA0551">
        <w:rPr>
          <w:rFonts w:cs="Calibri"/>
        </w:rPr>
        <w:t>E</w:t>
      </w:r>
      <w:r>
        <w:rPr>
          <w:rFonts w:cs="Calibri"/>
        </w:rPr>
        <w:t xml:space="preserve">xamples of specific partnerships related to this outcome </w:t>
      </w:r>
      <w:r w:rsidRPr="00FA0551">
        <w:rPr>
          <w:rFonts w:cs="Calibri"/>
        </w:rPr>
        <w:t>include:</w:t>
      </w:r>
    </w:p>
    <w:p w14:paraId="4D787F00" w14:textId="41CD5E54" w:rsidR="00441186" w:rsidRPr="003F68EE" w:rsidRDefault="00441186" w:rsidP="003957AD">
      <w:pPr>
        <w:numPr>
          <w:ilvl w:val="0"/>
          <w:numId w:val="9"/>
        </w:numPr>
        <w:spacing w:after="120"/>
        <w:jc w:val="both"/>
      </w:pPr>
      <w:r w:rsidRPr="003F68EE">
        <w:t xml:space="preserve">Campaspe Cohuna LLEN </w:t>
      </w:r>
      <w:r w:rsidR="00C67D0C">
        <w:t xml:space="preserve">facilitated the development of </w:t>
      </w:r>
      <w:r w:rsidR="00C67D0C" w:rsidRPr="00C67D0C">
        <w:rPr>
          <w:i/>
        </w:rPr>
        <w:t>T</w:t>
      </w:r>
      <w:r w:rsidRPr="00C67D0C">
        <w:rPr>
          <w:i/>
        </w:rPr>
        <w:t>he</w:t>
      </w:r>
      <w:r w:rsidRPr="00C67D0C">
        <w:rPr>
          <w:rFonts w:cs="Calibri"/>
          <w:bCs/>
          <w:i/>
          <w:color w:val="000000"/>
        </w:rPr>
        <w:t xml:space="preserve"> </w:t>
      </w:r>
      <w:r w:rsidRPr="003F68EE">
        <w:rPr>
          <w:rFonts w:cs="Calibri"/>
          <w:bCs/>
          <w:i/>
          <w:color w:val="000000"/>
        </w:rPr>
        <w:t xml:space="preserve">School Friendly Business </w:t>
      </w:r>
      <w:r w:rsidR="00C67D0C" w:rsidRPr="003F68EE">
        <w:rPr>
          <w:rFonts w:cs="Calibri"/>
          <w:bCs/>
          <w:color w:val="000000"/>
        </w:rPr>
        <w:t>initiative to</w:t>
      </w:r>
      <w:r w:rsidRPr="003F68EE">
        <w:rPr>
          <w:rFonts w:cs="Calibri"/>
          <w:bCs/>
          <w:color w:val="000000"/>
        </w:rPr>
        <w:t xml:space="preserve"> increase and improve parent and family engagement, especially at Years 7, 8, and 9 with education, training and pathways planning. The initiative was seeking ways, with the support of business and industry, for working parents, carers and guardians to be more engaged with their children’s education. </w:t>
      </w:r>
      <w:r w:rsidRPr="003F68EE">
        <w:rPr>
          <w:rFonts w:cs="Calibri"/>
          <w:color w:val="000000"/>
        </w:rPr>
        <w:t xml:space="preserve">The first roll out of the initiative was in Echuca Moama in early 2012 and </w:t>
      </w:r>
      <w:r w:rsidR="00AA3F37">
        <w:rPr>
          <w:rFonts w:cs="Calibri"/>
          <w:color w:val="000000"/>
        </w:rPr>
        <w:t>three</w:t>
      </w:r>
      <w:r w:rsidR="00AA3F37" w:rsidRPr="003F68EE">
        <w:t xml:space="preserve"> </w:t>
      </w:r>
      <w:r w:rsidRPr="003F68EE">
        <w:t>of the largest employers in the LLEN region, The Shire of Campaspe, Echuca Regional Health and Kagome Australia, are some of the stronge</w:t>
      </w:r>
      <w:r w:rsidR="000703C7">
        <w:t xml:space="preserve">st partners in the initiative. </w:t>
      </w:r>
      <w:r w:rsidRPr="003F68EE">
        <w:t xml:space="preserve">The initiative </w:t>
      </w:r>
      <w:r w:rsidR="000703C7">
        <w:t>w</w:t>
      </w:r>
      <w:r w:rsidRPr="003F68EE">
        <w:t xml:space="preserve"> extended to Kyabram and in 2013 </w:t>
      </w:r>
      <w:r w:rsidR="000703C7">
        <w:t xml:space="preserve">also </w:t>
      </w:r>
      <w:r w:rsidRPr="003F68EE">
        <w:t xml:space="preserve">to </w:t>
      </w:r>
      <w:r w:rsidR="000703C7" w:rsidRPr="003F68EE">
        <w:t>Rochester, Rushworth,</w:t>
      </w:r>
      <w:r w:rsidRPr="003F68EE">
        <w:t xml:space="preserve"> and their surrounding communities. </w:t>
      </w:r>
      <w:r w:rsidR="00975CF4">
        <w:t>Eighty</w:t>
      </w:r>
      <w:r w:rsidR="00975CF4" w:rsidRPr="003F68EE">
        <w:t xml:space="preserve"> </w:t>
      </w:r>
      <w:r w:rsidRPr="003F68EE">
        <w:t xml:space="preserve">businesses have so far signed up to the program and 29 have engaged in activities with the schools. </w:t>
      </w:r>
    </w:p>
    <w:p w14:paraId="4B4BFEC1" w14:textId="592275FB" w:rsidR="00441186" w:rsidRPr="00A859F8" w:rsidRDefault="00441186" w:rsidP="003957AD">
      <w:pPr>
        <w:numPr>
          <w:ilvl w:val="0"/>
          <w:numId w:val="9"/>
        </w:numPr>
        <w:spacing w:after="240"/>
        <w:ind w:left="714" w:hanging="357"/>
        <w:jc w:val="both"/>
        <w:rPr>
          <w:rFonts w:eastAsia="Cambria"/>
        </w:rPr>
      </w:pPr>
      <w:r w:rsidRPr="003F68EE">
        <w:t xml:space="preserve">Inner Northern LLEN </w:t>
      </w:r>
      <w:r>
        <w:t>facilitated a partnership with</w:t>
      </w:r>
      <w:r w:rsidRPr="003F68EE">
        <w:t xml:space="preserve"> the East Preston Islamic College and Independent Schools Victoria to establish effective ways of increasing parental engagement</w:t>
      </w:r>
      <w:r>
        <w:t xml:space="preserve"> in education and training</w:t>
      </w:r>
      <w:r w:rsidRPr="003F68EE">
        <w:t xml:space="preserve">. </w:t>
      </w:r>
      <w:r>
        <w:rPr>
          <w:rFonts w:eastAsia="Cambria"/>
        </w:rPr>
        <w:t>A key achievement was the increased participation of 47 families and 130 p</w:t>
      </w:r>
      <w:r w:rsidRPr="003F68EE">
        <w:rPr>
          <w:rFonts w:eastAsia="Cambria"/>
        </w:rPr>
        <w:t>arent</w:t>
      </w:r>
      <w:r>
        <w:rPr>
          <w:rFonts w:eastAsia="Cambria"/>
        </w:rPr>
        <w:t>s</w:t>
      </w:r>
      <w:r w:rsidRPr="003F68EE">
        <w:rPr>
          <w:rFonts w:eastAsia="Cambria"/>
        </w:rPr>
        <w:t xml:space="preserve"> </w:t>
      </w:r>
      <w:r>
        <w:rPr>
          <w:rFonts w:eastAsia="Cambria"/>
        </w:rPr>
        <w:t>attending this</w:t>
      </w:r>
      <w:r w:rsidR="000703C7">
        <w:rPr>
          <w:rFonts w:eastAsia="Cambria"/>
        </w:rPr>
        <w:t xml:space="preserve"> event. </w:t>
      </w:r>
      <w:r w:rsidRPr="003F68EE">
        <w:rPr>
          <w:rFonts w:eastAsia="Cambria"/>
        </w:rPr>
        <w:t xml:space="preserve">Parents were given information about the curriculum options available at the school </w:t>
      </w:r>
      <w:r w:rsidR="00053DE3">
        <w:rPr>
          <w:rFonts w:eastAsia="Cambria"/>
        </w:rPr>
        <w:t>and</w:t>
      </w:r>
      <w:r w:rsidRPr="003F68EE">
        <w:rPr>
          <w:rFonts w:eastAsia="Cambria"/>
        </w:rPr>
        <w:t xml:space="preserve"> listened to presentations fro</w:t>
      </w:r>
      <w:r w:rsidR="000703C7">
        <w:rPr>
          <w:rFonts w:eastAsia="Cambria"/>
        </w:rPr>
        <w:t>m a guest speaker and teachers.</w:t>
      </w:r>
      <w:r w:rsidRPr="003F68EE">
        <w:rPr>
          <w:rFonts w:eastAsia="Cambria"/>
        </w:rPr>
        <w:t xml:space="preserve"> The event was an opportunity for parents and teachers to </w:t>
      </w:r>
      <w:r w:rsidR="00053DE3">
        <w:rPr>
          <w:rFonts w:eastAsia="Cambria"/>
        </w:rPr>
        <w:t>meet and get to know each other</w:t>
      </w:r>
      <w:r w:rsidRPr="003F68EE">
        <w:rPr>
          <w:rFonts w:eastAsia="Cambria"/>
        </w:rPr>
        <w:t xml:space="preserve">.  Through its </w:t>
      </w:r>
      <w:r w:rsidRPr="0053757F">
        <w:rPr>
          <w:rFonts w:eastAsia="Cambria"/>
          <w:i/>
        </w:rPr>
        <w:t xml:space="preserve">Careers </w:t>
      </w:r>
      <w:r w:rsidR="0053757F" w:rsidRPr="0053757F">
        <w:rPr>
          <w:rFonts w:eastAsia="Cambria"/>
          <w:i/>
        </w:rPr>
        <w:t>Week,</w:t>
      </w:r>
      <w:r w:rsidRPr="003F68EE">
        <w:rPr>
          <w:rFonts w:eastAsia="Cambria"/>
        </w:rPr>
        <w:t xml:space="preserve"> the school also engaged with external education and training providers, alumni, employers, and community agencies. </w:t>
      </w:r>
    </w:p>
    <w:p w14:paraId="694D8FFB" w14:textId="15F3CA83" w:rsidR="00441186" w:rsidRPr="00EB132C" w:rsidRDefault="00441186" w:rsidP="002D74B7">
      <w:pPr>
        <w:spacing w:after="120"/>
        <w:ind w:left="1440" w:hanging="1440"/>
        <w:jc w:val="both"/>
      </w:pPr>
      <w:r w:rsidRPr="007F4AC5">
        <w:rPr>
          <w:b/>
          <w:i/>
        </w:rPr>
        <w:t>OUTCOME 4</w:t>
      </w:r>
      <w:r w:rsidR="0089320F">
        <w:t>:</w:t>
      </w:r>
      <w:r w:rsidR="0089320F">
        <w:tab/>
      </w:r>
      <w:r w:rsidRPr="002D74B7">
        <w:rPr>
          <w:i/>
        </w:rPr>
        <w:t>Community groups participating in partnerships that harness resources and build social capital to support young people to identify and achieve their goals and improve their education and transition outcomes.</w:t>
      </w:r>
    </w:p>
    <w:p w14:paraId="5F9980CD" w14:textId="2D103897" w:rsidR="00441186" w:rsidRPr="006100C3" w:rsidRDefault="00441186" w:rsidP="002D74B7">
      <w:pPr>
        <w:spacing w:after="120"/>
        <w:jc w:val="both"/>
        <w:rPr>
          <w:rFonts w:cs="Calibri"/>
        </w:rPr>
      </w:pPr>
      <w:r w:rsidRPr="006100C3">
        <w:rPr>
          <w:rFonts w:cs="Calibri"/>
        </w:rPr>
        <w:t xml:space="preserve">LLEN </w:t>
      </w:r>
      <w:r>
        <w:rPr>
          <w:rFonts w:cs="Calibri"/>
        </w:rPr>
        <w:t>strategies</w:t>
      </w:r>
      <w:r w:rsidRPr="006100C3">
        <w:rPr>
          <w:rFonts w:cs="Calibri"/>
        </w:rPr>
        <w:t xml:space="preserve"> in relation to this outcome centre on:</w:t>
      </w:r>
    </w:p>
    <w:p w14:paraId="54A6F858" w14:textId="6A0B0C6B" w:rsidR="00441186" w:rsidRPr="00EB132C" w:rsidRDefault="00441186" w:rsidP="003957AD">
      <w:pPr>
        <w:numPr>
          <w:ilvl w:val="0"/>
          <w:numId w:val="6"/>
        </w:numPr>
        <w:spacing w:after="120"/>
        <w:jc w:val="both"/>
      </w:pPr>
      <w:r w:rsidRPr="00EB132C">
        <w:t>Setting collective targets with community organisations within their area to re-engage 10-19 year olds into education, training or employment.</w:t>
      </w:r>
    </w:p>
    <w:p w14:paraId="24923B5C" w14:textId="77777777" w:rsidR="00441186" w:rsidRPr="00FA0551" w:rsidRDefault="00441186" w:rsidP="002D74B7">
      <w:pPr>
        <w:spacing w:after="120"/>
        <w:jc w:val="both"/>
        <w:rPr>
          <w:rFonts w:cs="Calibri"/>
        </w:rPr>
      </w:pPr>
      <w:r w:rsidRPr="00FA0551">
        <w:rPr>
          <w:rFonts w:cs="Calibri"/>
        </w:rPr>
        <w:lastRenderedPageBreak/>
        <w:t>E</w:t>
      </w:r>
      <w:r>
        <w:rPr>
          <w:rFonts w:cs="Calibri"/>
        </w:rPr>
        <w:t xml:space="preserve">xamples of specific partnerships related to this outcome </w:t>
      </w:r>
      <w:r w:rsidRPr="00FA0551">
        <w:rPr>
          <w:rFonts w:cs="Calibri"/>
        </w:rPr>
        <w:t>include:</w:t>
      </w:r>
    </w:p>
    <w:p w14:paraId="18FC07C6" w14:textId="7091D742" w:rsidR="00441186" w:rsidRPr="00647A76" w:rsidRDefault="00441186" w:rsidP="003957AD">
      <w:pPr>
        <w:numPr>
          <w:ilvl w:val="0"/>
          <w:numId w:val="9"/>
        </w:numPr>
        <w:spacing w:after="120"/>
        <w:ind w:left="714" w:hanging="357"/>
        <w:jc w:val="both"/>
        <w:rPr>
          <w:rFonts w:eastAsia="Cambria"/>
        </w:rPr>
      </w:pPr>
      <w:r w:rsidRPr="00647A76">
        <w:rPr>
          <w:rFonts w:eastAsia="Cambria"/>
        </w:rPr>
        <w:t xml:space="preserve">Hume Whittlesea LLEN led the Hume </w:t>
      </w:r>
      <w:r w:rsidR="002D74B7" w:rsidRPr="00647A76">
        <w:rPr>
          <w:rFonts w:eastAsia="Cambria"/>
        </w:rPr>
        <w:t>under</w:t>
      </w:r>
      <w:r w:rsidR="002D74B7">
        <w:rPr>
          <w:rFonts w:eastAsia="Cambria"/>
        </w:rPr>
        <w:t xml:space="preserve">-16 </w:t>
      </w:r>
      <w:r w:rsidR="002D74B7" w:rsidRPr="00647A76">
        <w:rPr>
          <w:rFonts w:eastAsia="Cambria"/>
        </w:rPr>
        <w:t>research</w:t>
      </w:r>
      <w:r w:rsidRPr="00647A76">
        <w:rPr>
          <w:rFonts w:eastAsia="Cambria"/>
        </w:rPr>
        <w:t xml:space="preserve"> project to identify how many young people under 16 years of age in the City of Hume are disengaged from school, education and training, assess what forms of support were available to these young people, and develop recommendations for a strategy to help re-engage them. The finding will enable the LLEN, City of Hume and youth service agencies to develop strategic responses to services gaps.  </w:t>
      </w:r>
    </w:p>
    <w:p w14:paraId="2B50C49C" w14:textId="77777777" w:rsidR="00A859F8" w:rsidRDefault="00441186" w:rsidP="003957AD">
      <w:pPr>
        <w:numPr>
          <w:ilvl w:val="0"/>
          <w:numId w:val="9"/>
        </w:numPr>
        <w:spacing w:after="120"/>
        <w:jc w:val="both"/>
        <w:rPr>
          <w:rFonts w:eastAsia="Cambria"/>
        </w:rPr>
      </w:pPr>
      <w:r w:rsidRPr="00647A76">
        <w:rPr>
          <w:rFonts w:eastAsia="Cambria"/>
        </w:rPr>
        <w:t xml:space="preserve">South Gippsland Bass Coast LLEN initiated the Youth Kitchen project to engage young people in a practical program that included life skills, mentor support, accredited training and pathways to further education and employment. The target group of disengaged youth were referred by schools and community organisations.  The LLEN, School Focussed Youth Services, Chisholm TAFE and the Bass Coast Shire sought community partners to deliver the program which commenced in 2012 with </w:t>
      </w:r>
      <w:r w:rsidR="000533AC" w:rsidRPr="00647A76">
        <w:rPr>
          <w:rFonts w:eastAsia="Cambria"/>
        </w:rPr>
        <w:t xml:space="preserve">nine </w:t>
      </w:r>
      <w:r w:rsidRPr="00647A76">
        <w:rPr>
          <w:rFonts w:eastAsia="Cambria"/>
        </w:rPr>
        <w:t xml:space="preserve">enrolments in the Certificate 1 in Hospitality. </w:t>
      </w:r>
      <w:r w:rsidR="000533AC" w:rsidRPr="00647A76">
        <w:rPr>
          <w:rFonts w:eastAsia="Cambria"/>
        </w:rPr>
        <w:t xml:space="preserve">Five </w:t>
      </w:r>
      <w:r w:rsidRPr="00647A76">
        <w:rPr>
          <w:rFonts w:eastAsia="Cambria"/>
        </w:rPr>
        <w:t xml:space="preserve">students completed the certificate, all students completed their work placements and </w:t>
      </w:r>
      <w:r w:rsidR="000533AC" w:rsidRPr="00647A76">
        <w:rPr>
          <w:rFonts w:eastAsia="Cambria"/>
        </w:rPr>
        <w:t xml:space="preserve">four </w:t>
      </w:r>
      <w:r w:rsidRPr="00647A76">
        <w:rPr>
          <w:rFonts w:eastAsia="Cambria"/>
        </w:rPr>
        <w:t xml:space="preserve">students have gone on to enrol in a TAFE tourism course, </w:t>
      </w:r>
      <w:r w:rsidR="00941CFE" w:rsidRPr="00647A76">
        <w:rPr>
          <w:rFonts w:eastAsia="Cambria"/>
        </w:rPr>
        <w:t xml:space="preserve">two </w:t>
      </w:r>
      <w:r w:rsidRPr="00647A76">
        <w:rPr>
          <w:rFonts w:eastAsia="Cambria"/>
        </w:rPr>
        <w:t>students found employment or further studies.</w:t>
      </w:r>
    </w:p>
    <w:p w14:paraId="24DB1286" w14:textId="54937195" w:rsidR="00441186" w:rsidRPr="00A859F8" w:rsidRDefault="00441186" w:rsidP="00A859F8">
      <w:pPr>
        <w:spacing w:after="120"/>
        <w:jc w:val="both"/>
        <w:rPr>
          <w:rFonts w:eastAsia="Cambria"/>
        </w:rPr>
      </w:pPr>
      <w:r w:rsidRPr="00A859F8">
        <w:rPr>
          <w:rFonts w:cs="Calibri"/>
          <w:b/>
          <w:i/>
        </w:rPr>
        <w:t>OUTCOME 5</w:t>
      </w:r>
      <w:r w:rsidRPr="00A859F8">
        <w:rPr>
          <w:rFonts w:cs="Calibri"/>
          <w:i/>
        </w:rPr>
        <w:t xml:space="preserve">: </w:t>
      </w:r>
      <w:r w:rsidR="0089320F" w:rsidRPr="00A859F8">
        <w:rPr>
          <w:rFonts w:cs="Calibri"/>
          <w:i/>
        </w:rPr>
        <w:tab/>
      </w:r>
      <w:r w:rsidRPr="00A859F8">
        <w:rPr>
          <w:rFonts w:cs="Calibri"/>
          <w:i/>
        </w:rPr>
        <w:t>LLEN activities on behalf of local disadvantaged cohorts</w:t>
      </w:r>
    </w:p>
    <w:p w14:paraId="59AF5593" w14:textId="6018447D" w:rsidR="0053757F" w:rsidRPr="0053757F" w:rsidRDefault="00441186" w:rsidP="0053757F">
      <w:pPr>
        <w:spacing w:after="120"/>
        <w:jc w:val="both"/>
        <w:rPr>
          <w:rFonts w:cs="Calibri"/>
        </w:rPr>
      </w:pPr>
      <w:r w:rsidRPr="006100C3">
        <w:rPr>
          <w:rFonts w:cs="Calibri"/>
        </w:rPr>
        <w:t xml:space="preserve">LLEN </w:t>
      </w:r>
      <w:r>
        <w:rPr>
          <w:rFonts w:cs="Calibri"/>
        </w:rPr>
        <w:t>strategies</w:t>
      </w:r>
      <w:r w:rsidRPr="006100C3">
        <w:rPr>
          <w:rFonts w:cs="Calibri"/>
        </w:rPr>
        <w:t xml:space="preserve"> in relation to this outcome</w:t>
      </w:r>
      <w:r w:rsidR="0053757F">
        <w:rPr>
          <w:rFonts w:cs="Calibri"/>
        </w:rPr>
        <w:t xml:space="preserve"> centre on w</w:t>
      </w:r>
      <w:r w:rsidRPr="00EB132C">
        <w:t xml:space="preserve">orking with specific groups of young people in their areas that they identify as most at risk, based on environmental scans and other available local data. </w:t>
      </w:r>
    </w:p>
    <w:p w14:paraId="7CBD2B29" w14:textId="77777777" w:rsidR="00441186" w:rsidRPr="00FA0551" w:rsidRDefault="00441186" w:rsidP="002D74B7">
      <w:pPr>
        <w:spacing w:after="120"/>
        <w:jc w:val="both"/>
        <w:rPr>
          <w:rFonts w:cs="Calibri"/>
        </w:rPr>
      </w:pPr>
      <w:r w:rsidRPr="00FA0551">
        <w:rPr>
          <w:rFonts w:cs="Calibri"/>
        </w:rPr>
        <w:t>E</w:t>
      </w:r>
      <w:r>
        <w:rPr>
          <w:rFonts w:cs="Calibri"/>
        </w:rPr>
        <w:t xml:space="preserve">xamples of specific partnerships related to this outcome </w:t>
      </w:r>
      <w:r w:rsidRPr="00FA0551">
        <w:rPr>
          <w:rFonts w:cs="Calibri"/>
        </w:rPr>
        <w:t>include:</w:t>
      </w:r>
    </w:p>
    <w:p w14:paraId="002DC8BF" w14:textId="7CD8B124" w:rsidR="00441186" w:rsidRPr="00647A76" w:rsidRDefault="00441186" w:rsidP="003957AD">
      <w:pPr>
        <w:numPr>
          <w:ilvl w:val="0"/>
          <w:numId w:val="9"/>
        </w:numPr>
        <w:spacing w:after="120"/>
        <w:jc w:val="both"/>
        <w:rPr>
          <w:rFonts w:cs="Calibri"/>
          <w:bCs/>
          <w:color w:val="000000"/>
        </w:rPr>
      </w:pPr>
      <w:r w:rsidRPr="00647A76">
        <w:rPr>
          <w:rFonts w:cs="Calibri"/>
          <w:bCs/>
          <w:color w:val="000000"/>
        </w:rPr>
        <w:t xml:space="preserve">Inner Easter LLEN, Bayside, Glen </w:t>
      </w:r>
      <w:proofErr w:type="spellStart"/>
      <w:r w:rsidRPr="00647A76">
        <w:rPr>
          <w:rFonts w:cs="Calibri"/>
          <w:bCs/>
          <w:color w:val="000000"/>
        </w:rPr>
        <w:t>Eira</w:t>
      </w:r>
      <w:proofErr w:type="spellEnd"/>
      <w:r w:rsidRPr="00647A76">
        <w:rPr>
          <w:rFonts w:cs="Calibri"/>
          <w:bCs/>
          <w:color w:val="000000"/>
        </w:rPr>
        <w:t xml:space="preserve"> and Kingston LLEN established the </w:t>
      </w:r>
      <w:r w:rsidRPr="0053757F">
        <w:rPr>
          <w:rFonts w:cs="Calibri"/>
          <w:bCs/>
          <w:i/>
          <w:color w:val="000000"/>
        </w:rPr>
        <w:t>Ticket to Work</w:t>
      </w:r>
      <w:r w:rsidRPr="00647A76">
        <w:rPr>
          <w:rFonts w:cs="Calibri"/>
          <w:bCs/>
          <w:color w:val="000000"/>
        </w:rPr>
        <w:t xml:space="preserve"> initiative in 2012 with 13 schools and agencies involved in the Youth Disabilities Pathways Network.  The purpose of the partnership was to expand education and training pathways for young people with disabilities.  A significant outcome achieved in 2012 was the enrolment of 15 young people with disabilities in an Apprenticeship/Traineeship (</w:t>
      </w:r>
      <w:proofErr w:type="spellStart"/>
      <w:r w:rsidRPr="00647A76">
        <w:rPr>
          <w:rFonts w:cs="Calibri"/>
          <w:bCs/>
          <w:color w:val="000000"/>
        </w:rPr>
        <w:t>SBAT</w:t>
      </w:r>
      <w:proofErr w:type="spellEnd"/>
      <w:r w:rsidRPr="00647A76">
        <w:rPr>
          <w:rFonts w:cs="Calibri"/>
          <w:bCs/>
          <w:color w:val="000000"/>
        </w:rPr>
        <w:t xml:space="preserve">) pilot program across a range of industry areas including Health and Community Services with 12 students completing the first year.  The cross regional </w:t>
      </w:r>
      <w:r w:rsidRPr="0053757F">
        <w:rPr>
          <w:rFonts w:cs="Calibri"/>
          <w:bCs/>
          <w:i/>
          <w:color w:val="000000"/>
        </w:rPr>
        <w:t>Ticket to Work</w:t>
      </w:r>
      <w:r w:rsidR="0053757F">
        <w:rPr>
          <w:rFonts w:cs="Calibri"/>
          <w:bCs/>
          <w:color w:val="000000"/>
        </w:rPr>
        <w:t xml:space="preserve"> p</w:t>
      </w:r>
      <w:r w:rsidRPr="00647A76">
        <w:rPr>
          <w:rFonts w:cs="Calibri"/>
          <w:bCs/>
          <w:color w:val="000000"/>
        </w:rPr>
        <w:t>ilot was a finalist in the 2012 Victorian Educat</w:t>
      </w:r>
      <w:r w:rsidR="0053757F">
        <w:rPr>
          <w:rFonts w:cs="Calibri"/>
          <w:bCs/>
          <w:color w:val="000000"/>
        </w:rPr>
        <w:t>ion Excellence Awards</w:t>
      </w:r>
      <w:r w:rsidRPr="00647A76">
        <w:rPr>
          <w:rFonts w:cs="Calibri"/>
          <w:bCs/>
          <w:color w:val="000000"/>
        </w:rPr>
        <w:t>.  The initiative is set to expand into other LLEN areas in 2013 following establishment of an accreditation process to deliver the program.</w:t>
      </w:r>
    </w:p>
    <w:p w14:paraId="44417E99" w14:textId="5CD7216D" w:rsidR="00441186" w:rsidRPr="002D74B7" w:rsidRDefault="00441186" w:rsidP="003957AD">
      <w:pPr>
        <w:numPr>
          <w:ilvl w:val="0"/>
          <w:numId w:val="9"/>
        </w:numPr>
        <w:spacing w:after="120"/>
        <w:jc w:val="both"/>
        <w:rPr>
          <w:rFonts w:cs="Calibri"/>
          <w:bCs/>
          <w:color w:val="000000"/>
        </w:rPr>
      </w:pPr>
      <w:r w:rsidRPr="00647A76">
        <w:rPr>
          <w:rFonts w:cs="Calibri"/>
          <w:bCs/>
          <w:color w:val="000000"/>
        </w:rPr>
        <w:t>Capital City LLEN brokered the “Evolution” partnership with local government, community agencies and education and training providers to reengage homeless and highly ‘at risk’ young people in education and</w:t>
      </w:r>
      <w:r w:rsidR="0053757F">
        <w:rPr>
          <w:rFonts w:cs="Calibri"/>
          <w:bCs/>
          <w:color w:val="000000"/>
        </w:rPr>
        <w:t xml:space="preserve"> training pathways.  In 2012, eleven</w:t>
      </w:r>
      <w:r w:rsidRPr="00647A76">
        <w:rPr>
          <w:rFonts w:cs="Calibri"/>
          <w:bCs/>
          <w:color w:val="000000"/>
        </w:rPr>
        <w:t xml:space="preserve"> participants enrolled in the program and all </w:t>
      </w:r>
      <w:r w:rsidR="0053757F">
        <w:rPr>
          <w:rFonts w:cs="Calibri"/>
          <w:bCs/>
          <w:color w:val="000000"/>
        </w:rPr>
        <w:t xml:space="preserve">successfully </w:t>
      </w:r>
      <w:r w:rsidRPr="00647A76">
        <w:rPr>
          <w:rFonts w:cs="Calibri"/>
          <w:bCs/>
          <w:color w:val="000000"/>
        </w:rPr>
        <w:t>completed the course.  The partnership formed a steering group to design and implement an engaging curriculum to effectively support students who had previously experienced significant barriers to participation.   An important outcome is the transition of 10 students to further education, training or sustainable employment. The program has achieved sustainability and no longer needs the support of the steering group.</w:t>
      </w:r>
    </w:p>
    <w:p w14:paraId="1FA27CF0" w14:textId="77777777" w:rsidR="00441186" w:rsidRPr="00B61081" w:rsidRDefault="00441186" w:rsidP="00592A44">
      <w:pPr>
        <w:pStyle w:val="Heading4"/>
      </w:pPr>
      <w:r w:rsidRPr="00B61081">
        <w:t xml:space="preserve">Challenges </w:t>
      </w:r>
    </w:p>
    <w:p w14:paraId="558A4E19" w14:textId="2B0E79EA" w:rsidR="00A859F8" w:rsidRDefault="0053757F" w:rsidP="003957AD">
      <w:pPr>
        <w:numPr>
          <w:ilvl w:val="0"/>
          <w:numId w:val="9"/>
        </w:numPr>
        <w:spacing w:after="120"/>
        <w:jc w:val="both"/>
        <w:rPr>
          <w:rFonts w:cs="Calibri"/>
          <w:bCs/>
          <w:color w:val="000000"/>
        </w:rPr>
      </w:pPr>
      <w:r>
        <w:rPr>
          <w:rFonts w:cs="Calibri"/>
          <w:bCs/>
          <w:color w:val="000000"/>
        </w:rPr>
        <w:t xml:space="preserve">For over eleven years, </w:t>
      </w:r>
      <w:r w:rsidR="00441186" w:rsidRPr="00647A76">
        <w:rPr>
          <w:rFonts w:cs="Calibri"/>
          <w:bCs/>
          <w:color w:val="000000"/>
        </w:rPr>
        <w:t xml:space="preserve">The LLEN initiative has </w:t>
      </w:r>
      <w:r>
        <w:rPr>
          <w:rFonts w:cs="Calibri"/>
          <w:bCs/>
          <w:color w:val="000000"/>
        </w:rPr>
        <w:t>operated</w:t>
      </w:r>
      <w:r w:rsidR="00441186" w:rsidRPr="00647A76">
        <w:rPr>
          <w:rFonts w:cs="Calibri"/>
          <w:bCs/>
          <w:color w:val="000000"/>
        </w:rPr>
        <w:t xml:space="preserve"> </w:t>
      </w:r>
      <w:r>
        <w:rPr>
          <w:rFonts w:cs="Calibri"/>
          <w:bCs/>
          <w:color w:val="000000"/>
        </w:rPr>
        <w:t>and</w:t>
      </w:r>
      <w:r w:rsidR="00441186" w:rsidRPr="00647A76">
        <w:rPr>
          <w:rFonts w:cs="Calibri"/>
          <w:bCs/>
          <w:color w:val="000000"/>
        </w:rPr>
        <w:t xml:space="preserve"> </w:t>
      </w:r>
      <w:r>
        <w:rPr>
          <w:rFonts w:cs="Calibri"/>
          <w:bCs/>
          <w:color w:val="000000"/>
        </w:rPr>
        <w:t>established</w:t>
      </w:r>
      <w:r w:rsidR="00441186" w:rsidRPr="00647A76">
        <w:rPr>
          <w:rFonts w:cs="Calibri"/>
          <w:bCs/>
          <w:color w:val="000000"/>
        </w:rPr>
        <w:t xml:space="preserve"> strong </w:t>
      </w:r>
      <w:r>
        <w:rPr>
          <w:rFonts w:cs="Calibri"/>
          <w:bCs/>
          <w:color w:val="000000"/>
        </w:rPr>
        <w:t xml:space="preserve">partnerships with stakeholders </w:t>
      </w:r>
      <w:r w:rsidR="00441186" w:rsidRPr="00647A76">
        <w:rPr>
          <w:rFonts w:cs="Calibri"/>
          <w:bCs/>
          <w:color w:val="000000"/>
        </w:rPr>
        <w:t xml:space="preserve">and </w:t>
      </w:r>
      <w:r w:rsidRPr="00647A76">
        <w:rPr>
          <w:rFonts w:cs="Calibri"/>
          <w:bCs/>
          <w:color w:val="000000"/>
        </w:rPr>
        <w:t>recogni</w:t>
      </w:r>
      <w:r>
        <w:rPr>
          <w:rFonts w:cs="Calibri"/>
          <w:bCs/>
          <w:color w:val="000000"/>
        </w:rPr>
        <w:t xml:space="preserve">ses </w:t>
      </w:r>
      <w:r w:rsidRPr="00647A76">
        <w:rPr>
          <w:rFonts w:cs="Calibri"/>
          <w:bCs/>
          <w:color w:val="000000"/>
        </w:rPr>
        <w:t>the</w:t>
      </w:r>
      <w:r w:rsidR="00441186" w:rsidRPr="00647A76">
        <w:rPr>
          <w:rFonts w:cs="Calibri"/>
          <w:bCs/>
          <w:color w:val="000000"/>
        </w:rPr>
        <w:t xml:space="preserve"> importance of the evidence based process used by each LLEN to identify a</w:t>
      </w:r>
      <w:r w:rsidR="000703C7">
        <w:rPr>
          <w:rFonts w:cs="Calibri"/>
          <w:bCs/>
          <w:color w:val="000000"/>
        </w:rPr>
        <w:t xml:space="preserve">nd respond to critical issues. </w:t>
      </w:r>
      <w:r w:rsidR="00441186" w:rsidRPr="00647A76">
        <w:rPr>
          <w:rFonts w:cs="Calibri"/>
          <w:bCs/>
          <w:color w:val="000000"/>
        </w:rPr>
        <w:t xml:space="preserve">The ongoing challenge for LLEN Committees of Management/Boards is the need to focus effort and available grant funds on those strategic priorities that will deliver measurable outcomes in the face of many issues. </w:t>
      </w:r>
      <w:bookmarkStart w:id="21" w:name="_Toc329085894"/>
    </w:p>
    <w:p w14:paraId="2DD2FE61" w14:textId="632AAEC7" w:rsidR="00F167FB" w:rsidRDefault="00F167FB">
      <w:pPr>
        <w:spacing w:after="200"/>
        <w:rPr>
          <w:rFonts w:cs="Calibri"/>
          <w:bCs/>
          <w:color w:val="000000"/>
        </w:rPr>
      </w:pPr>
      <w:r>
        <w:rPr>
          <w:rFonts w:cs="Calibri"/>
          <w:bCs/>
          <w:color w:val="000000"/>
        </w:rPr>
        <w:br w:type="page"/>
      </w:r>
    </w:p>
    <w:p w14:paraId="09EF52BA" w14:textId="5CDAF214" w:rsidR="00441186" w:rsidRPr="00A859F8" w:rsidRDefault="00441186" w:rsidP="000703C7">
      <w:pPr>
        <w:pStyle w:val="Heading3"/>
        <w:ind w:left="0"/>
        <w:rPr>
          <w:rFonts w:cs="Calibri"/>
          <w:color w:val="000000"/>
        </w:rPr>
      </w:pPr>
      <w:r>
        <w:lastRenderedPageBreak/>
        <w:t>Organisations</w:t>
      </w:r>
      <w:bookmarkEnd w:id="21"/>
    </w:p>
    <w:p w14:paraId="2C3722B1" w14:textId="712B3816" w:rsidR="00441186" w:rsidRPr="000703C7" w:rsidRDefault="00441186" w:rsidP="000703C7">
      <w:pPr>
        <w:spacing w:after="120"/>
        <w:rPr>
          <w:lang w:eastAsia="en-AU"/>
        </w:rPr>
      </w:pPr>
      <w:r>
        <w:rPr>
          <w:lang w:eastAsia="en-AU"/>
        </w:rPr>
        <w:t xml:space="preserve">An overview </w:t>
      </w:r>
      <w:r w:rsidRPr="00365D95">
        <w:rPr>
          <w:lang w:eastAsia="en-AU"/>
        </w:rPr>
        <w:t>of LLEN membership, including organisations represented (where applicable),</w:t>
      </w:r>
      <w:r w:rsidR="000703C7">
        <w:rPr>
          <w:lang w:eastAsia="en-AU"/>
        </w:rPr>
        <w:t xml:space="preserve"> is provided in T</w:t>
      </w:r>
      <w:r>
        <w:rPr>
          <w:lang w:eastAsia="en-AU"/>
        </w:rPr>
        <w:t xml:space="preserve">able </w:t>
      </w:r>
      <w:r w:rsidR="008544B6">
        <w:rPr>
          <w:lang w:eastAsia="en-AU"/>
        </w:rPr>
        <w:t>15</w:t>
      </w:r>
      <w:r w:rsidR="0053757F">
        <w:rPr>
          <w:lang w:eastAsia="en-AU"/>
        </w:rPr>
        <w:t xml:space="preserve"> </w:t>
      </w:r>
      <w:r w:rsidR="000703C7">
        <w:rPr>
          <w:lang w:eastAsia="en-AU"/>
        </w:rPr>
        <w:t>and F</w:t>
      </w:r>
      <w:r>
        <w:rPr>
          <w:lang w:eastAsia="en-AU"/>
        </w:rPr>
        <w:t>igures</w:t>
      </w:r>
      <w:r w:rsidR="0053757F">
        <w:rPr>
          <w:lang w:eastAsia="en-AU"/>
        </w:rPr>
        <w:t xml:space="preserve"> 1-2 below</w:t>
      </w:r>
      <w:r w:rsidR="000703C7">
        <w:rPr>
          <w:lang w:eastAsia="en-AU"/>
        </w:rPr>
        <w:t>.</w:t>
      </w:r>
    </w:p>
    <w:p w14:paraId="18E175D1" w14:textId="4E883A75" w:rsidR="00441186" w:rsidRPr="000703C7" w:rsidRDefault="00095D55" w:rsidP="00592A44">
      <w:pPr>
        <w:pStyle w:val="Heading4"/>
      </w:pPr>
      <w:r>
        <w:t>Table 15</w:t>
      </w:r>
      <w:r w:rsidR="00441186">
        <w:t>: LLEN Membership by Ca</w:t>
      </w:r>
      <w:r w:rsidR="000703C7">
        <w:t>tegory (as at 31 December 2012)</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31"/>
        <w:gridCol w:w="3040"/>
      </w:tblGrid>
      <w:tr w:rsidR="00441186" w:rsidRPr="006100C3" w14:paraId="0435C9D3" w14:textId="77777777" w:rsidTr="0033629A">
        <w:trPr>
          <w:trHeight w:val="268"/>
        </w:trPr>
        <w:tc>
          <w:tcPr>
            <w:tcW w:w="5131" w:type="dxa"/>
            <w:shd w:val="clear" w:color="auto" w:fill="D6E3BC" w:themeFill="accent3" w:themeFillTint="66"/>
            <w:vAlign w:val="center"/>
          </w:tcPr>
          <w:p w14:paraId="1C71802F" w14:textId="74D07A0C" w:rsidR="00441186" w:rsidRPr="006100C3" w:rsidRDefault="00441186" w:rsidP="000703C7">
            <w:pPr>
              <w:tabs>
                <w:tab w:val="left" w:pos="0"/>
              </w:tabs>
              <w:jc w:val="center"/>
              <w:rPr>
                <w:rFonts w:cs="Calibri"/>
                <w:b/>
                <w:bCs/>
                <w:color w:val="000000"/>
                <w:lang w:eastAsia="en-AU"/>
              </w:rPr>
            </w:pPr>
            <w:r w:rsidRPr="006100C3">
              <w:rPr>
                <w:rFonts w:cs="Calibri"/>
                <w:b/>
                <w:bCs/>
                <w:color w:val="000000"/>
                <w:lang w:eastAsia="en-AU"/>
              </w:rPr>
              <w:t>Membership  Category</w:t>
            </w:r>
          </w:p>
        </w:tc>
        <w:tc>
          <w:tcPr>
            <w:tcW w:w="3040" w:type="dxa"/>
            <w:shd w:val="clear" w:color="auto" w:fill="D6E3BC" w:themeFill="accent3" w:themeFillTint="66"/>
          </w:tcPr>
          <w:p w14:paraId="494F59D3" w14:textId="325D506B" w:rsidR="00441186" w:rsidRPr="006100C3" w:rsidRDefault="00441186" w:rsidP="0098223E">
            <w:pPr>
              <w:jc w:val="center"/>
              <w:rPr>
                <w:rFonts w:cs="Calibri"/>
                <w:b/>
              </w:rPr>
            </w:pPr>
            <w:r w:rsidRPr="006100C3">
              <w:rPr>
                <w:rFonts w:cs="Calibri"/>
                <w:b/>
              </w:rPr>
              <w:t>Total number</w:t>
            </w:r>
          </w:p>
        </w:tc>
      </w:tr>
      <w:tr w:rsidR="00441186" w:rsidRPr="00EB132C" w14:paraId="19035521" w14:textId="77777777" w:rsidTr="0033629A">
        <w:trPr>
          <w:trHeight w:val="284"/>
        </w:trPr>
        <w:tc>
          <w:tcPr>
            <w:tcW w:w="5131" w:type="dxa"/>
            <w:shd w:val="clear" w:color="auto" w:fill="D9D9D9" w:themeFill="background1" w:themeFillShade="D9"/>
            <w:vAlign w:val="center"/>
          </w:tcPr>
          <w:p w14:paraId="1E8C52C9" w14:textId="77777777" w:rsidR="00441186" w:rsidRPr="00B4016E" w:rsidRDefault="00441186" w:rsidP="00441186">
            <w:pPr>
              <w:rPr>
                <w:rFonts w:cs="Calibri"/>
                <w:b/>
                <w:bCs/>
                <w:color w:val="000000"/>
                <w:sz w:val="20"/>
                <w:szCs w:val="20"/>
                <w:lang w:eastAsia="en-AU"/>
              </w:rPr>
            </w:pPr>
            <w:r w:rsidRPr="00B4016E">
              <w:rPr>
                <w:rFonts w:cs="Calibri"/>
                <w:b/>
                <w:bCs/>
                <w:color w:val="000000"/>
                <w:sz w:val="20"/>
                <w:szCs w:val="20"/>
                <w:lang w:eastAsia="en-AU"/>
              </w:rPr>
              <w:t>Schools</w:t>
            </w:r>
          </w:p>
        </w:tc>
        <w:tc>
          <w:tcPr>
            <w:tcW w:w="3040" w:type="dxa"/>
            <w:shd w:val="clear" w:color="auto" w:fill="auto"/>
          </w:tcPr>
          <w:p w14:paraId="0850A62A" w14:textId="77777777" w:rsidR="00441186" w:rsidRPr="00944745" w:rsidRDefault="00441186" w:rsidP="0033629A">
            <w:pPr>
              <w:jc w:val="center"/>
              <w:rPr>
                <w:rFonts w:cs="Calibri"/>
              </w:rPr>
            </w:pPr>
            <w:r w:rsidRPr="00944745">
              <w:rPr>
                <w:rFonts w:cs="Calibri"/>
              </w:rPr>
              <w:t>759</w:t>
            </w:r>
          </w:p>
        </w:tc>
      </w:tr>
      <w:tr w:rsidR="00441186" w:rsidRPr="006100C3" w14:paraId="6787B1FB" w14:textId="77777777" w:rsidTr="0033629A">
        <w:trPr>
          <w:trHeight w:val="284"/>
        </w:trPr>
        <w:tc>
          <w:tcPr>
            <w:tcW w:w="5131" w:type="dxa"/>
            <w:shd w:val="clear" w:color="auto" w:fill="D9D9D9" w:themeFill="background1" w:themeFillShade="D9"/>
            <w:vAlign w:val="center"/>
          </w:tcPr>
          <w:p w14:paraId="2FE58B7C" w14:textId="77777777" w:rsidR="00441186" w:rsidRPr="00B4016E" w:rsidRDefault="00441186" w:rsidP="00441186">
            <w:pPr>
              <w:rPr>
                <w:rFonts w:cs="Calibri"/>
                <w:b/>
                <w:bCs/>
                <w:color w:val="000000"/>
                <w:sz w:val="20"/>
                <w:szCs w:val="20"/>
                <w:lang w:eastAsia="en-AU"/>
              </w:rPr>
            </w:pPr>
            <w:r w:rsidRPr="00B4016E">
              <w:rPr>
                <w:rFonts w:cs="Calibri"/>
                <w:b/>
                <w:bCs/>
                <w:color w:val="000000"/>
                <w:sz w:val="20"/>
                <w:szCs w:val="20"/>
                <w:lang w:eastAsia="en-AU"/>
              </w:rPr>
              <w:t xml:space="preserve">TAFE / </w:t>
            </w:r>
            <w:proofErr w:type="spellStart"/>
            <w:r w:rsidRPr="00B4016E">
              <w:rPr>
                <w:rFonts w:cs="Calibri"/>
                <w:b/>
                <w:bCs/>
                <w:color w:val="000000"/>
                <w:sz w:val="20"/>
                <w:szCs w:val="20"/>
                <w:lang w:eastAsia="en-AU"/>
              </w:rPr>
              <w:t>RTO</w:t>
            </w:r>
            <w:proofErr w:type="spellEnd"/>
          </w:p>
        </w:tc>
        <w:tc>
          <w:tcPr>
            <w:tcW w:w="3040" w:type="dxa"/>
            <w:shd w:val="clear" w:color="auto" w:fill="auto"/>
          </w:tcPr>
          <w:p w14:paraId="1424EC3E" w14:textId="77777777" w:rsidR="00441186" w:rsidRPr="00944745" w:rsidRDefault="00441186" w:rsidP="0033629A">
            <w:pPr>
              <w:jc w:val="center"/>
              <w:rPr>
                <w:rFonts w:cs="Calibri"/>
              </w:rPr>
            </w:pPr>
            <w:r w:rsidRPr="00944745">
              <w:rPr>
                <w:rFonts w:cs="Calibri"/>
              </w:rPr>
              <w:t>120</w:t>
            </w:r>
          </w:p>
        </w:tc>
      </w:tr>
      <w:tr w:rsidR="00441186" w:rsidRPr="006100C3" w14:paraId="523E57E7" w14:textId="77777777" w:rsidTr="0033629A">
        <w:trPr>
          <w:trHeight w:val="268"/>
        </w:trPr>
        <w:tc>
          <w:tcPr>
            <w:tcW w:w="5131" w:type="dxa"/>
            <w:shd w:val="clear" w:color="auto" w:fill="D9D9D9" w:themeFill="background1" w:themeFillShade="D9"/>
            <w:vAlign w:val="center"/>
          </w:tcPr>
          <w:p w14:paraId="5BC3D182" w14:textId="77777777" w:rsidR="00441186" w:rsidRPr="00B4016E" w:rsidRDefault="00441186" w:rsidP="00441186">
            <w:pPr>
              <w:rPr>
                <w:rFonts w:cs="Calibri"/>
                <w:b/>
                <w:bCs/>
                <w:color w:val="000000"/>
                <w:sz w:val="20"/>
                <w:szCs w:val="20"/>
                <w:lang w:eastAsia="en-AU"/>
              </w:rPr>
            </w:pPr>
            <w:r w:rsidRPr="00B4016E">
              <w:rPr>
                <w:rFonts w:cs="Calibri"/>
                <w:b/>
                <w:bCs/>
                <w:color w:val="000000"/>
                <w:sz w:val="20"/>
                <w:szCs w:val="20"/>
                <w:lang w:eastAsia="en-AU"/>
              </w:rPr>
              <w:t>Adult Community Education (ACE) provider</w:t>
            </w:r>
          </w:p>
        </w:tc>
        <w:tc>
          <w:tcPr>
            <w:tcW w:w="3040" w:type="dxa"/>
            <w:shd w:val="clear" w:color="auto" w:fill="auto"/>
          </w:tcPr>
          <w:p w14:paraId="02495494" w14:textId="77777777" w:rsidR="00441186" w:rsidRPr="00944745" w:rsidRDefault="00441186" w:rsidP="0033629A">
            <w:pPr>
              <w:jc w:val="center"/>
              <w:rPr>
                <w:rFonts w:cs="Calibri"/>
              </w:rPr>
            </w:pPr>
            <w:r w:rsidRPr="00944745">
              <w:rPr>
                <w:rFonts w:cs="Calibri"/>
              </w:rPr>
              <w:t>236</w:t>
            </w:r>
          </w:p>
        </w:tc>
      </w:tr>
      <w:tr w:rsidR="00441186" w:rsidRPr="006100C3" w14:paraId="42FA5A04" w14:textId="77777777" w:rsidTr="0033629A">
        <w:trPr>
          <w:trHeight w:val="284"/>
        </w:trPr>
        <w:tc>
          <w:tcPr>
            <w:tcW w:w="5131" w:type="dxa"/>
            <w:shd w:val="clear" w:color="auto" w:fill="D9D9D9" w:themeFill="background1" w:themeFillShade="D9"/>
            <w:vAlign w:val="center"/>
          </w:tcPr>
          <w:p w14:paraId="3CBF2438" w14:textId="77777777" w:rsidR="00441186" w:rsidRPr="00B4016E" w:rsidRDefault="00441186" w:rsidP="00441186">
            <w:pPr>
              <w:rPr>
                <w:rFonts w:cs="Calibri"/>
                <w:b/>
                <w:bCs/>
                <w:color w:val="000000"/>
                <w:sz w:val="20"/>
                <w:szCs w:val="20"/>
                <w:lang w:eastAsia="en-AU"/>
              </w:rPr>
            </w:pPr>
            <w:r w:rsidRPr="00B4016E">
              <w:rPr>
                <w:rFonts w:cs="Calibri"/>
                <w:b/>
                <w:bCs/>
                <w:color w:val="000000"/>
                <w:sz w:val="20"/>
                <w:szCs w:val="20"/>
                <w:lang w:eastAsia="en-AU"/>
              </w:rPr>
              <w:t>Other  education / training providers</w:t>
            </w:r>
          </w:p>
        </w:tc>
        <w:tc>
          <w:tcPr>
            <w:tcW w:w="3040" w:type="dxa"/>
            <w:shd w:val="clear" w:color="auto" w:fill="auto"/>
          </w:tcPr>
          <w:p w14:paraId="0BDD4706" w14:textId="77777777" w:rsidR="00441186" w:rsidRPr="00944745" w:rsidRDefault="00441186" w:rsidP="0033629A">
            <w:pPr>
              <w:jc w:val="center"/>
              <w:rPr>
                <w:rFonts w:cs="Calibri"/>
              </w:rPr>
            </w:pPr>
            <w:r w:rsidRPr="00944745">
              <w:rPr>
                <w:rFonts w:cs="Calibri"/>
              </w:rPr>
              <w:t>370</w:t>
            </w:r>
          </w:p>
        </w:tc>
      </w:tr>
      <w:tr w:rsidR="00441186" w:rsidRPr="006100C3" w14:paraId="45D7F617" w14:textId="77777777" w:rsidTr="0033629A">
        <w:trPr>
          <w:trHeight w:val="268"/>
        </w:trPr>
        <w:tc>
          <w:tcPr>
            <w:tcW w:w="5131" w:type="dxa"/>
            <w:shd w:val="clear" w:color="auto" w:fill="D9D9D9" w:themeFill="background1" w:themeFillShade="D9"/>
            <w:vAlign w:val="center"/>
          </w:tcPr>
          <w:p w14:paraId="195C2512" w14:textId="7CE7162B" w:rsidR="00441186" w:rsidRPr="00B4016E" w:rsidRDefault="00441186" w:rsidP="000703C7">
            <w:pPr>
              <w:rPr>
                <w:rFonts w:cs="Calibri"/>
                <w:b/>
                <w:bCs/>
                <w:color w:val="000000"/>
                <w:sz w:val="20"/>
                <w:szCs w:val="20"/>
                <w:lang w:eastAsia="en-AU"/>
              </w:rPr>
            </w:pPr>
            <w:r w:rsidRPr="00B4016E">
              <w:rPr>
                <w:rFonts w:cs="Calibri"/>
                <w:b/>
                <w:bCs/>
                <w:color w:val="000000"/>
                <w:sz w:val="20"/>
                <w:szCs w:val="20"/>
                <w:lang w:eastAsia="en-AU"/>
              </w:rPr>
              <w:t xml:space="preserve"> Unions </w:t>
            </w:r>
          </w:p>
        </w:tc>
        <w:tc>
          <w:tcPr>
            <w:tcW w:w="3040" w:type="dxa"/>
            <w:shd w:val="clear" w:color="auto" w:fill="auto"/>
          </w:tcPr>
          <w:p w14:paraId="7F06E04D" w14:textId="77777777" w:rsidR="00441186" w:rsidRPr="00944745" w:rsidRDefault="00441186" w:rsidP="0033629A">
            <w:pPr>
              <w:jc w:val="center"/>
              <w:rPr>
                <w:rFonts w:cs="Calibri"/>
              </w:rPr>
            </w:pPr>
            <w:r w:rsidRPr="00944745">
              <w:rPr>
                <w:rFonts w:cs="Calibri"/>
              </w:rPr>
              <w:t>52</w:t>
            </w:r>
          </w:p>
        </w:tc>
      </w:tr>
      <w:tr w:rsidR="00441186" w:rsidRPr="006100C3" w14:paraId="0DD4C6B9" w14:textId="77777777" w:rsidTr="0033629A">
        <w:trPr>
          <w:trHeight w:val="284"/>
        </w:trPr>
        <w:tc>
          <w:tcPr>
            <w:tcW w:w="5131" w:type="dxa"/>
            <w:shd w:val="clear" w:color="auto" w:fill="D9D9D9" w:themeFill="background1" w:themeFillShade="D9"/>
            <w:vAlign w:val="center"/>
          </w:tcPr>
          <w:p w14:paraId="09089D76" w14:textId="484A5A8B" w:rsidR="00441186" w:rsidRPr="00B4016E" w:rsidRDefault="00441186" w:rsidP="000703C7">
            <w:pPr>
              <w:rPr>
                <w:rFonts w:cs="Calibri"/>
                <w:b/>
                <w:bCs/>
                <w:color w:val="000000"/>
                <w:sz w:val="20"/>
                <w:szCs w:val="20"/>
                <w:lang w:eastAsia="en-AU"/>
              </w:rPr>
            </w:pPr>
            <w:r w:rsidRPr="00B4016E">
              <w:rPr>
                <w:rFonts w:cs="Calibri"/>
                <w:b/>
                <w:bCs/>
                <w:color w:val="000000"/>
                <w:sz w:val="20"/>
                <w:szCs w:val="20"/>
                <w:lang w:eastAsia="en-AU"/>
              </w:rPr>
              <w:t xml:space="preserve"> Employers </w:t>
            </w:r>
          </w:p>
        </w:tc>
        <w:tc>
          <w:tcPr>
            <w:tcW w:w="3040" w:type="dxa"/>
            <w:shd w:val="clear" w:color="auto" w:fill="auto"/>
          </w:tcPr>
          <w:p w14:paraId="2A8D67D3" w14:textId="77777777" w:rsidR="00441186" w:rsidRPr="00944745" w:rsidRDefault="00441186" w:rsidP="0033629A">
            <w:pPr>
              <w:jc w:val="center"/>
              <w:rPr>
                <w:rFonts w:cs="Calibri"/>
              </w:rPr>
            </w:pPr>
            <w:r w:rsidRPr="00944745">
              <w:rPr>
                <w:rFonts w:cs="Calibri"/>
              </w:rPr>
              <w:t>754</w:t>
            </w:r>
          </w:p>
        </w:tc>
      </w:tr>
      <w:tr w:rsidR="00441186" w:rsidRPr="006100C3" w14:paraId="6371CF32" w14:textId="77777777" w:rsidTr="0033629A">
        <w:trPr>
          <w:trHeight w:val="268"/>
        </w:trPr>
        <w:tc>
          <w:tcPr>
            <w:tcW w:w="5131" w:type="dxa"/>
            <w:shd w:val="clear" w:color="auto" w:fill="D9D9D9" w:themeFill="background1" w:themeFillShade="D9"/>
            <w:vAlign w:val="center"/>
          </w:tcPr>
          <w:p w14:paraId="36D85C1B" w14:textId="67806820" w:rsidR="00441186" w:rsidRPr="00B4016E" w:rsidRDefault="00441186" w:rsidP="000703C7">
            <w:pPr>
              <w:rPr>
                <w:rFonts w:cs="Calibri"/>
                <w:b/>
                <w:bCs/>
                <w:color w:val="000000"/>
                <w:sz w:val="20"/>
                <w:szCs w:val="20"/>
                <w:lang w:eastAsia="en-AU"/>
              </w:rPr>
            </w:pPr>
            <w:r w:rsidRPr="00B4016E">
              <w:rPr>
                <w:rFonts w:cs="Calibri"/>
                <w:b/>
                <w:bCs/>
                <w:color w:val="000000"/>
                <w:sz w:val="20"/>
                <w:szCs w:val="20"/>
                <w:lang w:eastAsia="en-AU"/>
              </w:rPr>
              <w:t xml:space="preserve"> Local Government </w:t>
            </w:r>
          </w:p>
        </w:tc>
        <w:tc>
          <w:tcPr>
            <w:tcW w:w="3040" w:type="dxa"/>
            <w:shd w:val="clear" w:color="auto" w:fill="auto"/>
          </w:tcPr>
          <w:p w14:paraId="25525ACA" w14:textId="77777777" w:rsidR="00441186" w:rsidRPr="00944745" w:rsidRDefault="00441186" w:rsidP="0033629A">
            <w:pPr>
              <w:jc w:val="center"/>
              <w:rPr>
                <w:rFonts w:cs="Calibri"/>
              </w:rPr>
            </w:pPr>
            <w:r w:rsidRPr="00944745">
              <w:rPr>
                <w:rFonts w:cs="Calibri"/>
              </w:rPr>
              <w:t>106</w:t>
            </w:r>
          </w:p>
        </w:tc>
      </w:tr>
      <w:tr w:rsidR="00441186" w:rsidRPr="006100C3" w14:paraId="77C9643C" w14:textId="77777777" w:rsidTr="0033629A">
        <w:trPr>
          <w:trHeight w:val="284"/>
        </w:trPr>
        <w:tc>
          <w:tcPr>
            <w:tcW w:w="5131" w:type="dxa"/>
            <w:shd w:val="clear" w:color="auto" w:fill="D9D9D9" w:themeFill="background1" w:themeFillShade="D9"/>
            <w:vAlign w:val="center"/>
          </w:tcPr>
          <w:p w14:paraId="2026ACDF" w14:textId="44278777" w:rsidR="00441186" w:rsidRPr="00B4016E" w:rsidRDefault="00441186" w:rsidP="000703C7">
            <w:pPr>
              <w:rPr>
                <w:rFonts w:cs="Calibri"/>
                <w:b/>
                <w:bCs/>
                <w:color w:val="000000"/>
                <w:sz w:val="20"/>
                <w:szCs w:val="20"/>
                <w:lang w:eastAsia="en-AU"/>
              </w:rPr>
            </w:pPr>
            <w:r w:rsidRPr="00B4016E">
              <w:rPr>
                <w:rFonts w:cs="Calibri"/>
                <w:b/>
                <w:bCs/>
                <w:color w:val="000000"/>
                <w:sz w:val="20"/>
                <w:szCs w:val="20"/>
                <w:lang w:eastAsia="en-AU"/>
              </w:rPr>
              <w:t xml:space="preserve">Other community agencies </w:t>
            </w:r>
          </w:p>
        </w:tc>
        <w:tc>
          <w:tcPr>
            <w:tcW w:w="3040" w:type="dxa"/>
            <w:shd w:val="clear" w:color="auto" w:fill="auto"/>
          </w:tcPr>
          <w:p w14:paraId="06C2BC95" w14:textId="77777777" w:rsidR="00441186" w:rsidRPr="00944745" w:rsidRDefault="00441186" w:rsidP="0033629A">
            <w:pPr>
              <w:jc w:val="center"/>
              <w:rPr>
                <w:rFonts w:cs="Calibri"/>
              </w:rPr>
            </w:pPr>
            <w:r w:rsidRPr="00944745">
              <w:rPr>
                <w:rFonts w:cs="Calibri"/>
              </w:rPr>
              <w:t>605</w:t>
            </w:r>
          </w:p>
        </w:tc>
      </w:tr>
      <w:tr w:rsidR="00441186" w:rsidRPr="006100C3" w14:paraId="7F5B82A3" w14:textId="77777777" w:rsidTr="0033629A">
        <w:trPr>
          <w:trHeight w:val="284"/>
        </w:trPr>
        <w:tc>
          <w:tcPr>
            <w:tcW w:w="5131" w:type="dxa"/>
            <w:shd w:val="clear" w:color="auto" w:fill="D9D9D9" w:themeFill="background1" w:themeFillShade="D9"/>
            <w:vAlign w:val="center"/>
          </w:tcPr>
          <w:p w14:paraId="04175646" w14:textId="3B84B307" w:rsidR="00441186" w:rsidRPr="00B4016E" w:rsidRDefault="00441186" w:rsidP="000703C7">
            <w:pPr>
              <w:rPr>
                <w:rFonts w:cs="Calibri"/>
                <w:b/>
                <w:bCs/>
                <w:color w:val="000000"/>
                <w:sz w:val="20"/>
                <w:szCs w:val="20"/>
                <w:lang w:eastAsia="en-AU"/>
              </w:rPr>
            </w:pPr>
            <w:r w:rsidRPr="00B4016E">
              <w:rPr>
                <w:rFonts w:cs="Calibri"/>
                <w:b/>
                <w:bCs/>
                <w:color w:val="000000"/>
                <w:sz w:val="20"/>
                <w:szCs w:val="20"/>
                <w:lang w:eastAsia="en-AU"/>
              </w:rPr>
              <w:t xml:space="preserve"> </w:t>
            </w:r>
            <w:proofErr w:type="spellStart"/>
            <w:r w:rsidRPr="00B4016E">
              <w:rPr>
                <w:rFonts w:cs="Calibri"/>
                <w:b/>
                <w:bCs/>
                <w:color w:val="000000"/>
                <w:sz w:val="20"/>
                <w:szCs w:val="20"/>
                <w:lang w:eastAsia="en-AU"/>
              </w:rPr>
              <w:t>Koorie</w:t>
            </w:r>
            <w:proofErr w:type="spellEnd"/>
            <w:r w:rsidRPr="00B4016E">
              <w:rPr>
                <w:rFonts w:cs="Calibri"/>
                <w:b/>
                <w:bCs/>
                <w:color w:val="000000"/>
                <w:sz w:val="20"/>
                <w:szCs w:val="20"/>
                <w:lang w:eastAsia="en-AU"/>
              </w:rPr>
              <w:t xml:space="preserve"> </w:t>
            </w:r>
          </w:p>
        </w:tc>
        <w:tc>
          <w:tcPr>
            <w:tcW w:w="3040" w:type="dxa"/>
            <w:shd w:val="clear" w:color="auto" w:fill="auto"/>
          </w:tcPr>
          <w:p w14:paraId="0E55744E" w14:textId="77777777" w:rsidR="00441186" w:rsidRPr="00944745" w:rsidRDefault="00441186" w:rsidP="0033629A">
            <w:pPr>
              <w:jc w:val="center"/>
              <w:rPr>
                <w:rFonts w:cs="Calibri"/>
              </w:rPr>
            </w:pPr>
            <w:r w:rsidRPr="00944745">
              <w:rPr>
                <w:rFonts w:cs="Calibri"/>
              </w:rPr>
              <w:t>101</w:t>
            </w:r>
          </w:p>
        </w:tc>
      </w:tr>
      <w:tr w:rsidR="00441186" w:rsidRPr="006100C3" w14:paraId="21F2A49F" w14:textId="77777777" w:rsidTr="0033629A">
        <w:trPr>
          <w:trHeight w:val="268"/>
        </w:trPr>
        <w:tc>
          <w:tcPr>
            <w:tcW w:w="5131" w:type="dxa"/>
            <w:shd w:val="clear" w:color="auto" w:fill="D9D9D9" w:themeFill="background1" w:themeFillShade="D9"/>
            <w:vAlign w:val="center"/>
          </w:tcPr>
          <w:p w14:paraId="74AFB128" w14:textId="77777777" w:rsidR="00441186" w:rsidRPr="00B4016E" w:rsidRDefault="00441186" w:rsidP="00441186">
            <w:pPr>
              <w:rPr>
                <w:rFonts w:cs="Calibri"/>
                <w:b/>
                <w:bCs/>
                <w:color w:val="000000"/>
                <w:sz w:val="20"/>
                <w:szCs w:val="20"/>
                <w:lang w:eastAsia="en-AU"/>
              </w:rPr>
            </w:pPr>
            <w:r w:rsidRPr="00B4016E">
              <w:rPr>
                <w:rFonts w:cs="Calibri"/>
                <w:b/>
                <w:bCs/>
                <w:color w:val="000000"/>
                <w:sz w:val="20"/>
                <w:szCs w:val="20"/>
                <w:lang w:eastAsia="en-AU"/>
              </w:rPr>
              <w:t>Community Members</w:t>
            </w:r>
          </w:p>
        </w:tc>
        <w:tc>
          <w:tcPr>
            <w:tcW w:w="3040" w:type="dxa"/>
            <w:shd w:val="clear" w:color="auto" w:fill="auto"/>
          </w:tcPr>
          <w:p w14:paraId="132C34CF" w14:textId="77777777" w:rsidR="00441186" w:rsidRPr="00944745" w:rsidRDefault="00441186" w:rsidP="0033629A">
            <w:pPr>
              <w:jc w:val="center"/>
              <w:rPr>
                <w:rFonts w:cs="Calibri"/>
              </w:rPr>
            </w:pPr>
            <w:r w:rsidRPr="00944745">
              <w:rPr>
                <w:rFonts w:cs="Calibri"/>
              </w:rPr>
              <w:t>2436</w:t>
            </w:r>
          </w:p>
        </w:tc>
      </w:tr>
      <w:tr w:rsidR="00441186" w:rsidRPr="006100C3" w14:paraId="2681A88D" w14:textId="77777777" w:rsidTr="0033629A">
        <w:trPr>
          <w:trHeight w:val="284"/>
        </w:trPr>
        <w:tc>
          <w:tcPr>
            <w:tcW w:w="5131" w:type="dxa"/>
            <w:shd w:val="clear" w:color="auto" w:fill="D9D9D9" w:themeFill="background1" w:themeFillShade="D9"/>
            <w:vAlign w:val="center"/>
          </w:tcPr>
          <w:p w14:paraId="74A21CCF" w14:textId="67A28E23" w:rsidR="00441186" w:rsidRPr="00B4016E" w:rsidRDefault="00804443" w:rsidP="00441186">
            <w:pPr>
              <w:rPr>
                <w:rFonts w:cs="Calibri"/>
                <w:b/>
                <w:bCs/>
                <w:color w:val="000000"/>
                <w:sz w:val="20"/>
                <w:szCs w:val="20"/>
                <w:lang w:eastAsia="en-AU"/>
              </w:rPr>
            </w:pPr>
            <w:r>
              <w:rPr>
                <w:rFonts w:cs="Calibri"/>
                <w:b/>
                <w:bCs/>
                <w:color w:val="000000"/>
                <w:sz w:val="20"/>
                <w:szCs w:val="20"/>
                <w:lang w:eastAsia="en-AU"/>
              </w:rPr>
              <w:t>Co-</w:t>
            </w:r>
            <w:proofErr w:type="spellStart"/>
            <w:r>
              <w:rPr>
                <w:rFonts w:cs="Calibri"/>
                <w:b/>
                <w:bCs/>
                <w:color w:val="000000"/>
                <w:sz w:val="20"/>
                <w:szCs w:val="20"/>
                <w:lang w:eastAsia="en-AU"/>
              </w:rPr>
              <w:t>optees</w:t>
            </w:r>
            <w:proofErr w:type="spellEnd"/>
          </w:p>
        </w:tc>
        <w:tc>
          <w:tcPr>
            <w:tcW w:w="3040" w:type="dxa"/>
            <w:shd w:val="clear" w:color="auto" w:fill="auto"/>
          </w:tcPr>
          <w:p w14:paraId="0A38221F" w14:textId="77777777" w:rsidR="00441186" w:rsidRPr="00944745" w:rsidRDefault="00441186" w:rsidP="0033629A">
            <w:pPr>
              <w:jc w:val="center"/>
              <w:rPr>
                <w:rFonts w:cs="Calibri"/>
              </w:rPr>
            </w:pPr>
            <w:r w:rsidRPr="00944745">
              <w:rPr>
                <w:rFonts w:cs="Calibri"/>
              </w:rPr>
              <w:t>53</w:t>
            </w:r>
          </w:p>
        </w:tc>
      </w:tr>
      <w:tr w:rsidR="00441186" w:rsidRPr="006100C3" w14:paraId="5795C5B7" w14:textId="77777777" w:rsidTr="0033629A">
        <w:trPr>
          <w:trHeight w:val="284"/>
        </w:trPr>
        <w:tc>
          <w:tcPr>
            <w:tcW w:w="5131" w:type="dxa"/>
            <w:shd w:val="clear" w:color="auto" w:fill="D9D9D9" w:themeFill="background1" w:themeFillShade="D9"/>
            <w:vAlign w:val="center"/>
          </w:tcPr>
          <w:p w14:paraId="572BDFEB" w14:textId="77E7A7D7" w:rsidR="00441186" w:rsidRPr="00B4016E" w:rsidRDefault="00E84099" w:rsidP="00E84099">
            <w:pPr>
              <w:jc w:val="right"/>
              <w:rPr>
                <w:rFonts w:cs="Calibri"/>
                <w:b/>
                <w:bCs/>
                <w:color w:val="000000"/>
                <w:sz w:val="20"/>
                <w:szCs w:val="20"/>
                <w:lang w:eastAsia="en-AU"/>
              </w:rPr>
            </w:pPr>
            <w:r>
              <w:rPr>
                <w:rFonts w:cs="Calibri"/>
                <w:b/>
                <w:bCs/>
                <w:color w:val="000000"/>
                <w:sz w:val="20"/>
                <w:szCs w:val="20"/>
                <w:lang w:eastAsia="en-AU"/>
              </w:rPr>
              <w:t>TOTAL</w:t>
            </w:r>
          </w:p>
        </w:tc>
        <w:tc>
          <w:tcPr>
            <w:tcW w:w="3040" w:type="dxa"/>
            <w:shd w:val="clear" w:color="auto" w:fill="auto"/>
            <w:vAlign w:val="center"/>
          </w:tcPr>
          <w:p w14:paraId="493A2B23" w14:textId="77777777" w:rsidR="00441186" w:rsidRPr="00AA1063" w:rsidRDefault="00441186" w:rsidP="0033629A">
            <w:pPr>
              <w:jc w:val="right"/>
              <w:rPr>
                <w:rFonts w:cs="Calibri"/>
                <w:b/>
                <w:highlight w:val="yellow"/>
              </w:rPr>
            </w:pPr>
            <w:r w:rsidRPr="00AA1063">
              <w:rPr>
                <w:rFonts w:eastAsia="Times New Roman"/>
                <w:b/>
                <w:color w:val="000000"/>
                <w:lang w:eastAsia="en-AU"/>
              </w:rPr>
              <w:t>5592</w:t>
            </w:r>
          </w:p>
        </w:tc>
      </w:tr>
    </w:tbl>
    <w:p w14:paraId="1A9C9BCD" w14:textId="744C2DFA" w:rsidR="0053757F" w:rsidRDefault="0053757F" w:rsidP="00441186">
      <w:pPr>
        <w:spacing w:after="120"/>
        <w:rPr>
          <w:rFonts w:cs="Calibri"/>
          <w:b/>
          <w:bCs/>
          <w:u w:val="single"/>
        </w:rPr>
      </w:pPr>
    </w:p>
    <w:p w14:paraId="64E1F7B2" w14:textId="77777777" w:rsidR="00441186" w:rsidRPr="004A3CFF" w:rsidRDefault="00441186" w:rsidP="00592A44">
      <w:pPr>
        <w:pStyle w:val="Heading4"/>
      </w:pPr>
      <w:r>
        <w:t>Figure 1: LLEN Members (by Stakeholder Category)</w:t>
      </w:r>
      <w:r>
        <w:tab/>
      </w:r>
    </w:p>
    <w:p w14:paraId="4BE84C5E" w14:textId="77777777" w:rsidR="00441186" w:rsidRDefault="00441186" w:rsidP="00441186">
      <w:pPr>
        <w:rPr>
          <w:rFonts w:cs="Calibri"/>
          <w:lang w:eastAsia="en-AU"/>
        </w:rPr>
      </w:pPr>
      <w:r>
        <w:rPr>
          <w:noProof/>
          <w:lang w:eastAsia="en-AU"/>
        </w:rPr>
        <w:drawing>
          <wp:inline distT="0" distB="0" distL="0" distR="0" wp14:anchorId="089AC54D" wp14:editId="61C181AC">
            <wp:extent cx="5972175" cy="3981450"/>
            <wp:effectExtent l="0" t="0" r="9525" b="19050"/>
            <wp:docPr id="7" name="Chart 7" descr="2012 LLEN Members by Stakeholder Category&#1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012AD8A9" w14:textId="5947C660" w:rsidR="00592A44" w:rsidRDefault="00592A44">
      <w:pPr>
        <w:spacing w:after="200"/>
        <w:rPr>
          <w:rFonts w:cs="Calibri"/>
          <w:b/>
          <w:bCs/>
          <w:u w:val="single"/>
        </w:rPr>
      </w:pPr>
      <w:r>
        <w:rPr>
          <w:rFonts w:cs="Calibri"/>
          <w:b/>
          <w:bCs/>
          <w:u w:val="single"/>
        </w:rPr>
        <w:br w:type="page"/>
      </w:r>
    </w:p>
    <w:p w14:paraId="0D73AAF7" w14:textId="77777777" w:rsidR="00945DB9" w:rsidRDefault="00945DB9" w:rsidP="00592A44">
      <w:pPr>
        <w:pStyle w:val="Heading4"/>
      </w:pPr>
    </w:p>
    <w:p w14:paraId="5506AC85" w14:textId="20A2BE17" w:rsidR="0089320F" w:rsidRDefault="00441186" w:rsidP="00592A44">
      <w:pPr>
        <w:pStyle w:val="Heading4"/>
        <w:rPr>
          <w:lang w:eastAsia="en-AU"/>
        </w:rPr>
      </w:pPr>
      <w:r w:rsidRPr="009F532F">
        <w:t>Figure</w:t>
      </w:r>
      <w:r w:rsidR="0053757F">
        <w:t xml:space="preserve"> </w:t>
      </w:r>
      <w:r w:rsidRPr="009F532F">
        <w:t xml:space="preserve">2: No. </w:t>
      </w:r>
      <w:r w:rsidRPr="009F532F">
        <w:rPr>
          <w:lang w:eastAsia="en-AU"/>
        </w:rPr>
        <w:t xml:space="preserve">LLEN Board/Committee of </w:t>
      </w:r>
      <w:r w:rsidR="0089320F" w:rsidRPr="0089320F">
        <w:rPr>
          <w:lang w:eastAsia="en-AU"/>
        </w:rPr>
        <w:t>Management members by Stakeholder Category</w:t>
      </w:r>
    </w:p>
    <w:p w14:paraId="5580143D" w14:textId="0480A389" w:rsidR="0089320F" w:rsidRPr="00A859F8" w:rsidRDefault="0089320F" w:rsidP="00A859F8">
      <w:pPr>
        <w:spacing w:after="120" w:line="240" w:lineRule="auto"/>
        <w:rPr>
          <w:rFonts w:cs="Calibri"/>
          <w:lang w:eastAsia="en-AU"/>
        </w:rPr>
      </w:pPr>
      <w:r>
        <w:rPr>
          <w:noProof/>
          <w:lang w:eastAsia="en-AU"/>
        </w:rPr>
        <w:drawing>
          <wp:inline distT="0" distB="0" distL="0" distR="0" wp14:anchorId="09C51C6A" wp14:editId="1370C3C5">
            <wp:extent cx="5960225" cy="3931920"/>
            <wp:effectExtent l="0" t="0" r="21590" b="11430"/>
            <wp:docPr id="6" name="Chart 6" descr="2012 LLEN COM/Board by Stakeholder Category&#1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bookmarkStart w:id="22" w:name="_Toc329085895"/>
    </w:p>
    <w:p w14:paraId="29EB1D8C" w14:textId="77777777" w:rsidR="00945DB9" w:rsidRDefault="00945DB9">
      <w:pPr>
        <w:spacing w:after="200"/>
        <w:rPr>
          <w:rFonts w:ascii="Arial" w:eastAsiaTheme="majorEastAsia" w:hAnsi="Arial" w:cstheme="majorBidi"/>
          <w:b/>
          <w:bCs/>
          <w:u w:val="single"/>
        </w:rPr>
      </w:pPr>
      <w:r>
        <w:br w:type="page"/>
      </w:r>
    </w:p>
    <w:p w14:paraId="2D954DD7" w14:textId="2972887E" w:rsidR="00441186" w:rsidRDefault="00441186" w:rsidP="00592A44">
      <w:pPr>
        <w:pStyle w:val="Heading3"/>
        <w:ind w:left="0"/>
      </w:pPr>
      <w:r>
        <w:lastRenderedPageBreak/>
        <w:t>Partnerships</w:t>
      </w:r>
      <w:bookmarkEnd w:id="22"/>
    </w:p>
    <w:p w14:paraId="1F34B99A" w14:textId="16B4475E" w:rsidR="00441186" w:rsidRDefault="00441186" w:rsidP="000703C7">
      <w:pPr>
        <w:spacing w:after="120"/>
        <w:rPr>
          <w:rFonts w:cs="Calibri"/>
          <w:bCs/>
          <w:lang w:eastAsia="en-AU"/>
        </w:rPr>
      </w:pPr>
      <w:r>
        <w:rPr>
          <w:rFonts w:cs="Calibri"/>
          <w:bCs/>
          <w:lang w:eastAsia="en-AU"/>
        </w:rPr>
        <w:t xml:space="preserve">An overview of partnerships brokered by </w:t>
      </w:r>
      <w:proofErr w:type="spellStart"/>
      <w:r>
        <w:rPr>
          <w:rFonts w:cs="Calibri"/>
          <w:bCs/>
          <w:lang w:eastAsia="en-AU"/>
        </w:rPr>
        <w:t>LLENs</w:t>
      </w:r>
      <w:proofErr w:type="spellEnd"/>
      <w:r>
        <w:rPr>
          <w:rFonts w:cs="Calibri"/>
          <w:bCs/>
          <w:lang w:eastAsia="en-AU"/>
        </w:rPr>
        <w:t xml:space="preserve"> in relation to each of the outcome areas is provided in </w:t>
      </w:r>
      <w:r w:rsidR="008544B6">
        <w:rPr>
          <w:rFonts w:cs="Calibri"/>
          <w:bCs/>
          <w:lang w:eastAsia="en-AU"/>
        </w:rPr>
        <w:t>table 16</w:t>
      </w:r>
      <w:r w:rsidR="008E0F35">
        <w:rPr>
          <w:rFonts w:cs="Calibri"/>
          <w:bCs/>
          <w:lang w:eastAsia="en-AU"/>
        </w:rPr>
        <w:t xml:space="preserve"> and figure</w:t>
      </w:r>
      <w:r w:rsidR="0053757F">
        <w:rPr>
          <w:rFonts w:cs="Calibri"/>
          <w:bCs/>
          <w:lang w:eastAsia="en-AU"/>
        </w:rPr>
        <w:t xml:space="preserve"> 3</w:t>
      </w:r>
      <w:r w:rsidR="008E0F35">
        <w:rPr>
          <w:rFonts w:cs="Calibri"/>
          <w:bCs/>
          <w:lang w:eastAsia="en-AU"/>
        </w:rPr>
        <w:t>.</w:t>
      </w:r>
    </w:p>
    <w:p w14:paraId="44C105A3" w14:textId="4476A9DE" w:rsidR="00441186" w:rsidRDefault="00837063" w:rsidP="00592A44">
      <w:pPr>
        <w:pStyle w:val="Heading4"/>
        <w:rPr>
          <w:lang w:eastAsia="en-AU"/>
        </w:rPr>
      </w:pPr>
      <w:r>
        <w:t>T</w:t>
      </w:r>
      <w:r w:rsidR="00095D55">
        <w:t>able 16</w:t>
      </w:r>
      <w:r w:rsidR="00441186" w:rsidRPr="00EF72A7">
        <w:t>:</w:t>
      </w:r>
      <w:r w:rsidR="00441186">
        <w:t xml:space="preserve"> </w:t>
      </w:r>
      <w:r w:rsidR="008E0F35">
        <w:rPr>
          <w:lang w:eastAsia="en-AU"/>
        </w:rPr>
        <w:t>Number of Partnerships by P</w:t>
      </w:r>
      <w:r w:rsidR="00441186" w:rsidRPr="00EF72A7">
        <w:rPr>
          <w:lang w:eastAsia="en-AU"/>
        </w:rPr>
        <w:t>artnership category</w:t>
      </w:r>
      <w:r w:rsidR="00441186">
        <w:rPr>
          <w:lang w:eastAsia="en-AU"/>
        </w:rPr>
        <w:t xml:space="preserve"> </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85"/>
        <w:gridCol w:w="1451"/>
        <w:gridCol w:w="1560"/>
        <w:gridCol w:w="1417"/>
        <w:gridCol w:w="1418"/>
        <w:gridCol w:w="850"/>
      </w:tblGrid>
      <w:tr w:rsidR="00F167FB" w:rsidRPr="006100C3" w14:paraId="3E6FF3E3" w14:textId="77777777" w:rsidTr="00F81216">
        <w:tc>
          <w:tcPr>
            <w:tcW w:w="1385" w:type="dxa"/>
            <w:shd w:val="clear" w:color="auto" w:fill="D6E3BC" w:themeFill="accent3" w:themeFillTint="66"/>
          </w:tcPr>
          <w:p w14:paraId="5F45870A" w14:textId="77777777" w:rsidR="00F167FB" w:rsidRPr="006100C3" w:rsidRDefault="00F167FB" w:rsidP="00F81216">
            <w:pPr>
              <w:keepNext/>
              <w:rPr>
                <w:rFonts w:cs="Calibri"/>
                <w:lang w:eastAsia="en-AU"/>
              </w:rPr>
            </w:pPr>
            <w:r w:rsidRPr="006100C3">
              <w:rPr>
                <w:rFonts w:cs="Calibri"/>
                <w:b/>
                <w:lang w:eastAsia="en-AU"/>
              </w:rPr>
              <w:t>Outcome area</w:t>
            </w:r>
          </w:p>
        </w:tc>
        <w:tc>
          <w:tcPr>
            <w:tcW w:w="1451" w:type="dxa"/>
            <w:shd w:val="clear" w:color="auto" w:fill="D6E3BC" w:themeFill="accent3" w:themeFillTint="66"/>
          </w:tcPr>
          <w:p w14:paraId="095A849F" w14:textId="77777777" w:rsidR="00F167FB" w:rsidRPr="008E0F35" w:rsidRDefault="00F167FB" w:rsidP="00F81216">
            <w:pPr>
              <w:keepNext/>
              <w:rPr>
                <w:rFonts w:cs="Calibri"/>
                <w:b/>
                <w:lang w:eastAsia="en-AU"/>
              </w:rPr>
            </w:pPr>
            <w:r w:rsidRPr="008E0F35">
              <w:rPr>
                <w:rFonts w:cs="Calibri"/>
                <w:b/>
                <w:lang w:eastAsia="en-AU"/>
              </w:rPr>
              <w:t>Education and Training</w:t>
            </w:r>
          </w:p>
        </w:tc>
        <w:tc>
          <w:tcPr>
            <w:tcW w:w="1560" w:type="dxa"/>
            <w:shd w:val="clear" w:color="auto" w:fill="D6E3BC" w:themeFill="accent3" w:themeFillTint="66"/>
          </w:tcPr>
          <w:p w14:paraId="709E7025" w14:textId="77777777" w:rsidR="00F167FB" w:rsidRPr="008E0F35" w:rsidRDefault="00F167FB" w:rsidP="00F81216">
            <w:pPr>
              <w:keepNext/>
              <w:rPr>
                <w:rFonts w:cs="Calibri"/>
                <w:b/>
                <w:lang w:eastAsia="en-AU"/>
              </w:rPr>
            </w:pPr>
            <w:r w:rsidRPr="008E0F35">
              <w:rPr>
                <w:rFonts w:cs="Calibri"/>
                <w:b/>
                <w:lang w:eastAsia="en-AU"/>
              </w:rPr>
              <w:t>Business and Industry</w:t>
            </w:r>
          </w:p>
        </w:tc>
        <w:tc>
          <w:tcPr>
            <w:tcW w:w="1417" w:type="dxa"/>
            <w:shd w:val="clear" w:color="auto" w:fill="D6E3BC" w:themeFill="accent3" w:themeFillTint="66"/>
          </w:tcPr>
          <w:p w14:paraId="094137FA" w14:textId="77777777" w:rsidR="00F167FB" w:rsidRPr="008E0F35" w:rsidRDefault="00F167FB" w:rsidP="00F81216">
            <w:pPr>
              <w:keepNext/>
              <w:rPr>
                <w:rFonts w:cs="Calibri"/>
                <w:b/>
                <w:lang w:eastAsia="en-AU"/>
              </w:rPr>
            </w:pPr>
            <w:r w:rsidRPr="008E0F35">
              <w:rPr>
                <w:rFonts w:cs="Calibri"/>
                <w:b/>
                <w:lang w:eastAsia="en-AU"/>
              </w:rPr>
              <w:t>Parents and Families</w:t>
            </w:r>
          </w:p>
        </w:tc>
        <w:tc>
          <w:tcPr>
            <w:tcW w:w="1418" w:type="dxa"/>
            <w:shd w:val="clear" w:color="auto" w:fill="D6E3BC" w:themeFill="accent3" w:themeFillTint="66"/>
          </w:tcPr>
          <w:p w14:paraId="260D20F4" w14:textId="77777777" w:rsidR="00F167FB" w:rsidRPr="008E0F35" w:rsidRDefault="00F167FB" w:rsidP="00F81216">
            <w:pPr>
              <w:keepNext/>
              <w:rPr>
                <w:rFonts w:cs="Calibri"/>
                <w:b/>
                <w:lang w:eastAsia="en-AU"/>
              </w:rPr>
            </w:pPr>
            <w:r w:rsidRPr="008E0F35">
              <w:rPr>
                <w:rFonts w:cs="Calibri"/>
                <w:b/>
                <w:lang w:eastAsia="en-AU"/>
              </w:rPr>
              <w:t>Community</w:t>
            </w:r>
          </w:p>
        </w:tc>
        <w:tc>
          <w:tcPr>
            <w:tcW w:w="850" w:type="dxa"/>
            <w:shd w:val="clear" w:color="auto" w:fill="D6E3BC" w:themeFill="accent3" w:themeFillTint="66"/>
          </w:tcPr>
          <w:p w14:paraId="60B5EDC8" w14:textId="77777777" w:rsidR="00F167FB" w:rsidRPr="006100C3" w:rsidRDefault="00F167FB" w:rsidP="00F81216">
            <w:pPr>
              <w:keepNext/>
              <w:rPr>
                <w:rFonts w:cs="Calibri"/>
                <w:b/>
                <w:lang w:eastAsia="en-AU"/>
              </w:rPr>
            </w:pPr>
            <w:r w:rsidRPr="006100C3">
              <w:rPr>
                <w:rFonts w:cs="Calibri"/>
                <w:b/>
                <w:lang w:eastAsia="en-AU"/>
              </w:rPr>
              <w:t>All</w:t>
            </w:r>
          </w:p>
        </w:tc>
      </w:tr>
      <w:tr w:rsidR="00F167FB" w:rsidRPr="006100C3" w14:paraId="5E6CC11A" w14:textId="77777777" w:rsidTr="00F167FB">
        <w:tc>
          <w:tcPr>
            <w:tcW w:w="1385" w:type="dxa"/>
            <w:shd w:val="clear" w:color="auto" w:fill="D9D9D9" w:themeFill="background1" w:themeFillShade="D9"/>
          </w:tcPr>
          <w:p w14:paraId="67EC2A52" w14:textId="77777777" w:rsidR="00F167FB" w:rsidRPr="006100C3" w:rsidRDefault="00F167FB" w:rsidP="00F81216">
            <w:pPr>
              <w:keepNext/>
              <w:rPr>
                <w:rFonts w:cs="Calibri"/>
                <w:b/>
                <w:lang w:eastAsia="en-AU"/>
              </w:rPr>
            </w:pPr>
            <w:r w:rsidRPr="00B4016E">
              <w:rPr>
                <w:rFonts w:cs="Calibri"/>
                <w:b/>
                <w:sz w:val="20"/>
                <w:szCs w:val="20"/>
                <w:lang w:eastAsia="en-AU"/>
              </w:rPr>
              <w:t>Total partnerships</w:t>
            </w:r>
          </w:p>
        </w:tc>
        <w:tc>
          <w:tcPr>
            <w:tcW w:w="1451" w:type="dxa"/>
            <w:shd w:val="clear" w:color="auto" w:fill="auto"/>
            <w:vAlign w:val="center"/>
          </w:tcPr>
          <w:p w14:paraId="6A208A57" w14:textId="77777777" w:rsidR="00F167FB" w:rsidRPr="00A1280A" w:rsidRDefault="00F167FB" w:rsidP="00F167FB">
            <w:pPr>
              <w:keepNext/>
              <w:rPr>
                <w:rFonts w:cs="Calibri"/>
                <w:lang w:eastAsia="en-AU"/>
              </w:rPr>
            </w:pPr>
            <w:r w:rsidRPr="00A1280A">
              <w:rPr>
                <w:rFonts w:cs="Calibri"/>
                <w:lang w:eastAsia="en-AU"/>
              </w:rPr>
              <w:t>386</w:t>
            </w:r>
          </w:p>
        </w:tc>
        <w:tc>
          <w:tcPr>
            <w:tcW w:w="1560" w:type="dxa"/>
            <w:shd w:val="clear" w:color="auto" w:fill="auto"/>
            <w:vAlign w:val="center"/>
          </w:tcPr>
          <w:p w14:paraId="7D6823C9" w14:textId="77777777" w:rsidR="00F167FB" w:rsidRPr="00A1280A" w:rsidRDefault="00F167FB" w:rsidP="00F167FB">
            <w:pPr>
              <w:keepNext/>
              <w:rPr>
                <w:rFonts w:cs="Calibri"/>
                <w:lang w:eastAsia="en-AU"/>
              </w:rPr>
            </w:pPr>
            <w:r w:rsidRPr="00A1280A">
              <w:rPr>
                <w:rFonts w:cs="Calibri"/>
                <w:lang w:eastAsia="en-AU"/>
              </w:rPr>
              <w:t>209</w:t>
            </w:r>
          </w:p>
        </w:tc>
        <w:tc>
          <w:tcPr>
            <w:tcW w:w="1417" w:type="dxa"/>
            <w:shd w:val="clear" w:color="auto" w:fill="auto"/>
            <w:vAlign w:val="center"/>
          </w:tcPr>
          <w:p w14:paraId="1F31E3B6" w14:textId="77777777" w:rsidR="00F167FB" w:rsidRPr="00A1280A" w:rsidRDefault="00F167FB" w:rsidP="00F167FB">
            <w:pPr>
              <w:keepNext/>
              <w:rPr>
                <w:rFonts w:cs="Calibri"/>
                <w:lang w:eastAsia="en-AU"/>
              </w:rPr>
            </w:pPr>
            <w:r>
              <w:rPr>
                <w:rFonts w:cs="Calibri"/>
                <w:lang w:eastAsia="en-AU"/>
              </w:rPr>
              <w:t>106</w:t>
            </w:r>
          </w:p>
        </w:tc>
        <w:tc>
          <w:tcPr>
            <w:tcW w:w="1418" w:type="dxa"/>
            <w:shd w:val="clear" w:color="auto" w:fill="auto"/>
            <w:vAlign w:val="center"/>
          </w:tcPr>
          <w:p w14:paraId="57F9832D" w14:textId="77777777" w:rsidR="00F167FB" w:rsidRPr="00A1280A" w:rsidRDefault="00F167FB" w:rsidP="00F167FB">
            <w:pPr>
              <w:keepNext/>
              <w:rPr>
                <w:rFonts w:cs="Calibri"/>
                <w:lang w:eastAsia="en-AU"/>
              </w:rPr>
            </w:pPr>
            <w:r>
              <w:rPr>
                <w:rFonts w:cs="Calibri"/>
                <w:lang w:eastAsia="en-AU"/>
              </w:rPr>
              <w:t>303</w:t>
            </w:r>
          </w:p>
        </w:tc>
        <w:tc>
          <w:tcPr>
            <w:tcW w:w="850" w:type="dxa"/>
            <w:shd w:val="clear" w:color="auto" w:fill="FFFFFF"/>
            <w:vAlign w:val="center"/>
          </w:tcPr>
          <w:p w14:paraId="1A2A28D2" w14:textId="77777777" w:rsidR="00F167FB" w:rsidRPr="00A1280A" w:rsidRDefault="00F167FB" w:rsidP="00F167FB">
            <w:pPr>
              <w:keepNext/>
              <w:rPr>
                <w:rFonts w:cs="Calibri"/>
                <w:b/>
                <w:lang w:eastAsia="en-AU"/>
              </w:rPr>
            </w:pPr>
            <w:r w:rsidRPr="00A1280A">
              <w:rPr>
                <w:rFonts w:cs="Calibri"/>
                <w:b/>
                <w:lang w:eastAsia="en-AU"/>
              </w:rPr>
              <w:t>1004</w:t>
            </w:r>
          </w:p>
        </w:tc>
      </w:tr>
    </w:tbl>
    <w:p w14:paraId="5FEFF552" w14:textId="1E497B69" w:rsidR="00F167FB" w:rsidRDefault="00F167FB" w:rsidP="00592A44">
      <w:pPr>
        <w:pStyle w:val="Heading4"/>
      </w:pPr>
      <w:r>
        <w:t>Figure 3: Number of Partnerships by Partnership Category</w:t>
      </w:r>
    </w:p>
    <w:p w14:paraId="175F72EE" w14:textId="507C0633" w:rsidR="00837063" w:rsidRPr="00837063" w:rsidRDefault="00F167FB" w:rsidP="00837063">
      <w:pPr>
        <w:spacing w:before="120"/>
        <w:rPr>
          <w:rFonts w:cs="Calibri"/>
          <w:b/>
          <w:color w:val="000000"/>
          <w:u w:val="single"/>
          <w:lang w:eastAsia="en-AU"/>
        </w:rPr>
      </w:pPr>
      <w:r>
        <w:rPr>
          <w:noProof/>
          <w:lang w:eastAsia="en-AU"/>
        </w:rPr>
        <w:drawing>
          <wp:inline distT="0" distB="0" distL="0" distR="0" wp14:anchorId="6ADA1FC0" wp14:editId="68132505">
            <wp:extent cx="5105400" cy="2638425"/>
            <wp:effectExtent l="0" t="0" r="19050" b="9525"/>
            <wp:docPr id="8" name="Chart 8" descr="2012 LLEN Partnerships by Stakeholder Category &#1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bookmarkStart w:id="23" w:name="_Toc320003802"/>
    </w:p>
    <w:p w14:paraId="6702D6FF" w14:textId="03E4F821" w:rsidR="001213AE" w:rsidRDefault="001213AE" w:rsidP="001213AE">
      <w:pPr>
        <w:pStyle w:val="Heading1"/>
      </w:pPr>
      <w:bookmarkStart w:id="24" w:name="_Toc384042854"/>
      <w:r>
        <w:t>ANNEXURES</w:t>
      </w:r>
      <w:bookmarkEnd w:id="24"/>
    </w:p>
    <w:p w14:paraId="72FEEBFF" w14:textId="434FA729" w:rsidR="00592A44" w:rsidRDefault="001213AE" w:rsidP="001213AE">
      <w:pPr>
        <w:pStyle w:val="Heading2"/>
        <w:spacing w:before="360"/>
      </w:pPr>
      <w:bookmarkStart w:id="25" w:name="_Toc384042855"/>
      <w:r>
        <w:t>Australian Government’s Commonwealth Own Purpose Expenses elements of the YAT NP</w:t>
      </w:r>
      <w:bookmarkEnd w:id="25"/>
      <w:r>
        <w:t xml:space="preserve"> </w:t>
      </w:r>
      <w:bookmarkEnd w:id="23"/>
    </w:p>
    <w:p w14:paraId="61CCB678" w14:textId="77777777" w:rsidR="00592A44" w:rsidRDefault="00592A44">
      <w:pPr>
        <w:spacing w:after="200"/>
        <w:rPr>
          <w:rFonts w:ascii="Arial" w:eastAsiaTheme="majorEastAsia" w:hAnsi="Arial" w:cstheme="majorBidi"/>
          <w:b/>
          <w:bCs/>
          <w:color w:val="000000" w:themeColor="text1"/>
          <w:sz w:val="28"/>
          <w:szCs w:val="26"/>
        </w:rPr>
      </w:pPr>
      <w:r>
        <w:br w:type="page"/>
      </w:r>
    </w:p>
    <w:p w14:paraId="118600FC" w14:textId="0F4C793D" w:rsidR="003957AD" w:rsidRDefault="00592A44" w:rsidP="003957AD">
      <w:pPr>
        <w:pStyle w:val="Heading1"/>
        <w:spacing w:before="240"/>
      </w:pPr>
      <w:bookmarkStart w:id="26" w:name="_Toc384042856"/>
      <w:bookmarkEnd w:id="18"/>
      <w:r>
        <w:lastRenderedPageBreak/>
        <w:t xml:space="preserve">ANNEXURE 1 A – </w:t>
      </w:r>
      <w:r w:rsidR="003957AD">
        <w:t>Youth Connections – National Summary</w:t>
      </w:r>
      <w:bookmarkEnd w:id="26"/>
    </w:p>
    <w:p w14:paraId="5CE083C2" w14:textId="77777777" w:rsidR="003957AD" w:rsidRPr="009C28B4" w:rsidRDefault="003957AD" w:rsidP="003957AD">
      <w:pPr>
        <w:rPr>
          <w:rFonts w:cstheme="minorHAnsi"/>
        </w:rPr>
      </w:pPr>
    </w:p>
    <w:p w14:paraId="2C2B9CDE" w14:textId="77777777" w:rsidR="003957AD" w:rsidRPr="009C28B4" w:rsidRDefault="003957AD" w:rsidP="003957AD">
      <w:pPr>
        <w:rPr>
          <w:rFonts w:cstheme="minorHAnsi"/>
        </w:rPr>
      </w:pPr>
      <w:r w:rsidRPr="009C28B4">
        <w:rPr>
          <w:rFonts w:cstheme="minorHAnsi"/>
        </w:rPr>
        <w:t xml:space="preserve">Now in its </w:t>
      </w:r>
      <w:r>
        <w:rPr>
          <w:rFonts w:cstheme="minorHAnsi"/>
        </w:rPr>
        <w:t xml:space="preserve">fourth </w:t>
      </w:r>
      <w:r w:rsidRPr="009C28B4">
        <w:rPr>
          <w:rFonts w:cstheme="minorHAnsi"/>
        </w:rPr>
        <w:t>year of operation</w:t>
      </w:r>
      <w:r>
        <w:rPr>
          <w:rFonts w:cstheme="minorHAnsi"/>
        </w:rPr>
        <w:t>,</w:t>
      </w:r>
      <w:r w:rsidRPr="009C28B4">
        <w:rPr>
          <w:rFonts w:cstheme="minorHAnsi"/>
        </w:rPr>
        <w:t xml:space="preserve"> Youth Connections is established and performing well. </w:t>
      </w:r>
    </w:p>
    <w:p w14:paraId="202DC000" w14:textId="77777777" w:rsidR="003957AD" w:rsidRPr="009C28B4" w:rsidRDefault="003957AD" w:rsidP="003957AD">
      <w:pPr>
        <w:rPr>
          <w:rFonts w:cstheme="minorHAnsi"/>
        </w:rPr>
      </w:pPr>
      <w:r w:rsidRPr="009C28B4">
        <w:rPr>
          <w:rFonts w:cstheme="minorHAnsi"/>
        </w:rPr>
        <w:t xml:space="preserve">Some key achievements over the past </w:t>
      </w:r>
      <w:r>
        <w:rPr>
          <w:rFonts w:cstheme="minorHAnsi"/>
        </w:rPr>
        <w:t xml:space="preserve">three </w:t>
      </w:r>
      <w:r w:rsidRPr="009C28B4">
        <w:rPr>
          <w:rFonts w:cstheme="minorHAnsi"/>
        </w:rPr>
        <w:t>years:</w:t>
      </w:r>
    </w:p>
    <w:p w14:paraId="162B8131" w14:textId="77777777" w:rsidR="003957AD" w:rsidRPr="009C28B4" w:rsidRDefault="003957AD" w:rsidP="003957AD">
      <w:pPr>
        <w:pStyle w:val="ListParagraph"/>
        <w:numPr>
          <w:ilvl w:val="0"/>
          <w:numId w:val="30"/>
        </w:numPr>
        <w:spacing w:line="240" w:lineRule="auto"/>
        <w:rPr>
          <w:rFonts w:cstheme="minorHAnsi"/>
        </w:rPr>
      </w:pPr>
      <w:r>
        <w:rPr>
          <w:rFonts w:cstheme="minorHAnsi"/>
        </w:rPr>
        <w:t>The</w:t>
      </w:r>
      <w:r w:rsidRPr="009C28B4">
        <w:rPr>
          <w:rFonts w:cstheme="minorHAnsi"/>
        </w:rPr>
        <w:t xml:space="preserve"> evaluation </w:t>
      </w:r>
      <w:r>
        <w:rPr>
          <w:rFonts w:cstheme="minorHAnsi"/>
        </w:rPr>
        <w:t xml:space="preserve">findings </w:t>
      </w:r>
      <w:r w:rsidRPr="009C28B4">
        <w:rPr>
          <w:rFonts w:cstheme="minorHAnsi"/>
        </w:rPr>
        <w:t xml:space="preserve">of the Youth Attainment and Transitions National Partnership (undertaken by </w:t>
      </w:r>
      <w:proofErr w:type="spellStart"/>
      <w:r w:rsidRPr="009C28B4">
        <w:rPr>
          <w:rFonts w:cstheme="minorHAnsi"/>
        </w:rPr>
        <w:t>dandolopartners</w:t>
      </w:r>
      <w:proofErr w:type="spellEnd"/>
      <w:r w:rsidRPr="009C28B4">
        <w:rPr>
          <w:rFonts w:cstheme="minorHAnsi"/>
        </w:rPr>
        <w:t>) are positive</w:t>
      </w:r>
      <w:r>
        <w:rPr>
          <w:rFonts w:cstheme="minorHAnsi"/>
        </w:rPr>
        <w:t>. The evaluation has confirmed</w:t>
      </w:r>
      <w:r w:rsidRPr="009C28B4">
        <w:rPr>
          <w:rFonts w:cstheme="minorHAnsi"/>
        </w:rPr>
        <w:t xml:space="preserve"> </w:t>
      </w:r>
      <w:r>
        <w:rPr>
          <w:rFonts w:cstheme="minorHAnsi"/>
        </w:rPr>
        <w:t xml:space="preserve">that </w:t>
      </w:r>
      <w:r w:rsidRPr="009C28B4">
        <w:rPr>
          <w:rFonts w:cstheme="minorHAnsi"/>
        </w:rPr>
        <w:t xml:space="preserve">Youth Connections is </w:t>
      </w:r>
      <w:r>
        <w:rPr>
          <w:rFonts w:cstheme="minorHAnsi"/>
        </w:rPr>
        <w:t>continuing to achieve positive outcomes for young people and is strongly supported by the education and training sector, and the community and youth sector</w:t>
      </w:r>
      <w:r w:rsidRPr="009C28B4">
        <w:rPr>
          <w:rFonts w:cstheme="minorHAnsi"/>
        </w:rPr>
        <w:t xml:space="preserve">. </w:t>
      </w:r>
    </w:p>
    <w:p w14:paraId="1E07E954" w14:textId="77777777" w:rsidR="003957AD" w:rsidRPr="009C28B4" w:rsidRDefault="003957AD" w:rsidP="003957AD">
      <w:pPr>
        <w:pStyle w:val="ListParagraph"/>
        <w:numPr>
          <w:ilvl w:val="0"/>
          <w:numId w:val="30"/>
        </w:numPr>
        <w:spacing w:line="240" w:lineRule="auto"/>
        <w:rPr>
          <w:rFonts w:cstheme="minorHAnsi"/>
        </w:rPr>
      </w:pPr>
      <w:r w:rsidRPr="009C28B4">
        <w:rPr>
          <w:rFonts w:cstheme="minorHAnsi"/>
        </w:rPr>
        <w:t>Youth Connections providers are engaging young people from disadvantaged backgrounds. 39% of Individual Support Services participants are in the most disadvantage</w:t>
      </w:r>
      <w:r>
        <w:rPr>
          <w:rFonts w:cstheme="minorHAnsi"/>
        </w:rPr>
        <w:t>d</w:t>
      </w:r>
      <w:r w:rsidRPr="009C28B4">
        <w:rPr>
          <w:rFonts w:cstheme="minorHAnsi"/>
        </w:rPr>
        <w:t xml:space="preserve"> Socio-Economic Indexes for Areas quintile compared to 13% of the total population</w:t>
      </w:r>
      <w:r>
        <w:rPr>
          <w:rFonts w:cstheme="minorHAnsi"/>
        </w:rPr>
        <w:t xml:space="preserve"> (identified in the 2011 </w:t>
      </w:r>
      <w:proofErr w:type="spellStart"/>
      <w:r>
        <w:rPr>
          <w:rFonts w:cstheme="minorHAnsi"/>
        </w:rPr>
        <w:t>dandolopartners</w:t>
      </w:r>
      <w:proofErr w:type="spellEnd"/>
      <w:r>
        <w:rPr>
          <w:rFonts w:cstheme="minorHAnsi"/>
        </w:rPr>
        <w:t xml:space="preserve"> evaluation report)</w:t>
      </w:r>
      <w:r w:rsidRPr="009C28B4">
        <w:rPr>
          <w:rFonts w:cstheme="minorHAnsi"/>
        </w:rPr>
        <w:t>.</w:t>
      </w:r>
    </w:p>
    <w:p w14:paraId="308EFBA8" w14:textId="77777777" w:rsidR="003957AD" w:rsidRPr="009C28B4" w:rsidRDefault="003957AD" w:rsidP="003957AD">
      <w:pPr>
        <w:pStyle w:val="ListParagraph"/>
        <w:numPr>
          <w:ilvl w:val="0"/>
          <w:numId w:val="30"/>
        </w:numPr>
        <w:spacing w:line="240" w:lineRule="auto"/>
        <w:rPr>
          <w:rFonts w:cstheme="minorHAnsi"/>
        </w:rPr>
      </w:pPr>
      <w:r w:rsidRPr="009C28B4">
        <w:rPr>
          <w:rFonts w:cstheme="minorHAnsi"/>
        </w:rPr>
        <w:t>The subjective wellbeing of young people receiving Individual Support Services improved during their time in the program.</w:t>
      </w:r>
    </w:p>
    <w:p w14:paraId="78592216" w14:textId="77777777" w:rsidR="003957AD" w:rsidRPr="009C28B4" w:rsidRDefault="003957AD" w:rsidP="003957AD">
      <w:pPr>
        <w:pStyle w:val="ListParagraph"/>
        <w:numPr>
          <w:ilvl w:val="0"/>
          <w:numId w:val="30"/>
        </w:numPr>
        <w:spacing w:line="240" w:lineRule="auto"/>
        <w:rPr>
          <w:rFonts w:cstheme="minorHAnsi"/>
        </w:rPr>
      </w:pPr>
      <w:r w:rsidRPr="009C28B4">
        <w:rPr>
          <w:rFonts w:cstheme="minorHAnsi"/>
        </w:rPr>
        <w:t xml:space="preserve">The flexibility of the model and the focus on disadvantaged groups has attracted additional funding </w:t>
      </w:r>
      <w:r>
        <w:rPr>
          <w:rFonts w:cstheme="minorHAnsi"/>
        </w:rPr>
        <w:t xml:space="preserve">to assist identified target groups in </w:t>
      </w:r>
      <w:r w:rsidRPr="009C28B4">
        <w:rPr>
          <w:rFonts w:cstheme="minorHAnsi"/>
        </w:rPr>
        <w:t>the program:</w:t>
      </w:r>
    </w:p>
    <w:p w14:paraId="0E7D9FD4" w14:textId="77777777" w:rsidR="003957AD" w:rsidRPr="009C28B4" w:rsidRDefault="003957AD" w:rsidP="003957AD">
      <w:pPr>
        <w:pStyle w:val="ListParagraph"/>
        <w:numPr>
          <w:ilvl w:val="0"/>
          <w:numId w:val="31"/>
        </w:numPr>
        <w:spacing w:line="240" w:lineRule="auto"/>
        <w:ind w:right="-142"/>
        <w:rPr>
          <w:rFonts w:cstheme="minorHAnsi"/>
        </w:rPr>
      </w:pPr>
      <w:r>
        <w:rPr>
          <w:rFonts w:cstheme="minorHAnsi"/>
        </w:rPr>
        <w:t>a</w:t>
      </w:r>
      <w:r w:rsidRPr="009C28B4">
        <w:rPr>
          <w:rFonts w:cstheme="minorHAnsi"/>
        </w:rPr>
        <w:t xml:space="preserve">n additional $1.4 million for Youth Connections in the 2011-12 Budget </w:t>
      </w:r>
      <w:r>
        <w:rPr>
          <w:rFonts w:cstheme="minorHAnsi"/>
        </w:rPr>
        <w:t xml:space="preserve">as part of the Building Australia’s Future Workforce measures </w:t>
      </w:r>
      <w:r w:rsidRPr="009C28B4">
        <w:rPr>
          <w:rFonts w:cstheme="minorHAnsi"/>
        </w:rPr>
        <w:t>to better support teenage parents in 10 locations</w:t>
      </w:r>
      <w:r>
        <w:rPr>
          <w:rFonts w:cstheme="minorHAnsi"/>
        </w:rPr>
        <w:t xml:space="preserve"> for two years (2012-2013);</w:t>
      </w:r>
    </w:p>
    <w:p w14:paraId="046948D5" w14:textId="77777777" w:rsidR="003957AD" w:rsidRPr="009C28B4" w:rsidRDefault="003957AD" w:rsidP="003957AD">
      <w:pPr>
        <w:pStyle w:val="ListParagraph"/>
        <w:numPr>
          <w:ilvl w:val="0"/>
          <w:numId w:val="31"/>
        </w:numPr>
        <w:spacing w:line="240" w:lineRule="auto"/>
        <w:ind w:right="-142"/>
        <w:rPr>
          <w:rFonts w:cstheme="minorHAnsi"/>
        </w:rPr>
      </w:pPr>
      <w:r>
        <w:rPr>
          <w:rFonts w:cstheme="minorHAnsi"/>
        </w:rPr>
        <w:t>t</w:t>
      </w:r>
      <w:r w:rsidRPr="009C28B4">
        <w:rPr>
          <w:rFonts w:cstheme="minorHAnsi"/>
        </w:rPr>
        <w:t xml:space="preserve">hree Youth Connections providers </w:t>
      </w:r>
      <w:r>
        <w:rPr>
          <w:rFonts w:cstheme="minorHAnsi"/>
        </w:rPr>
        <w:t>were</w:t>
      </w:r>
      <w:r w:rsidRPr="009C28B4">
        <w:rPr>
          <w:rFonts w:cstheme="minorHAnsi"/>
        </w:rPr>
        <w:t xml:space="preserve"> contracted to deliver the $3.5 million Youth Connections/Reducing Substance Abuse Pilot Projects for two years (2011-2012)</w:t>
      </w:r>
      <w:r>
        <w:rPr>
          <w:rFonts w:cstheme="minorHAnsi"/>
        </w:rPr>
        <w:t>; and</w:t>
      </w:r>
    </w:p>
    <w:p w14:paraId="0357E958" w14:textId="396C2EF1" w:rsidR="003957AD" w:rsidRPr="00592A44" w:rsidRDefault="003957AD" w:rsidP="003957AD">
      <w:pPr>
        <w:pStyle w:val="ListParagraph"/>
        <w:numPr>
          <w:ilvl w:val="0"/>
          <w:numId w:val="31"/>
        </w:numPr>
        <w:spacing w:line="240" w:lineRule="auto"/>
        <w:ind w:right="-142"/>
        <w:rPr>
          <w:rFonts w:cstheme="minorHAnsi"/>
        </w:rPr>
      </w:pPr>
      <w:proofErr w:type="gramStart"/>
      <w:r>
        <w:rPr>
          <w:rFonts w:cstheme="minorHAnsi"/>
        </w:rPr>
        <w:t>t</w:t>
      </w:r>
      <w:r w:rsidRPr="009C28B4">
        <w:rPr>
          <w:rFonts w:cstheme="minorHAnsi"/>
        </w:rPr>
        <w:t>he</w:t>
      </w:r>
      <w:proofErr w:type="gramEnd"/>
      <w:r w:rsidRPr="009C28B4">
        <w:rPr>
          <w:rFonts w:cstheme="minorHAnsi"/>
        </w:rPr>
        <w:t xml:space="preserve"> network of Youth Connections providers in Victoria is being used for Springboard</w:t>
      </w:r>
      <w:r>
        <w:rPr>
          <w:rFonts w:cstheme="minorHAnsi"/>
        </w:rPr>
        <w:t>,</w:t>
      </w:r>
      <w:r w:rsidRPr="009C28B4">
        <w:rPr>
          <w:rFonts w:cstheme="minorHAnsi"/>
        </w:rPr>
        <w:t xml:space="preserve"> a Victorian Government program to support young people in residential out-of-home care ($16.9 million over fou</w:t>
      </w:r>
      <w:r w:rsidR="00793CB6">
        <w:rPr>
          <w:rFonts w:cstheme="minorHAnsi"/>
        </w:rPr>
        <w:t>r years).</w:t>
      </w:r>
    </w:p>
    <w:p w14:paraId="4D325716" w14:textId="1F43B91E" w:rsidR="00592A44" w:rsidRDefault="00592A44" w:rsidP="00837063">
      <w:pPr>
        <w:pStyle w:val="Heading2"/>
      </w:pPr>
      <w:bookmarkStart w:id="27" w:name="_Toc384042857"/>
      <w:r>
        <w:t>Individual Support Services</w:t>
      </w:r>
      <w:bookmarkEnd w:id="27"/>
    </w:p>
    <w:p w14:paraId="2BC3523F" w14:textId="77777777" w:rsidR="003957AD" w:rsidRPr="009C28B4" w:rsidRDefault="003957AD" w:rsidP="003957AD">
      <w:pPr>
        <w:spacing w:after="120"/>
        <w:rPr>
          <w:rFonts w:cstheme="minorHAnsi"/>
        </w:rPr>
      </w:pPr>
      <w:r w:rsidRPr="009C28B4">
        <w:rPr>
          <w:rFonts w:cstheme="minorHAnsi"/>
        </w:rPr>
        <w:t>Under ‘</w:t>
      </w:r>
      <w:r w:rsidRPr="009C28B4">
        <w:rPr>
          <w:rFonts w:cstheme="minorHAnsi"/>
          <w:i/>
        </w:rPr>
        <w:t>Individual Support Services’</w:t>
      </w:r>
      <w:r w:rsidRPr="009C28B4">
        <w:rPr>
          <w:rFonts w:cstheme="minorHAnsi"/>
        </w:rPr>
        <w:t xml:space="preserve">, Youth Connections providers delivered flexible and individualised services to young people at risk, including those who are at risk of disengaging from school, through to those who are severely disconnected from education, family and community. </w:t>
      </w:r>
    </w:p>
    <w:p w14:paraId="7F3715FF" w14:textId="77777777" w:rsidR="003957AD" w:rsidRDefault="003957AD" w:rsidP="003957AD">
      <w:pPr>
        <w:rPr>
          <w:rFonts w:cstheme="minorHAnsi"/>
        </w:rPr>
      </w:pPr>
      <w:r>
        <w:rPr>
          <w:rFonts w:cstheme="minorHAnsi"/>
        </w:rPr>
        <w:t>Since the program commenced in 2010</w:t>
      </w:r>
      <w:r w:rsidRPr="009C28B4">
        <w:rPr>
          <w:rFonts w:cstheme="minorHAnsi"/>
        </w:rPr>
        <w:t xml:space="preserve">, Youth Connections provided Individual Support Services to </w:t>
      </w:r>
      <w:r>
        <w:rPr>
          <w:rFonts w:cstheme="minorHAnsi"/>
        </w:rPr>
        <w:t>58,408</w:t>
      </w:r>
      <w:r w:rsidRPr="009C28B4">
        <w:rPr>
          <w:rFonts w:cstheme="minorHAnsi"/>
        </w:rPr>
        <w:t xml:space="preserve"> young people. </w:t>
      </w:r>
      <w:r>
        <w:rPr>
          <w:rFonts w:cs="Calibri"/>
          <w:color w:val="000000"/>
        </w:rPr>
        <w:t>34,793</w:t>
      </w:r>
      <w:r w:rsidRPr="009C28B4">
        <w:rPr>
          <w:rFonts w:cstheme="minorHAnsi"/>
        </w:rPr>
        <w:t xml:space="preserve"> (</w:t>
      </w:r>
      <w:r>
        <w:rPr>
          <w:rFonts w:cstheme="minorHAnsi"/>
        </w:rPr>
        <w:t>60</w:t>
      </w:r>
      <w:r w:rsidRPr="009C28B4">
        <w:rPr>
          <w:rFonts w:cstheme="minorHAnsi"/>
        </w:rPr>
        <w:t xml:space="preserve">%) young people achieved a final outcome in the program, which represents re-engagement or a sustained improvement in a young person’s engagement with education, training or employment. A further </w:t>
      </w:r>
      <w:r>
        <w:rPr>
          <w:rFonts w:cstheme="minorHAnsi"/>
        </w:rPr>
        <w:t>9,806</w:t>
      </w:r>
      <w:r w:rsidRPr="009C28B4">
        <w:rPr>
          <w:rFonts w:cstheme="minorHAnsi"/>
        </w:rPr>
        <w:t xml:space="preserve"> (1</w:t>
      </w:r>
      <w:r>
        <w:rPr>
          <w:rFonts w:cstheme="minorHAnsi"/>
        </w:rPr>
        <w:t>7</w:t>
      </w:r>
      <w:r w:rsidRPr="009C28B4">
        <w:rPr>
          <w:rFonts w:cstheme="minorHAnsi"/>
        </w:rPr>
        <w:t xml:space="preserve">%) were assessed as making significant progress in addressing their barriers to full engagement in education. </w:t>
      </w:r>
    </w:p>
    <w:p w14:paraId="7F53D30A" w14:textId="77777777" w:rsidR="003957AD" w:rsidRPr="009C28B4" w:rsidRDefault="003957AD" w:rsidP="003957AD">
      <w:pPr>
        <w:rPr>
          <w:rFonts w:cstheme="minorHAnsi"/>
        </w:rPr>
      </w:pPr>
    </w:p>
    <w:p w14:paraId="4DD42D21" w14:textId="77777777" w:rsidR="003957AD" w:rsidRPr="009C28B4" w:rsidRDefault="003957AD" w:rsidP="003957AD">
      <w:pPr>
        <w:rPr>
          <w:rFonts w:cstheme="minorHAnsi"/>
        </w:rPr>
      </w:pPr>
      <w:r w:rsidRPr="009C28B4">
        <w:rPr>
          <w:rFonts w:cstheme="minorHAnsi"/>
        </w:rPr>
        <w:t xml:space="preserve">Youth Connections service providers apply the </w:t>
      </w:r>
      <w:r w:rsidRPr="009C28B4">
        <w:rPr>
          <w:rFonts w:cstheme="minorHAnsi"/>
          <w:i/>
        </w:rPr>
        <w:t xml:space="preserve">Personal Wellbeing Index </w:t>
      </w:r>
      <w:r>
        <w:rPr>
          <w:rFonts w:cstheme="minorHAnsi"/>
          <w:i/>
        </w:rPr>
        <w:t>(</w:t>
      </w:r>
      <w:r w:rsidRPr="009C28B4">
        <w:rPr>
          <w:rFonts w:cstheme="minorHAnsi"/>
          <w:i/>
        </w:rPr>
        <w:t>School Children</w:t>
      </w:r>
      <w:r>
        <w:rPr>
          <w:rFonts w:cstheme="minorHAnsi"/>
          <w:i/>
        </w:rPr>
        <w:t>)</w:t>
      </w:r>
      <w:r w:rsidRPr="009C28B4">
        <w:rPr>
          <w:rFonts w:cstheme="minorHAnsi"/>
        </w:rPr>
        <w:t xml:space="preserve"> to assess the Subjective Wellbeing of Individual Support Service</w:t>
      </w:r>
      <w:r w:rsidRPr="009C28B4">
        <w:rPr>
          <w:rFonts w:cstheme="minorHAnsi"/>
          <w:i/>
        </w:rPr>
        <w:t xml:space="preserve"> </w:t>
      </w:r>
      <w:r w:rsidRPr="009C28B4">
        <w:rPr>
          <w:rFonts w:cstheme="minorHAnsi"/>
        </w:rPr>
        <w:t xml:space="preserve">recipients. The survey is completed at entry and exit. </w:t>
      </w:r>
      <w:r>
        <w:rPr>
          <w:rFonts w:cstheme="minorHAnsi"/>
        </w:rPr>
        <w:t>18,085</w:t>
      </w:r>
      <w:r w:rsidRPr="009C28B4">
        <w:rPr>
          <w:rFonts w:cstheme="minorHAnsi"/>
        </w:rPr>
        <w:t xml:space="preserve"> participants completed the survey. A significant </w:t>
      </w:r>
      <w:r>
        <w:rPr>
          <w:rFonts w:cstheme="minorHAnsi"/>
        </w:rPr>
        <w:t>6.09</w:t>
      </w:r>
      <w:r w:rsidRPr="009C28B4">
        <w:rPr>
          <w:rFonts w:cstheme="minorHAnsi"/>
        </w:rPr>
        <w:t xml:space="preserve"> percentage point increase in Subjective Wellbeing was observed from when the participant entered the program compared to when they exited the program</w:t>
      </w:r>
      <w:r w:rsidRPr="009C28B4">
        <w:rPr>
          <w:rStyle w:val="FootnoteReference"/>
          <w:rFonts w:cstheme="minorHAnsi"/>
        </w:rPr>
        <w:footnoteReference w:id="1"/>
      </w:r>
      <w:r w:rsidRPr="009C28B4">
        <w:rPr>
          <w:rFonts w:cstheme="minorHAnsi"/>
        </w:rPr>
        <w:t xml:space="preserve">. </w:t>
      </w:r>
      <w:r>
        <w:rPr>
          <w:rFonts w:cstheme="minorHAnsi"/>
        </w:rPr>
        <w:t>The evidence also suggests a causal link between the attainment of objectively quantifiable program outcomes and psychological wellbeing, further highlighting the positive and pervasive impact that the Youth Connections program is having on the lives of many young people who complete the program. In addition, t</w:t>
      </w:r>
      <w:r w:rsidRPr="009C28B4">
        <w:rPr>
          <w:rFonts w:cstheme="minorHAnsi"/>
        </w:rPr>
        <w:t>hese data suggest a considerable reduction in the proportion of young people who are likely to be depressed</w:t>
      </w:r>
      <w:r>
        <w:rPr>
          <w:rFonts w:cstheme="minorHAnsi"/>
        </w:rPr>
        <w:t>,</w:t>
      </w:r>
      <w:r w:rsidRPr="009C28B4">
        <w:rPr>
          <w:rFonts w:cstheme="minorHAnsi"/>
        </w:rPr>
        <w:t xml:space="preserve"> or at high-risk </w:t>
      </w:r>
      <w:r>
        <w:rPr>
          <w:rFonts w:cstheme="minorHAnsi"/>
        </w:rPr>
        <w:t xml:space="preserve">of </w:t>
      </w:r>
      <w:r w:rsidRPr="009C28B4">
        <w:rPr>
          <w:rFonts w:cstheme="minorHAnsi"/>
        </w:rPr>
        <w:t>depression</w:t>
      </w:r>
      <w:r>
        <w:rPr>
          <w:rFonts w:cstheme="minorHAnsi"/>
        </w:rPr>
        <w:t>,</w:t>
      </w:r>
      <w:r w:rsidRPr="009C28B4">
        <w:rPr>
          <w:rFonts w:cstheme="minorHAnsi"/>
        </w:rPr>
        <w:t xml:space="preserve"> after participating in Youth Connections. </w:t>
      </w:r>
    </w:p>
    <w:p w14:paraId="5FD426A0" w14:textId="77777777" w:rsidR="003957AD" w:rsidRPr="009C28B4" w:rsidRDefault="003957AD" w:rsidP="003957AD">
      <w:pPr>
        <w:rPr>
          <w:rFonts w:cstheme="minorHAnsi"/>
          <w:i/>
        </w:rPr>
      </w:pPr>
    </w:p>
    <w:p w14:paraId="275BE8B4" w14:textId="4A074D34" w:rsidR="003957AD" w:rsidRPr="00592A44" w:rsidRDefault="003957AD" w:rsidP="003957AD">
      <w:pPr>
        <w:rPr>
          <w:rFonts w:cstheme="minorHAnsi"/>
        </w:rPr>
      </w:pPr>
      <w:r w:rsidRPr="009C28B4">
        <w:rPr>
          <w:rFonts w:cstheme="minorHAnsi"/>
        </w:rPr>
        <w:lastRenderedPageBreak/>
        <w:t>While Youth Connections is performing well, supporting the needs of Youth Connections participants is a complex and resource-intensive challenge for providers. Demand for Individual Support Services outstrips program capacity, and some providers are un</w:t>
      </w:r>
      <w:r w:rsidR="00592A44">
        <w:rPr>
          <w:rFonts w:cstheme="minorHAnsi"/>
        </w:rPr>
        <w:t xml:space="preserve">able to take on all referrals. </w:t>
      </w:r>
    </w:p>
    <w:p w14:paraId="0BFB189C" w14:textId="77777777" w:rsidR="003957AD" w:rsidRPr="00592A44" w:rsidRDefault="003957AD" w:rsidP="00837063">
      <w:pPr>
        <w:pStyle w:val="Heading2"/>
      </w:pPr>
      <w:bookmarkStart w:id="28" w:name="_Toc384042858"/>
      <w:r w:rsidRPr="00592A44">
        <w:t>Outreach and Re-engagement activities</w:t>
      </w:r>
      <w:bookmarkEnd w:id="28"/>
    </w:p>
    <w:p w14:paraId="3AEBDCA2" w14:textId="77777777" w:rsidR="003957AD" w:rsidRPr="009C28B4" w:rsidRDefault="003957AD" w:rsidP="003957AD">
      <w:pPr>
        <w:rPr>
          <w:rFonts w:cstheme="minorHAnsi"/>
        </w:rPr>
      </w:pPr>
      <w:r w:rsidRPr="009C28B4">
        <w:rPr>
          <w:rFonts w:cstheme="minorHAnsi"/>
        </w:rPr>
        <w:t>Under ‘</w:t>
      </w:r>
      <w:r w:rsidRPr="009C28B4">
        <w:rPr>
          <w:rFonts w:cstheme="minorHAnsi"/>
          <w:i/>
        </w:rPr>
        <w:t>Outreach and Re-engagement</w:t>
      </w:r>
      <w:r>
        <w:rPr>
          <w:rFonts w:cstheme="minorHAnsi"/>
          <w:i/>
        </w:rPr>
        <w:t>’</w:t>
      </w:r>
      <w:r w:rsidRPr="009C28B4">
        <w:rPr>
          <w:rFonts w:cstheme="minorHAnsi"/>
          <w:i/>
        </w:rPr>
        <w:t xml:space="preserve"> </w:t>
      </w:r>
      <w:r w:rsidRPr="00B725CB">
        <w:rPr>
          <w:rFonts w:cstheme="minorHAnsi"/>
        </w:rPr>
        <w:t>activities,</w:t>
      </w:r>
      <w:r>
        <w:rPr>
          <w:rFonts w:cstheme="minorHAnsi"/>
          <w:i/>
        </w:rPr>
        <w:t xml:space="preserve"> </w:t>
      </w:r>
      <w:r w:rsidRPr="009C28B4">
        <w:rPr>
          <w:rFonts w:cstheme="minorHAnsi"/>
        </w:rPr>
        <w:t xml:space="preserve">Youth Connections providers offer </w:t>
      </w:r>
      <w:proofErr w:type="gramStart"/>
      <w:r w:rsidRPr="009C28B4">
        <w:rPr>
          <w:rFonts w:cstheme="minorHAnsi"/>
        </w:rPr>
        <w:t>proactive,</w:t>
      </w:r>
      <w:proofErr w:type="gramEnd"/>
      <w:r w:rsidRPr="009C28B4">
        <w:rPr>
          <w:rFonts w:cstheme="minorHAnsi"/>
        </w:rPr>
        <w:t xml:space="preserve"> youth focused re-engagement activities and outreach services. Outreach and </w:t>
      </w:r>
    </w:p>
    <w:p w14:paraId="057C0307" w14:textId="77777777" w:rsidR="003957AD" w:rsidRPr="009C28B4" w:rsidRDefault="003957AD" w:rsidP="003957AD">
      <w:pPr>
        <w:rPr>
          <w:rFonts w:cstheme="minorHAnsi"/>
        </w:rPr>
      </w:pPr>
      <w:r w:rsidRPr="009C28B4">
        <w:rPr>
          <w:rFonts w:cstheme="minorHAnsi"/>
        </w:rPr>
        <w:t xml:space="preserve">Re-engagement </w:t>
      </w:r>
      <w:r>
        <w:rPr>
          <w:rFonts w:cstheme="minorHAnsi"/>
        </w:rPr>
        <w:t>a</w:t>
      </w:r>
      <w:r w:rsidRPr="009C28B4">
        <w:rPr>
          <w:rFonts w:cstheme="minorHAnsi"/>
        </w:rPr>
        <w:t xml:space="preserve">ctivities aim to find severely disengaged young people, and to connect these young people with activities to support their re-engagement with learning, family and community. </w:t>
      </w:r>
      <w:r>
        <w:rPr>
          <w:rFonts w:cstheme="minorHAnsi"/>
        </w:rPr>
        <w:t>19,318</w:t>
      </w:r>
      <w:r w:rsidRPr="009C28B4">
        <w:rPr>
          <w:rFonts w:cstheme="minorHAnsi"/>
        </w:rPr>
        <w:t xml:space="preserve"> activities were held to find and connect with at-risk young people, with providers linking with </w:t>
      </w:r>
      <w:r>
        <w:rPr>
          <w:rFonts w:cstheme="minorHAnsi"/>
        </w:rPr>
        <w:t xml:space="preserve">405,017 </w:t>
      </w:r>
      <w:r w:rsidRPr="009C28B4">
        <w:rPr>
          <w:rFonts w:cstheme="minorHAnsi"/>
        </w:rPr>
        <w:t xml:space="preserve">young people through these activities. </w:t>
      </w:r>
    </w:p>
    <w:p w14:paraId="018CE4A9" w14:textId="77777777" w:rsidR="003957AD" w:rsidRPr="009C28B4" w:rsidRDefault="003957AD" w:rsidP="003957AD">
      <w:pPr>
        <w:rPr>
          <w:rFonts w:cstheme="minorHAnsi"/>
        </w:rPr>
      </w:pPr>
    </w:p>
    <w:p w14:paraId="73F258E6" w14:textId="1FE398FE" w:rsidR="003957AD" w:rsidRPr="009C28B4" w:rsidRDefault="003957AD" w:rsidP="003957AD">
      <w:pPr>
        <w:rPr>
          <w:rFonts w:cstheme="minorHAnsi"/>
        </w:rPr>
      </w:pPr>
      <w:r>
        <w:rPr>
          <w:rFonts w:cstheme="minorHAnsi"/>
        </w:rPr>
        <w:t>Findings</w:t>
      </w:r>
      <w:r w:rsidRPr="009C28B4">
        <w:rPr>
          <w:rFonts w:cstheme="minorHAnsi"/>
        </w:rPr>
        <w:t xml:space="preserve"> from the Youth Attainment and Transitions National Partnership evaluation show that </w:t>
      </w:r>
      <w:r>
        <w:rPr>
          <w:rFonts w:cstheme="minorHAnsi"/>
        </w:rPr>
        <w:t xml:space="preserve">work on </w:t>
      </w:r>
      <w:r w:rsidRPr="009C28B4">
        <w:rPr>
          <w:rFonts w:cstheme="minorHAnsi"/>
        </w:rPr>
        <w:t xml:space="preserve">Outreach and Re-engagement </w:t>
      </w:r>
      <w:r>
        <w:rPr>
          <w:rFonts w:cstheme="minorHAnsi"/>
        </w:rPr>
        <w:t>a</w:t>
      </w:r>
      <w:r w:rsidRPr="009C28B4">
        <w:rPr>
          <w:rFonts w:cstheme="minorHAnsi"/>
        </w:rPr>
        <w:t xml:space="preserve">ctivities services began slowly, but </w:t>
      </w:r>
      <w:r>
        <w:rPr>
          <w:rFonts w:cstheme="minorHAnsi"/>
        </w:rPr>
        <w:t xml:space="preserve">progress </w:t>
      </w:r>
      <w:r w:rsidRPr="009C28B4">
        <w:rPr>
          <w:rFonts w:cstheme="minorHAnsi"/>
        </w:rPr>
        <w:t>towards targeted outcomes</w:t>
      </w:r>
      <w:r>
        <w:rPr>
          <w:rFonts w:cstheme="minorHAnsi"/>
        </w:rPr>
        <w:t xml:space="preserve"> has improved in recent times</w:t>
      </w:r>
      <w:r w:rsidRPr="009C28B4">
        <w:rPr>
          <w:rFonts w:cstheme="minorHAnsi"/>
        </w:rPr>
        <w:t>. Improving provider understanding and performance has been, and will continue t</w:t>
      </w:r>
      <w:r w:rsidR="00592A44">
        <w:rPr>
          <w:rFonts w:cstheme="minorHAnsi"/>
        </w:rPr>
        <w:t>o be, a focus f</w:t>
      </w:r>
      <w:r w:rsidRPr="009C28B4">
        <w:rPr>
          <w:rFonts w:cstheme="minorHAnsi"/>
        </w:rPr>
        <w:t>or DEEWR.</w:t>
      </w:r>
      <w:r>
        <w:rPr>
          <w:rFonts w:cstheme="minorHAnsi"/>
        </w:rPr>
        <w:t xml:space="preserve"> </w:t>
      </w:r>
    </w:p>
    <w:p w14:paraId="3349671B" w14:textId="77777777" w:rsidR="003957AD" w:rsidRPr="00592A44" w:rsidRDefault="003957AD" w:rsidP="00837063">
      <w:pPr>
        <w:pStyle w:val="Heading2"/>
      </w:pPr>
      <w:bookmarkStart w:id="29" w:name="_Toc384042859"/>
      <w:r w:rsidRPr="00592A44">
        <w:t>Strengthening Services in the Region Activities</w:t>
      </w:r>
      <w:bookmarkEnd w:id="29"/>
    </w:p>
    <w:p w14:paraId="22053620" w14:textId="77777777" w:rsidR="003957AD" w:rsidRPr="009C28B4" w:rsidRDefault="003957AD" w:rsidP="003957AD">
      <w:pPr>
        <w:rPr>
          <w:rFonts w:cstheme="minorHAnsi"/>
        </w:rPr>
      </w:pPr>
      <w:r w:rsidRPr="009C28B4">
        <w:rPr>
          <w:rFonts w:cstheme="minorHAnsi"/>
        </w:rPr>
        <w:t>Under ‘</w:t>
      </w:r>
      <w:r w:rsidRPr="009C28B4">
        <w:rPr>
          <w:rFonts w:cstheme="minorHAnsi"/>
          <w:i/>
        </w:rPr>
        <w:t>Strengthening Services in the Region</w:t>
      </w:r>
      <w:r>
        <w:rPr>
          <w:rFonts w:cstheme="minorHAnsi"/>
          <w:i/>
        </w:rPr>
        <w:t>’</w:t>
      </w:r>
      <w:r w:rsidRPr="00B725CB">
        <w:rPr>
          <w:rFonts w:cstheme="minorHAnsi"/>
        </w:rPr>
        <w:t xml:space="preserve"> </w:t>
      </w:r>
      <w:r>
        <w:rPr>
          <w:rFonts w:cstheme="minorHAnsi"/>
        </w:rPr>
        <w:t>a</w:t>
      </w:r>
      <w:r w:rsidRPr="00B725CB">
        <w:rPr>
          <w:rFonts w:cstheme="minorHAnsi"/>
        </w:rPr>
        <w:t>ctivities,</w:t>
      </w:r>
      <w:r w:rsidRPr="009C28B4">
        <w:rPr>
          <w:rFonts w:cstheme="minorHAnsi"/>
        </w:rPr>
        <w:t xml:space="preserve"> Youth Connections providers work to build capacity and strengthen services for young people at risk and ensure that providers of other services </w:t>
      </w:r>
      <w:r>
        <w:rPr>
          <w:rFonts w:cstheme="minorHAnsi"/>
        </w:rPr>
        <w:t xml:space="preserve">within the </w:t>
      </w:r>
      <w:r w:rsidRPr="009C28B4">
        <w:rPr>
          <w:rFonts w:cstheme="minorHAnsi"/>
        </w:rPr>
        <w:t xml:space="preserve">region are connected. Providers undertook a range of initiatives to strengthen services in the region, with </w:t>
      </w:r>
      <w:r>
        <w:rPr>
          <w:rFonts w:cstheme="minorHAnsi"/>
        </w:rPr>
        <w:t xml:space="preserve">7,162 </w:t>
      </w:r>
      <w:r w:rsidRPr="009C28B4">
        <w:rPr>
          <w:rFonts w:cstheme="minorHAnsi"/>
        </w:rPr>
        <w:t xml:space="preserve">activities held. </w:t>
      </w:r>
    </w:p>
    <w:p w14:paraId="3CFA2FC2" w14:textId="77777777" w:rsidR="003957AD" w:rsidRPr="009C28B4" w:rsidRDefault="003957AD" w:rsidP="003957AD">
      <w:pPr>
        <w:rPr>
          <w:rFonts w:cstheme="minorHAnsi"/>
        </w:rPr>
      </w:pPr>
    </w:p>
    <w:p w14:paraId="58949710" w14:textId="797119CB" w:rsidR="003957AD" w:rsidRPr="00592A44" w:rsidRDefault="003957AD" w:rsidP="00592A44">
      <w:pPr>
        <w:rPr>
          <w:rFonts w:cstheme="minorHAnsi"/>
        </w:rPr>
      </w:pPr>
      <w:r>
        <w:rPr>
          <w:rFonts w:cstheme="minorHAnsi"/>
        </w:rPr>
        <w:t xml:space="preserve">As with </w:t>
      </w:r>
      <w:r w:rsidRPr="009C28B4">
        <w:rPr>
          <w:rFonts w:cstheme="minorHAnsi"/>
        </w:rPr>
        <w:t xml:space="preserve">Outreach and Re-Engagement </w:t>
      </w:r>
      <w:r>
        <w:rPr>
          <w:rFonts w:cstheme="minorHAnsi"/>
        </w:rPr>
        <w:t>a</w:t>
      </w:r>
      <w:r w:rsidRPr="009C28B4">
        <w:rPr>
          <w:rFonts w:cstheme="minorHAnsi"/>
        </w:rPr>
        <w:t xml:space="preserve">ctivities, Strengthening Services in the Region </w:t>
      </w:r>
      <w:r>
        <w:rPr>
          <w:rFonts w:cstheme="minorHAnsi"/>
        </w:rPr>
        <w:t>a</w:t>
      </w:r>
      <w:r w:rsidRPr="009C28B4">
        <w:rPr>
          <w:rFonts w:cstheme="minorHAnsi"/>
        </w:rPr>
        <w:t xml:space="preserve">ctivities was a less familiar service delivery component for </w:t>
      </w:r>
      <w:r>
        <w:rPr>
          <w:rFonts w:cstheme="minorHAnsi"/>
        </w:rPr>
        <w:t xml:space="preserve">some </w:t>
      </w:r>
      <w:r w:rsidRPr="009C28B4">
        <w:rPr>
          <w:rFonts w:cstheme="minorHAnsi"/>
        </w:rPr>
        <w:t>service providers than Individual Support Services</w:t>
      </w:r>
      <w:r>
        <w:rPr>
          <w:rFonts w:cstheme="minorHAnsi"/>
        </w:rPr>
        <w:t>. Findings</w:t>
      </w:r>
      <w:r w:rsidRPr="009C28B4">
        <w:rPr>
          <w:rFonts w:cstheme="minorHAnsi"/>
        </w:rPr>
        <w:t xml:space="preserve"> from the </w:t>
      </w:r>
      <w:proofErr w:type="spellStart"/>
      <w:r w:rsidRPr="009C28B4">
        <w:rPr>
          <w:rFonts w:cstheme="minorHAnsi"/>
        </w:rPr>
        <w:t>dandolo</w:t>
      </w:r>
      <w:r>
        <w:rPr>
          <w:rFonts w:cstheme="minorHAnsi"/>
        </w:rPr>
        <w:t>partners</w:t>
      </w:r>
      <w:proofErr w:type="spellEnd"/>
      <w:r w:rsidRPr="009C28B4">
        <w:rPr>
          <w:rFonts w:cstheme="minorHAnsi"/>
        </w:rPr>
        <w:t xml:space="preserve"> evaluation confirm that objectives and roles for Strengthening Services in the Region </w:t>
      </w:r>
      <w:r>
        <w:rPr>
          <w:rFonts w:cstheme="minorHAnsi"/>
        </w:rPr>
        <w:t>a</w:t>
      </w:r>
      <w:r w:rsidRPr="009C28B4">
        <w:rPr>
          <w:rFonts w:cstheme="minorHAnsi"/>
        </w:rPr>
        <w:t>ctivities do not appear to be consistently understood by providers.</w:t>
      </w:r>
      <w:r w:rsidRPr="009C28B4">
        <w:rPr>
          <w:rFonts w:cstheme="minorHAnsi"/>
          <w:b/>
        </w:rPr>
        <w:t xml:space="preserve"> </w:t>
      </w:r>
      <w:r w:rsidRPr="009C28B4">
        <w:rPr>
          <w:rFonts w:cstheme="minorHAnsi"/>
        </w:rPr>
        <w:t>DEEWR took steps early in the life of the program to address these issues, through revised guidelines, provider newsletters and proactive contract management. Improved provider understanding and performance against this element has been, and will continue to be, a focus for DEEWR in 201</w:t>
      </w:r>
      <w:r>
        <w:rPr>
          <w:rFonts w:cstheme="minorHAnsi"/>
        </w:rPr>
        <w:t>3</w:t>
      </w:r>
      <w:r w:rsidRPr="009C28B4">
        <w:rPr>
          <w:rFonts w:cstheme="minorHAnsi"/>
        </w:rPr>
        <w:t>.</w:t>
      </w:r>
    </w:p>
    <w:p w14:paraId="57741F98" w14:textId="77777777" w:rsidR="003957AD" w:rsidRPr="00592A44" w:rsidRDefault="003957AD" w:rsidP="00837063">
      <w:pPr>
        <w:pStyle w:val="Heading2"/>
      </w:pPr>
      <w:bookmarkStart w:id="30" w:name="_Toc384042860"/>
      <w:r w:rsidRPr="00592A44">
        <w:t>Program extension and changes to Outreach and Re-engagement and Strengthening Services in the Region activities</w:t>
      </w:r>
      <w:bookmarkEnd w:id="30"/>
    </w:p>
    <w:p w14:paraId="1CED01CF" w14:textId="77777777" w:rsidR="003957AD" w:rsidRDefault="003957AD" w:rsidP="003957AD">
      <w:pPr>
        <w:rPr>
          <w:rFonts w:cstheme="minorHAnsi"/>
        </w:rPr>
      </w:pPr>
      <w:r w:rsidRPr="002531A6">
        <w:rPr>
          <w:rFonts w:cstheme="minorHAnsi"/>
        </w:rPr>
        <w:t>As outlined in the Federal Budget</w:t>
      </w:r>
      <w:r>
        <w:rPr>
          <w:rFonts w:cstheme="minorHAnsi"/>
        </w:rPr>
        <w:t xml:space="preserve"> 2013-14</w:t>
      </w:r>
      <w:r w:rsidRPr="002531A6">
        <w:rPr>
          <w:rFonts w:cstheme="minorHAnsi"/>
        </w:rPr>
        <w:t>, the Australian Government will be extending the Youth Connections Program, the School Business Community Partnership Brokers Program and National Career Development initiatives for a period of 12 months</w:t>
      </w:r>
      <w:r>
        <w:rPr>
          <w:rFonts w:cstheme="minorHAnsi"/>
        </w:rPr>
        <w:t xml:space="preserve"> to 31 December 2014</w:t>
      </w:r>
      <w:r w:rsidRPr="002531A6">
        <w:rPr>
          <w:rFonts w:cstheme="minorHAnsi"/>
        </w:rPr>
        <w:t xml:space="preserve">. These initiatives were originally implemented under the National Partnership on Youth Attainment and </w:t>
      </w:r>
      <w:r>
        <w:rPr>
          <w:rFonts w:cstheme="minorHAnsi"/>
        </w:rPr>
        <w:t>T</w:t>
      </w:r>
      <w:r w:rsidRPr="002531A6">
        <w:rPr>
          <w:rFonts w:cstheme="minorHAnsi"/>
        </w:rPr>
        <w:t>ransitions (National Partnership) which will cease on 31 December 2013</w:t>
      </w:r>
      <w:r>
        <w:rPr>
          <w:rFonts w:cstheme="minorHAnsi"/>
        </w:rPr>
        <w:t>. T</w:t>
      </w:r>
      <w:r w:rsidRPr="002531A6">
        <w:rPr>
          <w:rFonts w:cstheme="minorHAnsi"/>
        </w:rPr>
        <w:t>he extension of these three elements ensure</w:t>
      </w:r>
      <w:r>
        <w:rPr>
          <w:rFonts w:cstheme="minorHAnsi"/>
        </w:rPr>
        <w:t>s</w:t>
      </w:r>
      <w:r w:rsidRPr="002531A6">
        <w:rPr>
          <w:rFonts w:cstheme="minorHAnsi"/>
        </w:rPr>
        <w:t xml:space="preserve"> continued investment </w:t>
      </w:r>
      <w:r>
        <w:rPr>
          <w:rFonts w:cstheme="minorHAnsi"/>
        </w:rPr>
        <w:t xml:space="preserve">in programs to assist young people </w:t>
      </w:r>
      <w:r w:rsidRPr="002531A6">
        <w:rPr>
          <w:rFonts w:cstheme="minorHAnsi"/>
        </w:rPr>
        <w:t xml:space="preserve">to achieve </w:t>
      </w:r>
      <w:r>
        <w:rPr>
          <w:rFonts w:cstheme="minorHAnsi"/>
        </w:rPr>
        <w:t xml:space="preserve">improved </w:t>
      </w:r>
      <w:r w:rsidRPr="002531A6">
        <w:rPr>
          <w:rFonts w:cstheme="minorHAnsi"/>
        </w:rPr>
        <w:t>youth attainment and transition</w:t>
      </w:r>
      <w:r>
        <w:rPr>
          <w:rFonts w:cstheme="minorHAnsi"/>
        </w:rPr>
        <w:t xml:space="preserve"> outcomes</w:t>
      </w:r>
      <w:r w:rsidRPr="002531A6">
        <w:rPr>
          <w:rFonts w:cstheme="minorHAnsi"/>
        </w:rPr>
        <w:t>.</w:t>
      </w:r>
    </w:p>
    <w:p w14:paraId="4B6B11C7" w14:textId="77777777" w:rsidR="003957AD" w:rsidRDefault="003957AD" w:rsidP="003957AD">
      <w:pPr>
        <w:rPr>
          <w:rFonts w:cstheme="minorHAnsi"/>
        </w:rPr>
      </w:pPr>
    </w:p>
    <w:p w14:paraId="6595E63E" w14:textId="77777777" w:rsidR="003957AD" w:rsidRDefault="003957AD" w:rsidP="003957AD">
      <w:pPr>
        <w:rPr>
          <w:rFonts w:cstheme="minorHAnsi"/>
        </w:rPr>
      </w:pPr>
      <w:r>
        <w:rPr>
          <w:rFonts w:cstheme="minorHAnsi"/>
        </w:rPr>
        <w:lastRenderedPageBreak/>
        <w:t>While the Partnership Broker Service model remains unchanged, there are some changes to the Youth Connections service model that will come into effect from 1 July 2013 that aim to improve service delivery for two elements of the program:</w:t>
      </w:r>
    </w:p>
    <w:p w14:paraId="42AEC864" w14:textId="77777777" w:rsidR="003957AD" w:rsidRDefault="003957AD" w:rsidP="003957AD">
      <w:pPr>
        <w:pStyle w:val="ListParagraph"/>
        <w:numPr>
          <w:ilvl w:val="0"/>
          <w:numId w:val="34"/>
        </w:numPr>
        <w:spacing w:line="240" w:lineRule="auto"/>
        <w:rPr>
          <w:rFonts w:cstheme="minorHAnsi"/>
        </w:rPr>
      </w:pPr>
      <w:r w:rsidRPr="004265C4">
        <w:rPr>
          <w:rFonts w:cstheme="minorHAnsi"/>
        </w:rPr>
        <w:t xml:space="preserve">Outreach and Re-engagement </w:t>
      </w:r>
      <w:r>
        <w:rPr>
          <w:rFonts w:cstheme="minorHAnsi"/>
        </w:rPr>
        <w:t>will be</w:t>
      </w:r>
      <w:r w:rsidRPr="004265C4">
        <w:rPr>
          <w:rFonts w:cstheme="minorHAnsi"/>
        </w:rPr>
        <w:t xml:space="preserve"> replaced with Targeted Engagement Services</w:t>
      </w:r>
      <w:r w:rsidRPr="001835BB">
        <w:rPr>
          <w:rFonts w:cstheme="minorHAnsi"/>
        </w:rPr>
        <w:t xml:space="preserve"> </w:t>
      </w:r>
      <w:r>
        <w:rPr>
          <w:rFonts w:cstheme="minorHAnsi"/>
        </w:rPr>
        <w:t xml:space="preserve">and will be </w:t>
      </w:r>
      <w:r w:rsidRPr="004C2296">
        <w:t>aimed at finding severely disconnected young people who are not engaged with education, training, employment or other support services. T</w:t>
      </w:r>
      <w:r>
        <w:t>argeted Engagement Services</w:t>
      </w:r>
      <w:r w:rsidRPr="004C2296">
        <w:t xml:space="preserve"> </w:t>
      </w:r>
      <w:r>
        <w:t xml:space="preserve">will </w:t>
      </w:r>
      <w:r w:rsidRPr="004C2296">
        <w:t>focus on identifying and connecting with young people who are</w:t>
      </w:r>
      <w:r>
        <w:t xml:space="preserve"> not in education or training and are</w:t>
      </w:r>
      <w:r w:rsidRPr="004C2296">
        <w:t xml:space="preserve"> </w:t>
      </w:r>
      <w:r>
        <w:t>n</w:t>
      </w:r>
      <w:r w:rsidRPr="004C2296">
        <w:t xml:space="preserve">ot in the </w:t>
      </w:r>
      <w:r>
        <w:t>l</w:t>
      </w:r>
      <w:r w:rsidRPr="004C2296">
        <w:t xml:space="preserve">abour </w:t>
      </w:r>
      <w:r>
        <w:t>f</w:t>
      </w:r>
      <w:r w:rsidRPr="004C2296">
        <w:t>orce</w:t>
      </w:r>
      <w:r>
        <w:t>.</w:t>
      </w:r>
    </w:p>
    <w:p w14:paraId="473A7B08" w14:textId="2FBA6FBD" w:rsidR="003957AD" w:rsidRPr="00592A44" w:rsidRDefault="003957AD" w:rsidP="00592A44">
      <w:pPr>
        <w:pStyle w:val="ListParagraph"/>
        <w:numPr>
          <w:ilvl w:val="0"/>
          <w:numId w:val="34"/>
        </w:numPr>
        <w:spacing w:line="240" w:lineRule="auto"/>
        <w:rPr>
          <w:rFonts w:cstheme="minorHAnsi"/>
        </w:rPr>
      </w:pPr>
      <w:r w:rsidRPr="004265C4">
        <w:rPr>
          <w:rFonts w:cstheme="minorHAnsi"/>
        </w:rPr>
        <w:t>Strengthening S</w:t>
      </w:r>
      <w:r w:rsidRPr="00FC3B72">
        <w:rPr>
          <w:rFonts w:cstheme="minorHAnsi"/>
        </w:rPr>
        <w:t xml:space="preserve">ervices in the Region </w:t>
      </w:r>
      <w:r>
        <w:rPr>
          <w:rFonts w:cstheme="minorHAnsi"/>
        </w:rPr>
        <w:t xml:space="preserve">will be replaced with Regional Coordination Services, and will </w:t>
      </w:r>
      <w:r w:rsidRPr="001835BB">
        <w:rPr>
          <w:rFonts w:cstheme="minorHAnsi"/>
        </w:rPr>
        <w:t xml:space="preserve">focus on developing coordinated and integrated service delivery in the region for young people at risk. </w:t>
      </w:r>
      <w:r>
        <w:rPr>
          <w:rFonts w:cstheme="minorHAnsi"/>
        </w:rPr>
        <w:t>Regional Coordination Services will</w:t>
      </w:r>
      <w:r w:rsidRPr="001835BB">
        <w:rPr>
          <w:rFonts w:cstheme="minorHAnsi"/>
        </w:rPr>
        <w:t xml:space="preserve"> require a focus on joining up all the relevant, available services to provide a more effective and collaborative approach that is responsive to the needs of young people in the region, particularly young people at risk.</w:t>
      </w:r>
    </w:p>
    <w:p w14:paraId="298EAE1C" w14:textId="77777777" w:rsidR="003957AD" w:rsidRPr="00592A44" w:rsidRDefault="003957AD" w:rsidP="00837063">
      <w:pPr>
        <w:pStyle w:val="Heading2"/>
      </w:pPr>
      <w:bookmarkStart w:id="31" w:name="_Toc384042861"/>
      <w:r w:rsidRPr="00592A44">
        <w:t>Indigenous youth and Humanitarian Refugees</w:t>
      </w:r>
      <w:bookmarkEnd w:id="31"/>
    </w:p>
    <w:p w14:paraId="61BA3798" w14:textId="77777777" w:rsidR="003957AD" w:rsidRPr="009C28B4" w:rsidRDefault="003957AD" w:rsidP="003957AD">
      <w:pPr>
        <w:rPr>
          <w:rFonts w:cstheme="minorHAnsi"/>
        </w:rPr>
      </w:pPr>
      <w:r w:rsidRPr="009C28B4">
        <w:rPr>
          <w:rFonts w:cstheme="minorHAnsi"/>
        </w:rPr>
        <w:t xml:space="preserve">The Youth Connections program includes a focus on Indigenous and </w:t>
      </w:r>
      <w:r>
        <w:rPr>
          <w:rFonts w:cstheme="minorHAnsi"/>
        </w:rPr>
        <w:t>H</w:t>
      </w:r>
      <w:r w:rsidRPr="009C28B4">
        <w:rPr>
          <w:rFonts w:cstheme="minorHAnsi"/>
        </w:rPr>
        <w:t xml:space="preserve">umanitarian </w:t>
      </w:r>
      <w:r>
        <w:rPr>
          <w:rFonts w:cstheme="minorHAnsi"/>
        </w:rPr>
        <w:t>R</w:t>
      </w:r>
      <w:r w:rsidRPr="009C28B4">
        <w:rPr>
          <w:rFonts w:cstheme="minorHAnsi"/>
        </w:rPr>
        <w:t xml:space="preserve">efugee young people. These two groups are more likely to be at risk and may require mainstream programs to be tailored to meet their specific needs. </w:t>
      </w:r>
    </w:p>
    <w:p w14:paraId="3FF3B0BD" w14:textId="77777777" w:rsidR="003957AD" w:rsidRPr="009C28B4" w:rsidRDefault="003957AD" w:rsidP="003957AD">
      <w:pPr>
        <w:rPr>
          <w:rFonts w:cstheme="minorHAnsi"/>
        </w:rPr>
      </w:pPr>
    </w:p>
    <w:p w14:paraId="02D0196E" w14:textId="77777777" w:rsidR="003957AD" w:rsidRPr="009C28B4" w:rsidRDefault="003957AD" w:rsidP="003957AD">
      <w:pPr>
        <w:rPr>
          <w:rFonts w:cstheme="minorHAnsi"/>
        </w:rPr>
      </w:pPr>
      <w:r w:rsidRPr="009C28B4">
        <w:rPr>
          <w:rFonts w:cstheme="minorHAnsi"/>
        </w:rPr>
        <w:t>In the first two years of operation</w:t>
      </w:r>
      <w:r w:rsidRPr="009C28B4" w:rsidDel="00633E12">
        <w:rPr>
          <w:rFonts w:cstheme="minorHAnsi"/>
        </w:rPr>
        <w:t xml:space="preserve"> </w:t>
      </w:r>
      <w:r>
        <w:rPr>
          <w:rFonts w:cstheme="minorHAnsi"/>
        </w:rPr>
        <w:t>10,995</w:t>
      </w:r>
      <w:r w:rsidRPr="009C28B4">
        <w:rPr>
          <w:rFonts w:cstheme="minorHAnsi"/>
        </w:rPr>
        <w:t xml:space="preserve"> Indigenous young people received Individual Support Services, and 3</w:t>
      </w:r>
      <w:r>
        <w:rPr>
          <w:rFonts w:cstheme="minorHAnsi"/>
        </w:rPr>
        <w:t>1</w:t>
      </w:r>
      <w:r w:rsidRPr="009C28B4">
        <w:rPr>
          <w:rFonts w:cstheme="minorHAnsi"/>
        </w:rPr>
        <w:t xml:space="preserve">% of outreach activities included an Indigenous focus. The program continued to effectively engage Indigenous young people, who represented </w:t>
      </w:r>
      <w:r>
        <w:rPr>
          <w:rFonts w:cstheme="minorHAnsi"/>
        </w:rPr>
        <w:t>21</w:t>
      </w:r>
      <w:r w:rsidRPr="009C28B4">
        <w:rPr>
          <w:rFonts w:cstheme="minorHAnsi"/>
        </w:rPr>
        <w:t>% of the</w:t>
      </w:r>
      <w:r>
        <w:rPr>
          <w:rFonts w:cstheme="minorHAnsi"/>
        </w:rPr>
        <w:t xml:space="preserve"> annual</w:t>
      </w:r>
      <w:r w:rsidRPr="009C28B4">
        <w:rPr>
          <w:rFonts w:cstheme="minorHAnsi"/>
        </w:rPr>
        <w:t xml:space="preserve"> caseload in 201</w:t>
      </w:r>
      <w:r>
        <w:rPr>
          <w:rFonts w:cstheme="minorHAnsi"/>
        </w:rPr>
        <w:t>2</w:t>
      </w:r>
      <w:r w:rsidRPr="009C28B4">
        <w:rPr>
          <w:rFonts w:cstheme="minorHAnsi"/>
        </w:rPr>
        <w:t xml:space="preserve"> - a small increase from 201</w:t>
      </w:r>
      <w:r>
        <w:rPr>
          <w:rFonts w:cstheme="minorHAnsi"/>
        </w:rPr>
        <w:t>1</w:t>
      </w:r>
      <w:r w:rsidRPr="009C28B4">
        <w:rPr>
          <w:rFonts w:cstheme="minorHAnsi"/>
        </w:rPr>
        <w:t xml:space="preserve"> (1</w:t>
      </w:r>
      <w:r>
        <w:rPr>
          <w:rFonts w:cstheme="minorHAnsi"/>
        </w:rPr>
        <w:t>9</w:t>
      </w:r>
      <w:r w:rsidRPr="009C28B4">
        <w:rPr>
          <w:rFonts w:cstheme="minorHAnsi"/>
        </w:rPr>
        <w:t xml:space="preserve">%). While the rate of Indigenous young people achieving final outcomes is lower than for non-Indigenous (approximately 10% lower), </w:t>
      </w:r>
      <w:r>
        <w:rPr>
          <w:rFonts w:cstheme="minorHAnsi"/>
        </w:rPr>
        <w:t>a substantial 50% (5,436)</w:t>
      </w:r>
      <w:r w:rsidRPr="009C28B4">
        <w:rPr>
          <w:rFonts w:cstheme="minorHAnsi"/>
        </w:rPr>
        <w:t xml:space="preserve"> </w:t>
      </w:r>
      <w:r>
        <w:rPr>
          <w:rFonts w:cstheme="minorHAnsi"/>
        </w:rPr>
        <w:t xml:space="preserve">of </w:t>
      </w:r>
      <w:r w:rsidRPr="009C28B4">
        <w:rPr>
          <w:rFonts w:cstheme="minorHAnsi"/>
        </w:rPr>
        <w:t xml:space="preserve">Indigenous </w:t>
      </w:r>
      <w:r>
        <w:rPr>
          <w:rFonts w:cstheme="minorHAnsi"/>
        </w:rPr>
        <w:t xml:space="preserve">participants </w:t>
      </w:r>
      <w:r w:rsidRPr="009C28B4">
        <w:rPr>
          <w:rFonts w:cstheme="minorHAnsi"/>
        </w:rPr>
        <w:t xml:space="preserve">achieved a final outcome in the program, and a further </w:t>
      </w:r>
      <w:r>
        <w:rPr>
          <w:rFonts w:cstheme="minorHAnsi"/>
        </w:rPr>
        <w:t>2,367</w:t>
      </w:r>
      <w:r w:rsidRPr="009C28B4">
        <w:rPr>
          <w:rFonts w:cstheme="minorHAnsi"/>
        </w:rPr>
        <w:t xml:space="preserve"> (22%) made progress in addressing their barriers to engagement. </w:t>
      </w:r>
    </w:p>
    <w:p w14:paraId="046C517A" w14:textId="77777777" w:rsidR="003957AD" w:rsidRPr="009C28B4" w:rsidRDefault="003957AD" w:rsidP="003957AD">
      <w:pPr>
        <w:rPr>
          <w:rFonts w:cstheme="minorHAnsi"/>
        </w:rPr>
      </w:pPr>
    </w:p>
    <w:p w14:paraId="70C908C8" w14:textId="7FBE1389" w:rsidR="003957AD" w:rsidRPr="009C28B4" w:rsidRDefault="003957AD" w:rsidP="003957AD">
      <w:pPr>
        <w:rPr>
          <w:rFonts w:cstheme="minorHAnsi"/>
        </w:rPr>
      </w:pPr>
      <w:r w:rsidRPr="009C28B4">
        <w:rPr>
          <w:rFonts w:cstheme="minorHAnsi"/>
        </w:rPr>
        <w:t xml:space="preserve">For </w:t>
      </w:r>
      <w:r>
        <w:rPr>
          <w:rFonts w:cstheme="minorHAnsi"/>
        </w:rPr>
        <w:t>H</w:t>
      </w:r>
      <w:r w:rsidRPr="009C28B4">
        <w:rPr>
          <w:rFonts w:cstheme="minorHAnsi"/>
        </w:rPr>
        <w:t xml:space="preserve">umanitarian </w:t>
      </w:r>
      <w:r>
        <w:rPr>
          <w:rFonts w:cstheme="minorHAnsi"/>
        </w:rPr>
        <w:t>R</w:t>
      </w:r>
      <w:r w:rsidRPr="009C28B4">
        <w:rPr>
          <w:rFonts w:cstheme="minorHAnsi"/>
        </w:rPr>
        <w:t>efugee participants</w:t>
      </w:r>
      <w:r>
        <w:rPr>
          <w:rFonts w:cstheme="minorHAnsi"/>
        </w:rPr>
        <w:t>,</w:t>
      </w:r>
      <w:r w:rsidRPr="009C28B4">
        <w:rPr>
          <w:rFonts w:cstheme="minorHAnsi"/>
        </w:rPr>
        <w:t xml:space="preserve"> </w:t>
      </w:r>
      <w:r>
        <w:rPr>
          <w:rFonts w:cstheme="minorHAnsi"/>
        </w:rPr>
        <w:t xml:space="preserve">service delivery commenced slowly, with noticeable </w:t>
      </w:r>
      <w:r w:rsidRPr="009C28B4">
        <w:rPr>
          <w:rFonts w:cstheme="minorHAnsi"/>
        </w:rPr>
        <w:t>improvements in 2011</w:t>
      </w:r>
      <w:r>
        <w:rPr>
          <w:rFonts w:cstheme="minorHAnsi"/>
        </w:rPr>
        <w:t xml:space="preserve"> and 2012</w:t>
      </w:r>
      <w:r w:rsidRPr="009C28B4">
        <w:rPr>
          <w:rFonts w:cstheme="minorHAnsi"/>
        </w:rPr>
        <w:t xml:space="preserve">. </w:t>
      </w:r>
      <w:r>
        <w:rPr>
          <w:rFonts w:cstheme="minorHAnsi"/>
        </w:rPr>
        <w:t xml:space="preserve">Working closely with the </w:t>
      </w:r>
      <w:r w:rsidRPr="009C28B4">
        <w:rPr>
          <w:rFonts w:cstheme="minorHAnsi"/>
        </w:rPr>
        <w:t>Department of Immigration and Citizenship</w:t>
      </w:r>
      <w:r>
        <w:rPr>
          <w:rFonts w:cstheme="minorHAnsi"/>
        </w:rPr>
        <w:t>,</w:t>
      </w:r>
      <w:r w:rsidRPr="009C28B4" w:rsidDel="008A7481">
        <w:rPr>
          <w:rFonts w:cstheme="minorHAnsi"/>
        </w:rPr>
        <w:t xml:space="preserve"> </w:t>
      </w:r>
      <w:r w:rsidRPr="009C28B4">
        <w:rPr>
          <w:rFonts w:cstheme="minorHAnsi"/>
        </w:rPr>
        <w:t xml:space="preserve">DEEWR </w:t>
      </w:r>
      <w:r>
        <w:rPr>
          <w:rFonts w:cstheme="minorHAnsi"/>
        </w:rPr>
        <w:t>provided</w:t>
      </w:r>
      <w:r w:rsidRPr="009C28B4">
        <w:rPr>
          <w:rFonts w:cstheme="minorHAnsi"/>
        </w:rPr>
        <w:t xml:space="preserve"> information, data and advice </w:t>
      </w:r>
      <w:r>
        <w:rPr>
          <w:rFonts w:cstheme="minorHAnsi"/>
        </w:rPr>
        <w:t xml:space="preserve">to providers </w:t>
      </w:r>
      <w:r w:rsidRPr="009C28B4">
        <w:rPr>
          <w:rFonts w:cstheme="minorHAnsi"/>
        </w:rPr>
        <w:t xml:space="preserve">on how to better engage this group. Nationally, </w:t>
      </w:r>
      <w:r>
        <w:rPr>
          <w:rFonts w:cstheme="minorHAnsi"/>
        </w:rPr>
        <w:t>340</w:t>
      </w:r>
      <w:r w:rsidRPr="009C28B4">
        <w:rPr>
          <w:rFonts w:cstheme="minorHAnsi"/>
        </w:rPr>
        <w:t xml:space="preserve"> </w:t>
      </w:r>
      <w:r>
        <w:rPr>
          <w:rFonts w:cstheme="minorHAnsi"/>
        </w:rPr>
        <w:t>H</w:t>
      </w:r>
      <w:r w:rsidRPr="009C28B4">
        <w:rPr>
          <w:rFonts w:cstheme="minorHAnsi"/>
        </w:rPr>
        <w:t xml:space="preserve">umanitarian </w:t>
      </w:r>
      <w:r>
        <w:rPr>
          <w:rFonts w:cstheme="minorHAnsi"/>
        </w:rPr>
        <w:t>R</w:t>
      </w:r>
      <w:r w:rsidRPr="009C28B4">
        <w:rPr>
          <w:rFonts w:cstheme="minorHAnsi"/>
        </w:rPr>
        <w:t>efugees received Individual Support Services from Youth Connections providers in 201</w:t>
      </w:r>
      <w:r>
        <w:rPr>
          <w:rFonts w:cstheme="minorHAnsi"/>
        </w:rPr>
        <w:t xml:space="preserve">1; </w:t>
      </w:r>
      <w:r w:rsidRPr="009C28B4">
        <w:rPr>
          <w:rFonts w:cstheme="minorHAnsi"/>
        </w:rPr>
        <w:t xml:space="preserve">this number </w:t>
      </w:r>
      <w:r>
        <w:rPr>
          <w:rFonts w:cstheme="minorHAnsi"/>
        </w:rPr>
        <w:t>increased in</w:t>
      </w:r>
      <w:r w:rsidRPr="009C28B4">
        <w:rPr>
          <w:rFonts w:cstheme="minorHAnsi"/>
        </w:rPr>
        <w:t xml:space="preserve"> 201</w:t>
      </w:r>
      <w:r>
        <w:rPr>
          <w:rFonts w:cstheme="minorHAnsi"/>
        </w:rPr>
        <w:t>2</w:t>
      </w:r>
      <w:r w:rsidRPr="009C28B4">
        <w:rPr>
          <w:rFonts w:cstheme="minorHAnsi"/>
        </w:rPr>
        <w:t xml:space="preserve"> to </w:t>
      </w:r>
      <w:r>
        <w:rPr>
          <w:rFonts w:cstheme="minorHAnsi"/>
        </w:rPr>
        <w:t>488</w:t>
      </w:r>
      <w:r w:rsidR="00592A44">
        <w:rPr>
          <w:rFonts w:cstheme="minorHAnsi"/>
        </w:rPr>
        <w:t xml:space="preserve">.  </w:t>
      </w:r>
    </w:p>
    <w:p w14:paraId="6B62DF5C" w14:textId="77777777" w:rsidR="003957AD" w:rsidRPr="00592A44" w:rsidRDefault="003957AD" w:rsidP="00837063">
      <w:pPr>
        <w:pStyle w:val="Heading2"/>
      </w:pPr>
      <w:bookmarkStart w:id="32" w:name="_Toc384042862"/>
      <w:r w:rsidRPr="00592A44">
        <w:t>Provider networks</w:t>
      </w:r>
      <w:bookmarkEnd w:id="32"/>
    </w:p>
    <w:p w14:paraId="4B1FAC41" w14:textId="77777777" w:rsidR="003957AD" w:rsidRPr="009C28B4" w:rsidRDefault="003957AD" w:rsidP="003957AD">
      <w:pPr>
        <w:rPr>
          <w:rFonts w:cstheme="minorHAnsi"/>
        </w:rPr>
      </w:pPr>
      <w:r w:rsidRPr="009C28B4">
        <w:rPr>
          <w:rFonts w:cstheme="minorHAnsi"/>
        </w:rPr>
        <w:t xml:space="preserve">DEEWR continues to work closely with the state and national Youth Connections provider networks, which are an important forum to engage key stakeholders and improve program delivery and outcomes. </w:t>
      </w:r>
    </w:p>
    <w:p w14:paraId="19201FBE" w14:textId="77777777" w:rsidR="003957AD" w:rsidRPr="009C28B4" w:rsidRDefault="003957AD" w:rsidP="003957AD">
      <w:pPr>
        <w:rPr>
          <w:rFonts w:cstheme="minorHAnsi"/>
        </w:rPr>
      </w:pPr>
    </w:p>
    <w:p w14:paraId="006E859B" w14:textId="77777777" w:rsidR="003957AD" w:rsidRPr="009C28B4" w:rsidRDefault="003957AD" w:rsidP="003957AD">
      <w:pPr>
        <w:rPr>
          <w:rFonts w:cstheme="minorHAnsi"/>
        </w:rPr>
      </w:pPr>
      <w:r w:rsidRPr="009C28B4">
        <w:rPr>
          <w:rFonts w:cstheme="minorHAnsi"/>
        </w:rPr>
        <w:t>The national Youth Connections provider network priorities are:</w:t>
      </w:r>
    </w:p>
    <w:p w14:paraId="2B084D06" w14:textId="77777777" w:rsidR="003957AD" w:rsidRDefault="003957AD" w:rsidP="003957AD">
      <w:pPr>
        <w:pStyle w:val="ListParagraph"/>
        <w:numPr>
          <w:ilvl w:val="0"/>
          <w:numId w:val="33"/>
        </w:numPr>
        <w:spacing w:line="240" w:lineRule="auto"/>
        <w:contextualSpacing w:val="0"/>
        <w:rPr>
          <w:rFonts w:cstheme="minorHAnsi"/>
        </w:rPr>
      </w:pPr>
      <w:r w:rsidRPr="009C28B4">
        <w:rPr>
          <w:rFonts w:cstheme="minorHAnsi"/>
        </w:rPr>
        <w:t>Create a greater awareness of the Youth Connections program with key stakeholders</w:t>
      </w:r>
      <w:r>
        <w:rPr>
          <w:rFonts w:cstheme="minorHAnsi"/>
        </w:rPr>
        <w:t xml:space="preserve">. </w:t>
      </w:r>
    </w:p>
    <w:p w14:paraId="787F9E1E" w14:textId="77777777" w:rsidR="003957AD" w:rsidRDefault="003957AD" w:rsidP="003957AD">
      <w:pPr>
        <w:pStyle w:val="ListParagraph"/>
        <w:numPr>
          <w:ilvl w:val="0"/>
          <w:numId w:val="33"/>
        </w:numPr>
        <w:spacing w:line="240" w:lineRule="auto"/>
        <w:contextualSpacing w:val="0"/>
        <w:rPr>
          <w:rFonts w:cstheme="minorHAnsi"/>
        </w:rPr>
      </w:pPr>
      <w:r>
        <w:rPr>
          <w:rFonts w:cstheme="minorHAnsi"/>
        </w:rPr>
        <w:t xml:space="preserve">Share program expertise and knowledge, and promote the professional development of all providers. </w:t>
      </w:r>
    </w:p>
    <w:p w14:paraId="52E1E06B" w14:textId="77777777" w:rsidR="003957AD" w:rsidRPr="009C28B4" w:rsidRDefault="003957AD" w:rsidP="003957AD">
      <w:pPr>
        <w:pStyle w:val="ListParagraph"/>
        <w:numPr>
          <w:ilvl w:val="0"/>
          <w:numId w:val="33"/>
        </w:numPr>
        <w:spacing w:line="240" w:lineRule="auto"/>
        <w:contextualSpacing w:val="0"/>
        <w:rPr>
          <w:rFonts w:cstheme="minorHAnsi"/>
        </w:rPr>
      </w:pPr>
      <w:r w:rsidRPr="009C28B4">
        <w:rPr>
          <w:rFonts w:cstheme="minorHAnsi"/>
        </w:rPr>
        <w:t xml:space="preserve">Undertake a </w:t>
      </w:r>
      <w:r>
        <w:rPr>
          <w:rFonts w:cstheme="minorHAnsi"/>
        </w:rPr>
        <w:t xml:space="preserve">research </w:t>
      </w:r>
      <w:r w:rsidRPr="009C28B4">
        <w:rPr>
          <w:rFonts w:cstheme="minorHAnsi"/>
        </w:rPr>
        <w:t xml:space="preserve">project to </w:t>
      </w:r>
      <w:r>
        <w:rPr>
          <w:rFonts w:cstheme="minorHAnsi"/>
        </w:rPr>
        <w:t xml:space="preserve">demonstrate best practice in strengthening services for </w:t>
      </w:r>
      <w:r w:rsidRPr="009C28B4">
        <w:rPr>
          <w:rFonts w:cstheme="minorHAnsi"/>
        </w:rPr>
        <w:t xml:space="preserve">young people in </w:t>
      </w:r>
      <w:r>
        <w:rPr>
          <w:rFonts w:cstheme="minorHAnsi"/>
        </w:rPr>
        <w:t xml:space="preserve">juvenile </w:t>
      </w:r>
      <w:r w:rsidRPr="009C28B4">
        <w:rPr>
          <w:rFonts w:cstheme="minorHAnsi"/>
        </w:rPr>
        <w:t>justice</w:t>
      </w:r>
      <w:r>
        <w:rPr>
          <w:rFonts w:cstheme="minorHAnsi"/>
        </w:rPr>
        <w:t xml:space="preserve"> (report to be released by June 2013).</w:t>
      </w:r>
    </w:p>
    <w:p w14:paraId="3E6B402A" w14:textId="77777777" w:rsidR="003957AD" w:rsidRDefault="003957AD" w:rsidP="003957AD">
      <w:pPr>
        <w:pStyle w:val="ListParagraph"/>
        <w:numPr>
          <w:ilvl w:val="0"/>
          <w:numId w:val="33"/>
        </w:numPr>
        <w:spacing w:line="240" w:lineRule="auto"/>
        <w:contextualSpacing w:val="0"/>
        <w:rPr>
          <w:rFonts w:cstheme="minorHAnsi"/>
        </w:rPr>
      </w:pPr>
      <w:r w:rsidRPr="009C28B4">
        <w:rPr>
          <w:rFonts w:cstheme="minorHAnsi"/>
        </w:rPr>
        <w:t>Provide input to the findings of the Youth Attainment and Transitions National Partnership Evaluation</w:t>
      </w:r>
      <w:r>
        <w:rPr>
          <w:rFonts w:cstheme="minorHAnsi"/>
        </w:rPr>
        <w:t>.</w:t>
      </w:r>
    </w:p>
    <w:p w14:paraId="33895630" w14:textId="77777777" w:rsidR="003957AD" w:rsidRDefault="003957AD" w:rsidP="003957AD">
      <w:pPr>
        <w:pStyle w:val="ListParagraph"/>
        <w:numPr>
          <w:ilvl w:val="0"/>
          <w:numId w:val="33"/>
        </w:numPr>
        <w:spacing w:line="240" w:lineRule="auto"/>
        <w:contextualSpacing w:val="0"/>
        <w:rPr>
          <w:rFonts w:cstheme="minorHAnsi"/>
        </w:rPr>
      </w:pPr>
      <w:r>
        <w:rPr>
          <w:rFonts w:cstheme="minorHAnsi"/>
        </w:rPr>
        <w:t>Continue to develop and promote partnerships with important stakeholders, such as the Multicultural Youth Affairs Network (</w:t>
      </w:r>
      <w:proofErr w:type="spellStart"/>
      <w:r>
        <w:rPr>
          <w:rFonts w:cstheme="minorHAnsi"/>
        </w:rPr>
        <w:t>MYAN</w:t>
      </w:r>
      <w:proofErr w:type="spellEnd"/>
      <w:r>
        <w:rPr>
          <w:rFonts w:cstheme="minorHAnsi"/>
        </w:rPr>
        <w:t>), youth peak bodies and local councils and community bodies.</w:t>
      </w:r>
    </w:p>
    <w:p w14:paraId="36BC3B7E" w14:textId="77777777" w:rsidR="003957AD" w:rsidRPr="009C28B4" w:rsidRDefault="003957AD" w:rsidP="003957AD">
      <w:pPr>
        <w:pStyle w:val="ListParagraph"/>
        <w:numPr>
          <w:ilvl w:val="0"/>
          <w:numId w:val="33"/>
        </w:numPr>
        <w:spacing w:line="240" w:lineRule="auto"/>
        <w:contextualSpacing w:val="0"/>
        <w:rPr>
          <w:rFonts w:cstheme="minorHAnsi"/>
        </w:rPr>
      </w:pPr>
      <w:r>
        <w:rPr>
          <w:rFonts w:cstheme="minorHAnsi"/>
        </w:rPr>
        <w:lastRenderedPageBreak/>
        <w:t>Strategic thinking – consider the future for this cohort of young people beyond current program timeframes and parameters; develop a consolidated provider view of a future program model; consider how to engage and involve stakeholders in promoting a future model.</w:t>
      </w:r>
    </w:p>
    <w:p w14:paraId="6E431242" w14:textId="77777777" w:rsidR="003957AD" w:rsidRPr="009C28B4" w:rsidRDefault="003957AD" w:rsidP="003957AD">
      <w:pPr>
        <w:rPr>
          <w:rFonts w:cstheme="minorHAnsi"/>
        </w:rPr>
      </w:pPr>
    </w:p>
    <w:p w14:paraId="1E2064BE" w14:textId="77777777" w:rsidR="003957AD" w:rsidRPr="00592A44" w:rsidRDefault="003957AD" w:rsidP="00837063">
      <w:pPr>
        <w:pStyle w:val="Heading2"/>
      </w:pPr>
      <w:bookmarkStart w:id="33" w:name="_Toc384042863"/>
      <w:r w:rsidRPr="00592A44">
        <w:t>Shout Out Events</w:t>
      </w:r>
      <w:bookmarkEnd w:id="33"/>
    </w:p>
    <w:p w14:paraId="424FC6A3" w14:textId="3A007544" w:rsidR="003957AD" w:rsidRPr="009C28B4" w:rsidRDefault="003957AD" w:rsidP="003957AD">
      <w:pPr>
        <w:rPr>
          <w:rFonts w:cstheme="minorHAnsi"/>
        </w:rPr>
      </w:pPr>
      <w:r w:rsidRPr="00C600B9">
        <w:rPr>
          <w:rFonts w:cstheme="minorHAnsi"/>
        </w:rPr>
        <w:t xml:space="preserve">The Youth Connections National Provider </w:t>
      </w:r>
      <w:proofErr w:type="gramStart"/>
      <w:r w:rsidRPr="00C600B9">
        <w:rPr>
          <w:rFonts w:cstheme="minorHAnsi"/>
        </w:rPr>
        <w:t>Network,</w:t>
      </w:r>
      <w:proofErr w:type="gramEnd"/>
      <w:r w:rsidRPr="00C600B9">
        <w:rPr>
          <w:rFonts w:cstheme="minorHAnsi"/>
        </w:rPr>
        <w:t xml:space="preserve"> funded by DEEWR, sponsored ‘Shout Out’ Youth Summits across the country </w:t>
      </w:r>
      <w:r>
        <w:rPr>
          <w:rFonts w:cstheme="minorHAnsi"/>
        </w:rPr>
        <w:t>between</w:t>
      </w:r>
      <w:r w:rsidRPr="00C600B9">
        <w:rPr>
          <w:rFonts w:cstheme="minorHAnsi"/>
        </w:rPr>
        <w:t xml:space="preserve"> September-October 2012. The main focus of the events was a survey, with attendees providing their views about the current education system, the need for support programs like Youth Connections and ways the system could be improved to support attainment for young people who are at risk of disengaging from education. Young peoples’ responses were provided directly to government via a future directions paper, </w:t>
      </w:r>
      <w:r w:rsidRPr="00B725CB">
        <w:rPr>
          <w:rFonts w:cstheme="minorHAnsi"/>
          <w:i/>
        </w:rPr>
        <w:t xml:space="preserve">The Space </w:t>
      </w:r>
      <w:r>
        <w:rPr>
          <w:rFonts w:cstheme="minorHAnsi"/>
          <w:i/>
        </w:rPr>
        <w:t>I</w:t>
      </w:r>
      <w:r w:rsidRPr="00B725CB">
        <w:rPr>
          <w:rFonts w:cstheme="minorHAnsi"/>
          <w:i/>
        </w:rPr>
        <w:t>n-between</w:t>
      </w:r>
      <w:r w:rsidRPr="00C600B9">
        <w:rPr>
          <w:rFonts w:cstheme="minorHAnsi"/>
        </w:rPr>
        <w:t>, prepared by the Youth Connections National Network.</w:t>
      </w:r>
    </w:p>
    <w:p w14:paraId="098442D8" w14:textId="77777777" w:rsidR="003957AD" w:rsidRPr="00592A44" w:rsidRDefault="003957AD" w:rsidP="00837063">
      <w:pPr>
        <w:pStyle w:val="Heading2"/>
      </w:pPr>
      <w:bookmarkStart w:id="34" w:name="_Toc384042864"/>
      <w:r w:rsidRPr="00592A44">
        <w:t>Website with case studies</w:t>
      </w:r>
      <w:bookmarkEnd w:id="34"/>
    </w:p>
    <w:p w14:paraId="320513F7" w14:textId="77777777" w:rsidR="003957AD" w:rsidRPr="009C28B4" w:rsidRDefault="003957AD" w:rsidP="003957AD">
      <w:pPr>
        <w:rPr>
          <w:rFonts w:cstheme="minorHAnsi"/>
        </w:rPr>
      </w:pPr>
      <w:r w:rsidRPr="009C28B4">
        <w:rPr>
          <w:rFonts w:cstheme="minorHAnsi"/>
        </w:rPr>
        <w:t xml:space="preserve">Youth Connections case studies </w:t>
      </w:r>
      <w:r>
        <w:rPr>
          <w:rFonts w:cstheme="minorHAnsi"/>
        </w:rPr>
        <w:t>were</w:t>
      </w:r>
      <w:r w:rsidRPr="009C28B4">
        <w:rPr>
          <w:rFonts w:cstheme="minorHAnsi"/>
        </w:rPr>
        <w:t xml:space="preserve"> </w:t>
      </w:r>
      <w:r>
        <w:rPr>
          <w:rFonts w:cstheme="minorHAnsi"/>
        </w:rPr>
        <w:t xml:space="preserve">produced </w:t>
      </w:r>
      <w:r w:rsidRPr="009C28B4">
        <w:rPr>
          <w:rFonts w:cstheme="minorHAnsi"/>
        </w:rPr>
        <w:t>to strengthen provider understanding</w:t>
      </w:r>
      <w:r>
        <w:rPr>
          <w:rFonts w:cstheme="minorHAnsi"/>
        </w:rPr>
        <w:t xml:space="preserve">; </w:t>
      </w:r>
      <w:r w:rsidRPr="009C28B4">
        <w:rPr>
          <w:rFonts w:cstheme="minorHAnsi"/>
        </w:rPr>
        <w:t>to showcase the Youth Connections program</w:t>
      </w:r>
      <w:r>
        <w:rPr>
          <w:rFonts w:cstheme="minorHAnsi"/>
        </w:rPr>
        <w:t>;</w:t>
      </w:r>
      <w:r w:rsidRPr="009C28B4">
        <w:rPr>
          <w:rFonts w:cstheme="minorHAnsi"/>
        </w:rPr>
        <w:t xml:space="preserve"> and to demonstrate effective practice. </w:t>
      </w:r>
      <w:r>
        <w:rPr>
          <w:rFonts w:cstheme="minorHAnsi"/>
        </w:rPr>
        <w:t xml:space="preserve">In addition </w:t>
      </w:r>
      <w:r w:rsidRPr="00445158">
        <w:rPr>
          <w:rFonts w:cstheme="minorHAnsi"/>
        </w:rPr>
        <w:t xml:space="preserve">to </w:t>
      </w:r>
      <w:r>
        <w:rPr>
          <w:rFonts w:cstheme="minorHAnsi"/>
        </w:rPr>
        <w:t xml:space="preserve">the </w:t>
      </w:r>
      <w:r w:rsidRPr="00445158">
        <w:rPr>
          <w:rFonts w:cstheme="minorHAnsi"/>
        </w:rPr>
        <w:t xml:space="preserve">case studies released in 2011, a number of new Outreach and Re-engagement and Strengthening Services in the Region case studies </w:t>
      </w:r>
      <w:r>
        <w:rPr>
          <w:rFonts w:cstheme="minorHAnsi"/>
        </w:rPr>
        <w:t xml:space="preserve">were developed, which </w:t>
      </w:r>
      <w:r w:rsidRPr="00445158">
        <w:rPr>
          <w:rFonts w:cstheme="minorHAnsi"/>
        </w:rPr>
        <w:t>are available on the Youth Attainment and Transitions website</w:t>
      </w:r>
      <w:r>
        <w:rPr>
          <w:rFonts w:cstheme="minorHAnsi"/>
        </w:rPr>
        <w:t xml:space="preserve"> </w:t>
      </w:r>
      <w:hyperlink r:id="rId19" w:history="1">
        <w:r w:rsidRPr="00445158">
          <w:rPr>
            <w:rStyle w:val="Hyperlink"/>
            <w:rFonts w:cstheme="minorHAnsi"/>
          </w:rPr>
          <w:t>www.transitions.youth.gov.au</w:t>
        </w:r>
      </w:hyperlink>
      <w:r w:rsidRPr="009C28B4">
        <w:rPr>
          <w:rFonts w:cstheme="minorHAnsi"/>
        </w:rPr>
        <w:t xml:space="preserve">. </w:t>
      </w:r>
    </w:p>
    <w:p w14:paraId="07DBA6C0" w14:textId="77777777" w:rsidR="003957AD" w:rsidRPr="00592A44" w:rsidRDefault="003957AD" w:rsidP="00837063">
      <w:pPr>
        <w:pStyle w:val="Heading2"/>
      </w:pPr>
      <w:bookmarkStart w:id="35" w:name="_Toc384042865"/>
      <w:r w:rsidRPr="00592A44">
        <w:t>2013 DEEWR focus areas</w:t>
      </w:r>
      <w:bookmarkEnd w:id="35"/>
    </w:p>
    <w:p w14:paraId="1098DA30" w14:textId="77777777" w:rsidR="003957AD" w:rsidRDefault="003957AD" w:rsidP="003957AD">
      <w:pPr>
        <w:pStyle w:val="ListParagraph"/>
        <w:numPr>
          <w:ilvl w:val="0"/>
          <w:numId w:val="29"/>
        </w:numPr>
        <w:spacing w:line="240" w:lineRule="auto"/>
        <w:rPr>
          <w:rFonts w:cstheme="minorHAnsi"/>
        </w:rPr>
      </w:pPr>
      <w:r>
        <w:rPr>
          <w:rFonts w:cstheme="minorHAnsi"/>
        </w:rPr>
        <w:t xml:space="preserve">Consider the changing relationship with state and territory education departments with the National Partnership concluding at the end of 2013.  Maintain the current positive networks between the Commonwealth and state/territory departments so that Year 12 attainment rates continue to improve. </w:t>
      </w:r>
    </w:p>
    <w:p w14:paraId="52F70D06" w14:textId="77777777" w:rsidR="003957AD" w:rsidRDefault="003957AD" w:rsidP="003957AD">
      <w:pPr>
        <w:pStyle w:val="ListParagraph"/>
        <w:numPr>
          <w:ilvl w:val="0"/>
          <w:numId w:val="29"/>
        </w:numPr>
        <w:spacing w:line="240" w:lineRule="auto"/>
        <w:rPr>
          <w:rFonts w:cstheme="minorHAnsi"/>
        </w:rPr>
      </w:pPr>
      <w:r>
        <w:rPr>
          <w:rFonts w:cstheme="minorHAnsi"/>
        </w:rPr>
        <w:t xml:space="preserve">Explore and manage the implications of the National Plan for School Improvement on the Youth Connections program. </w:t>
      </w:r>
    </w:p>
    <w:p w14:paraId="6ABB71C0" w14:textId="77777777" w:rsidR="003957AD" w:rsidRDefault="003957AD" w:rsidP="003957AD">
      <w:pPr>
        <w:pStyle w:val="ListParagraph"/>
        <w:numPr>
          <w:ilvl w:val="0"/>
          <w:numId w:val="29"/>
        </w:numPr>
        <w:spacing w:after="200"/>
        <w:rPr>
          <w:rFonts w:cstheme="minorHAnsi"/>
        </w:rPr>
      </w:pPr>
      <w:r>
        <w:rPr>
          <w:rFonts w:cstheme="minorHAnsi"/>
        </w:rPr>
        <w:t>Consider youth transitions policy settings beyond the Youth Connections program. Work with other departments and existing programs to develop an integrated policy response to the delivery of services for young people needing help to make successful transitions.</w:t>
      </w:r>
      <w:r w:rsidRPr="00113821">
        <w:rPr>
          <w:rFonts w:cstheme="minorHAnsi"/>
        </w:rPr>
        <w:t xml:space="preserve"> </w:t>
      </w:r>
    </w:p>
    <w:p w14:paraId="3407B309" w14:textId="77777777" w:rsidR="003957AD" w:rsidRPr="00113821" w:rsidRDefault="003957AD" w:rsidP="003957AD">
      <w:pPr>
        <w:pStyle w:val="ListParagraph"/>
        <w:numPr>
          <w:ilvl w:val="0"/>
          <w:numId w:val="29"/>
        </w:numPr>
        <w:spacing w:after="200"/>
        <w:rPr>
          <w:rFonts w:cstheme="minorHAnsi"/>
        </w:rPr>
      </w:pPr>
      <w:r>
        <w:rPr>
          <w:rFonts w:cstheme="minorHAnsi"/>
        </w:rPr>
        <w:t xml:space="preserve">Explore the opportunity for </w:t>
      </w:r>
      <w:r w:rsidRPr="00437548">
        <w:rPr>
          <w:rFonts w:cstheme="minorHAnsi"/>
        </w:rPr>
        <w:t>the Australian Government to implement more integrated service arrangements for young people</w:t>
      </w:r>
      <w:r>
        <w:rPr>
          <w:rFonts w:cstheme="minorHAnsi"/>
        </w:rPr>
        <w:t xml:space="preserve"> presented by t</w:t>
      </w:r>
      <w:r w:rsidRPr="00437548">
        <w:rPr>
          <w:rFonts w:cstheme="minorHAnsi"/>
        </w:rPr>
        <w:t>he expiration of the Job Services Australia contract in June 2015.</w:t>
      </w:r>
    </w:p>
    <w:p w14:paraId="266C2368" w14:textId="77777777" w:rsidR="003957AD" w:rsidRPr="009C28B4" w:rsidRDefault="003957AD" w:rsidP="003957AD">
      <w:pPr>
        <w:pStyle w:val="ListParagraph"/>
        <w:numPr>
          <w:ilvl w:val="0"/>
          <w:numId w:val="29"/>
        </w:numPr>
        <w:spacing w:line="240" w:lineRule="auto"/>
        <w:rPr>
          <w:rFonts w:cstheme="minorHAnsi"/>
        </w:rPr>
      </w:pPr>
      <w:r w:rsidRPr="009C28B4">
        <w:rPr>
          <w:rFonts w:cstheme="minorHAnsi"/>
        </w:rPr>
        <w:t>Continue</w:t>
      </w:r>
      <w:r>
        <w:rPr>
          <w:rFonts w:cstheme="minorHAnsi"/>
        </w:rPr>
        <w:t xml:space="preserve"> to </w:t>
      </w:r>
      <w:r w:rsidRPr="009C28B4">
        <w:rPr>
          <w:rFonts w:cstheme="minorHAnsi"/>
        </w:rPr>
        <w:t>promo</w:t>
      </w:r>
      <w:r>
        <w:rPr>
          <w:rFonts w:cstheme="minorHAnsi"/>
        </w:rPr>
        <w:t>te</w:t>
      </w:r>
      <w:r w:rsidRPr="009C28B4">
        <w:rPr>
          <w:rFonts w:cstheme="minorHAnsi"/>
        </w:rPr>
        <w:t xml:space="preserve"> </w:t>
      </w:r>
      <w:r>
        <w:rPr>
          <w:rFonts w:cstheme="minorHAnsi"/>
        </w:rPr>
        <w:t xml:space="preserve">and strengthen knowledge of </w:t>
      </w:r>
      <w:r w:rsidRPr="009C28B4">
        <w:rPr>
          <w:rFonts w:cstheme="minorHAnsi"/>
        </w:rPr>
        <w:t>the program beyond existing service networks</w:t>
      </w:r>
      <w:r>
        <w:rPr>
          <w:rFonts w:cstheme="minorHAnsi"/>
        </w:rPr>
        <w:t>.</w:t>
      </w:r>
    </w:p>
    <w:p w14:paraId="1D971D08" w14:textId="77777777" w:rsidR="003957AD" w:rsidRDefault="003957AD" w:rsidP="003957AD">
      <w:pPr>
        <w:pStyle w:val="ListParagraph"/>
        <w:numPr>
          <w:ilvl w:val="0"/>
          <w:numId w:val="32"/>
        </w:numPr>
        <w:spacing w:line="240" w:lineRule="auto"/>
        <w:rPr>
          <w:rFonts w:cstheme="minorHAnsi"/>
        </w:rPr>
      </w:pPr>
      <w:r>
        <w:rPr>
          <w:rFonts w:cstheme="minorHAnsi"/>
        </w:rPr>
        <w:t xml:space="preserve">Embed the new </w:t>
      </w:r>
      <w:r w:rsidRPr="00571F09">
        <w:rPr>
          <w:rFonts w:cstheme="minorHAnsi"/>
        </w:rPr>
        <w:t>Targeted Engagement and Regional Coordination Services.</w:t>
      </w:r>
    </w:p>
    <w:p w14:paraId="494183FD" w14:textId="77777777" w:rsidR="003957AD" w:rsidRDefault="003957AD" w:rsidP="003957AD">
      <w:pPr>
        <w:pStyle w:val="ListParagraph"/>
        <w:numPr>
          <w:ilvl w:val="0"/>
          <w:numId w:val="32"/>
        </w:numPr>
        <w:spacing w:line="240" w:lineRule="auto"/>
        <w:rPr>
          <w:rFonts w:cstheme="minorHAnsi"/>
        </w:rPr>
      </w:pPr>
      <w:r w:rsidRPr="009C28B4">
        <w:rPr>
          <w:rFonts w:cstheme="minorHAnsi"/>
        </w:rPr>
        <w:t>Continue</w:t>
      </w:r>
      <w:r>
        <w:rPr>
          <w:rFonts w:cstheme="minorHAnsi"/>
        </w:rPr>
        <w:t xml:space="preserve"> to</w:t>
      </w:r>
      <w:r w:rsidRPr="009C28B4">
        <w:rPr>
          <w:rFonts w:cstheme="minorHAnsi"/>
        </w:rPr>
        <w:t xml:space="preserve"> focus on improving outcomes for Indigenous and </w:t>
      </w:r>
      <w:r>
        <w:rPr>
          <w:rFonts w:cstheme="minorHAnsi"/>
        </w:rPr>
        <w:t>H</w:t>
      </w:r>
      <w:r w:rsidRPr="009C28B4">
        <w:rPr>
          <w:rFonts w:cstheme="minorHAnsi"/>
        </w:rPr>
        <w:t xml:space="preserve">umanitarian </w:t>
      </w:r>
      <w:r>
        <w:rPr>
          <w:rFonts w:cstheme="minorHAnsi"/>
        </w:rPr>
        <w:t>R</w:t>
      </w:r>
      <w:r w:rsidRPr="009C28B4">
        <w:rPr>
          <w:rFonts w:cstheme="minorHAnsi"/>
        </w:rPr>
        <w:t>efugee participants.</w:t>
      </w:r>
    </w:p>
    <w:p w14:paraId="717150B5" w14:textId="77777777" w:rsidR="003957AD" w:rsidRPr="009C28B4" w:rsidRDefault="003957AD" w:rsidP="003957AD">
      <w:pPr>
        <w:pStyle w:val="ListParagraph"/>
        <w:spacing w:line="240" w:lineRule="auto"/>
        <w:rPr>
          <w:rFonts w:cstheme="minorHAnsi"/>
        </w:rPr>
      </w:pPr>
    </w:p>
    <w:p w14:paraId="23321AC1" w14:textId="77777777" w:rsidR="003957AD" w:rsidRDefault="003957AD" w:rsidP="003957AD"/>
    <w:p w14:paraId="54392046" w14:textId="77777777" w:rsidR="003957AD" w:rsidRDefault="003957AD" w:rsidP="003957AD">
      <w:pPr>
        <w:rPr>
          <w:rFonts w:asciiTheme="majorHAnsi" w:eastAsiaTheme="majorEastAsia" w:hAnsiTheme="majorHAnsi" w:cstheme="majorBidi"/>
          <w:b/>
          <w:bCs/>
          <w:color w:val="365F91" w:themeColor="accent1" w:themeShade="BF"/>
          <w:sz w:val="28"/>
          <w:szCs w:val="28"/>
        </w:rPr>
      </w:pPr>
      <w:r>
        <w:br w:type="page"/>
      </w:r>
    </w:p>
    <w:p w14:paraId="1931EA01" w14:textId="4951CF0D" w:rsidR="003957AD" w:rsidRDefault="00546F15" w:rsidP="00837063">
      <w:pPr>
        <w:pStyle w:val="Heading2"/>
      </w:pPr>
      <w:bookmarkStart w:id="36" w:name="_Toc384042866"/>
      <w:r>
        <w:lastRenderedPageBreak/>
        <w:t>Victoria Summary</w:t>
      </w:r>
      <w:bookmarkEnd w:id="36"/>
    </w:p>
    <w:p w14:paraId="2AEAF34B" w14:textId="77777777" w:rsidR="003957AD" w:rsidRPr="00542B54" w:rsidRDefault="003957AD" w:rsidP="00837063">
      <w:pPr>
        <w:pStyle w:val="Heading3"/>
      </w:pPr>
      <w:r w:rsidRPr="00542B54">
        <w:t>Context</w:t>
      </w:r>
    </w:p>
    <w:p w14:paraId="1284504D" w14:textId="77777777" w:rsidR="003957AD" w:rsidRPr="00542B54" w:rsidRDefault="003957AD" w:rsidP="003957AD">
      <w:r w:rsidRPr="00542B54">
        <w:t xml:space="preserve">In Victoria, schools carry the principal responsibility for maintaining the engagement of their students, and are the primary vehicle to cater for young people who are at risk of disengaging. The Youth Connections program, delivered across 31 regions, is therefore focused on young people aged 13 to 19 who have been continuously disconnected from school/education for longer than three months, or those whose attendance record at school/education is poor. </w:t>
      </w:r>
    </w:p>
    <w:p w14:paraId="79095B75" w14:textId="77777777" w:rsidR="003957AD" w:rsidRPr="00542B54" w:rsidRDefault="003957AD" w:rsidP="003957AD"/>
    <w:p w14:paraId="518C9CCC" w14:textId="0CCFE6D9" w:rsidR="003957AD" w:rsidRPr="00546F15" w:rsidRDefault="003957AD" w:rsidP="003957AD">
      <w:r w:rsidRPr="00542B54">
        <w:t xml:space="preserve">Youth Connections providers are also responsible for conducting the Victorian Government </w:t>
      </w:r>
      <w:proofErr w:type="gramStart"/>
      <w:r w:rsidRPr="00542B54">
        <w:rPr>
          <w:i/>
        </w:rPr>
        <w:t>On</w:t>
      </w:r>
      <w:proofErr w:type="gramEnd"/>
      <w:r w:rsidRPr="00542B54">
        <w:rPr>
          <w:i/>
        </w:rPr>
        <w:t xml:space="preserve"> Track</w:t>
      </w:r>
      <w:r w:rsidRPr="00542B54">
        <w:t xml:space="preserve"> Connect program. As part of the </w:t>
      </w:r>
      <w:r w:rsidRPr="00542B54">
        <w:rPr>
          <w:i/>
        </w:rPr>
        <w:t>On Track</w:t>
      </w:r>
      <w:r w:rsidRPr="00542B54">
        <w:t xml:space="preserve"> annual destinations survey, the program aims to assist young people who have left school and are not studying or in full time work, by connecting the</w:t>
      </w:r>
      <w:r w:rsidR="00546F15">
        <w:t xml:space="preserve">m with an appropriate pathway. </w:t>
      </w:r>
    </w:p>
    <w:p w14:paraId="1A680CB6" w14:textId="77777777" w:rsidR="003957AD" w:rsidRPr="00172D61" w:rsidRDefault="003957AD" w:rsidP="00837063">
      <w:pPr>
        <w:pStyle w:val="Heading3"/>
      </w:pPr>
      <w:r w:rsidRPr="00172D61">
        <w:t xml:space="preserve">Program Status </w:t>
      </w:r>
    </w:p>
    <w:p w14:paraId="24BC6A5A" w14:textId="77777777" w:rsidR="003957AD" w:rsidRPr="00172D61" w:rsidRDefault="003957AD" w:rsidP="003957AD">
      <w:r>
        <w:t>In the first three years of operation</w:t>
      </w:r>
      <w:r w:rsidRPr="00172D61">
        <w:t xml:space="preserve"> in Victoria, Youth Connections provided Ind</w:t>
      </w:r>
      <w:r>
        <w:t>ividual Support Services to 13,068</w:t>
      </w:r>
      <w:r w:rsidRPr="00172D61">
        <w:t xml:space="preserve"> young people. Of these, </w:t>
      </w:r>
      <w:r>
        <w:t>7,983</w:t>
      </w:r>
      <w:r w:rsidRPr="00172D61">
        <w:t xml:space="preserve"> (6</w:t>
      </w:r>
      <w:r>
        <w:t>0</w:t>
      </w:r>
      <w:r w:rsidRPr="00172D61">
        <w:t>%) young people achieved an outcome which represents re-engagement or a sustained improvement in a young person’s engagement with education, training or employment</w:t>
      </w:r>
      <w:r w:rsidRPr="006D00CB">
        <w:t xml:space="preserve">. A further </w:t>
      </w:r>
      <w:r>
        <w:t>2098</w:t>
      </w:r>
      <w:r w:rsidRPr="006D00CB">
        <w:t xml:space="preserve"> (</w:t>
      </w:r>
      <w:r>
        <w:t>16</w:t>
      </w:r>
      <w:r w:rsidRPr="006D00CB">
        <w:t>%) were assessed as making significant progress in addressing their barriers to full engagement in education</w:t>
      </w:r>
      <w:r>
        <w:t>.</w:t>
      </w:r>
      <w:r w:rsidRPr="00172D61">
        <w:t xml:space="preserve"> </w:t>
      </w:r>
      <w:r>
        <w:t>I</w:t>
      </w:r>
      <w:r w:rsidRPr="00172D61">
        <w:t xml:space="preserve">n addition, </w:t>
      </w:r>
      <w:r>
        <w:t>2,327</w:t>
      </w:r>
      <w:r w:rsidRPr="00172D61">
        <w:t xml:space="preserve"> Outreach and Re-engagement activities were held to find and connect with severely disconnected young people, with providers linking with </w:t>
      </w:r>
      <w:r>
        <w:t>45,959</w:t>
      </w:r>
      <w:r w:rsidRPr="00172D61">
        <w:t xml:space="preserve"> young people through these activities, and of the</w:t>
      </w:r>
      <w:r>
        <w:t>se 328 enrolled in the program.</w:t>
      </w:r>
      <w:r w:rsidRPr="00172D61">
        <w:t xml:space="preserve"> In this period, providers undertook a range of initiatives to strengthen services in the region, with </w:t>
      </w:r>
      <w:r>
        <w:t>1,804</w:t>
      </w:r>
      <w:r w:rsidRPr="00172D61">
        <w:t xml:space="preserve"> engagements being held.</w:t>
      </w:r>
    </w:p>
    <w:p w14:paraId="6B48B611" w14:textId="77777777" w:rsidR="003957AD" w:rsidRPr="00172D61" w:rsidRDefault="003957AD" w:rsidP="003957AD">
      <w:pPr>
        <w:rPr>
          <w:rFonts w:cs="Calibri"/>
          <w:b/>
        </w:rPr>
      </w:pPr>
    </w:p>
    <w:p w14:paraId="5F7D8CEE" w14:textId="0681267D" w:rsidR="003957AD" w:rsidRPr="00172D61" w:rsidRDefault="003957AD" w:rsidP="003957AD">
      <w:pPr>
        <w:rPr>
          <w:rFonts w:cstheme="minorHAnsi"/>
        </w:rPr>
      </w:pPr>
      <w:r w:rsidRPr="00172D61">
        <w:rPr>
          <w:rFonts w:cstheme="minorHAnsi"/>
        </w:rPr>
        <w:t xml:space="preserve">In Victoria </w:t>
      </w:r>
      <w:r>
        <w:rPr>
          <w:rFonts w:cstheme="minorHAnsi"/>
        </w:rPr>
        <w:t xml:space="preserve">745 </w:t>
      </w:r>
      <w:r w:rsidRPr="00172D61">
        <w:rPr>
          <w:rFonts w:cstheme="minorHAnsi"/>
        </w:rPr>
        <w:t xml:space="preserve">(6%) of young people in the program were identified as Indigenous Australians.  </w:t>
      </w:r>
      <w:r>
        <w:rPr>
          <w:rFonts w:cstheme="minorHAnsi"/>
        </w:rPr>
        <w:t>368</w:t>
      </w:r>
      <w:r w:rsidRPr="00172D61">
        <w:rPr>
          <w:rFonts w:cstheme="minorHAnsi"/>
        </w:rPr>
        <w:t xml:space="preserve"> (</w:t>
      </w:r>
      <w:r>
        <w:rPr>
          <w:rFonts w:cstheme="minorHAnsi"/>
        </w:rPr>
        <w:t>49</w:t>
      </w:r>
      <w:r w:rsidRPr="00172D61">
        <w:rPr>
          <w:rFonts w:cstheme="minorHAnsi"/>
        </w:rPr>
        <w:t>%) Ind</w:t>
      </w:r>
      <w:r>
        <w:rPr>
          <w:rFonts w:cstheme="minorHAnsi"/>
        </w:rPr>
        <w:t>igenous young people achieved a final</w:t>
      </w:r>
      <w:r w:rsidRPr="00172D61">
        <w:rPr>
          <w:rFonts w:cstheme="minorHAnsi"/>
        </w:rPr>
        <w:t xml:space="preserve"> outcome.</w:t>
      </w:r>
    </w:p>
    <w:p w14:paraId="6E946FBC" w14:textId="77777777" w:rsidR="003957AD" w:rsidRPr="00172D61" w:rsidRDefault="003957AD" w:rsidP="003957AD">
      <w:pPr>
        <w:rPr>
          <w:rFonts w:cstheme="minorHAnsi"/>
        </w:rPr>
      </w:pPr>
    </w:p>
    <w:p w14:paraId="4A8937CF" w14:textId="54BD6EF1" w:rsidR="003957AD" w:rsidRPr="00546F15" w:rsidRDefault="003957AD" w:rsidP="003957AD">
      <w:pPr>
        <w:rPr>
          <w:rFonts w:cstheme="minorHAnsi"/>
        </w:rPr>
      </w:pPr>
      <w:r w:rsidRPr="00172D61">
        <w:rPr>
          <w:rFonts w:cstheme="minorHAnsi"/>
        </w:rPr>
        <w:t xml:space="preserve">Youth Connections providers in Victoria </w:t>
      </w:r>
      <w:r>
        <w:rPr>
          <w:rFonts w:cstheme="minorHAnsi"/>
        </w:rPr>
        <w:t xml:space="preserve">also </w:t>
      </w:r>
      <w:r w:rsidRPr="00172D61">
        <w:rPr>
          <w:rFonts w:cstheme="minorHAnsi"/>
        </w:rPr>
        <w:t xml:space="preserve">assisted </w:t>
      </w:r>
      <w:r>
        <w:rPr>
          <w:rFonts w:cstheme="minorHAnsi"/>
        </w:rPr>
        <w:t>382</w:t>
      </w:r>
      <w:r w:rsidRPr="00172D61">
        <w:rPr>
          <w:rFonts w:cstheme="minorHAnsi"/>
        </w:rPr>
        <w:t xml:space="preserve"> Humanitarian Refugee young people</w:t>
      </w:r>
      <w:r>
        <w:rPr>
          <w:rFonts w:cstheme="minorHAnsi"/>
        </w:rPr>
        <w:t xml:space="preserve"> that represented 3 per cent of the total caseload</w:t>
      </w:r>
      <w:r w:rsidRPr="00172D61">
        <w:rPr>
          <w:rFonts w:cstheme="minorHAnsi"/>
        </w:rPr>
        <w:t xml:space="preserve">.  </w:t>
      </w:r>
      <w:r>
        <w:rPr>
          <w:rFonts w:cstheme="minorHAnsi"/>
        </w:rPr>
        <w:t>257</w:t>
      </w:r>
      <w:r w:rsidRPr="00172D61">
        <w:rPr>
          <w:rFonts w:cstheme="minorHAnsi"/>
        </w:rPr>
        <w:t xml:space="preserve"> (</w:t>
      </w:r>
      <w:r>
        <w:rPr>
          <w:rFonts w:cstheme="minorHAnsi"/>
        </w:rPr>
        <w:t>67</w:t>
      </w:r>
      <w:r w:rsidRPr="00172D61">
        <w:rPr>
          <w:rFonts w:cstheme="minorHAnsi"/>
        </w:rPr>
        <w:t xml:space="preserve">%) Humanitarian </w:t>
      </w:r>
      <w:r>
        <w:rPr>
          <w:rFonts w:cstheme="minorHAnsi"/>
        </w:rPr>
        <w:t>Refugee young people achieved a final</w:t>
      </w:r>
      <w:r w:rsidRPr="00172D61">
        <w:rPr>
          <w:rFonts w:cstheme="minorHAnsi"/>
        </w:rPr>
        <w:t xml:space="preserve"> o</w:t>
      </w:r>
      <w:r w:rsidR="00546F15">
        <w:rPr>
          <w:rFonts w:cstheme="minorHAnsi"/>
        </w:rPr>
        <w:t>utcome.</w:t>
      </w:r>
    </w:p>
    <w:p w14:paraId="0D2ECEE1" w14:textId="77777777" w:rsidR="003957AD" w:rsidRPr="00542B54" w:rsidRDefault="003957AD" w:rsidP="00837063">
      <w:pPr>
        <w:pStyle w:val="Heading3"/>
      </w:pPr>
      <w:r w:rsidRPr="00542B54">
        <w:t xml:space="preserve">Challenges </w:t>
      </w:r>
    </w:p>
    <w:p w14:paraId="57C33693" w14:textId="77777777" w:rsidR="003957AD" w:rsidRPr="00232F25" w:rsidRDefault="003957AD" w:rsidP="003957AD">
      <w:r w:rsidRPr="00232F25">
        <w:t>Over the past 2 years, Y</w:t>
      </w:r>
      <w:r>
        <w:t xml:space="preserve">outh </w:t>
      </w:r>
      <w:r w:rsidRPr="00232F25">
        <w:t>C</w:t>
      </w:r>
      <w:r>
        <w:t>onnection</w:t>
      </w:r>
      <w:r w:rsidRPr="00232F25">
        <w:t xml:space="preserve"> providers have consolidated their service models and strengthened referrals processes with key agencies in their regions. The majority of Y</w:t>
      </w:r>
      <w:r>
        <w:t xml:space="preserve">outh </w:t>
      </w:r>
      <w:r w:rsidRPr="00232F25">
        <w:t>C</w:t>
      </w:r>
      <w:r>
        <w:t>onnections</w:t>
      </w:r>
      <w:r w:rsidRPr="00232F25">
        <w:t xml:space="preserve"> providers are tracking very well in terms of their Individual support services. Y</w:t>
      </w:r>
      <w:r>
        <w:t xml:space="preserve">outh </w:t>
      </w:r>
      <w:r w:rsidRPr="00232F25">
        <w:t>C</w:t>
      </w:r>
      <w:r>
        <w:t>onnections</w:t>
      </w:r>
      <w:r w:rsidRPr="00232F25">
        <w:t xml:space="preserve"> data reflects that</w:t>
      </w:r>
      <w:r>
        <w:t xml:space="preserve"> approximately</w:t>
      </w:r>
      <w:r w:rsidRPr="00232F25">
        <w:t xml:space="preserve"> half of those participants have barriers associated with literacy </w:t>
      </w:r>
      <w:r>
        <w:t>and numeracy, low self- esteem and</w:t>
      </w:r>
      <w:r w:rsidRPr="00232F25">
        <w:t xml:space="preserve"> behaviour</w:t>
      </w:r>
      <w:r>
        <w:t>al problems.</w:t>
      </w:r>
      <w:r w:rsidRPr="00232F25">
        <w:t xml:space="preserve"> The increase in complex barriers faced by young people and subsequent higher referrals has presented new challenges in relation to Y</w:t>
      </w:r>
      <w:r>
        <w:t xml:space="preserve">outh </w:t>
      </w:r>
      <w:r w:rsidRPr="00232F25">
        <w:t>C</w:t>
      </w:r>
      <w:r>
        <w:t>onnections</w:t>
      </w:r>
      <w:r w:rsidRPr="00232F25">
        <w:t xml:space="preserve"> providers’ ability to manage corresponding waiting lists and unmet demand. In Victoria, Y</w:t>
      </w:r>
      <w:r>
        <w:t xml:space="preserve">outh </w:t>
      </w:r>
      <w:r w:rsidRPr="00232F25">
        <w:t>C</w:t>
      </w:r>
      <w:r>
        <w:t>onnections</w:t>
      </w:r>
      <w:r w:rsidRPr="00232F25">
        <w:t xml:space="preserve"> data on unmet demand reflects that 1,147 young people were eligible for Y</w:t>
      </w:r>
      <w:r>
        <w:t xml:space="preserve">outh </w:t>
      </w:r>
      <w:r w:rsidRPr="00232F25">
        <w:t>C</w:t>
      </w:r>
      <w:r>
        <w:t>onnections</w:t>
      </w:r>
      <w:r w:rsidRPr="00232F25">
        <w:t xml:space="preserve"> who were not enrolled due to the relevant service being at maximum capacity.</w:t>
      </w:r>
    </w:p>
    <w:p w14:paraId="77117F03" w14:textId="77777777" w:rsidR="003957AD" w:rsidRDefault="003957AD" w:rsidP="003957AD">
      <w:pPr>
        <w:autoSpaceDE w:val="0"/>
        <w:autoSpaceDN w:val="0"/>
        <w:adjustRightInd w:val="0"/>
        <w:rPr>
          <w:rFonts w:cstheme="minorHAnsi"/>
        </w:rPr>
      </w:pPr>
      <w:r>
        <w:rPr>
          <w:rFonts w:cstheme="minorHAnsi"/>
        </w:rPr>
        <w:t xml:space="preserve"> </w:t>
      </w:r>
    </w:p>
    <w:p w14:paraId="75429F95" w14:textId="77777777" w:rsidR="003957AD" w:rsidRDefault="003957AD" w:rsidP="003957AD">
      <w:r w:rsidRPr="00232F25">
        <w:t xml:space="preserve">Although providers are performing well across the board in relation to individual case management, there is still room for improvement in relation to outreach and re-engagement and strengthening services activities. Outreach services and re-engagement activities are youth focused activities that need to be proactive, with </w:t>
      </w:r>
      <w:r w:rsidRPr="00232F25">
        <w:lastRenderedPageBreak/>
        <w:t>the aim of connecting severely disengaged young people with the individual support services offered by Y</w:t>
      </w:r>
      <w:r>
        <w:t xml:space="preserve">outh </w:t>
      </w:r>
      <w:r w:rsidRPr="00232F25">
        <w:t>C</w:t>
      </w:r>
      <w:r>
        <w:t>onnections</w:t>
      </w:r>
      <w:r w:rsidRPr="00232F25">
        <w:t>. A balance between both types of activities needs to be struck that reflects the needs of the region.</w:t>
      </w:r>
    </w:p>
    <w:p w14:paraId="17F0FCF6" w14:textId="77777777" w:rsidR="003957AD" w:rsidRPr="00232F25" w:rsidRDefault="003957AD" w:rsidP="003957AD"/>
    <w:p w14:paraId="13251727" w14:textId="77777777" w:rsidR="003957AD" w:rsidRDefault="003957AD" w:rsidP="003957AD">
      <w:r>
        <w:t>The</w:t>
      </w:r>
      <w:r w:rsidRPr="00232F25">
        <w:t xml:space="preserve"> focus </w:t>
      </w:r>
      <w:r>
        <w:t>in 2012</w:t>
      </w:r>
      <w:r w:rsidRPr="00232F25">
        <w:t xml:space="preserve"> was to monitor and assess the provision of outreach and re-engagement activities delivered by all Y</w:t>
      </w:r>
      <w:r>
        <w:t xml:space="preserve">outh </w:t>
      </w:r>
      <w:r w:rsidRPr="00232F25">
        <w:t>C</w:t>
      </w:r>
      <w:r>
        <w:t>onnections</w:t>
      </w:r>
      <w:r w:rsidRPr="00232F25">
        <w:t xml:space="preserve"> providers. Overall</w:t>
      </w:r>
      <w:r>
        <w:t>,</w:t>
      </w:r>
      <w:r w:rsidRPr="00232F25">
        <w:t xml:space="preserve"> providers ran activities that reflected the needs of young people in the region. Some providers were running some of these activities in schools or blended these with re-engagement activities in some regions. Providers will need to re-focus their outreach activities to target severely disengaged young people in 2013.</w:t>
      </w:r>
    </w:p>
    <w:p w14:paraId="10F5E5F9" w14:textId="77777777" w:rsidR="003957AD" w:rsidRPr="00232F25" w:rsidRDefault="003957AD" w:rsidP="003957AD"/>
    <w:p w14:paraId="44843AC7" w14:textId="77777777" w:rsidR="003957AD" w:rsidRDefault="003957AD" w:rsidP="003957AD">
      <w:r w:rsidRPr="00232F25">
        <w:t>DEEWR recognises that outreach and re-engagement activities assist with keeping young people engaged in an activity whilst ultimately waiting for an education or training placement, strategies need to be examined between Y</w:t>
      </w:r>
      <w:r>
        <w:t xml:space="preserve">outh </w:t>
      </w:r>
      <w:r w:rsidRPr="00232F25">
        <w:t>C</w:t>
      </w:r>
      <w:r>
        <w:t>onnections</w:t>
      </w:r>
      <w:r w:rsidRPr="00232F25">
        <w:t xml:space="preserve"> providers to encourage an increase of referrals to the program. </w:t>
      </w:r>
    </w:p>
    <w:p w14:paraId="1FCFBC69" w14:textId="77777777" w:rsidR="003957AD" w:rsidRPr="00232F25" w:rsidRDefault="003957AD" w:rsidP="003957AD"/>
    <w:p w14:paraId="7F7BD2FF" w14:textId="376F7A74" w:rsidR="003957AD" w:rsidRDefault="003957AD" w:rsidP="003957AD">
      <w:r w:rsidRPr="00232F25">
        <w:t>Similarly, in some regions, strengthening services activities will need to be re-targeted to ensure that they are being delivered in line with the objectives of the Y</w:t>
      </w:r>
      <w:r>
        <w:t xml:space="preserve">outh </w:t>
      </w:r>
      <w:r w:rsidRPr="00232F25">
        <w:t>C</w:t>
      </w:r>
      <w:r>
        <w:t>onnections</w:t>
      </w:r>
      <w:r w:rsidRPr="00232F25">
        <w:t xml:space="preserve"> program. Strengthening services should encompass Y</w:t>
      </w:r>
      <w:r>
        <w:t xml:space="preserve">outh </w:t>
      </w:r>
      <w:r w:rsidRPr="00232F25">
        <w:t>C</w:t>
      </w:r>
      <w:r>
        <w:t>onnections</w:t>
      </w:r>
      <w:r w:rsidRPr="00232F25">
        <w:t xml:space="preserve"> providers assisting with the development, as well as participating in, a regional approach for working with at risk young people. Y</w:t>
      </w:r>
      <w:r>
        <w:t xml:space="preserve">outh </w:t>
      </w:r>
      <w:r w:rsidRPr="00232F25">
        <w:t>C</w:t>
      </w:r>
      <w:r>
        <w:t>onnections</w:t>
      </w:r>
      <w:r w:rsidRPr="00232F25">
        <w:t xml:space="preserve"> providers must build strong collaborative relationships with other providers of services to “at risk young people”, such as Government providers and LLEN/Partnership Brokers.</w:t>
      </w:r>
    </w:p>
    <w:p w14:paraId="4C5A6C15" w14:textId="77777777" w:rsidR="003957AD" w:rsidRPr="00232F25" w:rsidRDefault="003957AD" w:rsidP="003957AD"/>
    <w:p w14:paraId="43F14D9A" w14:textId="77777777" w:rsidR="003957AD" w:rsidRPr="00232F25" w:rsidRDefault="003957AD" w:rsidP="003957AD">
      <w:r w:rsidRPr="00232F25">
        <w:t>Whilst 2012 saw an increase in Y</w:t>
      </w:r>
      <w:r>
        <w:t xml:space="preserve">outh </w:t>
      </w:r>
      <w:r w:rsidRPr="00232F25">
        <w:t>C</w:t>
      </w:r>
      <w:r>
        <w:t>onnections</w:t>
      </w:r>
      <w:r w:rsidRPr="00232F25">
        <w:t xml:space="preserve"> collaborative work being undertaken with </w:t>
      </w:r>
      <w:r>
        <w:t>the LLEN network</w:t>
      </w:r>
      <w:r w:rsidRPr="00232F25">
        <w:t xml:space="preserve">, further work </w:t>
      </w:r>
      <w:r>
        <w:t>needs to</w:t>
      </w:r>
      <w:r w:rsidRPr="00232F25">
        <w:t xml:space="preserve"> be undertaken to strengthen the relation</w:t>
      </w:r>
      <w:r>
        <w:t xml:space="preserve">ship between the two programs. </w:t>
      </w:r>
    </w:p>
    <w:p w14:paraId="1B3ADCF9" w14:textId="77777777" w:rsidR="003957AD" w:rsidRDefault="003957AD" w:rsidP="003957AD">
      <w:r>
        <w:br w:type="page"/>
      </w:r>
    </w:p>
    <w:p w14:paraId="3C3BEFA2" w14:textId="77777777" w:rsidR="003957AD" w:rsidRDefault="003957AD" w:rsidP="00546F15">
      <w:pPr>
        <w:pStyle w:val="Heading2"/>
      </w:pPr>
      <w:bookmarkStart w:id="37" w:name="_Toc384042867"/>
      <w:r>
        <w:lastRenderedPageBreak/>
        <w:t>Youth Connections program data</w:t>
      </w:r>
      <w:bookmarkEnd w:id="37"/>
    </w:p>
    <w:p w14:paraId="563EBAF6" w14:textId="77777777" w:rsidR="003957AD" w:rsidRPr="009863DD" w:rsidRDefault="003957AD" w:rsidP="003957AD">
      <w:pPr>
        <w:rPr>
          <w:u w:val="single"/>
        </w:rPr>
      </w:pPr>
      <w:r w:rsidRPr="009863DD">
        <w:rPr>
          <w:u w:val="single"/>
        </w:rPr>
        <w:t>Connection Level definitions</w:t>
      </w:r>
    </w:p>
    <w:p w14:paraId="3F976275" w14:textId="77777777" w:rsidR="003957AD" w:rsidRDefault="003957AD" w:rsidP="003957AD">
      <w:pPr>
        <w:pStyle w:val="ListParagraph"/>
        <w:numPr>
          <w:ilvl w:val="0"/>
          <w:numId w:val="35"/>
        </w:numPr>
        <w:spacing w:after="200"/>
      </w:pPr>
      <w:r>
        <w:t>Connection Level 1: young people who are attached to/attending school/education on a regular basis but who are the most at risk of disengaging from learning and/or disconnecting from school/education</w:t>
      </w:r>
    </w:p>
    <w:p w14:paraId="2DA8FC58" w14:textId="77777777" w:rsidR="003957AD" w:rsidRDefault="003957AD" w:rsidP="003957AD">
      <w:pPr>
        <w:pStyle w:val="ListParagraph"/>
        <w:numPr>
          <w:ilvl w:val="0"/>
          <w:numId w:val="35"/>
        </w:numPr>
        <w:spacing w:after="200"/>
      </w:pPr>
      <w:r>
        <w:t xml:space="preserve">Connection Level </w:t>
      </w:r>
      <w:proofErr w:type="spellStart"/>
      <w:r>
        <w:t>2a</w:t>
      </w:r>
      <w:proofErr w:type="spellEnd"/>
      <w:r>
        <w:t>: young people whose attendance record at school/education is poor</w:t>
      </w:r>
    </w:p>
    <w:p w14:paraId="46E58DA4" w14:textId="77777777" w:rsidR="003957AD" w:rsidRDefault="003957AD" w:rsidP="003957AD">
      <w:pPr>
        <w:pStyle w:val="ListParagraph"/>
        <w:numPr>
          <w:ilvl w:val="0"/>
          <w:numId w:val="35"/>
        </w:numPr>
        <w:spacing w:after="200"/>
      </w:pPr>
      <w:r>
        <w:t xml:space="preserve">Connection Level </w:t>
      </w:r>
      <w:proofErr w:type="spellStart"/>
      <w:r>
        <w:t>2b</w:t>
      </w:r>
      <w:proofErr w:type="spellEnd"/>
      <w:r>
        <w:t>: young people who have been continuously disconnected from school/education for longer than three months</w:t>
      </w:r>
    </w:p>
    <w:p w14:paraId="5C26E951" w14:textId="77777777" w:rsidR="003957AD" w:rsidRPr="0047025E" w:rsidRDefault="003957AD" w:rsidP="00837063">
      <w:pPr>
        <w:pStyle w:val="Heading4"/>
        <w:rPr>
          <w:rFonts w:eastAsia="Times New Roman"/>
        </w:rPr>
      </w:pPr>
      <w:r w:rsidRPr="0047025E">
        <w:rPr>
          <w:rFonts w:eastAsia="Times New Roman"/>
        </w:rPr>
        <w:t>Table 1: Participant Status</w:t>
      </w:r>
    </w:p>
    <w:tbl>
      <w:tblPr>
        <w:tblW w:w="7880" w:type="dxa"/>
        <w:tblInd w:w="89" w:type="dxa"/>
        <w:tblLook w:val="04A0" w:firstRow="1" w:lastRow="0" w:firstColumn="1" w:lastColumn="0" w:noHBand="0" w:noVBand="1"/>
      </w:tblPr>
      <w:tblGrid>
        <w:gridCol w:w="5264"/>
        <w:gridCol w:w="1276"/>
        <w:gridCol w:w="1340"/>
      </w:tblGrid>
      <w:tr w:rsidR="003957AD" w:rsidRPr="009863DD" w14:paraId="02AC08A1" w14:textId="77777777" w:rsidTr="00DE0473">
        <w:trPr>
          <w:trHeight w:val="300"/>
          <w:tblHeader/>
        </w:trPr>
        <w:tc>
          <w:tcPr>
            <w:tcW w:w="52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bottom"/>
            <w:hideMark/>
          </w:tcPr>
          <w:p w14:paraId="5BD1BA8A" w14:textId="77777777" w:rsidR="003957AD" w:rsidRPr="009863DD" w:rsidRDefault="003957AD" w:rsidP="00DE0473">
            <w:pPr>
              <w:rPr>
                <w:rFonts w:cs="Calibri"/>
                <w:b/>
                <w:color w:val="000000"/>
              </w:rPr>
            </w:pPr>
            <w:r w:rsidRPr="009863DD">
              <w:rPr>
                <w:rFonts w:cs="Calibri"/>
                <w:b/>
                <w:color w:val="000000"/>
              </w:rPr>
              <w:t> </w:t>
            </w:r>
            <w:r>
              <w:rPr>
                <w:rFonts w:cs="Calibri"/>
                <w:b/>
                <w:color w:val="000000"/>
              </w:rPr>
              <w:t>Participant Status</w:t>
            </w:r>
          </w:p>
        </w:tc>
        <w:tc>
          <w:tcPr>
            <w:tcW w:w="1276" w:type="dxa"/>
            <w:tcBorders>
              <w:top w:val="single" w:sz="4" w:space="0" w:color="auto"/>
              <w:left w:val="nil"/>
              <w:bottom w:val="single" w:sz="4" w:space="0" w:color="auto"/>
              <w:right w:val="single" w:sz="4" w:space="0" w:color="auto"/>
            </w:tcBorders>
            <w:shd w:val="clear" w:color="auto" w:fill="DBE5F1" w:themeFill="accent1" w:themeFillTint="33"/>
            <w:noWrap/>
            <w:vAlign w:val="bottom"/>
            <w:hideMark/>
          </w:tcPr>
          <w:p w14:paraId="17EE327A" w14:textId="77777777" w:rsidR="003957AD" w:rsidRPr="009863DD" w:rsidRDefault="003957AD" w:rsidP="00DE0473">
            <w:pPr>
              <w:jc w:val="center"/>
              <w:rPr>
                <w:rFonts w:cs="Calibri"/>
                <w:b/>
                <w:bCs/>
                <w:color w:val="000000"/>
              </w:rPr>
            </w:pPr>
            <w:r>
              <w:rPr>
                <w:rFonts w:cs="Calibri"/>
                <w:b/>
                <w:bCs/>
                <w:color w:val="000000"/>
              </w:rPr>
              <w:t>VIC</w:t>
            </w:r>
          </w:p>
        </w:tc>
        <w:tc>
          <w:tcPr>
            <w:tcW w:w="1340" w:type="dxa"/>
            <w:tcBorders>
              <w:top w:val="single" w:sz="4" w:space="0" w:color="auto"/>
              <w:left w:val="nil"/>
              <w:bottom w:val="single" w:sz="4" w:space="0" w:color="auto"/>
              <w:right w:val="single" w:sz="4" w:space="0" w:color="auto"/>
            </w:tcBorders>
            <w:shd w:val="clear" w:color="auto" w:fill="DBE5F1" w:themeFill="accent1" w:themeFillTint="33"/>
            <w:noWrap/>
            <w:vAlign w:val="bottom"/>
            <w:hideMark/>
          </w:tcPr>
          <w:p w14:paraId="28132CD7" w14:textId="77777777" w:rsidR="003957AD" w:rsidRPr="009863DD" w:rsidRDefault="003957AD" w:rsidP="00DE0473">
            <w:pPr>
              <w:jc w:val="center"/>
              <w:rPr>
                <w:rFonts w:cs="Calibri"/>
                <w:b/>
                <w:color w:val="000000"/>
              </w:rPr>
            </w:pPr>
            <w:r w:rsidRPr="009863DD">
              <w:rPr>
                <w:rFonts w:cs="Calibri"/>
                <w:b/>
                <w:color w:val="000000"/>
              </w:rPr>
              <w:t>National</w:t>
            </w:r>
          </w:p>
        </w:tc>
      </w:tr>
      <w:tr w:rsidR="003957AD" w:rsidRPr="009863DD" w14:paraId="1C7ECC5F" w14:textId="77777777" w:rsidTr="00DE0473">
        <w:trPr>
          <w:trHeight w:val="368"/>
        </w:trPr>
        <w:tc>
          <w:tcPr>
            <w:tcW w:w="5264" w:type="dxa"/>
            <w:tcBorders>
              <w:top w:val="nil"/>
              <w:left w:val="single" w:sz="4" w:space="0" w:color="auto"/>
              <w:bottom w:val="single" w:sz="4" w:space="0" w:color="auto"/>
              <w:right w:val="single" w:sz="4" w:space="0" w:color="auto"/>
            </w:tcBorders>
            <w:shd w:val="clear" w:color="auto" w:fill="auto"/>
            <w:vAlign w:val="bottom"/>
            <w:hideMark/>
          </w:tcPr>
          <w:p w14:paraId="1CD3B7C5" w14:textId="77777777" w:rsidR="003957AD" w:rsidRPr="009863DD" w:rsidRDefault="003957AD" w:rsidP="00DE0473">
            <w:pPr>
              <w:rPr>
                <w:rFonts w:cs="Calibri"/>
                <w:color w:val="000000"/>
              </w:rPr>
            </w:pPr>
            <w:r w:rsidRPr="009863DD">
              <w:rPr>
                <w:rFonts w:cs="Calibri"/>
                <w:color w:val="000000"/>
              </w:rPr>
              <w:t xml:space="preserve">Receiving Individual Support Services </w:t>
            </w:r>
          </w:p>
        </w:tc>
        <w:tc>
          <w:tcPr>
            <w:tcW w:w="1276" w:type="dxa"/>
            <w:tcBorders>
              <w:top w:val="nil"/>
              <w:left w:val="nil"/>
              <w:bottom w:val="single" w:sz="4" w:space="0" w:color="auto"/>
              <w:right w:val="single" w:sz="4" w:space="0" w:color="auto"/>
            </w:tcBorders>
            <w:shd w:val="clear" w:color="auto" w:fill="auto"/>
            <w:noWrap/>
            <w:vAlign w:val="bottom"/>
            <w:hideMark/>
          </w:tcPr>
          <w:p w14:paraId="013DCBA7" w14:textId="77777777" w:rsidR="003957AD" w:rsidRDefault="003957AD" w:rsidP="00DE0473">
            <w:pPr>
              <w:jc w:val="right"/>
              <w:rPr>
                <w:rFonts w:cs="Calibri"/>
                <w:color w:val="000000"/>
              </w:rPr>
            </w:pPr>
            <w:r>
              <w:rPr>
                <w:rFonts w:cs="Calibri"/>
                <w:color w:val="000000"/>
              </w:rPr>
              <w:t>1634</w:t>
            </w:r>
          </w:p>
        </w:tc>
        <w:tc>
          <w:tcPr>
            <w:tcW w:w="1340" w:type="dxa"/>
            <w:tcBorders>
              <w:top w:val="nil"/>
              <w:left w:val="nil"/>
              <w:bottom w:val="single" w:sz="4" w:space="0" w:color="auto"/>
              <w:right w:val="single" w:sz="4" w:space="0" w:color="auto"/>
            </w:tcBorders>
            <w:shd w:val="clear" w:color="auto" w:fill="auto"/>
            <w:noWrap/>
            <w:vAlign w:val="bottom"/>
            <w:hideMark/>
          </w:tcPr>
          <w:p w14:paraId="3ABA69EF" w14:textId="77777777" w:rsidR="003957AD" w:rsidRDefault="003957AD" w:rsidP="00DE0473">
            <w:pPr>
              <w:jc w:val="right"/>
              <w:rPr>
                <w:rFonts w:cs="Calibri"/>
                <w:color w:val="000000"/>
              </w:rPr>
            </w:pPr>
            <w:r>
              <w:rPr>
                <w:rFonts w:cs="Calibri"/>
                <w:color w:val="000000"/>
              </w:rPr>
              <w:t>6217</w:t>
            </w:r>
          </w:p>
        </w:tc>
      </w:tr>
      <w:tr w:rsidR="003957AD" w:rsidRPr="009863DD" w14:paraId="78A02945" w14:textId="77777777" w:rsidTr="00DE0473">
        <w:trPr>
          <w:trHeight w:val="600"/>
        </w:trPr>
        <w:tc>
          <w:tcPr>
            <w:tcW w:w="5264" w:type="dxa"/>
            <w:tcBorders>
              <w:top w:val="nil"/>
              <w:left w:val="single" w:sz="4" w:space="0" w:color="auto"/>
              <w:bottom w:val="single" w:sz="4" w:space="0" w:color="auto"/>
              <w:right w:val="single" w:sz="4" w:space="0" w:color="auto"/>
            </w:tcBorders>
            <w:shd w:val="clear" w:color="auto" w:fill="auto"/>
            <w:vAlign w:val="bottom"/>
            <w:hideMark/>
          </w:tcPr>
          <w:p w14:paraId="47730F95" w14:textId="77777777" w:rsidR="003957AD" w:rsidRPr="009863DD" w:rsidRDefault="003957AD" w:rsidP="00DE0473">
            <w:pPr>
              <w:rPr>
                <w:rFonts w:cs="Calibri"/>
                <w:color w:val="000000"/>
              </w:rPr>
            </w:pPr>
            <w:r w:rsidRPr="009863DD">
              <w:rPr>
                <w:rFonts w:cs="Calibri"/>
                <w:color w:val="000000"/>
              </w:rPr>
              <w:t>Receiving Individual Support Services previously and exited</w:t>
            </w:r>
          </w:p>
        </w:tc>
        <w:tc>
          <w:tcPr>
            <w:tcW w:w="1276" w:type="dxa"/>
            <w:tcBorders>
              <w:top w:val="nil"/>
              <w:left w:val="nil"/>
              <w:bottom w:val="single" w:sz="4" w:space="0" w:color="auto"/>
              <w:right w:val="single" w:sz="4" w:space="0" w:color="auto"/>
            </w:tcBorders>
            <w:shd w:val="clear" w:color="auto" w:fill="auto"/>
            <w:noWrap/>
            <w:vAlign w:val="bottom"/>
            <w:hideMark/>
          </w:tcPr>
          <w:p w14:paraId="2429B460" w14:textId="77777777" w:rsidR="003957AD" w:rsidRDefault="003957AD" w:rsidP="00DE0473">
            <w:pPr>
              <w:jc w:val="right"/>
              <w:rPr>
                <w:rFonts w:cs="Calibri"/>
                <w:color w:val="000000"/>
              </w:rPr>
            </w:pPr>
            <w:r>
              <w:rPr>
                <w:rFonts w:cs="Calibri"/>
                <w:color w:val="000000"/>
              </w:rPr>
              <w:t>11,434</w:t>
            </w:r>
          </w:p>
        </w:tc>
        <w:tc>
          <w:tcPr>
            <w:tcW w:w="1340" w:type="dxa"/>
            <w:tcBorders>
              <w:top w:val="nil"/>
              <w:left w:val="nil"/>
              <w:bottom w:val="single" w:sz="4" w:space="0" w:color="auto"/>
              <w:right w:val="single" w:sz="4" w:space="0" w:color="auto"/>
            </w:tcBorders>
            <w:shd w:val="clear" w:color="auto" w:fill="auto"/>
            <w:noWrap/>
            <w:vAlign w:val="bottom"/>
            <w:hideMark/>
          </w:tcPr>
          <w:p w14:paraId="6EF99A45" w14:textId="77777777" w:rsidR="003957AD" w:rsidRDefault="003957AD" w:rsidP="00DE0473">
            <w:pPr>
              <w:jc w:val="right"/>
              <w:rPr>
                <w:rFonts w:cs="Calibri"/>
                <w:color w:val="000000"/>
              </w:rPr>
            </w:pPr>
            <w:r>
              <w:rPr>
                <w:rFonts w:cs="Calibri"/>
                <w:color w:val="000000"/>
              </w:rPr>
              <w:t>52,191</w:t>
            </w:r>
          </w:p>
        </w:tc>
      </w:tr>
      <w:tr w:rsidR="003957AD" w:rsidRPr="009863DD" w14:paraId="3BCA125C" w14:textId="77777777" w:rsidTr="00DE0473">
        <w:trPr>
          <w:trHeight w:val="600"/>
        </w:trPr>
        <w:tc>
          <w:tcPr>
            <w:tcW w:w="5264" w:type="dxa"/>
            <w:tcBorders>
              <w:top w:val="nil"/>
              <w:left w:val="single" w:sz="4" w:space="0" w:color="auto"/>
              <w:bottom w:val="single" w:sz="4" w:space="0" w:color="auto"/>
              <w:right w:val="single" w:sz="4" w:space="0" w:color="auto"/>
            </w:tcBorders>
            <w:shd w:val="clear" w:color="auto" w:fill="auto"/>
            <w:vAlign w:val="bottom"/>
            <w:hideMark/>
          </w:tcPr>
          <w:p w14:paraId="335C44F6" w14:textId="77777777" w:rsidR="003957AD" w:rsidRPr="009863DD" w:rsidRDefault="003957AD" w:rsidP="00DE0473">
            <w:pPr>
              <w:rPr>
                <w:rFonts w:cs="Calibri"/>
                <w:color w:val="000000"/>
              </w:rPr>
            </w:pPr>
            <w:r w:rsidRPr="009863DD">
              <w:rPr>
                <w:rFonts w:cs="Calibri"/>
                <w:color w:val="000000"/>
              </w:rPr>
              <w:t>Registered but not yet enrolled for Individual Support Services</w:t>
            </w:r>
          </w:p>
        </w:tc>
        <w:tc>
          <w:tcPr>
            <w:tcW w:w="1276" w:type="dxa"/>
            <w:tcBorders>
              <w:top w:val="nil"/>
              <w:left w:val="nil"/>
              <w:bottom w:val="single" w:sz="4" w:space="0" w:color="auto"/>
              <w:right w:val="single" w:sz="4" w:space="0" w:color="auto"/>
            </w:tcBorders>
            <w:shd w:val="clear" w:color="auto" w:fill="auto"/>
            <w:noWrap/>
            <w:vAlign w:val="bottom"/>
            <w:hideMark/>
          </w:tcPr>
          <w:p w14:paraId="75CE65CF" w14:textId="77777777" w:rsidR="003957AD" w:rsidRDefault="003957AD" w:rsidP="00DE0473">
            <w:pPr>
              <w:jc w:val="right"/>
              <w:rPr>
                <w:rFonts w:cs="Calibri"/>
                <w:color w:val="000000"/>
              </w:rPr>
            </w:pPr>
            <w:r>
              <w:rPr>
                <w:rFonts w:cs="Calibri"/>
                <w:color w:val="000000"/>
              </w:rPr>
              <w:t>1477</w:t>
            </w:r>
          </w:p>
        </w:tc>
        <w:tc>
          <w:tcPr>
            <w:tcW w:w="1340" w:type="dxa"/>
            <w:tcBorders>
              <w:top w:val="nil"/>
              <w:left w:val="nil"/>
              <w:bottom w:val="single" w:sz="4" w:space="0" w:color="auto"/>
              <w:right w:val="single" w:sz="4" w:space="0" w:color="auto"/>
            </w:tcBorders>
            <w:shd w:val="clear" w:color="auto" w:fill="auto"/>
            <w:noWrap/>
            <w:vAlign w:val="bottom"/>
            <w:hideMark/>
          </w:tcPr>
          <w:p w14:paraId="0A24AB3E" w14:textId="77777777" w:rsidR="003957AD" w:rsidRDefault="003957AD" w:rsidP="00DE0473">
            <w:pPr>
              <w:jc w:val="right"/>
              <w:rPr>
                <w:rFonts w:cs="Calibri"/>
                <w:color w:val="000000"/>
              </w:rPr>
            </w:pPr>
            <w:r>
              <w:rPr>
                <w:rFonts w:cs="Calibri"/>
                <w:color w:val="000000"/>
              </w:rPr>
              <w:t>3563</w:t>
            </w:r>
          </w:p>
        </w:tc>
      </w:tr>
      <w:tr w:rsidR="003957AD" w:rsidRPr="009863DD" w14:paraId="34C9854D" w14:textId="77777777" w:rsidTr="00DE0473">
        <w:trPr>
          <w:trHeight w:val="315"/>
        </w:trPr>
        <w:tc>
          <w:tcPr>
            <w:tcW w:w="5264" w:type="dxa"/>
            <w:tcBorders>
              <w:top w:val="nil"/>
              <w:left w:val="nil"/>
              <w:bottom w:val="double" w:sz="6" w:space="0" w:color="auto"/>
              <w:right w:val="nil"/>
            </w:tcBorders>
            <w:shd w:val="clear" w:color="auto" w:fill="auto"/>
            <w:noWrap/>
            <w:vAlign w:val="bottom"/>
            <w:hideMark/>
          </w:tcPr>
          <w:p w14:paraId="522F2D09" w14:textId="77777777" w:rsidR="003957AD" w:rsidRPr="009863DD" w:rsidRDefault="003957AD" w:rsidP="00DE0473">
            <w:pPr>
              <w:rPr>
                <w:rFonts w:cs="Calibri"/>
                <w:color w:val="000000"/>
              </w:rPr>
            </w:pPr>
            <w:r w:rsidRPr="009863DD">
              <w:rPr>
                <w:rFonts w:cs="Calibri"/>
                <w:color w:val="000000"/>
              </w:rPr>
              <w:t>Total</w:t>
            </w:r>
          </w:p>
        </w:tc>
        <w:tc>
          <w:tcPr>
            <w:tcW w:w="1276" w:type="dxa"/>
            <w:tcBorders>
              <w:top w:val="nil"/>
              <w:left w:val="nil"/>
              <w:bottom w:val="double" w:sz="6" w:space="0" w:color="auto"/>
              <w:right w:val="nil"/>
            </w:tcBorders>
            <w:shd w:val="clear" w:color="auto" w:fill="auto"/>
            <w:noWrap/>
            <w:vAlign w:val="bottom"/>
            <w:hideMark/>
          </w:tcPr>
          <w:p w14:paraId="76DF9566" w14:textId="77777777" w:rsidR="003957AD" w:rsidRDefault="003957AD" w:rsidP="00DE0473">
            <w:pPr>
              <w:jc w:val="right"/>
              <w:rPr>
                <w:rFonts w:cs="Calibri"/>
                <w:color w:val="000000"/>
              </w:rPr>
            </w:pPr>
            <w:r>
              <w:rPr>
                <w:rFonts w:cs="Calibri"/>
                <w:color w:val="000000"/>
              </w:rPr>
              <w:t>14,545</w:t>
            </w:r>
          </w:p>
        </w:tc>
        <w:tc>
          <w:tcPr>
            <w:tcW w:w="1340" w:type="dxa"/>
            <w:tcBorders>
              <w:top w:val="nil"/>
              <w:left w:val="nil"/>
              <w:bottom w:val="double" w:sz="6" w:space="0" w:color="auto"/>
              <w:right w:val="nil"/>
            </w:tcBorders>
            <w:shd w:val="clear" w:color="auto" w:fill="auto"/>
            <w:noWrap/>
            <w:vAlign w:val="bottom"/>
            <w:hideMark/>
          </w:tcPr>
          <w:p w14:paraId="7A734FCE" w14:textId="77777777" w:rsidR="003957AD" w:rsidRDefault="003957AD" w:rsidP="00DE0473">
            <w:pPr>
              <w:jc w:val="right"/>
              <w:rPr>
                <w:rFonts w:cs="Calibri"/>
                <w:color w:val="000000"/>
              </w:rPr>
            </w:pPr>
            <w:r>
              <w:rPr>
                <w:rFonts w:cs="Calibri"/>
                <w:color w:val="000000"/>
              </w:rPr>
              <w:t>61,971</w:t>
            </w:r>
          </w:p>
        </w:tc>
      </w:tr>
    </w:tbl>
    <w:p w14:paraId="05A02730" w14:textId="77777777" w:rsidR="003957AD" w:rsidRPr="0047025E" w:rsidRDefault="003957AD" w:rsidP="00546F15">
      <w:pPr>
        <w:pStyle w:val="Heading4"/>
        <w:spacing w:after="120"/>
        <w:rPr>
          <w:rFonts w:eastAsia="Times New Roman"/>
        </w:rPr>
      </w:pPr>
      <w:r w:rsidRPr="0047025E">
        <w:rPr>
          <w:rFonts w:eastAsia="Times New Roman"/>
        </w:rPr>
        <w:t>Table 2: VIC Contract Levels</w:t>
      </w:r>
    </w:p>
    <w:tbl>
      <w:tblPr>
        <w:tblStyle w:val="TableGrid1"/>
        <w:tblW w:w="0" w:type="auto"/>
        <w:tblLook w:val="04A0" w:firstRow="1" w:lastRow="0" w:firstColumn="1" w:lastColumn="0" w:noHBand="0" w:noVBand="1"/>
        <w:tblDescription w:val="Table 2: VIC Contract Levels"/>
      </w:tblPr>
      <w:tblGrid>
        <w:gridCol w:w="1217"/>
        <w:gridCol w:w="1218"/>
        <w:gridCol w:w="1218"/>
        <w:gridCol w:w="1218"/>
      </w:tblGrid>
      <w:tr w:rsidR="003957AD" w:rsidRPr="009863DD" w14:paraId="24362975" w14:textId="77777777" w:rsidTr="00671A6D">
        <w:trPr>
          <w:tblHeader/>
        </w:trPr>
        <w:tc>
          <w:tcPr>
            <w:tcW w:w="1217" w:type="dxa"/>
            <w:tcBorders>
              <w:bottom w:val="double" w:sz="4" w:space="0" w:color="auto"/>
            </w:tcBorders>
            <w:shd w:val="clear" w:color="auto" w:fill="DBE5F1" w:themeFill="accent1" w:themeFillTint="33"/>
          </w:tcPr>
          <w:p w14:paraId="6C0C0D37" w14:textId="77777777" w:rsidR="003957AD" w:rsidRPr="009863DD" w:rsidRDefault="003957AD" w:rsidP="00671A6D">
            <w:pPr>
              <w:tabs>
                <w:tab w:val="left" w:pos="6153"/>
              </w:tabs>
              <w:outlineLvl w:val="2"/>
              <w:rPr>
                <w:b/>
              </w:rPr>
            </w:pPr>
          </w:p>
        </w:tc>
        <w:tc>
          <w:tcPr>
            <w:tcW w:w="1218" w:type="dxa"/>
            <w:tcBorders>
              <w:bottom w:val="double" w:sz="4" w:space="0" w:color="auto"/>
            </w:tcBorders>
            <w:shd w:val="clear" w:color="auto" w:fill="DBE5F1" w:themeFill="accent1" w:themeFillTint="33"/>
          </w:tcPr>
          <w:p w14:paraId="2563DA56" w14:textId="77777777" w:rsidR="003957AD" w:rsidRPr="009863DD" w:rsidRDefault="003957AD" w:rsidP="00671A6D">
            <w:pPr>
              <w:tabs>
                <w:tab w:val="left" w:pos="6153"/>
              </w:tabs>
              <w:outlineLvl w:val="2"/>
              <w:rPr>
                <w:b/>
              </w:rPr>
            </w:pPr>
            <w:r w:rsidRPr="009863DD">
              <w:rPr>
                <w:b/>
              </w:rPr>
              <w:t>Outcomes Level 1</w:t>
            </w:r>
          </w:p>
        </w:tc>
        <w:tc>
          <w:tcPr>
            <w:tcW w:w="1218" w:type="dxa"/>
            <w:tcBorders>
              <w:bottom w:val="double" w:sz="4" w:space="0" w:color="auto"/>
            </w:tcBorders>
            <w:shd w:val="clear" w:color="auto" w:fill="DBE5F1" w:themeFill="accent1" w:themeFillTint="33"/>
          </w:tcPr>
          <w:p w14:paraId="02BBE98A" w14:textId="77777777" w:rsidR="003957AD" w:rsidRPr="009863DD" w:rsidRDefault="003957AD" w:rsidP="00671A6D">
            <w:pPr>
              <w:tabs>
                <w:tab w:val="left" w:pos="6153"/>
              </w:tabs>
              <w:outlineLvl w:val="2"/>
              <w:rPr>
                <w:b/>
              </w:rPr>
            </w:pPr>
            <w:r w:rsidRPr="009863DD">
              <w:rPr>
                <w:b/>
              </w:rPr>
              <w:t xml:space="preserve">Outcomes Level </w:t>
            </w:r>
            <w:proofErr w:type="spellStart"/>
            <w:r w:rsidRPr="009863DD">
              <w:rPr>
                <w:b/>
              </w:rPr>
              <w:t>2a</w:t>
            </w:r>
            <w:proofErr w:type="spellEnd"/>
          </w:p>
        </w:tc>
        <w:tc>
          <w:tcPr>
            <w:tcW w:w="1218" w:type="dxa"/>
            <w:tcBorders>
              <w:bottom w:val="double" w:sz="4" w:space="0" w:color="auto"/>
            </w:tcBorders>
            <w:shd w:val="clear" w:color="auto" w:fill="DBE5F1" w:themeFill="accent1" w:themeFillTint="33"/>
          </w:tcPr>
          <w:p w14:paraId="7DFB13DE" w14:textId="77777777" w:rsidR="003957AD" w:rsidRPr="009863DD" w:rsidRDefault="003957AD" w:rsidP="00671A6D">
            <w:pPr>
              <w:tabs>
                <w:tab w:val="left" w:pos="6153"/>
              </w:tabs>
              <w:outlineLvl w:val="2"/>
              <w:rPr>
                <w:b/>
              </w:rPr>
            </w:pPr>
            <w:r w:rsidRPr="009863DD">
              <w:rPr>
                <w:b/>
              </w:rPr>
              <w:t xml:space="preserve">Outcomes Level </w:t>
            </w:r>
            <w:proofErr w:type="spellStart"/>
            <w:r w:rsidRPr="009863DD">
              <w:rPr>
                <w:b/>
              </w:rPr>
              <w:t>2b</w:t>
            </w:r>
            <w:proofErr w:type="spellEnd"/>
          </w:p>
        </w:tc>
      </w:tr>
      <w:tr w:rsidR="003957AD" w:rsidRPr="009863DD" w14:paraId="39FF6EF9" w14:textId="77777777" w:rsidTr="00671A6D">
        <w:tc>
          <w:tcPr>
            <w:tcW w:w="1217" w:type="dxa"/>
            <w:vAlign w:val="bottom"/>
          </w:tcPr>
          <w:p w14:paraId="4CE13702" w14:textId="77777777" w:rsidR="003957AD" w:rsidRPr="009863DD" w:rsidRDefault="003957AD" w:rsidP="00671A6D">
            <w:pPr>
              <w:tabs>
                <w:tab w:val="left" w:pos="6153"/>
              </w:tabs>
              <w:outlineLvl w:val="2"/>
              <w:rPr>
                <w:b/>
              </w:rPr>
            </w:pPr>
            <w:r>
              <w:rPr>
                <w:b/>
              </w:rPr>
              <w:t>VIC</w:t>
            </w:r>
            <w:r w:rsidRPr="009863DD">
              <w:rPr>
                <w:b/>
              </w:rPr>
              <w:t xml:space="preserve"> (%)</w:t>
            </w:r>
          </w:p>
        </w:tc>
        <w:tc>
          <w:tcPr>
            <w:tcW w:w="1218" w:type="dxa"/>
            <w:vAlign w:val="bottom"/>
          </w:tcPr>
          <w:p w14:paraId="770828D5" w14:textId="77777777" w:rsidR="003957AD" w:rsidRPr="009863DD" w:rsidRDefault="003957AD" w:rsidP="00671A6D">
            <w:pPr>
              <w:spacing w:line="276" w:lineRule="auto"/>
              <w:jc w:val="right"/>
              <w:rPr>
                <w:rFonts w:cs="Calibri"/>
                <w:color w:val="000000"/>
              </w:rPr>
            </w:pPr>
            <w:r>
              <w:rPr>
                <w:rFonts w:cs="Calibri"/>
                <w:color w:val="000000"/>
              </w:rPr>
              <w:t>20%</w:t>
            </w:r>
          </w:p>
        </w:tc>
        <w:tc>
          <w:tcPr>
            <w:tcW w:w="1218" w:type="dxa"/>
            <w:vAlign w:val="bottom"/>
          </w:tcPr>
          <w:p w14:paraId="0F135CCE" w14:textId="77777777" w:rsidR="003957AD" w:rsidRPr="009863DD" w:rsidRDefault="003957AD" w:rsidP="00671A6D">
            <w:pPr>
              <w:spacing w:line="276" w:lineRule="auto"/>
              <w:jc w:val="right"/>
              <w:rPr>
                <w:rFonts w:cs="Calibri"/>
                <w:color w:val="000000"/>
              </w:rPr>
            </w:pPr>
            <w:r>
              <w:rPr>
                <w:rFonts w:cs="Calibri"/>
                <w:color w:val="000000"/>
              </w:rPr>
              <w:t>30</w:t>
            </w:r>
            <w:r w:rsidRPr="009863DD">
              <w:rPr>
                <w:rFonts w:cs="Calibri"/>
                <w:color w:val="000000"/>
              </w:rPr>
              <w:t>%</w:t>
            </w:r>
          </w:p>
        </w:tc>
        <w:tc>
          <w:tcPr>
            <w:tcW w:w="1218" w:type="dxa"/>
            <w:vAlign w:val="bottom"/>
          </w:tcPr>
          <w:p w14:paraId="74DC1430" w14:textId="77777777" w:rsidR="003957AD" w:rsidRPr="009863DD" w:rsidRDefault="003957AD" w:rsidP="00671A6D">
            <w:pPr>
              <w:spacing w:line="276" w:lineRule="auto"/>
              <w:jc w:val="right"/>
              <w:rPr>
                <w:rFonts w:cs="Calibri"/>
                <w:color w:val="000000"/>
              </w:rPr>
            </w:pPr>
            <w:r>
              <w:rPr>
                <w:rFonts w:cs="Calibri"/>
                <w:color w:val="000000"/>
              </w:rPr>
              <w:t>50</w:t>
            </w:r>
            <w:r w:rsidRPr="009863DD">
              <w:rPr>
                <w:rFonts w:cs="Calibri"/>
                <w:color w:val="000000"/>
              </w:rPr>
              <w:t>%</w:t>
            </w:r>
          </w:p>
        </w:tc>
      </w:tr>
    </w:tbl>
    <w:p w14:paraId="4AB98F2E" w14:textId="77777777" w:rsidR="00671A6D" w:rsidRDefault="00671A6D" w:rsidP="00671A6D">
      <w:pPr>
        <w:ind w:right="-708"/>
      </w:pPr>
    </w:p>
    <w:p w14:paraId="172B0B2A" w14:textId="77777777" w:rsidR="003957AD" w:rsidRPr="0047025E" w:rsidRDefault="003957AD" w:rsidP="00546F15">
      <w:pPr>
        <w:pStyle w:val="Heading4"/>
        <w:rPr>
          <w:rFonts w:eastAsia="Times New Roman"/>
        </w:rPr>
      </w:pPr>
      <w:r w:rsidRPr="0047025E">
        <w:rPr>
          <w:rFonts w:eastAsia="Times New Roman"/>
        </w:rPr>
        <w:t>Table 3: Comparison between VIC and National Participant Numbers</w:t>
      </w:r>
    </w:p>
    <w:tbl>
      <w:tblPr>
        <w:tblStyle w:val="TableGrid"/>
        <w:tblW w:w="0" w:type="auto"/>
        <w:tblLook w:val="04A0" w:firstRow="1" w:lastRow="0" w:firstColumn="1" w:lastColumn="0" w:noHBand="0" w:noVBand="1"/>
        <w:tblDescription w:val="Table 3: Comparison between VIC and National Participant Numbers"/>
      </w:tblPr>
      <w:tblGrid>
        <w:gridCol w:w="1526"/>
        <w:gridCol w:w="2268"/>
        <w:gridCol w:w="2410"/>
        <w:gridCol w:w="2409"/>
      </w:tblGrid>
      <w:tr w:rsidR="003957AD" w:rsidRPr="00DD01D8" w14:paraId="179B458F" w14:textId="77777777" w:rsidTr="00671A6D">
        <w:trPr>
          <w:tblHeader/>
        </w:trPr>
        <w:tc>
          <w:tcPr>
            <w:tcW w:w="1526" w:type="dxa"/>
            <w:shd w:val="clear" w:color="auto" w:fill="DBE5F1" w:themeFill="accent1" w:themeFillTint="33"/>
          </w:tcPr>
          <w:p w14:paraId="6957F783" w14:textId="77777777" w:rsidR="003957AD" w:rsidRPr="00DD01D8" w:rsidRDefault="003957AD" w:rsidP="00671A6D">
            <w:pPr>
              <w:rPr>
                <w:b/>
              </w:rPr>
            </w:pPr>
          </w:p>
        </w:tc>
        <w:tc>
          <w:tcPr>
            <w:tcW w:w="2268" w:type="dxa"/>
            <w:shd w:val="clear" w:color="auto" w:fill="DBE5F1" w:themeFill="accent1" w:themeFillTint="33"/>
          </w:tcPr>
          <w:p w14:paraId="6EBF51B3" w14:textId="77777777" w:rsidR="003957AD" w:rsidRPr="00DD01D8" w:rsidRDefault="003957AD" w:rsidP="00671A6D">
            <w:pPr>
              <w:rPr>
                <w:b/>
              </w:rPr>
            </w:pPr>
            <w:r w:rsidRPr="00DD01D8">
              <w:rPr>
                <w:b/>
              </w:rPr>
              <w:t>Participants Level 1</w:t>
            </w:r>
          </w:p>
        </w:tc>
        <w:tc>
          <w:tcPr>
            <w:tcW w:w="2410" w:type="dxa"/>
            <w:shd w:val="clear" w:color="auto" w:fill="DBE5F1" w:themeFill="accent1" w:themeFillTint="33"/>
          </w:tcPr>
          <w:p w14:paraId="3CAE3C8F" w14:textId="77777777" w:rsidR="003957AD" w:rsidRPr="00DD01D8" w:rsidRDefault="003957AD" w:rsidP="00671A6D">
            <w:pPr>
              <w:rPr>
                <w:b/>
              </w:rPr>
            </w:pPr>
            <w:r w:rsidRPr="00E07593">
              <w:rPr>
                <w:b/>
              </w:rPr>
              <w:t xml:space="preserve">Participants </w:t>
            </w:r>
            <w:r w:rsidRPr="00DD01D8">
              <w:rPr>
                <w:b/>
              </w:rPr>
              <w:t xml:space="preserve">Level </w:t>
            </w:r>
            <w:proofErr w:type="spellStart"/>
            <w:r w:rsidRPr="00DD01D8">
              <w:rPr>
                <w:b/>
              </w:rPr>
              <w:t>2a</w:t>
            </w:r>
            <w:proofErr w:type="spellEnd"/>
          </w:p>
        </w:tc>
        <w:tc>
          <w:tcPr>
            <w:tcW w:w="2409" w:type="dxa"/>
            <w:shd w:val="clear" w:color="auto" w:fill="DBE5F1" w:themeFill="accent1" w:themeFillTint="33"/>
          </w:tcPr>
          <w:p w14:paraId="03560F72" w14:textId="77777777" w:rsidR="003957AD" w:rsidRPr="00DD01D8" w:rsidRDefault="003957AD" w:rsidP="00671A6D">
            <w:pPr>
              <w:rPr>
                <w:b/>
              </w:rPr>
            </w:pPr>
            <w:r w:rsidRPr="00DD01D8">
              <w:rPr>
                <w:b/>
              </w:rPr>
              <w:t xml:space="preserve">Participants Level </w:t>
            </w:r>
            <w:proofErr w:type="spellStart"/>
            <w:r w:rsidRPr="00DD01D8">
              <w:rPr>
                <w:b/>
              </w:rPr>
              <w:t>2b</w:t>
            </w:r>
            <w:proofErr w:type="spellEnd"/>
          </w:p>
        </w:tc>
      </w:tr>
      <w:tr w:rsidR="003957AD" w14:paraId="4C8D8E03" w14:textId="77777777" w:rsidTr="00671A6D">
        <w:tc>
          <w:tcPr>
            <w:tcW w:w="1526" w:type="dxa"/>
            <w:vAlign w:val="bottom"/>
          </w:tcPr>
          <w:p w14:paraId="3AC83AD1" w14:textId="77777777" w:rsidR="003957AD" w:rsidRDefault="003957AD" w:rsidP="00671A6D">
            <w:pPr>
              <w:rPr>
                <w:rFonts w:cs="Calibri"/>
                <w:b/>
                <w:bCs/>
                <w:color w:val="000000"/>
              </w:rPr>
            </w:pPr>
            <w:r>
              <w:rPr>
                <w:rFonts w:cs="Calibri"/>
                <w:b/>
                <w:bCs/>
                <w:color w:val="000000"/>
              </w:rPr>
              <w:t>VIC (No.)</w:t>
            </w:r>
          </w:p>
        </w:tc>
        <w:tc>
          <w:tcPr>
            <w:tcW w:w="2268" w:type="dxa"/>
            <w:vAlign w:val="bottom"/>
          </w:tcPr>
          <w:p w14:paraId="2E8542C9" w14:textId="77777777" w:rsidR="003957AD" w:rsidRDefault="003957AD" w:rsidP="00671A6D">
            <w:pPr>
              <w:jc w:val="right"/>
              <w:rPr>
                <w:rFonts w:cs="Calibri"/>
                <w:color w:val="000000"/>
              </w:rPr>
            </w:pPr>
            <w:r>
              <w:rPr>
                <w:rFonts w:cs="Calibri"/>
                <w:color w:val="000000"/>
              </w:rPr>
              <w:t>3004</w:t>
            </w:r>
          </w:p>
        </w:tc>
        <w:tc>
          <w:tcPr>
            <w:tcW w:w="2410" w:type="dxa"/>
            <w:vAlign w:val="bottom"/>
          </w:tcPr>
          <w:p w14:paraId="495FF136" w14:textId="77777777" w:rsidR="003957AD" w:rsidRDefault="003957AD" w:rsidP="00671A6D">
            <w:pPr>
              <w:jc w:val="right"/>
              <w:rPr>
                <w:rFonts w:cs="Calibri"/>
                <w:color w:val="000000"/>
              </w:rPr>
            </w:pPr>
            <w:r>
              <w:rPr>
                <w:rFonts w:cs="Calibri"/>
                <w:color w:val="000000"/>
              </w:rPr>
              <w:t>4466</w:t>
            </w:r>
          </w:p>
        </w:tc>
        <w:tc>
          <w:tcPr>
            <w:tcW w:w="2409" w:type="dxa"/>
            <w:vAlign w:val="bottom"/>
          </w:tcPr>
          <w:p w14:paraId="00B57671" w14:textId="77777777" w:rsidR="003957AD" w:rsidRDefault="003957AD" w:rsidP="00671A6D">
            <w:pPr>
              <w:jc w:val="right"/>
              <w:rPr>
                <w:rFonts w:cs="Calibri"/>
                <w:color w:val="000000"/>
              </w:rPr>
            </w:pPr>
            <w:r>
              <w:rPr>
                <w:rFonts w:cs="Calibri"/>
                <w:color w:val="000000"/>
              </w:rPr>
              <w:t>6088</w:t>
            </w:r>
          </w:p>
        </w:tc>
      </w:tr>
      <w:tr w:rsidR="003957AD" w14:paraId="2A06F01D" w14:textId="77777777" w:rsidTr="00671A6D">
        <w:tc>
          <w:tcPr>
            <w:tcW w:w="1526" w:type="dxa"/>
            <w:vAlign w:val="bottom"/>
          </w:tcPr>
          <w:p w14:paraId="6D8DF56F" w14:textId="77777777" w:rsidR="003957AD" w:rsidRDefault="003957AD" w:rsidP="00671A6D">
            <w:pPr>
              <w:rPr>
                <w:rFonts w:cs="Calibri"/>
                <w:b/>
                <w:bCs/>
                <w:color w:val="000000"/>
              </w:rPr>
            </w:pPr>
            <w:r>
              <w:rPr>
                <w:rFonts w:cs="Calibri"/>
                <w:b/>
                <w:bCs/>
                <w:color w:val="000000"/>
              </w:rPr>
              <w:t>VIC (%)</w:t>
            </w:r>
          </w:p>
        </w:tc>
        <w:tc>
          <w:tcPr>
            <w:tcW w:w="2268" w:type="dxa"/>
            <w:vAlign w:val="bottom"/>
          </w:tcPr>
          <w:p w14:paraId="7A0DA1A6" w14:textId="77777777" w:rsidR="003957AD" w:rsidRDefault="003957AD" w:rsidP="00671A6D">
            <w:pPr>
              <w:jc w:val="right"/>
              <w:rPr>
                <w:rFonts w:cs="Calibri"/>
                <w:color w:val="000000"/>
              </w:rPr>
            </w:pPr>
            <w:r>
              <w:rPr>
                <w:rFonts w:cs="Calibri"/>
                <w:color w:val="000000"/>
              </w:rPr>
              <w:t>22%</w:t>
            </w:r>
          </w:p>
        </w:tc>
        <w:tc>
          <w:tcPr>
            <w:tcW w:w="2410" w:type="dxa"/>
            <w:vAlign w:val="bottom"/>
          </w:tcPr>
          <w:p w14:paraId="77FF66F2" w14:textId="77777777" w:rsidR="003957AD" w:rsidRDefault="003957AD" w:rsidP="00671A6D">
            <w:pPr>
              <w:jc w:val="right"/>
              <w:rPr>
                <w:rFonts w:cs="Calibri"/>
                <w:color w:val="000000"/>
              </w:rPr>
            </w:pPr>
            <w:r>
              <w:rPr>
                <w:rFonts w:cs="Calibri"/>
                <w:color w:val="000000"/>
              </w:rPr>
              <w:t>33%</w:t>
            </w:r>
          </w:p>
        </w:tc>
        <w:tc>
          <w:tcPr>
            <w:tcW w:w="2409" w:type="dxa"/>
            <w:vAlign w:val="bottom"/>
          </w:tcPr>
          <w:p w14:paraId="1C1D45AE" w14:textId="77777777" w:rsidR="003957AD" w:rsidRDefault="003957AD" w:rsidP="00671A6D">
            <w:pPr>
              <w:jc w:val="right"/>
              <w:rPr>
                <w:rFonts w:cs="Calibri"/>
                <w:color w:val="000000"/>
              </w:rPr>
            </w:pPr>
            <w:r>
              <w:rPr>
                <w:rFonts w:cs="Calibri"/>
                <w:color w:val="000000"/>
              </w:rPr>
              <w:t>45%</w:t>
            </w:r>
          </w:p>
        </w:tc>
      </w:tr>
      <w:tr w:rsidR="003957AD" w14:paraId="47F01671" w14:textId="77777777" w:rsidTr="00671A6D">
        <w:tc>
          <w:tcPr>
            <w:tcW w:w="1526" w:type="dxa"/>
            <w:vAlign w:val="bottom"/>
          </w:tcPr>
          <w:p w14:paraId="67366272" w14:textId="77777777" w:rsidR="003957AD" w:rsidRDefault="003957AD" w:rsidP="00671A6D">
            <w:pPr>
              <w:rPr>
                <w:rFonts w:cs="Calibri"/>
                <w:b/>
                <w:bCs/>
                <w:color w:val="000000"/>
              </w:rPr>
            </w:pPr>
            <w:r>
              <w:rPr>
                <w:rFonts w:cs="Calibri"/>
                <w:b/>
                <w:bCs/>
                <w:color w:val="000000"/>
              </w:rPr>
              <w:t> </w:t>
            </w:r>
          </w:p>
        </w:tc>
        <w:tc>
          <w:tcPr>
            <w:tcW w:w="2268" w:type="dxa"/>
            <w:vAlign w:val="bottom"/>
          </w:tcPr>
          <w:p w14:paraId="2C6BAE6B" w14:textId="77777777" w:rsidR="003957AD" w:rsidRDefault="003957AD" w:rsidP="00671A6D">
            <w:pPr>
              <w:rPr>
                <w:rFonts w:cs="Calibri"/>
                <w:color w:val="000000"/>
              </w:rPr>
            </w:pPr>
            <w:r>
              <w:rPr>
                <w:rFonts w:cs="Calibri"/>
                <w:color w:val="000000"/>
              </w:rPr>
              <w:t> </w:t>
            </w:r>
          </w:p>
        </w:tc>
        <w:tc>
          <w:tcPr>
            <w:tcW w:w="2410" w:type="dxa"/>
            <w:vAlign w:val="bottom"/>
          </w:tcPr>
          <w:p w14:paraId="3A0F1424" w14:textId="77777777" w:rsidR="003957AD" w:rsidRDefault="003957AD" w:rsidP="00671A6D">
            <w:pPr>
              <w:rPr>
                <w:rFonts w:cs="Calibri"/>
                <w:color w:val="000000"/>
              </w:rPr>
            </w:pPr>
            <w:r>
              <w:rPr>
                <w:rFonts w:cs="Calibri"/>
                <w:color w:val="000000"/>
              </w:rPr>
              <w:t> </w:t>
            </w:r>
          </w:p>
        </w:tc>
        <w:tc>
          <w:tcPr>
            <w:tcW w:w="2409" w:type="dxa"/>
            <w:vAlign w:val="bottom"/>
          </w:tcPr>
          <w:p w14:paraId="6F8477AD" w14:textId="77777777" w:rsidR="003957AD" w:rsidRDefault="003957AD" w:rsidP="00671A6D">
            <w:pPr>
              <w:rPr>
                <w:rFonts w:cs="Calibri"/>
                <w:color w:val="000000"/>
              </w:rPr>
            </w:pPr>
            <w:r>
              <w:rPr>
                <w:rFonts w:cs="Calibri"/>
                <w:color w:val="000000"/>
              </w:rPr>
              <w:t> </w:t>
            </w:r>
          </w:p>
        </w:tc>
      </w:tr>
      <w:tr w:rsidR="003957AD" w14:paraId="64112A06" w14:textId="77777777" w:rsidTr="00671A6D">
        <w:tc>
          <w:tcPr>
            <w:tcW w:w="1526" w:type="dxa"/>
            <w:vAlign w:val="bottom"/>
          </w:tcPr>
          <w:p w14:paraId="6099CAC9" w14:textId="77777777" w:rsidR="003957AD" w:rsidRDefault="003957AD" w:rsidP="00671A6D">
            <w:pPr>
              <w:rPr>
                <w:rFonts w:cs="Calibri"/>
                <w:b/>
                <w:bCs/>
                <w:color w:val="000000"/>
              </w:rPr>
            </w:pPr>
            <w:r>
              <w:rPr>
                <w:rFonts w:cs="Calibri"/>
                <w:b/>
                <w:bCs/>
                <w:color w:val="000000"/>
              </w:rPr>
              <w:t>National (No.)</w:t>
            </w:r>
          </w:p>
        </w:tc>
        <w:tc>
          <w:tcPr>
            <w:tcW w:w="2268" w:type="dxa"/>
            <w:vAlign w:val="bottom"/>
          </w:tcPr>
          <w:p w14:paraId="070563C7" w14:textId="77777777" w:rsidR="003957AD" w:rsidRDefault="003957AD" w:rsidP="00671A6D">
            <w:pPr>
              <w:jc w:val="right"/>
              <w:rPr>
                <w:rFonts w:cs="Calibri"/>
                <w:color w:val="000000"/>
              </w:rPr>
            </w:pPr>
            <w:r>
              <w:rPr>
                <w:rFonts w:cs="Calibri"/>
                <w:color w:val="000000"/>
              </w:rPr>
              <w:t>15,825</w:t>
            </w:r>
          </w:p>
        </w:tc>
        <w:tc>
          <w:tcPr>
            <w:tcW w:w="2410" w:type="dxa"/>
            <w:vAlign w:val="bottom"/>
          </w:tcPr>
          <w:p w14:paraId="74D18C33" w14:textId="77777777" w:rsidR="003957AD" w:rsidRDefault="003957AD" w:rsidP="00671A6D">
            <w:pPr>
              <w:jc w:val="right"/>
              <w:rPr>
                <w:rFonts w:cs="Calibri"/>
                <w:color w:val="000000"/>
              </w:rPr>
            </w:pPr>
            <w:r>
              <w:rPr>
                <w:rFonts w:cs="Calibri"/>
                <w:color w:val="000000"/>
              </w:rPr>
              <w:t>21,124</w:t>
            </w:r>
          </w:p>
        </w:tc>
        <w:tc>
          <w:tcPr>
            <w:tcW w:w="2409" w:type="dxa"/>
            <w:vAlign w:val="bottom"/>
          </w:tcPr>
          <w:p w14:paraId="25FC8899" w14:textId="77777777" w:rsidR="003957AD" w:rsidRDefault="003957AD" w:rsidP="00671A6D">
            <w:pPr>
              <w:jc w:val="right"/>
              <w:rPr>
                <w:rFonts w:cs="Calibri"/>
                <w:color w:val="000000"/>
              </w:rPr>
            </w:pPr>
            <w:r>
              <w:rPr>
                <w:rFonts w:cs="Calibri"/>
                <w:color w:val="000000"/>
              </w:rPr>
              <w:t>23,491</w:t>
            </w:r>
          </w:p>
        </w:tc>
      </w:tr>
      <w:tr w:rsidR="003957AD" w14:paraId="6C7696D5" w14:textId="77777777" w:rsidTr="00671A6D">
        <w:tc>
          <w:tcPr>
            <w:tcW w:w="1526" w:type="dxa"/>
            <w:vAlign w:val="bottom"/>
          </w:tcPr>
          <w:p w14:paraId="01861D39" w14:textId="77777777" w:rsidR="003957AD" w:rsidRDefault="003957AD" w:rsidP="00671A6D">
            <w:pPr>
              <w:rPr>
                <w:rFonts w:cs="Calibri"/>
                <w:b/>
                <w:bCs/>
                <w:color w:val="000000"/>
              </w:rPr>
            </w:pPr>
            <w:r>
              <w:rPr>
                <w:rFonts w:cs="Calibri"/>
                <w:b/>
                <w:bCs/>
                <w:color w:val="000000"/>
              </w:rPr>
              <w:t>National (%)</w:t>
            </w:r>
          </w:p>
        </w:tc>
        <w:tc>
          <w:tcPr>
            <w:tcW w:w="2268" w:type="dxa"/>
            <w:vAlign w:val="bottom"/>
          </w:tcPr>
          <w:p w14:paraId="111BBC8C" w14:textId="77777777" w:rsidR="003957AD" w:rsidRDefault="003957AD" w:rsidP="00671A6D">
            <w:pPr>
              <w:jc w:val="right"/>
              <w:rPr>
                <w:rFonts w:cs="Calibri"/>
                <w:color w:val="000000"/>
              </w:rPr>
            </w:pPr>
            <w:r>
              <w:rPr>
                <w:rFonts w:cs="Calibri"/>
                <w:color w:val="000000"/>
              </w:rPr>
              <w:t>26%</w:t>
            </w:r>
          </w:p>
        </w:tc>
        <w:tc>
          <w:tcPr>
            <w:tcW w:w="2410" w:type="dxa"/>
            <w:vAlign w:val="bottom"/>
          </w:tcPr>
          <w:p w14:paraId="701CFA1C" w14:textId="77777777" w:rsidR="003957AD" w:rsidRDefault="003957AD" w:rsidP="00671A6D">
            <w:pPr>
              <w:jc w:val="right"/>
              <w:rPr>
                <w:rFonts w:cs="Calibri"/>
                <w:color w:val="000000"/>
              </w:rPr>
            </w:pPr>
            <w:r>
              <w:rPr>
                <w:rFonts w:cs="Calibri"/>
                <w:color w:val="000000"/>
              </w:rPr>
              <w:t>35%</w:t>
            </w:r>
          </w:p>
        </w:tc>
        <w:tc>
          <w:tcPr>
            <w:tcW w:w="2409" w:type="dxa"/>
            <w:vAlign w:val="bottom"/>
          </w:tcPr>
          <w:p w14:paraId="22B3F2CE" w14:textId="77777777" w:rsidR="003957AD" w:rsidRDefault="003957AD" w:rsidP="00671A6D">
            <w:pPr>
              <w:jc w:val="right"/>
              <w:rPr>
                <w:rFonts w:cs="Calibri"/>
                <w:color w:val="000000"/>
              </w:rPr>
            </w:pPr>
            <w:r>
              <w:rPr>
                <w:rFonts w:cs="Calibri"/>
                <w:color w:val="000000"/>
              </w:rPr>
              <w:t>39%</w:t>
            </w:r>
          </w:p>
        </w:tc>
      </w:tr>
    </w:tbl>
    <w:p w14:paraId="10A7E2BD" w14:textId="77777777" w:rsidR="003957AD" w:rsidRPr="00C67645" w:rsidRDefault="003957AD" w:rsidP="003957AD"/>
    <w:p w14:paraId="35B8372B" w14:textId="77777777" w:rsidR="003957AD" w:rsidRPr="0047025E" w:rsidRDefault="003957AD" w:rsidP="00546F15">
      <w:pPr>
        <w:pStyle w:val="Heading4"/>
        <w:rPr>
          <w:rFonts w:eastAsia="Times New Roman"/>
        </w:rPr>
      </w:pPr>
      <w:r w:rsidRPr="0047025E">
        <w:rPr>
          <w:rFonts w:eastAsia="Times New Roman"/>
        </w:rPr>
        <w:t>Table 4: Comparison between VIC and National Participant Outcomes</w:t>
      </w:r>
    </w:p>
    <w:tbl>
      <w:tblPr>
        <w:tblStyle w:val="TableGrid"/>
        <w:tblW w:w="0" w:type="auto"/>
        <w:tblLook w:val="04A0" w:firstRow="1" w:lastRow="0" w:firstColumn="1" w:lastColumn="0" w:noHBand="0" w:noVBand="1"/>
        <w:tblDescription w:val="Table 4: Comparison between VIC and National Participant Outcomes"/>
      </w:tblPr>
      <w:tblGrid>
        <w:gridCol w:w="1526"/>
        <w:gridCol w:w="2268"/>
        <w:gridCol w:w="2410"/>
        <w:gridCol w:w="2409"/>
      </w:tblGrid>
      <w:tr w:rsidR="003957AD" w:rsidRPr="00DD01D8" w14:paraId="179863AD" w14:textId="77777777" w:rsidTr="00671A6D">
        <w:trPr>
          <w:tblHeader/>
        </w:trPr>
        <w:tc>
          <w:tcPr>
            <w:tcW w:w="1526" w:type="dxa"/>
            <w:shd w:val="clear" w:color="auto" w:fill="DBE5F1" w:themeFill="accent1" w:themeFillTint="33"/>
          </w:tcPr>
          <w:p w14:paraId="77294808" w14:textId="77777777" w:rsidR="003957AD" w:rsidRPr="00DD01D8" w:rsidRDefault="003957AD" w:rsidP="00671A6D">
            <w:pPr>
              <w:rPr>
                <w:b/>
              </w:rPr>
            </w:pPr>
          </w:p>
        </w:tc>
        <w:tc>
          <w:tcPr>
            <w:tcW w:w="2268" w:type="dxa"/>
            <w:shd w:val="clear" w:color="auto" w:fill="DBE5F1" w:themeFill="accent1" w:themeFillTint="33"/>
          </w:tcPr>
          <w:p w14:paraId="05BD4BD4" w14:textId="77777777" w:rsidR="003957AD" w:rsidRPr="00DD01D8" w:rsidRDefault="003957AD" w:rsidP="00671A6D">
            <w:pPr>
              <w:rPr>
                <w:b/>
              </w:rPr>
            </w:pPr>
            <w:r w:rsidRPr="00DD01D8">
              <w:rPr>
                <w:b/>
              </w:rPr>
              <w:t>Outcomes Level 1</w:t>
            </w:r>
          </w:p>
        </w:tc>
        <w:tc>
          <w:tcPr>
            <w:tcW w:w="2410" w:type="dxa"/>
            <w:shd w:val="clear" w:color="auto" w:fill="DBE5F1" w:themeFill="accent1" w:themeFillTint="33"/>
          </w:tcPr>
          <w:p w14:paraId="4A12AD4D" w14:textId="77777777" w:rsidR="003957AD" w:rsidRPr="00DD01D8" w:rsidRDefault="003957AD" w:rsidP="00671A6D">
            <w:pPr>
              <w:rPr>
                <w:b/>
              </w:rPr>
            </w:pPr>
            <w:r w:rsidRPr="00DD01D8">
              <w:rPr>
                <w:b/>
              </w:rPr>
              <w:t xml:space="preserve">Outcomes Level </w:t>
            </w:r>
            <w:proofErr w:type="spellStart"/>
            <w:r w:rsidRPr="00DD01D8">
              <w:rPr>
                <w:b/>
              </w:rPr>
              <w:t>2a</w:t>
            </w:r>
            <w:proofErr w:type="spellEnd"/>
          </w:p>
        </w:tc>
        <w:tc>
          <w:tcPr>
            <w:tcW w:w="2409" w:type="dxa"/>
            <w:shd w:val="clear" w:color="auto" w:fill="DBE5F1" w:themeFill="accent1" w:themeFillTint="33"/>
          </w:tcPr>
          <w:p w14:paraId="498F4009" w14:textId="77777777" w:rsidR="003957AD" w:rsidRPr="00DD01D8" w:rsidRDefault="003957AD" w:rsidP="00671A6D">
            <w:pPr>
              <w:rPr>
                <w:b/>
              </w:rPr>
            </w:pPr>
            <w:r w:rsidRPr="00DD01D8">
              <w:rPr>
                <w:b/>
              </w:rPr>
              <w:t xml:space="preserve">Outcomes Level </w:t>
            </w:r>
            <w:proofErr w:type="spellStart"/>
            <w:r w:rsidRPr="00DD01D8">
              <w:rPr>
                <w:b/>
              </w:rPr>
              <w:t>2b</w:t>
            </w:r>
            <w:proofErr w:type="spellEnd"/>
          </w:p>
        </w:tc>
      </w:tr>
      <w:tr w:rsidR="003957AD" w14:paraId="40C53F46" w14:textId="77777777" w:rsidTr="00671A6D">
        <w:tc>
          <w:tcPr>
            <w:tcW w:w="1526" w:type="dxa"/>
            <w:vAlign w:val="bottom"/>
          </w:tcPr>
          <w:p w14:paraId="4C34A57C" w14:textId="77777777" w:rsidR="003957AD" w:rsidRDefault="003957AD" w:rsidP="00671A6D">
            <w:pPr>
              <w:rPr>
                <w:rFonts w:cs="Calibri"/>
                <w:b/>
                <w:bCs/>
                <w:color w:val="000000"/>
              </w:rPr>
            </w:pPr>
            <w:r>
              <w:rPr>
                <w:rFonts w:cs="Calibri"/>
                <w:b/>
                <w:bCs/>
                <w:color w:val="000000"/>
              </w:rPr>
              <w:t>VIC (No.)</w:t>
            </w:r>
          </w:p>
        </w:tc>
        <w:tc>
          <w:tcPr>
            <w:tcW w:w="2268" w:type="dxa"/>
            <w:vAlign w:val="bottom"/>
          </w:tcPr>
          <w:p w14:paraId="1ABD6462" w14:textId="77777777" w:rsidR="003957AD" w:rsidRDefault="003957AD" w:rsidP="00671A6D">
            <w:pPr>
              <w:jc w:val="right"/>
              <w:rPr>
                <w:rFonts w:cs="Calibri"/>
                <w:color w:val="000000"/>
              </w:rPr>
            </w:pPr>
            <w:r>
              <w:rPr>
                <w:rFonts w:cs="Calibri"/>
                <w:color w:val="000000"/>
              </w:rPr>
              <w:t>2472</w:t>
            </w:r>
          </w:p>
        </w:tc>
        <w:tc>
          <w:tcPr>
            <w:tcW w:w="2410" w:type="dxa"/>
            <w:vAlign w:val="bottom"/>
          </w:tcPr>
          <w:p w14:paraId="6EC0D160" w14:textId="77777777" w:rsidR="003957AD" w:rsidRDefault="003957AD" w:rsidP="00671A6D">
            <w:pPr>
              <w:jc w:val="right"/>
              <w:rPr>
                <w:rFonts w:cs="Calibri"/>
                <w:color w:val="000000"/>
              </w:rPr>
            </w:pPr>
            <w:r>
              <w:rPr>
                <w:rFonts w:cs="Calibri"/>
                <w:color w:val="000000"/>
              </w:rPr>
              <w:t>3544</w:t>
            </w:r>
          </w:p>
        </w:tc>
        <w:tc>
          <w:tcPr>
            <w:tcW w:w="2409" w:type="dxa"/>
            <w:vAlign w:val="bottom"/>
          </w:tcPr>
          <w:p w14:paraId="762D3E8B" w14:textId="77777777" w:rsidR="003957AD" w:rsidRDefault="003957AD" w:rsidP="00671A6D">
            <w:pPr>
              <w:jc w:val="right"/>
              <w:rPr>
                <w:rFonts w:cs="Calibri"/>
                <w:color w:val="000000"/>
              </w:rPr>
            </w:pPr>
            <w:r>
              <w:rPr>
                <w:rFonts w:cs="Calibri"/>
                <w:color w:val="000000"/>
              </w:rPr>
              <w:t>4682</w:t>
            </w:r>
          </w:p>
        </w:tc>
      </w:tr>
      <w:tr w:rsidR="003957AD" w14:paraId="5FC39054" w14:textId="77777777" w:rsidTr="00671A6D">
        <w:tc>
          <w:tcPr>
            <w:tcW w:w="1526" w:type="dxa"/>
            <w:vAlign w:val="bottom"/>
          </w:tcPr>
          <w:p w14:paraId="6A19461B" w14:textId="77777777" w:rsidR="003957AD" w:rsidRDefault="003957AD" w:rsidP="00671A6D">
            <w:pPr>
              <w:rPr>
                <w:rFonts w:cs="Calibri"/>
                <w:b/>
                <w:bCs/>
                <w:color w:val="000000"/>
              </w:rPr>
            </w:pPr>
            <w:r>
              <w:rPr>
                <w:rFonts w:cs="Calibri"/>
                <w:b/>
                <w:bCs/>
                <w:color w:val="000000"/>
              </w:rPr>
              <w:t>VIC (%)</w:t>
            </w:r>
          </w:p>
        </w:tc>
        <w:tc>
          <w:tcPr>
            <w:tcW w:w="2268" w:type="dxa"/>
            <w:vAlign w:val="bottom"/>
          </w:tcPr>
          <w:p w14:paraId="66A3664D" w14:textId="77777777" w:rsidR="003957AD" w:rsidRDefault="003957AD" w:rsidP="00671A6D">
            <w:pPr>
              <w:jc w:val="right"/>
              <w:rPr>
                <w:rFonts w:cs="Calibri"/>
                <w:color w:val="000000"/>
              </w:rPr>
            </w:pPr>
            <w:r>
              <w:rPr>
                <w:rFonts w:cs="Calibri"/>
                <w:color w:val="000000"/>
              </w:rPr>
              <w:t>23%</w:t>
            </w:r>
          </w:p>
        </w:tc>
        <w:tc>
          <w:tcPr>
            <w:tcW w:w="2410" w:type="dxa"/>
            <w:vAlign w:val="bottom"/>
          </w:tcPr>
          <w:p w14:paraId="259898C7" w14:textId="77777777" w:rsidR="003957AD" w:rsidRDefault="003957AD" w:rsidP="00671A6D">
            <w:pPr>
              <w:jc w:val="right"/>
              <w:rPr>
                <w:rFonts w:cs="Calibri"/>
                <w:color w:val="000000"/>
              </w:rPr>
            </w:pPr>
            <w:r>
              <w:rPr>
                <w:rFonts w:cs="Calibri"/>
                <w:color w:val="000000"/>
              </w:rPr>
              <w:t>33%</w:t>
            </w:r>
          </w:p>
        </w:tc>
        <w:tc>
          <w:tcPr>
            <w:tcW w:w="2409" w:type="dxa"/>
            <w:vAlign w:val="bottom"/>
          </w:tcPr>
          <w:p w14:paraId="6A29C6FC" w14:textId="77777777" w:rsidR="003957AD" w:rsidRDefault="003957AD" w:rsidP="00671A6D">
            <w:pPr>
              <w:jc w:val="right"/>
              <w:rPr>
                <w:rFonts w:cs="Calibri"/>
                <w:color w:val="000000"/>
              </w:rPr>
            </w:pPr>
            <w:r>
              <w:rPr>
                <w:rFonts w:cs="Calibri"/>
                <w:color w:val="000000"/>
              </w:rPr>
              <w:t>44%</w:t>
            </w:r>
          </w:p>
        </w:tc>
      </w:tr>
      <w:tr w:rsidR="003957AD" w14:paraId="18AE5D60" w14:textId="77777777" w:rsidTr="00671A6D">
        <w:tc>
          <w:tcPr>
            <w:tcW w:w="1526" w:type="dxa"/>
            <w:vAlign w:val="bottom"/>
          </w:tcPr>
          <w:p w14:paraId="6C84DE19" w14:textId="77777777" w:rsidR="003957AD" w:rsidRDefault="003957AD" w:rsidP="00671A6D">
            <w:pPr>
              <w:rPr>
                <w:rFonts w:cs="Calibri"/>
                <w:b/>
                <w:bCs/>
                <w:color w:val="000000"/>
              </w:rPr>
            </w:pPr>
            <w:r>
              <w:rPr>
                <w:rFonts w:cs="Calibri"/>
                <w:b/>
                <w:bCs/>
                <w:color w:val="000000"/>
              </w:rPr>
              <w:t> </w:t>
            </w:r>
          </w:p>
        </w:tc>
        <w:tc>
          <w:tcPr>
            <w:tcW w:w="2268" w:type="dxa"/>
            <w:vAlign w:val="bottom"/>
          </w:tcPr>
          <w:p w14:paraId="40496163" w14:textId="77777777" w:rsidR="003957AD" w:rsidRDefault="003957AD" w:rsidP="00671A6D">
            <w:pPr>
              <w:rPr>
                <w:rFonts w:cs="Calibri"/>
                <w:color w:val="000000"/>
              </w:rPr>
            </w:pPr>
            <w:r>
              <w:rPr>
                <w:rFonts w:cs="Calibri"/>
                <w:color w:val="000000"/>
              </w:rPr>
              <w:t> </w:t>
            </w:r>
          </w:p>
        </w:tc>
        <w:tc>
          <w:tcPr>
            <w:tcW w:w="2410" w:type="dxa"/>
            <w:vAlign w:val="bottom"/>
          </w:tcPr>
          <w:p w14:paraId="5A29F9FD" w14:textId="77777777" w:rsidR="003957AD" w:rsidRDefault="003957AD" w:rsidP="00671A6D">
            <w:pPr>
              <w:rPr>
                <w:rFonts w:cs="Calibri"/>
                <w:color w:val="000000"/>
              </w:rPr>
            </w:pPr>
            <w:r>
              <w:rPr>
                <w:rFonts w:cs="Calibri"/>
                <w:color w:val="000000"/>
              </w:rPr>
              <w:t> </w:t>
            </w:r>
          </w:p>
        </w:tc>
        <w:tc>
          <w:tcPr>
            <w:tcW w:w="2409" w:type="dxa"/>
            <w:vAlign w:val="bottom"/>
          </w:tcPr>
          <w:p w14:paraId="176855C0" w14:textId="77777777" w:rsidR="003957AD" w:rsidRDefault="003957AD" w:rsidP="00671A6D">
            <w:pPr>
              <w:rPr>
                <w:rFonts w:cs="Calibri"/>
                <w:color w:val="000000"/>
              </w:rPr>
            </w:pPr>
            <w:r>
              <w:rPr>
                <w:rFonts w:cs="Calibri"/>
                <w:color w:val="000000"/>
              </w:rPr>
              <w:t> </w:t>
            </w:r>
          </w:p>
        </w:tc>
      </w:tr>
      <w:tr w:rsidR="003957AD" w14:paraId="1D845889" w14:textId="77777777" w:rsidTr="00671A6D">
        <w:tc>
          <w:tcPr>
            <w:tcW w:w="1526" w:type="dxa"/>
            <w:vAlign w:val="bottom"/>
          </w:tcPr>
          <w:p w14:paraId="7440EF4F" w14:textId="77777777" w:rsidR="003957AD" w:rsidRDefault="003957AD" w:rsidP="00671A6D">
            <w:pPr>
              <w:rPr>
                <w:rFonts w:cs="Calibri"/>
                <w:b/>
                <w:bCs/>
                <w:color w:val="000000"/>
              </w:rPr>
            </w:pPr>
            <w:r>
              <w:rPr>
                <w:rFonts w:cs="Calibri"/>
                <w:b/>
                <w:bCs/>
                <w:color w:val="000000"/>
              </w:rPr>
              <w:t>National (No.)</w:t>
            </w:r>
          </w:p>
        </w:tc>
        <w:tc>
          <w:tcPr>
            <w:tcW w:w="2268" w:type="dxa"/>
            <w:vAlign w:val="bottom"/>
          </w:tcPr>
          <w:p w14:paraId="7A2995D1" w14:textId="77777777" w:rsidR="003957AD" w:rsidRDefault="003957AD" w:rsidP="00671A6D">
            <w:pPr>
              <w:jc w:val="right"/>
              <w:rPr>
                <w:rFonts w:cs="Calibri"/>
                <w:color w:val="000000"/>
              </w:rPr>
            </w:pPr>
            <w:r>
              <w:rPr>
                <w:rFonts w:cs="Calibri"/>
                <w:color w:val="000000"/>
              </w:rPr>
              <w:t>13,053</w:t>
            </w:r>
          </w:p>
        </w:tc>
        <w:tc>
          <w:tcPr>
            <w:tcW w:w="2410" w:type="dxa"/>
            <w:vAlign w:val="bottom"/>
          </w:tcPr>
          <w:p w14:paraId="28657753" w14:textId="77777777" w:rsidR="003957AD" w:rsidRDefault="003957AD" w:rsidP="00671A6D">
            <w:pPr>
              <w:jc w:val="right"/>
              <w:rPr>
                <w:rFonts w:cs="Calibri"/>
                <w:color w:val="000000"/>
              </w:rPr>
            </w:pPr>
            <w:r>
              <w:rPr>
                <w:rFonts w:cs="Calibri"/>
                <w:color w:val="000000"/>
              </w:rPr>
              <w:t>16,958</w:t>
            </w:r>
          </w:p>
        </w:tc>
        <w:tc>
          <w:tcPr>
            <w:tcW w:w="2409" w:type="dxa"/>
            <w:vAlign w:val="bottom"/>
          </w:tcPr>
          <w:p w14:paraId="579F837E" w14:textId="77777777" w:rsidR="003957AD" w:rsidRDefault="003957AD" w:rsidP="00671A6D">
            <w:pPr>
              <w:jc w:val="right"/>
              <w:rPr>
                <w:rFonts w:cs="Calibri"/>
                <w:color w:val="000000"/>
              </w:rPr>
            </w:pPr>
            <w:r>
              <w:rPr>
                <w:rFonts w:cs="Calibri"/>
                <w:color w:val="000000"/>
              </w:rPr>
              <w:t>17,620</w:t>
            </w:r>
          </w:p>
        </w:tc>
      </w:tr>
      <w:tr w:rsidR="003957AD" w14:paraId="38CF41D5" w14:textId="77777777" w:rsidTr="00671A6D">
        <w:tc>
          <w:tcPr>
            <w:tcW w:w="1526" w:type="dxa"/>
            <w:vAlign w:val="bottom"/>
          </w:tcPr>
          <w:p w14:paraId="7945387D" w14:textId="77777777" w:rsidR="003957AD" w:rsidRDefault="003957AD" w:rsidP="00671A6D">
            <w:pPr>
              <w:rPr>
                <w:rFonts w:cs="Calibri"/>
                <w:b/>
                <w:bCs/>
                <w:color w:val="000000"/>
              </w:rPr>
            </w:pPr>
            <w:r>
              <w:rPr>
                <w:rFonts w:cs="Calibri"/>
                <w:b/>
                <w:bCs/>
                <w:color w:val="000000"/>
              </w:rPr>
              <w:t>National (%)</w:t>
            </w:r>
          </w:p>
        </w:tc>
        <w:tc>
          <w:tcPr>
            <w:tcW w:w="2268" w:type="dxa"/>
            <w:vAlign w:val="bottom"/>
          </w:tcPr>
          <w:p w14:paraId="6F950081" w14:textId="77777777" w:rsidR="003957AD" w:rsidRDefault="003957AD" w:rsidP="00671A6D">
            <w:pPr>
              <w:jc w:val="right"/>
              <w:rPr>
                <w:rFonts w:cs="Calibri"/>
                <w:color w:val="000000"/>
              </w:rPr>
            </w:pPr>
            <w:r>
              <w:rPr>
                <w:rFonts w:cs="Calibri"/>
                <w:color w:val="000000"/>
              </w:rPr>
              <w:t>27%</w:t>
            </w:r>
          </w:p>
        </w:tc>
        <w:tc>
          <w:tcPr>
            <w:tcW w:w="2410" w:type="dxa"/>
            <w:vAlign w:val="bottom"/>
          </w:tcPr>
          <w:p w14:paraId="424140AF" w14:textId="77777777" w:rsidR="003957AD" w:rsidRDefault="003957AD" w:rsidP="00671A6D">
            <w:pPr>
              <w:jc w:val="right"/>
              <w:rPr>
                <w:rFonts w:cs="Calibri"/>
                <w:color w:val="000000"/>
              </w:rPr>
            </w:pPr>
            <w:r>
              <w:rPr>
                <w:rFonts w:cs="Calibri"/>
                <w:color w:val="000000"/>
              </w:rPr>
              <w:t>36%</w:t>
            </w:r>
          </w:p>
        </w:tc>
        <w:tc>
          <w:tcPr>
            <w:tcW w:w="2409" w:type="dxa"/>
            <w:vAlign w:val="bottom"/>
          </w:tcPr>
          <w:p w14:paraId="5C5B6219" w14:textId="77777777" w:rsidR="003957AD" w:rsidRDefault="003957AD" w:rsidP="00671A6D">
            <w:pPr>
              <w:jc w:val="right"/>
              <w:rPr>
                <w:rFonts w:cs="Calibri"/>
                <w:color w:val="000000"/>
              </w:rPr>
            </w:pPr>
            <w:r>
              <w:rPr>
                <w:rFonts w:cs="Calibri"/>
                <w:color w:val="000000"/>
              </w:rPr>
              <w:t>37%</w:t>
            </w:r>
          </w:p>
        </w:tc>
      </w:tr>
    </w:tbl>
    <w:p w14:paraId="679DD694" w14:textId="77777777" w:rsidR="003957AD" w:rsidRDefault="003957AD" w:rsidP="003957AD"/>
    <w:p w14:paraId="4AF577AA" w14:textId="77777777" w:rsidR="00606791" w:rsidRDefault="003957AD" w:rsidP="00606791">
      <w:pPr>
        <w:pStyle w:val="Heading4"/>
      </w:pPr>
      <w:r>
        <w:lastRenderedPageBreak/>
        <w:t>Figure 1: VIC – Age of Participants</w:t>
      </w:r>
    </w:p>
    <w:p w14:paraId="2D3DE3CD" w14:textId="45FC90D8" w:rsidR="003957AD" w:rsidRDefault="003957AD" w:rsidP="003957AD">
      <w:pPr>
        <w:pStyle w:val="Caption"/>
        <w:keepNext/>
      </w:pPr>
      <w:r>
        <w:rPr>
          <w:noProof/>
        </w:rPr>
        <w:drawing>
          <wp:inline distT="0" distB="0" distL="0" distR="0" wp14:anchorId="28BFEF60" wp14:editId="664F1050">
            <wp:extent cx="6019800" cy="3857625"/>
            <wp:effectExtent l="0" t="0" r="0" b="0"/>
            <wp:docPr id="9" name="Chart 9" descr="VIC Age of participants, graphic representation of table 5 below"/>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054D9161" w14:textId="77777777" w:rsidR="00606791" w:rsidRDefault="003957AD" w:rsidP="00606791">
      <w:pPr>
        <w:pStyle w:val="Heading4"/>
      </w:pPr>
      <w:r>
        <w:t>Figure 2: National – Age of Participants</w:t>
      </w:r>
    </w:p>
    <w:p w14:paraId="3A5908DD" w14:textId="0BCEE0BA" w:rsidR="003957AD" w:rsidRDefault="003957AD" w:rsidP="003957AD">
      <w:pPr>
        <w:pStyle w:val="Caption"/>
        <w:keepNext/>
      </w:pPr>
      <w:r>
        <w:rPr>
          <w:noProof/>
        </w:rPr>
        <w:drawing>
          <wp:inline distT="0" distB="0" distL="0" distR="0" wp14:anchorId="0231B01F" wp14:editId="473E4DAF">
            <wp:extent cx="6019800" cy="4210050"/>
            <wp:effectExtent l="0" t="0" r="0" b="0"/>
            <wp:docPr id="12" name="Chart 12" descr="National Age of participants, graphic representation of table 6 below."/>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04B5D484" w14:textId="0255FCAE" w:rsidR="00546F15" w:rsidRDefault="00546F15">
      <w:pPr>
        <w:spacing w:after="200"/>
      </w:pPr>
      <w:r>
        <w:br w:type="page"/>
      </w:r>
    </w:p>
    <w:p w14:paraId="4EA67157" w14:textId="77777777" w:rsidR="003957AD" w:rsidRDefault="003957AD" w:rsidP="00546F15">
      <w:pPr>
        <w:pStyle w:val="Heading4"/>
        <w:rPr>
          <w:rFonts w:eastAsia="Times New Roman"/>
        </w:rPr>
      </w:pPr>
      <w:r w:rsidRPr="0047025E">
        <w:rPr>
          <w:rFonts w:eastAsia="Times New Roman"/>
        </w:rPr>
        <w:lastRenderedPageBreak/>
        <w:t>Table 5: VIC - Age of Participants</w:t>
      </w:r>
    </w:p>
    <w:tbl>
      <w:tblPr>
        <w:tblStyle w:val="TableGrid1"/>
        <w:tblW w:w="8647" w:type="dxa"/>
        <w:tblLook w:val="04A0" w:firstRow="1" w:lastRow="0" w:firstColumn="1" w:lastColumn="0" w:noHBand="0" w:noVBand="1"/>
        <w:tblDescription w:val="Table 5: VIC - Age of Participants"/>
      </w:tblPr>
      <w:tblGrid>
        <w:gridCol w:w="683"/>
        <w:gridCol w:w="1444"/>
        <w:gridCol w:w="1701"/>
        <w:gridCol w:w="1559"/>
        <w:gridCol w:w="1701"/>
        <w:gridCol w:w="1559"/>
      </w:tblGrid>
      <w:tr w:rsidR="00671A6D" w:rsidRPr="001713B7" w14:paraId="195536EA" w14:textId="77777777" w:rsidTr="00671A6D">
        <w:trPr>
          <w:trHeight w:val="246"/>
          <w:tblHeader/>
        </w:trPr>
        <w:tc>
          <w:tcPr>
            <w:tcW w:w="683" w:type="dxa"/>
            <w:shd w:val="clear" w:color="auto" w:fill="DBE5F1" w:themeFill="accent1" w:themeFillTint="33"/>
            <w:noWrap/>
            <w:hideMark/>
          </w:tcPr>
          <w:p w14:paraId="5114192C" w14:textId="77777777" w:rsidR="00671A6D" w:rsidRPr="001713B7" w:rsidRDefault="00671A6D" w:rsidP="0055431E">
            <w:pPr>
              <w:tabs>
                <w:tab w:val="left" w:pos="6153"/>
              </w:tabs>
              <w:jc w:val="center"/>
              <w:rPr>
                <w:b/>
              </w:rPr>
            </w:pPr>
            <w:r w:rsidRPr="001713B7">
              <w:rPr>
                <w:b/>
              </w:rPr>
              <w:t> </w:t>
            </w:r>
            <w:r>
              <w:rPr>
                <w:b/>
              </w:rPr>
              <w:t>Age</w:t>
            </w:r>
          </w:p>
        </w:tc>
        <w:tc>
          <w:tcPr>
            <w:tcW w:w="1444" w:type="dxa"/>
            <w:shd w:val="clear" w:color="auto" w:fill="DBE5F1" w:themeFill="accent1" w:themeFillTint="33"/>
            <w:noWrap/>
            <w:hideMark/>
          </w:tcPr>
          <w:p w14:paraId="0B169596" w14:textId="77777777" w:rsidR="00671A6D" w:rsidRPr="001713B7" w:rsidRDefault="00671A6D" w:rsidP="0055431E">
            <w:pPr>
              <w:tabs>
                <w:tab w:val="left" w:pos="6153"/>
              </w:tabs>
              <w:jc w:val="center"/>
              <w:rPr>
                <w:b/>
              </w:rPr>
            </w:pPr>
            <w:r w:rsidRPr="001713B7">
              <w:rPr>
                <w:b/>
              </w:rPr>
              <w:t>Level 1</w:t>
            </w:r>
          </w:p>
        </w:tc>
        <w:tc>
          <w:tcPr>
            <w:tcW w:w="1701" w:type="dxa"/>
            <w:shd w:val="clear" w:color="auto" w:fill="DBE5F1" w:themeFill="accent1" w:themeFillTint="33"/>
            <w:noWrap/>
            <w:hideMark/>
          </w:tcPr>
          <w:p w14:paraId="7C7564D8" w14:textId="77777777" w:rsidR="00671A6D" w:rsidRPr="001713B7" w:rsidRDefault="00671A6D" w:rsidP="0055431E">
            <w:pPr>
              <w:tabs>
                <w:tab w:val="left" w:pos="6153"/>
              </w:tabs>
              <w:jc w:val="center"/>
              <w:rPr>
                <w:b/>
              </w:rPr>
            </w:pPr>
            <w:r w:rsidRPr="001713B7">
              <w:rPr>
                <w:b/>
              </w:rPr>
              <w:t xml:space="preserve">Level </w:t>
            </w:r>
            <w:proofErr w:type="spellStart"/>
            <w:r w:rsidRPr="001713B7">
              <w:rPr>
                <w:b/>
              </w:rPr>
              <w:t>2a</w:t>
            </w:r>
            <w:proofErr w:type="spellEnd"/>
          </w:p>
        </w:tc>
        <w:tc>
          <w:tcPr>
            <w:tcW w:w="1559" w:type="dxa"/>
            <w:shd w:val="clear" w:color="auto" w:fill="DBE5F1" w:themeFill="accent1" w:themeFillTint="33"/>
            <w:noWrap/>
            <w:hideMark/>
          </w:tcPr>
          <w:p w14:paraId="3EAAAC01" w14:textId="77777777" w:rsidR="00671A6D" w:rsidRPr="001713B7" w:rsidRDefault="00671A6D" w:rsidP="0055431E">
            <w:pPr>
              <w:tabs>
                <w:tab w:val="left" w:pos="6153"/>
              </w:tabs>
              <w:jc w:val="center"/>
              <w:rPr>
                <w:b/>
              </w:rPr>
            </w:pPr>
            <w:r w:rsidRPr="001713B7">
              <w:rPr>
                <w:b/>
              </w:rPr>
              <w:t xml:space="preserve">Level </w:t>
            </w:r>
            <w:proofErr w:type="spellStart"/>
            <w:r w:rsidRPr="001713B7">
              <w:rPr>
                <w:b/>
              </w:rPr>
              <w:t>2b</w:t>
            </w:r>
            <w:proofErr w:type="spellEnd"/>
          </w:p>
        </w:tc>
        <w:tc>
          <w:tcPr>
            <w:tcW w:w="1701" w:type="dxa"/>
            <w:shd w:val="clear" w:color="auto" w:fill="DBE5F1" w:themeFill="accent1" w:themeFillTint="33"/>
            <w:noWrap/>
            <w:hideMark/>
          </w:tcPr>
          <w:p w14:paraId="34956DAB" w14:textId="77777777" w:rsidR="00671A6D" w:rsidRPr="001713B7" w:rsidRDefault="00671A6D" w:rsidP="0055431E">
            <w:pPr>
              <w:tabs>
                <w:tab w:val="left" w:pos="6153"/>
              </w:tabs>
              <w:jc w:val="center"/>
              <w:rPr>
                <w:b/>
              </w:rPr>
            </w:pPr>
            <w:r w:rsidRPr="001713B7">
              <w:rPr>
                <w:b/>
              </w:rPr>
              <w:t>Total</w:t>
            </w:r>
          </w:p>
        </w:tc>
        <w:tc>
          <w:tcPr>
            <w:tcW w:w="1559" w:type="dxa"/>
            <w:shd w:val="clear" w:color="auto" w:fill="DBE5F1" w:themeFill="accent1" w:themeFillTint="33"/>
            <w:noWrap/>
            <w:hideMark/>
          </w:tcPr>
          <w:p w14:paraId="639D01A6" w14:textId="77777777" w:rsidR="00671A6D" w:rsidRPr="001713B7" w:rsidRDefault="00671A6D" w:rsidP="0055431E">
            <w:pPr>
              <w:tabs>
                <w:tab w:val="left" w:pos="6153"/>
              </w:tabs>
              <w:jc w:val="center"/>
              <w:rPr>
                <w:b/>
              </w:rPr>
            </w:pPr>
            <w:r w:rsidRPr="001713B7">
              <w:rPr>
                <w:b/>
              </w:rPr>
              <w:t>% Total</w:t>
            </w:r>
          </w:p>
        </w:tc>
      </w:tr>
      <w:tr w:rsidR="00671A6D" w:rsidRPr="001713B7" w14:paraId="08299D15" w14:textId="77777777" w:rsidTr="0055431E">
        <w:trPr>
          <w:trHeight w:val="300"/>
        </w:trPr>
        <w:tc>
          <w:tcPr>
            <w:tcW w:w="683" w:type="dxa"/>
            <w:noWrap/>
            <w:hideMark/>
          </w:tcPr>
          <w:p w14:paraId="75288147" w14:textId="77777777" w:rsidR="00671A6D" w:rsidRDefault="00671A6D" w:rsidP="0055431E">
            <w:pPr>
              <w:rPr>
                <w:rFonts w:cs="Calibri"/>
                <w:b/>
                <w:bCs/>
                <w:color w:val="000000"/>
              </w:rPr>
            </w:pPr>
            <w:r>
              <w:rPr>
                <w:rFonts w:cs="Calibri"/>
                <w:b/>
                <w:bCs/>
                <w:color w:val="000000"/>
              </w:rPr>
              <w:t>8</w:t>
            </w:r>
          </w:p>
        </w:tc>
        <w:tc>
          <w:tcPr>
            <w:tcW w:w="1444" w:type="dxa"/>
            <w:noWrap/>
            <w:hideMark/>
          </w:tcPr>
          <w:p w14:paraId="2DF46B91" w14:textId="77777777" w:rsidR="00671A6D" w:rsidRDefault="00671A6D" w:rsidP="0055431E">
            <w:pPr>
              <w:jc w:val="right"/>
              <w:rPr>
                <w:rFonts w:cs="Calibri"/>
                <w:color w:val="000000"/>
              </w:rPr>
            </w:pPr>
            <w:r>
              <w:rPr>
                <w:rFonts w:cs="Calibri"/>
                <w:color w:val="000000"/>
              </w:rPr>
              <w:t>0</w:t>
            </w:r>
          </w:p>
        </w:tc>
        <w:tc>
          <w:tcPr>
            <w:tcW w:w="1701" w:type="dxa"/>
            <w:noWrap/>
            <w:hideMark/>
          </w:tcPr>
          <w:p w14:paraId="14CF6D60" w14:textId="77777777" w:rsidR="00671A6D" w:rsidRDefault="00671A6D" w:rsidP="0055431E">
            <w:pPr>
              <w:jc w:val="right"/>
              <w:rPr>
                <w:rFonts w:cs="Calibri"/>
                <w:color w:val="000000"/>
              </w:rPr>
            </w:pPr>
            <w:r>
              <w:rPr>
                <w:rFonts w:cs="Calibri"/>
                <w:color w:val="000000"/>
              </w:rPr>
              <w:t>0</w:t>
            </w:r>
          </w:p>
        </w:tc>
        <w:tc>
          <w:tcPr>
            <w:tcW w:w="1559" w:type="dxa"/>
            <w:noWrap/>
            <w:hideMark/>
          </w:tcPr>
          <w:p w14:paraId="74A3AB3A" w14:textId="77777777" w:rsidR="00671A6D" w:rsidRDefault="00671A6D" w:rsidP="0055431E">
            <w:pPr>
              <w:jc w:val="right"/>
              <w:rPr>
                <w:rFonts w:cs="Calibri"/>
                <w:color w:val="000000"/>
              </w:rPr>
            </w:pPr>
            <w:r>
              <w:rPr>
                <w:rFonts w:cs="Calibri"/>
                <w:color w:val="000000"/>
              </w:rPr>
              <w:t>0</w:t>
            </w:r>
          </w:p>
        </w:tc>
        <w:tc>
          <w:tcPr>
            <w:tcW w:w="1701" w:type="dxa"/>
            <w:noWrap/>
            <w:hideMark/>
          </w:tcPr>
          <w:p w14:paraId="45ECC87B" w14:textId="77777777" w:rsidR="00671A6D" w:rsidRDefault="00671A6D" w:rsidP="0055431E">
            <w:pPr>
              <w:jc w:val="right"/>
              <w:rPr>
                <w:rFonts w:cs="Calibri"/>
                <w:color w:val="000000"/>
              </w:rPr>
            </w:pPr>
            <w:r>
              <w:rPr>
                <w:rFonts w:cs="Calibri"/>
                <w:color w:val="000000"/>
              </w:rPr>
              <w:t>0</w:t>
            </w:r>
          </w:p>
        </w:tc>
        <w:tc>
          <w:tcPr>
            <w:tcW w:w="1559" w:type="dxa"/>
            <w:noWrap/>
            <w:hideMark/>
          </w:tcPr>
          <w:p w14:paraId="27D3ECA1" w14:textId="77777777" w:rsidR="00671A6D" w:rsidRDefault="00671A6D" w:rsidP="0055431E">
            <w:pPr>
              <w:jc w:val="right"/>
              <w:rPr>
                <w:rFonts w:cs="Calibri"/>
                <w:color w:val="000000"/>
              </w:rPr>
            </w:pPr>
            <w:r>
              <w:rPr>
                <w:rFonts w:cs="Calibri"/>
                <w:color w:val="000000"/>
              </w:rPr>
              <w:t>0%</w:t>
            </w:r>
          </w:p>
        </w:tc>
      </w:tr>
      <w:tr w:rsidR="00671A6D" w:rsidRPr="001713B7" w14:paraId="32FD6B37" w14:textId="77777777" w:rsidTr="0055431E">
        <w:trPr>
          <w:trHeight w:val="300"/>
        </w:trPr>
        <w:tc>
          <w:tcPr>
            <w:tcW w:w="683" w:type="dxa"/>
            <w:noWrap/>
            <w:hideMark/>
          </w:tcPr>
          <w:p w14:paraId="3F7BD1C5" w14:textId="77777777" w:rsidR="00671A6D" w:rsidRDefault="00671A6D" w:rsidP="0055431E">
            <w:pPr>
              <w:rPr>
                <w:rFonts w:cs="Calibri"/>
                <w:b/>
                <w:bCs/>
                <w:color w:val="000000"/>
              </w:rPr>
            </w:pPr>
            <w:r>
              <w:rPr>
                <w:rFonts w:cs="Calibri"/>
                <w:b/>
                <w:bCs/>
                <w:color w:val="000000"/>
              </w:rPr>
              <w:t>9</w:t>
            </w:r>
          </w:p>
        </w:tc>
        <w:tc>
          <w:tcPr>
            <w:tcW w:w="1444" w:type="dxa"/>
            <w:noWrap/>
            <w:hideMark/>
          </w:tcPr>
          <w:p w14:paraId="0C2B53AD" w14:textId="77777777" w:rsidR="00671A6D" w:rsidRDefault="00671A6D" w:rsidP="0055431E">
            <w:pPr>
              <w:jc w:val="right"/>
              <w:rPr>
                <w:rFonts w:cs="Calibri"/>
                <w:color w:val="000000"/>
              </w:rPr>
            </w:pPr>
            <w:r>
              <w:rPr>
                <w:rFonts w:cs="Calibri"/>
                <w:color w:val="000000"/>
              </w:rPr>
              <w:t>0</w:t>
            </w:r>
          </w:p>
        </w:tc>
        <w:tc>
          <w:tcPr>
            <w:tcW w:w="1701" w:type="dxa"/>
            <w:noWrap/>
            <w:hideMark/>
          </w:tcPr>
          <w:p w14:paraId="7535D6E8" w14:textId="77777777" w:rsidR="00671A6D" w:rsidRDefault="00671A6D" w:rsidP="0055431E">
            <w:pPr>
              <w:jc w:val="right"/>
              <w:rPr>
                <w:rFonts w:cs="Calibri"/>
                <w:color w:val="000000"/>
              </w:rPr>
            </w:pPr>
            <w:r>
              <w:rPr>
                <w:rFonts w:cs="Calibri"/>
                <w:color w:val="000000"/>
              </w:rPr>
              <w:t>0</w:t>
            </w:r>
          </w:p>
        </w:tc>
        <w:tc>
          <w:tcPr>
            <w:tcW w:w="1559" w:type="dxa"/>
            <w:noWrap/>
            <w:hideMark/>
          </w:tcPr>
          <w:p w14:paraId="2D8271ED" w14:textId="77777777" w:rsidR="00671A6D" w:rsidRDefault="00671A6D" w:rsidP="0055431E">
            <w:pPr>
              <w:jc w:val="right"/>
              <w:rPr>
                <w:rFonts w:cs="Calibri"/>
                <w:color w:val="000000"/>
              </w:rPr>
            </w:pPr>
            <w:r>
              <w:rPr>
                <w:rFonts w:cs="Calibri"/>
                <w:color w:val="000000"/>
              </w:rPr>
              <w:t>0</w:t>
            </w:r>
          </w:p>
        </w:tc>
        <w:tc>
          <w:tcPr>
            <w:tcW w:w="1701" w:type="dxa"/>
            <w:noWrap/>
            <w:hideMark/>
          </w:tcPr>
          <w:p w14:paraId="00595D4E" w14:textId="77777777" w:rsidR="00671A6D" w:rsidRDefault="00671A6D" w:rsidP="0055431E">
            <w:pPr>
              <w:jc w:val="right"/>
              <w:rPr>
                <w:rFonts w:cs="Calibri"/>
                <w:color w:val="000000"/>
              </w:rPr>
            </w:pPr>
            <w:r>
              <w:rPr>
                <w:rFonts w:cs="Calibri"/>
                <w:color w:val="000000"/>
              </w:rPr>
              <w:t>0</w:t>
            </w:r>
          </w:p>
        </w:tc>
        <w:tc>
          <w:tcPr>
            <w:tcW w:w="1559" w:type="dxa"/>
            <w:noWrap/>
            <w:hideMark/>
          </w:tcPr>
          <w:p w14:paraId="7F5D2265" w14:textId="77777777" w:rsidR="00671A6D" w:rsidRDefault="00671A6D" w:rsidP="0055431E">
            <w:pPr>
              <w:jc w:val="right"/>
              <w:rPr>
                <w:rFonts w:cs="Calibri"/>
                <w:color w:val="000000"/>
              </w:rPr>
            </w:pPr>
            <w:r>
              <w:rPr>
                <w:rFonts w:cs="Calibri"/>
                <w:color w:val="000000"/>
              </w:rPr>
              <w:t>0%</w:t>
            </w:r>
          </w:p>
        </w:tc>
      </w:tr>
      <w:tr w:rsidR="00671A6D" w:rsidRPr="001713B7" w14:paraId="03CE0AD8" w14:textId="77777777" w:rsidTr="0055431E">
        <w:trPr>
          <w:trHeight w:val="300"/>
        </w:trPr>
        <w:tc>
          <w:tcPr>
            <w:tcW w:w="683" w:type="dxa"/>
            <w:noWrap/>
            <w:hideMark/>
          </w:tcPr>
          <w:p w14:paraId="3F06DBB2" w14:textId="77777777" w:rsidR="00671A6D" w:rsidRDefault="00671A6D" w:rsidP="0055431E">
            <w:pPr>
              <w:rPr>
                <w:rFonts w:cs="Calibri"/>
                <w:b/>
                <w:bCs/>
                <w:color w:val="000000"/>
              </w:rPr>
            </w:pPr>
            <w:r>
              <w:rPr>
                <w:rFonts w:cs="Calibri"/>
                <w:b/>
                <w:bCs/>
                <w:color w:val="000000"/>
              </w:rPr>
              <w:t>10</w:t>
            </w:r>
          </w:p>
        </w:tc>
        <w:tc>
          <w:tcPr>
            <w:tcW w:w="1444" w:type="dxa"/>
            <w:noWrap/>
            <w:hideMark/>
          </w:tcPr>
          <w:p w14:paraId="052716C8" w14:textId="77777777" w:rsidR="00671A6D" w:rsidRDefault="00671A6D" w:rsidP="0055431E">
            <w:pPr>
              <w:jc w:val="right"/>
              <w:rPr>
                <w:rFonts w:cs="Calibri"/>
                <w:color w:val="000000"/>
              </w:rPr>
            </w:pPr>
            <w:r>
              <w:rPr>
                <w:rFonts w:cs="Calibri"/>
                <w:color w:val="000000"/>
              </w:rPr>
              <w:t>1</w:t>
            </w:r>
          </w:p>
        </w:tc>
        <w:tc>
          <w:tcPr>
            <w:tcW w:w="1701" w:type="dxa"/>
            <w:noWrap/>
            <w:hideMark/>
          </w:tcPr>
          <w:p w14:paraId="47A1A556" w14:textId="77777777" w:rsidR="00671A6D" w:rsidRDefault="00671A6D" w:rsidP="0055431E">
            <w:pPr>
              <w:jc w:val="right"/>
              <w:rPr>
                <w:rFonts w:cs="Calibri"/>
                <w:color w:val="000000"/>
              </w:rPr>
            </w:pPr>
            <w:r>
              <w:rPr>
                <w:rFonts w:cs="Calibri"/>
                <w:color w:val="000000"/>
              </w:rPr>
              <w:t>2</w:t>
            </w:r>
          </w:p>
        </w:tc>
        <w:tc>
          <w:tcPr>
            <w:tcW w:w="1559" w:type="dxa"/>
            <w:noWrap/>
            <w:hideMark/>
          </w:tcPr>
          <w:p w14:paraId="1F50B44D" w14:textId="77777777" w:rsidR="00671A6D" w:rsidRDefault="00671A6D" w:rsidP="0055431E">
            <w:pPr>
              <w:jc w:val="right"/>
              <w:rPr>
                <w:rFonts w:cs="Calibri"/>
                <w:color w:val="000000"/>
              </w:rPr>
            </w:pPr>
            <w:r>
              <w:rPr>
                <w:rFonts w:cs="Calibri"/>
                <w:color w:val="000000"/>
              </w:rPr>
              <w:t>2</w:t>
            </w:r>
          </w:p>
        </w:tc>
        <w:tc>
          <w:tcPr>
            <w:tcW w:w="1701" w:type="dxa"/>
            <w:noWrap/>
            <w:hideMark/>
          </w:tcPr>
          <w:p w14:paraId="7621C290" w14:textId="77777777" w:rsidR="00671A6D" w:rsidRDefault="00671A6D" w:rsidP="0055431E">
            <w:pPr>
              <w:jc w:val="right"/>
              <w:rPr>
                <w:rFonts w:cs="Calibri"/>
                <w:color w:val="000000"/>
              </w:rPr>
            </w:pPr>
            <w:r>
              <w:rPr>
                <w:rFonts w:cs="Calibri"/>
                <w:color w:val="000000"/>
              </w:rPr>
              <w:t>5</w:t>
            </w:r>
          </w:p>
        </w:tc>
        <w:tc>
          <w:tcPr>
            <w:tcW w:w="1559" w:type="dxa"/>
            <w:noWrap/>
            <w:hideMark/>
          </w:tcPr>
          <w:p w14:paraId="0832114A" w14:textId="77777777" w:rsidR="00671A6D" w:rsidRDefault="00671A6D" w:rsidP="0055431E">
            <w:pPr>
              <w:jc w:val="right"/>
              <w:rPr>
                <w:rFonts w:cs="Calibri"/>
                <w:color w:val="000000"/>
              </w:rPr>
            </w:pPr>
            <w:r>
              <w:rPr>
                <w:rFonts w:cs="Calibri"/>
                <w:color w:val="000000"/>
              </w:rPr>
              <w:t>0%</w:t>
            </w:r>
          </w:p>
        </w:tc>
      </w:tr>
      <w:tr w:rsidR="00671A6D" w:rsidRPr="001713B7" w14:paraId="5F167BF5" w14:textId="77777777" w:rsidTr="0055431E">
        <w:trPr>
          <w:trHeight w:val="300"/>
        </w:trPr>
        <w:tc>
          <w:tcPr>
            <w:tcW w:w="683" w:type="dxa"/>
            <w:noWrap/>
            <w:hideMark/>
          </w:tcPr>
          <w:p w14:paraId="1282B479" w14:textId="77777777" w:rsidR="00671A6D" w:rsidRDefault="00671A6D" w:rsidP="0055431E">
            <w:pPr>
              <w:rPr>
                <w:rFonts w:cs="Calibri"/>
                <w:b/>
                <w:bCs/>
                <w:color w:val="000000"/>
              </w:rPr>
            </w:pPr>
            <w:r>
              <w:rPr>
                <w:rFonts w:cs="Calibri"/>
                <w:b/>
                <w:bCs/>
                <w:color w:val="000000"/>
              </w:rPr>
              <w:t>11</w:t>
            </w:r>
          </w:p>
        </w:tc>
        <w:tc>
          <w:tcPr>
            <w:tcW w:w="1444" w:type="dxa"/>
            <w:noWrap/>
            <w:hideMark/>
          </w:tcPr>
          <w:p w14:paraId="3B523BAE" w14:textId="77777777" w:rsidR="00671A6D" w:rsidRDefault="00671A6D" w:rsidP="0055431E">
            <w:pPr>
              <w:jc w:val="right"/>
              <w:rPr>
                <w:rFonts w:cs="Calibri"/>
                <w:color w:val="000000"/>
              </w:rPr>
            </w:pPr>
            <w:r>
              <w:rPr>
                <w:rFonts w:cs="Calibri"/>
                <w:color w:val="000000"/>
              </w:rPr>
              <w:t>6</w:t>
            </w:r>
          </w:p>
        </w:tc>
        <w:tc>
          <w:tcPr>
            <w:tcW w:w="1701" w:type="dxa"/>
            <w:noWrap/>
            <w:hideMark/>
          </w:tcPr>
          <w:p w14:paraId="5CC8651D" w14:textId="77777777" w:rsidR="00671A6D" w:rsidRDefault="00671A6D" w:rsidP="0055431E">
            <w:pPr>
              <w:jc w:val="right"/>
              <w:rPr>
                <w:rFonts w:cs="Calibri"/>
                <w:color w:val="000000"/>
              </w:rPr>
            </w:pPr>
            <w:r>
              <w:rPr>
                <w:rFonts w:cs="Calibri"/>
                <w:color w:val="000000"/>
              </w:rPr>
              <w:t>4</w:t>
            </w:r>
          </w:p>
        </w:tc>
        <w:tc>
          <w:tcPr>
            <w:tcW w:w="1559" w:type="dxa"/>
            <w:noWrap/>
            <w:hideMark/>
          </w:tcPr>
          <w:p w14:paraId="0EDC00C0" w14:textId="77777777" w:rsidR="00671A6D" w:rsidRDefault="00671A6D" w:rsidP="0055431E">
            <w:pPr>
              <w:jc w:val="right"/>
              <w:rPr>
                <w:rFonts w:cs="Calibri"/>
                <w:color w:val="000000"/>
              </w:rPr>
            </w:pPr>
            <w:r>
              <w:rPr>
                <w:rFonts w:cs="Calibri"/>
                <w:color w:val="000000"/>
              </w:rPr>
              <w:t>4</w:t>
            </w:r>
          </w:p>
        </w:tc>
        <w:tc>
          <w:tcPr>
            <w:tcW w:w="1701" w:type="dxa"/>
            <w:noWrap/>
            <w:hideMark/>
          </w:tcPr>
          <w:p w14:paraId="291578DA" w14:textId="77777777" w:rsidR="00671A6D" w:rsidRDefault="00671A6D" w:rsidP="0055431E">
            <w:pPr>
              <w:jc w:val="right"/>
              <w:rPr>
                <w:rFonts w:cs="Calibri"/>
                <w:color w:val="000000"/>
              </w:rPr>
            </w:pPr>
            <w:r>
              <w:rPr>
                <w:rFonts w:cs="Calibri"/>
                <w:color w:val="000000"/>
              </w:rPr>
              <w:t>14</w:t>
            </w:r>
          </w:p>
        </w:tc>
        <w:tc>
          <w:tcPr>
            <w:tcW w:w="1559" w:type="dxa"/>
            <w:noWrap/>
            <w:hideMark/>
          </w:tcPr>
          <w:p w14:paraId="37CA1864" w14:textId="77777777" w:rsidR="00671A6D" w:rsidRDefault="00671A6D" w:rsidP="0055431E">
            <w:pPr>
              <w:jc w:val="right"/>
              <w:rPr>
                <w:rFonts w:cs="Calibri"/>
                <w:color w:val="000000"/>
              </w:rPr>
            </w:pPr>
            <w:r>
              <w:rPr>
                <w:rFonts w:cs="Calibri"/>
                <w:color w:val="000000"/>
              </w:rPr>
              <w:t>0%</w:t>
            </w:r>
          </w:p>
        </w:tc>
      </w:tr>
      <w:tr w:rsidR="00671A6D" w:rsidRPr="001713B7" w14:paraId="554AD77D" w14:textId="77777777" w:rsidTr="0055431E">
        <w:trPr>
          <w:trHeight w:val="300"/>
        </w:trPr>
        <w:tc>
          <w:tcPr>
            <w:tcW w:w="683" w:type="dxa"/>
            <w:noWrap/>
            <w:hideMark/>
          </w:tcPr>
          <w:p w14:paraId="7C9E58B7" w14:textId="77777777" w:rsidR="00671A6D" w:rsidRDefault="00671A6D" w:rsidP="0055431E">
            <w:pPr>
              <w:rPr>
                <w:rFonts w:cs="Calibri"/>
                <w:b/>
                <w:bCs/>
                <w:color w:val="000000"/>
              </w:rPr>
            </w:pPr>
            <w:r>
              <w:rPr>
                <w:rFonts w:cs="Calibri"/>
                <w:b/>
                <w:bCs/>
                <w:color w:val="000000"/>
              </w:rPr>
              <w:t>12</w:t>
            </w:r>
          </w:p>
        </w:tc>
        <w:tc>
          <w:tcPr>
            <w:tcW w:w="1444" w:type="dxa"/>
            <w:noWrap/>
            <w:hideMark/>
          </w:tcPr>
          <w:p w14:paraId="61BE6834" w14:textId="77777777" w:rsidR="00671A6D" w:rsidRDefault="00671A6D" w:rsidP="0055431E">
            <w:pPr>
              <w:jc w:val="right"/>
              <w:rPr>
                <w:rFonts w:cs="Calibri"/>
                <w:color w:val="000000"/>
              </w:rPr>
            </w:pPr>
            <w:r>
              <w:rPr>
                <w:rFonts w:cs="Calibri"/>
                <w:color w:val="000000"/>
              </w:rPr>
              <w:t>97</w:t>
            </w:r>
          </w:p>
        </w:tc>
        <w:tc>
          <w:tcPr>
            <w:tcW w:w="1701" w:type="dxa"/>
            <w:noWrap/>
            <w:hideMark/>
          </w:tcPr>
          <w:p w14:paraId="60B0792B" w14:textId="77777777" w:rsidR="00671A6D" w:rsidRDefault="00671A6D" w:rsidP="0055431E">
            <w:pPr>
              <w:jc w:val="right"/>
              <w:rPr>
                <w:rFonts w:cs="Calibri"/>
                <w:color w:val="000000"/>
              </w:rPr>
            </w:pPr>
            <w:r>
              <w:rPr>
                <w:rFonts w:cs="Calibri"/>
                <w:color w:val="000000"/>
              </w:rPr>
              <w:t>72</w:t>
            </w:r>
          </w:p>
        </w:tc>
        <w:tc>
          <w:tcPr>
            <w:tcW w:w="1559" w:type="dxa"/>
            <w:noWrap/>
            <w:hideMark/>
          </w:tcPr>
          <w:p w14:paraId="6D253E23" w14:textId="77777777" w:rsidR="00671A6D" w:rsidRDefault="00671A6D" w:rsidP="0055431E">
            <w:pPr>
              <w:jc w:val="right"/>
              <w:rPr>
                <w:rFonts w:cs="Calibri"/>
                <w:color w:val="000000"/>
              </w:rPr>
            </w:pPr>
            <w:r>
              <w:rPr>
                <w:rFonts w:cs="Calibri"/>
                <w:color w:val="000000"/>
              </w:rPr>
              <w:t>61</w:t>
            </w:r>
          </w:p>
        </w:tc>
        <w:tc>
          <w:tcPr>
            <w:tcW w:w="1701" w:type="dxa"/>
            <w:noWrap/>
            <w:hideMark/>
          </w:tcPr>
          <w:p w14:paraId="48CDA48C" w14:textId="77777777" w:rsidR="00671A6D" w:rsidRDefault="00671A6D" w:rsidP="0055431E">
            <w:pPr>
              <w:jc w:val="right"/>
              <w:rPr>
                <w:rFonts w:cs="Calibri"/>
                <w:color w:val="000000"/>
              </w:rPr>
            </w:pPr>
            <w:r>
              <w:rPr>
                <w:rFonts w:cs="Calibri"/>
                <w:color w:val="000000"/>
              </w:rPr>
              <w:t>212</w:t>
            </w:r>
          </w:p>
        </w:tc>
        <w:tc>
          <w:tcPr>
            <w:tcW w:w="1559" w:type="dxa"/>
            <w:noWrap/>
            <w:hideMark/>
          </w:tcPr>
          <w:p w14:paraId="142E74FD" w14:textId="77777777" w:rsidR="00671A6D" w:rsidRDefault="00671A6D" w:rsidP="0055431E">
            <w:pPr>
              <w:jc w:val="right"/>
              <w:rPr>
                <w:rFonts w:cs="Calibri"/>
                <w:color w:val="000000"/>
              </w:rPr>
            </w:pPr>
            <w:r>
              <w:rPr>
                <w:rFonts w:cs="Calibri"/>
                <w:color w:val="000000"/>
              </w:rPr>
              <w:t>2%</w:t>
            </w:r>
          </w:p>
        </w:tc>
      </w:tr>
      <w:tr w:rsidR="00671A6D" w:rsidRPr="001713B7" w14:paraId="764FDBD7" w14:textId="77777777" w:rsidTr="0055431E">
        <w:trPr>
          <w:trHeight w:val="300"/>
        </w:trPr>
        <w:tc>
          <w:tcPr>
            <w:tcW w:w="683" w:type="dxa"/>
            <w:noWrap/>
            <w:hideMark/>
          </w:tcPr>
          <w:p w14:paraId="3339BE7D" w14:textId="77777777" w:rsidR="00671A6D" w:rsidRDefault="00671A6D" w:rsidP="0055431E">
            <w:pPr>
              <w:rPr>
                <w:rFonts w:cs="Calibri"/>
                <w:b/>
                <w:bCs/>
                <w:color w:val="000000"/>
              </w:rPr>
            </w:pPr>
            <w:r>
              <w:rPr>
                <w:rFonts w:cs="Calibri"/>
                <w:b/>
                <w:bCs/>
                <w:color w:val="000000"/>
              </w:rPr>
              <w:t>13</w:t>
            </w:r>
          </w:p>
        </w:tc>
        <w:tc>
          <w:tcPr>
            <w:tcW w:w="1444" w:type="dxa"/>
            <w:noWrap/>
            <w:hideMark/>
          </w:tcPr>
          <w:p w14:paraId="494D805A" w14:textId="77777777" w:rsidR="00671A6D" w:rsidRDefault="00671A6D" w:rsidP="0055431E">
            <w:pPr>
              <w:jc w:val="right"/>
              <w:rPr>
                <w:rFonts w:cs="Calibri"/>
                <w:color w:val="000000"/>
              </w:rPr>
            </w:pPr>
            <w:r>
              <w:rPr>
                <w:rFonts w:cs="Calibri"/>
                <w:color w:val="000000"/>
              </w:rPr>
              <w:t>345</w:t>
            </w:r>
          </w:p>
        </w:tc>
        <w:tc>
          <w:tcPr>
            <w:tcW w:w="1701" w:type="dxa"/>
            <w:noWrap/>
            <w:hideMark/>
          </w:tcPr>
          <w:p w14:paraId="3D41C65A" w14:textId="77777777" w:rsidR="00671A6D" w:rsidRDefault="00671A6D" w:rsidP="0055431E">
            <w:pPr>
              <w:jc w:val="right"/>
              <w:rPr>
                <w:rFonts w:cs="Calibri"/>
                <w:color w:val="000000"/>
              </w:rPr>
            </w:pPr>
            <w:r>
              <w:rPr>
                <w:rFonts w:cs="Calibri"/>
                <w:color w:val="000000"/>
              </w:rPr>
              <w:t>337</w:t>
            </w:r>
          </w:p>
        </w:tc>
        <w:tc>
          <w:tcPr>
            <w:tcW w:w="1559" w:type="dxa"/>
            <w:noWrap/>
            <w:hideMark/>
          </w:tcPr>
          <w:p w14:paraId="1F633361" w14:textId="77777777" w:rsidR="00671A6D" w:rsidRDefault="00671A6D" w:rsidP="0055431E">
            <w:pPr>
              <w:jc w:val="right"/>
              <w:rPr>
                <w:rFonts w:cs="Calibri"/>
                <w:color w:val="000000"/>
              </w:rPr>
            </w:pPr>
            <w:r>
              <w:rPr>
                <w:rFonts w:cs="Calibri"/>
                <w:color w:val="000000"/>
              </w:rPr>
              <w:t>209</w:t>
            </w:r>
          </w:p>
        </w:tc>
        <w:tc>
          <w:tcPr>
            <w:tcW w:w="1701" w:type="dxa"/>
            <w:noWrap/>
            <w:hideMark/>
          </w:tcPr>
          <w:p w14:paraId="3BB6CB0F" w14:textId="77777777" w:rsidR="00671A6D" w:rsidRDefault="00671A6D" w:rsidP="0055431E">
            <w:pPr>
              <w:jc w:val="right"/>
              <w:rPr>
                <w:rFonts w:cs="Calibri"/>
                <w:color w:val="000000"/>
              </w:rPr>
            </w:pPr>
            <w:r>
              <w:rPr>
                <w:rFonts w:cs="Calibri"/>
                <w:color w:val="000000"/>
              </w:rPr>
              <w:t>836</w:t>
            </w:r>
          </w:p>
        </w:tc>
        <w:tc>
          <w:tcPr>
            <w:tcW w:w="1559" w:type="dxa"/>
            <w:noWrap/>
            <w:hideMark/>
          </w:tcPr>
          <w:p w14:paraId="6E98C87A" w14:textId="77777777" w:rsidR="00671A6D" w:rsidRDefault="00671A6D" w:rsidP="0055431E">
            <w:pPr>
              <w:jc w:val="right"/>
              <w:rPr>
                <w:rFonts w:cs="Calibri"/>
                <w:color w:val="000000"/>
              </w:rPr>
            </w:pPr>
            <w:r>
              <w:rPr>
                <w:rFonts w:cs="Calibri"/>
                <w:color w:val="000000"/>
              </w:rPr>
              <w:t>6%</w:t>
            </w:r>
          </w:p>
        </w:tc>
      </w:tr>
      <w:tr w:rsidR="00671A6D" w:rsidRPr="001713B7" w14:paraId="55612D74" w14:textId="77777777" w:rsidTr="0055431E">
        <w:trPr>
          <w:trHeight w:val="300"/>
        </w:trPr>
        <w:tc>
          <w:tcPr>
            <w:tcW w:w="683" w:type="dxa"/>
            <w:noWrap/>
            <w:hideMark/>
          </w:tcPr>
          <w:p w14:paraId="70B1BA1E" w14:textId="77777777" w:rsidR="00671A6D" w:rsidRDefault="00671A6D" w:rsidP="0055431E">
            <w:pPr>
              <w:rPr>
                <w:rFonts w:cs="Calibri"/>
                <w:b/>
                <w:bCs/>
                <w:color w:val="000000"/>
              </w:rPr>
            </w:pPr>
            <w:r>
              <w:rPr>
                <w:rFonts w:cs="Calibri"/>
                <w:b/>
                <w:bCs/>
                <w:color w:val="000000"/>
              </w:rPr>
              <w:t>14</w:t>
            </w:r>
          </w:p>
        </w:tc>
        <w:tc>
          <w:tcPr>
            <w:tcW w:w="1444" w:type="dxa"/>
            <w:noWrap/>
            <w:hideMark/>
          </w:tcPr>
          <w:p w14:paraId="6D3E0A34" w14:textId="77777777" w:rsidR="00671A6D" w:rsidRDefault="00671A6D" w:rsidP="0055431E">
            <w:pPr>
              <w:jc w:val="right"/>
              <w:rPr>
                <w:rFonts w:cs="Calibri"/>
                <w:color w:val="000000"/>
              </w:rPr>
            </w:pPr>
            <w:r>
              <w:rPr>
                <w:rFonts w:cs="Calibri"/>
                <w:color w:val="000000"/>
              </w:rPr>
              <w:t>651</w:t>
            </w:r>
          </w:p>
        </w:tc>
        <w:tc>
          <w:tcPr>
            <w:tcW w:w="1701" w:type="dxa"/>
            <w:noWrap/>
            <w:hideMark/>
          </w:tcPr>
          <w:p w14:paraId="001A7018" w14:textId="77777777" w:rsidR="00671A6D" w:rsidRDefault="00671A6D" w:rsidP="0055431E">
            <w:pPr>
              <w:jc w:val="right"/>
              <w:rPr>
                <w:rFonts w:cs="Calibri"/>
                <w:color w:val="000000"/>
              </w:rPr>
            </w:pPr>
            <w:r>
              <w:rPr>
                <w:rFonts w:cs="Calibri"/>
                <w:color w:val="000000"/>
              </w:rPr>
              <w:t>787</w:t>
            </w:r>
          </w:p>
        </w:tc>
        <w:tc>
          <w:tcPr>
            <w:tcW w:w="1559" w:type="dxa"/>
            <w:noWrap/>
            <w:hideMark/>
          </w:tcPr>
          <w:p w14:paraId="114AFE4C" w14:textId="77777777" w:rsidR="00671A6D" w:rsidRDefault="00671A6D" w:rsidP="0055431E">
            <w:pPr>
              <w:jc w:val="right"/>
              <w:rPr>
                <w:rFonts w:cs="Calibri"/>
                <w:color w:val="000000"/>
              </w:rPr>
            </w:pPr>
            <w:r>
              <w:rPr>
                <w:rFonts w:cs="Calibri"/>
                <w:color w:val="000000"/>
              </w:rPr>
              <w:t>465</w:t>
            </w:r>
          </w:p>
        </w:tc>
        <w:tc>
          <w:tcPr>
            <w:tcW w:w="1701" w:type="dxa"/>
            <w:noWrap/>
            <w:hideMark/>
          </w:tcPr>
          <w:p w14:paraId="050A5838" w14:textId="77777777" w:rsidR="00671A6D" w:rsidRDefault="00671A6D" w:rsidP="0055431E">
            <w:pPr>
              <w:jc w:val="right"/>
              <w:rPr>
                <w:rFonts w:cs="Calibri"/>
                <w:color w:val="000000"/>
              </w:rPr>
            </w:pPr>
            <w:r>
              <w:rPr>
                <w:rFonts w:cs="Calibri"/>
                <w:color w:val="000000"/>
              </w:rPr>
              <w:t>1762</w:t>
            </w:r>
          </w:p>
        </w:tc>
        <w:tc>
          <w:tcPr>
            <w:tcW w:w="1559" w:type="dxa"/>
            <w:noWrap/>
            <w:hideMark/>
          </w:tcPr>
          <w:p w14:paraId="78E71D6F" w14:textId="77777777" w:rsidR="00671A6D" w:rsidRDefault="00671A6D" w:rsidP="0055431E">
            <w:pPr>
              <w:jc w:val="right"/>
              <w:rPr>
                <w:rFonts w:cs="Calibri"/>
                <w:color w:val="000000"/>
              </w:rPr>
            </w:pPr>
            <w:r>
              <w:rPr>
                <w:rFonts w:cs="Calibri"/>
                <w:color w:val="000000"/>
              </w:rPr>
              <w:t>13%</w:t>
            </w:r>
          </w:p>
        </w:tc>
      </w:tr>
      <w:tr w:rsidR="00671A6D" w:rsidRPr="001713B7" w14:paraId="05703D4B" w14:textId="77777777" w:rsidTr="0055431E">
        <w:trPr>
          <w:trHeight w:val="300"/>
        </w:trPr>
        <w:tc>
          <w:tcPr>
            <w:tcW w:w="683" w:type="dxa"/>
            <w:noWrap/>
            <w:hideMark/>
          </w:tcPr>
          <w:p w14:paraId="0C19B068" w14:textId="77777777" w:rsidR="00671A6D" w:rsidRDefault="00671A6D" w:rsidP="0055431E">
            <w:pPr>
              <w:rPr>
                <w:rFonts w:cs="Calibri"/>
                <w:b/>
                <w:bCs/>
                <w:color w:val="000000"/>
              </w:rPr>
            </w:pPr>
            <w:r>
              <w:rPr>
                <w:rFonts w:cs="Calibri"/>
                <w:b/>
                <w:bCs/>
                <w:color w:val="000000"/>
              </w:rPr>
              <w:t>15</w:t>
            </w:r>
          </w:p>
        </w:tc>
        <w:tc>
          <w:tcPr>
            <w:tcW w:w="1444" w:type="dxa"/>
            <w:noWrap/>
            <w:hideMark/>
          </w:tcPr>
          <w:p w14:paraId="50914385" w14:textId="77777777" w:rsidR="00671A6D" w:rsidRDefault="00671A6D" w:rsidP="0055431E">
            <w:pPr>
              <w:jc w:val="right"/>
              <w:rPr>
                <w:rFonts w:cs="Calibri"/>
                <w:color w:val="000000"/>
              </w:rPr>
            </w:pPr>
            <w:r>
              <w:rPr>
                <w:rFonts w:cs="Calibri"/>
                <w:color w:val="000000"/>
              </w:rPr>
              <w:t>836</w:t>
            </w:r>
          </w:p>
        </w:tc>
        <w:tc>
          <w:tcPr>
            <w:tcW w:w="1701" w:type="dxa"/>
            <w:noWrap/>
            <w:hideMark/>
          </w:tcPr>
          <w:p w14:paraId="6FD838EE" w14:textId="77777777" w:rsidR="00671A6D" w:rsidRDefault="00671A6D" w:rsidP="0055431E">
            <w:pPr>
              <w:jc w:val="right"/>
              <w:rPr>
                <w:rFonts w:cs="Calibri"/>
                <w:color w:val="000000"/>
              </w:rPr>
            </w:pPr>
            <w:r>
              <w:rPr>
                <w:rFonts w:cs="Calibri"/>
                <w:color w:val="000000"/>
              </w:rPr>
              <w:t>1110</w:t>
            </w:r>
          </w:p>
        </w:tc>
        <w:tc>
          <w:tcPr>
            <w:tcW w:w="1559" w:type="dxa"/>
            <w:noWrap/>
            <w:hideMark/>
          </w:tcPr>
          <w:p w14:paraId="550CE6B7" w14:textId="77777777" w:rsidR="00671A6D" w:rsidRDefault="00671A6D" w:rsidP="0055431E">
            <w:pPr>
              <w:jc w:val="right"/>
              <w:rPr>
                <w:rFonts w:cs="Calibri"/>
                <w:color w:val="000000"/>
              </w:rPr>
            </w:pPr>
            <w:r>
              <w:rPr>
                <w:rFonts w:cs="Calibri"/>
                <w:color w:val="000000"/>
              </w:rPr>
              <w:t>910</w:t>
            </w:r>
          </w:p>
        </w:tc>
        <w:tc>
          <w:tcPr>
            <w:tcW w:w="1701" w:type="dxa"/>
            <w:noWrap/>
            <w:hideMark/>
          </w:tcPr>
          <w:p w14:paraId="6AFBD5AA" w14:textId="77777777" w:rsidR="00671A6D" w:rsidRDefault="00671A6D" w:rsidP="0055431E">
            <w:pPr>
              <w:jc w:val="right"/>
              <w:rPr>
                <w:rFonts w:cs="Calibri"/>
                <w:color w:val="000000"/>
              </w:rPr>
            </w:pPr>
            <w:r>
              <w:rPr>
                <w:rFonts w:cs="Calibri"/>
                <w:color w:val="000000"/>
              </w:rPr>
              <w:t>2682</w:t>
            </w:r>
          </w:p>
        </w:tc>
        <w:tc>
          <w:tcPr>
            <w:tcW w:w="1559" w:type="dxa"/>
            <w:noWrap/>
            <w:hideMark/>
          </w:tcPr>
          <w:p w14:paraId="5A40DD22" w14:textId="77777777" w:rsidR="00671A6D" w:rsidRDefault="00671A6D" w:rsidP="0055431E">
            <w:pPr>
              <w:jc w:val="right"/>
              <w:rPr>
                <w:rFonts w:cs="Calibri"/>
                <w:color w:val="000000"/>
              </w:rPr>
            </w:pPr>
            <w:r>
              <w:rPr>
                <w:rFonts w:cs="Calibri"/>
                <w:color w:val="000000"/>
              </w:rPr>
              <w:t>21%</w:t>
            </w:r>
          </w:p>
        </w:tc>
      </w:tr>
      <w:tr w:rsidR="00671A6D" w:rsidRPr="001713B7" w14:paraId="15A01146" w14:textId="77777777" w:rsidTr="0055431E">
        <w:trPr>
          <w:trHeight w:val="300"/>
        </w:trPr>
        <w:tc>
          <w:tcPr>
            <w:tcW w:w="683" w:type="dxa"/>
            <w:noWrap/>
            <w:hideMark/>
          </w:tcPr>
          <w:p w14:paraId="3DEC14DA" w14:textId="77777777" w:rsidR="00671A6D" w:rsidRDefault="00671A6D" w:rsidP="0055431E">
            <w:pPr>
              <w:rPr>
                <w:rFonts w:cs="Calibri"/>
                <w:b/>
                <w:bCs/>
                <w:color w:val="000000"/>
              </w:rPr>
            </w:pPr>
            <w:r>
              <w:rPr>
                <w:rFonts w:cs="Calibri"/>
                <w:b/>
                <w:bCs/>
                <w:color w:val="000000"/>
              </w:rPr>
              <w:t>16</w:t>
            </w:r>
          </w:p>
        </w:tc>
        <w:tc>
          <w:tcPr>
            <w:tcW w:w="1444" w:type="dxa"/>
            <w:noWrap/>
            <w:hideMark/>
          </w:tcPr>
          <w:p w14:paraId="24E8C849" w14:textId="77777777" w:rsidR="00671A6D" w:rsidRDefault="00671A6D" w:rsidP="0055431E">
            <w:pPr>
              <w:jc w:val="right"/>
              <w:rPr>
                <w:rFonts w:cs="Calibri"/>
                <w:color w:val="000000"/>
              </w:rPr>
            </w:pPr>
            <w:r>
              <w:rPr>
                <w:rFonts w:cs="Calibri"/>
                <w:color w:val="000000"/>
              </w:rPr>
              <w:t>592</w:t>
            </w:r>
          </w:p>
        </w:tc>
        <w:tc>
          <w:tcPr>
            <w:tcW w:w="1701" w:type="dxa"/>
            <w:noWrap/>
            <w:hideMark/>
          </w:tcPr>
          <w:p w14:paraId="1158713D" w14:textId="77777777" w:rsidR="00671A6D" w:rsidRDefault="00671A6D" w:rsidP="0055431E">
            <w:pPr>
              <w:jc w:val="right"/>
              <w:rPr>
                <w:rFonts w:cs="Calibri"/>
                <w:color w:val="000000"/>
              </w:rPr>
            </w:pPr>
            <w:r>
              <w:rPr>
                <w:rFonts w:cs="Calibri"/>
                <w:color w:val="000000"/>
              </w:rPr>
              <w:t>1109</w:t>
            </w:r>
          </w:p>
        </w:tc>
        <w:tc>
          <w:tcPr>
            <w:tcW w:w="1559" w:type="dxa"/>
            <w:noWrap/>
            <w:hideMark/>
          </w:tcPr>
          <w:p w14:paraId="08FCE70A" w14:textId="77777777" w:rsidR="00671A6D" w:rsidRDefault="00671A6D" w:rsidP="0055431E">
            <w:pPr>
              <w:jc w:val="right"/>
              <w:rPr>
                <w:rFonts w:cs="Calibri"/>
                <w:color w:val="000000"/>
              </w:rPr>
            </w:pPr>
            <w:r>
              <w:rPr>
                <w:rFonts w:cs="Calibri"/>
                <w:color w:val="000000"/>
              </w:rPr>
              <w:t>1519</w:t>
            </w:r>
          </w:p>
        </w:tc>
        <w:tc>
          <w:tcPr>
            <w:tcW w:w="1701" w:type="dxa"/>
            <w:noWrap/>
            <w:hideMark/>
          </w:tcPr>
          <w:p w14:paraId="69380EBF" w14:textId="77777777" w:rsidR="00671A6D" w:rsidRDefault="00671A6D" w:rsidP="0055431E">
            <w:pPr>
              <w:jc w:val="right"/>
              <w:rPr>
                <w:rFonts w:cs="Calibri"/>
                <w:color w:val="000000"/>
              </w:rPr>
            </w:pPr>
            <w:r>
              <w:rPr>
                <w:rFonts w:cs="Calibri"/>
                <w:color w:val="000000"/>
              </w:rPr>
              <w:t>3120</w:t>
            </w:r>
          </w:p>
        </w:tc>
        <w:tc>
          <w:tcPr>
            <w:tcW w:w="1559" w:type="dxa"/>
            <w:noWrap/>
            <w:hideMark/>
          </w:tcPr>
          <w:p w14:paraId="269AA45B" w14:textId="77777777" w:rsidR="00671A6D" w:rsidRDefault="00671A6D" w:rsidP="0055431E">
            <w:pPr>
              <w:jc w:val="right"/>
              <w:rPr>
                <w:rFonts w:cs="Calibri"/>
                <w:color w:val="000000"/>
              </w:rPr>
            </w:pPr>
            <w:r>
              <w:rPr>
                <w:rFonts w:cs="Calibri"/>
                <w:color w:val="000000"/>
              </w:rPr>
              <w:t>24%</w:t>
            </w:r>
          </w:p>
        </w:tc>
      </w:tr>
      <w:tr w:rsidR="00671A6D" w:rsidRPr="001713B7" w14:paraId="4599CAC2" w14:textId="77777777" w:rsidTr="0055431E">
        <w:trPr>
          <w:trHeight w:val="300"/>
        </w:trPr>
        <w:tc>
          <w:tcPr>
            <w:tcW w:w="683" w:type="dxa"/>
            <w:noWrap/>
            <w:hideMark/>
          </w:tcPr>
          <w:p w14:paraId="38C37895" w14:textId="77777777" w:rsidR="00671A6D" w:rsidRDefault="00671A6D" w:rsidP="0055431E">
            <w:pPr>
              <w:rPr>
                <w:rFonts w:cs="Calibri"/>
                <w:b/>
                <w:bCs/>
                <w:color w:val="000000"/>
              </w:rPr>
            </w:pPr>
            <w:r>
              <w:rPr>
                <w:rFonts w:cs="Calibri"/>
                <w:b/>
                <w:bCs/>
                <w:color w:val="000000"/>
              </w:rPr>
              <w:t>17</w:t>
            </w:r>
          </w:p>
        </w:tc>
        <w:tc>
          <w:tcPr>
            <w:tcW w:w="1444" w:type="dxa"/>
            <w:noWrap/>
            <w:hideMark/>
          </w:tcPr>
          <w:p w14:paraId="3DF5B0EA" w14:textId="77777777" w:rsidR="00671A6D" w:rsidRDefault="00671A6D" w:rsidP="0055431E">
            <w:pPr>
              <w:jc w:val="right"/>
              <w:rPr>
                <w:rFonts w:cs="Calibri"/>
                <w:color w:val="000000"/>
              </w:rPr>
            </w:pPr>
            <w:r>
              <w:rPr>
                <w:rFonts w:cs="Calibri"/>
                <w:color w:val="000000"/>
              </w:rPr>
              <w:t>332</w:t>
            </w:r>
          </w:p>
        </w:tc>
        <w:tc>
          <w:tcPr>
            <w:tcW w:w="1701" w:type="dxa"/>
            <w:noWrap/>
            <w:hideMark/>
          </w:tcPr>
          <w:p w14:paraId="1590D11C" w14:textId="77777777" w:rsidR="00671A6D" w:rsidRDefault="00671A6D" w:rsidP="0055431E">
            <w:pPr>
              <w:jc w:val="right"/>
              <w:rPr>
                <w:rFonts w:cs="Calibri"/>
                <w:color w:val="000000"/>
              </w:rPr>
            </w:pPr>
            <w:r>
              <w:rPr>
                <w:rFonts w:cs="Calibri"/>
                <w:color w:val="000000"/>
              </w:rPr>
              <w:t>700</w:t>
            </w:r>
          </w:p>
        </w:tc>
        <w:tc>
          <w:tcPr>
            <w:tcW w:w="1559" w:type="dxa"/>
            <w:noWrap/>
            <w:hideMark/>
          </w:tcPr>
          <w:p w14:paraId="6FB2D950" w14:textId="77777777" w:rsidR="00671A6D" w:rsidRDefault="00671A6D" w:rsidP="0055431E">
            <w:pPr>
              <w:jc w:val="right"/>
              <w:rPr>
                <w:rFonts w:cs="Calibri"/>
                <w:color w:val="000000"/>
              </w:rPr>
            </w:pPr>
            <w:r>
              <w:rPr>
                <w:rFonts w:cs="Calibri"/>
                <w:color w:val="000000"/>
              </w:rPr>
              <w:t>1431</w:t>
            </w:r>
          </w:p>
        </w:tc>
        <w:tc>
          <w:tcPr>
            <w:tcW w:w="1701" w:type="dxa"/>
            <w:noWrap/>
            <w:hideMark/>
          </w:tcPr>
          <w:p w14:paraId="3B47D078" w14:textId="77777777" w:rsidR="00671A6D" w:rsidRDefault="00671A6D" w:rsidP="0055431E">
            <w:pPr>
              <w:jc w:val="right"/>
              <w:rPr>
                <w:rFonts w:cs="Calibri"/>
                <w:color w:val="000000"/>
              </w:rPr>
            </w:pPr>
            <w:r>
              <w:rPr>
                <w:rFonts w:cs="Calibri"/>
                <w:color w:val="000000"/>
              </w:rPr>
              <w:t>2431</w:t>
            </w:r>
          </w:p>
        </w:tc>
        <w:tc>
          <w:tcPr>
            <w:tcW w:w="1559" w:type="dxa"/>
            <w:noWrap/>
            <w:hideMark/>
          </w:tcPr>
          <w:p w14:paraId="4D154F8E" w14:textId="77777777" w:rsidR="00671A6D" w:rsidRDefault="00671A6D" w:rsidP="0055431E">
            <w:pPr>
              <w:jc w:val="right"/>
              <w:rPr>
                <w:rFonts w:cs="Calibri"/>
                <w:color w:val="000000"/>
              </w:rPr>
            </w:pPr>
            <w:r>
              <w:rPr>
                <w:rFonts w:cs="Calibri"/>
                <w:color w:val="000000"/>
              </w:rPr>
              <w:t>19%</w:t>
            </w:r>
          </w:p>
        </w:tc>
      </w:tr>
      <w:tr w:rsidR="00671A6D" w:rsidRPr="001713B7" w14:paraId="60B8FA23" w14:textId="77777777" w:rsidTr="0055431E">
        <w:trPr>
          <w:trHeight w:val="300"/>
        </w:trPr>
        <w:tc>
          <w:tcPr>
            <w:tcW w:w="683" w:type="dxa"/>
            <w:noWrap/>
            <w:hideMark/>
          </w:tcPr>
          <w:p w14:paraId="38045BF4" w14:textId="77777777" w:rsidR="00671A6D" w:rsidRDefault="00671A6D" w:rsidP="0055431E">
            <w:pPr>
              <w:rPr>
                <w:rFonts w:cs="Calibri"/>
                <w:b/>
                <w:bCs/>
                <w:color w:val="000000"/>
              </w:rPr>
            </w:pPr>
            <w:r>
              <w:rPr>
                <w:rFonts w:cs="Calibri"/>
                <w:b/>
                <w:bCs/>
                <w:color w:val="000000"/>
              </w:rPr>
              <w:t>18</w:t>
            </w:r>
          </w:p>
        </w:tc>
        <w:tc>
          <w:tcPr>
            <w:tcW w:w="1444" w:type="dxa"/>
            <w:noWrap/>
            <w:hideMark/>
          </w:tcPr>
          <w:p w14:paraId="1A487390" w14:textId="77777777" w:rsidR="00671A6D" w:rsidRDefault="00671A6D" w:rsidP="0055431E">
            <w:pPr>
              <w:jc w:val="right"/>
              <w:rPr>
                <w:rFonts w:cs="Calibri"/>
                <w:color w:val="000000"/>
              </w:rPr>
            </w:pPr>
            <w:r>
              <w:rPr>
                <w:rFonts w:cs="Calibri"/>
                <w:color w:val="000000"/>
              </w:rPr>
              <w:t>112</w:t>
            </w:r>
          </w:p>
        </w:tc>
        <w:tc>
          <w:tcPr>
            <w:tcW w:w="1701" w:type="dxa"/>
            <w:noWrap/>
            <w:hideMark/>
          </w:tcPr>
          <w:p w14:paraId="68861F92" w14:textId="77777777" w:rsidR="00671A6D" w:rsidRDefault="00671A6D" w:rsidP="0055431E">
            <w:pPr>
              <w:jc w:val="right"/>
              <w:rPr>
                <w:rFonts w:cs="Calibri"/>
                <w:color w:val="000000"/>
              </w:rPr>
            </w:pPr>
            <w:r>
              <w:rPr>
                <w:rFonts w:cs="Calibri"/>
                <w:color w:val="000000"/>
              </w:rPr>
              <w:t>255</w:t>
            </w:r>
          </w:p>
        </w:tc>
        <w:tc>
          <w:tcPr>
            <w:tcW w:w="1559" w:type="dxa"/>
            <w:noWrap/>
            <w:hideMark/>
          </w:tcPr>
          <w:p w14:paraId="7C761015" w14:textId="77777777" w:rsidR="00671A6D" w:rsidRDefault="00671A6D" w:rsidP="0055431E">
            <w:pPr>
              <w:jc w:val="right"/>
              <w:rPr>
                <w:rFonts w:cs="Calibri"/>
                <w:color w:val="000000"/>
              </w:rPr>
            </w:pPr>
            <w:r>
              <w:rPr>
                <w:rFonts w:cs="Calibri"/>
                <w:color w:val="000000"/>
              </w:rPr>
              <w:t>903</w:t>
            </w:r>
          </w:p>
        </w:tc>
        <w:tc>
          <w:tcPr>
            <w:tcW w:w="1701" w:type="dxa"/>
            <w:noWrap/>
            <w:hideMark/>
          </w:tcPr>
          <w:p w14:paraId="5853F2FC" w14:textId="77777777" w:rsidR="00671A6D" w:rsidRDefault="00671A6D" w:rsidP="0055431E">
            <w:pPr>
              <w:jc w:val="right"/>
              <w:rPr>
                <w:rFonts w:cs="Calibri"/>
                <w:color w:val="000000"/>
              </w:rPr>
            </w:pPr>
            <w:r>
              <w:rPr>
                <w:rFonts w:cs="Calibri"/>
                <w:color w:val="000000"/>
              </w:rPr>
              <w:t>1293</w:t>
            </w:r>
          </w:p>
        </w:tc>
        <w:tc>
          <w:tcPr>
            <w:tcW w:w="1559" w:type="dxa"/>
            <w:noWrap/>
            <w:hideMark/>
          </w:tcPr>
          <w:p w14:paraId="279D830B" w14:textId="77777777" w:rsidR="00671A6D" w:rsidRDefault="00671A6D" w:rsidP="0055431E">
            <w:pPr>
              <w:jc w:val="right"/>
              <w:rPr>
                <w:rFonts w:cs="Calibri"/>
                <w:color w:val="000000"/>
              </w:rPr>
            </w:pPr>
            <w:r>
              <w:rPr>
                <w:rFonts w:cs="Calibri"/>
                <w:color w:val="000000"/>
              </w:rPr>
              <w:t>10%</w:t>
            </w:r>
          </w:p>
        </w:tc>
      </w:tr>
      <w:tr w:rsidR="00671A6D" w:rsidRPr="001713B7" w14:paraId="4BBA4148" w14:textId="77777777" w:rsidTr="0055431E">
        <w:trPr>
          <w:trHeight w:val="300"/>
        </w:trPr>
        <w:tc>
          <w:tcPr>
            <w:tcW w:w="683" w:type="dxa"/>
            <w:noWrap/>
            <w:hideMark/>
          </w:tcPr>
          <w:p w14:paraId="3360F2F2" w14:textId="77777777" w:rsidR="00671A6D" w:rsidRDefault="00671A6D" w:rsidP="0055431E">
            <w:pPr>
              <w:rPr>
                <w:rFonts w:cs="Calibri"/>
                <w:b/>
                <w:bCs/>
                <w:color w:val="000000"/>
              </w:rPr>
            </w:pPr>
            <w:r>
              <w:rPr>
                <w:rFonts w:cs="Calibri"/>
                <w:b/>
                <w:bCs/>
                <w:color w:val="000000"/>
              </w:rPr>
              <w:t>19</w:t>
            </w:r>
          </w:p>
        </w:tc>
        <w:tc>
          <w:tcPr>
            <w:tcW w:w="1444" w:type="dxa"/>
            <w:noWrap/>
            <w:hideMark/>
          </w:tcPr>
          <w:p w14:paraId="29550CC6" w14:textId="77777777" w:rsidR="00671A6D" w:rsidRDefault="00671A6D" w:rsidP="0055431E">
            <w:pPr>
              <w:jc w:val="right"/>
              <w:rPr>
                <w:rFonts w:cs="Calibri"/>
                <w:color w:val="000000"/>
              </w:rPr>
            </w:pPr>
            <w:r>
              <w:rPr>
                <w:rFonts w:cs="Calibri"/>
                <w:color w:val="000000"/>
              </w:rPr>
              <w:t>23</w:t>
            </w:r>
          </w:p>
        </w:tc>
        <w:tc>
          <w:tcPr>
            <w:tcW w:w="1701" w:type="dxa"/>
            <w:noWrap/>
            <w:hideMark/>
          </w:tcPr>
          <w:p w14:paraId="3ED7E01F" w14:textId="77777777" w:rsidR="00671A6D" w:rsidRDefault="00671A6D" w:rsidP="0055431E">
            <w:pPr>
              <w:jc w:val="right"/>
              <w:rPr>
                <w:rFonts w:cs="Calibri"/>
                <w:color w:val="000000"/>
              </w:rPr>
            </w:pPr>
            <w:r>
              <w:rPr>
                <w:rFonts w:cs="Calibri"/>
                <w:color w:val="000000"/>
              </w:rPr>
              <w:t>68</w:t>
            </w:r>
          </w:p>
        </w:tc>
        <w:tc>
          <w:tcPr>
            <w:tcW w:w="1559" w:type="dxa"/>
            <w:noWrap/>
            <w:hideMark/>
          </w:tcPr>
          <w:p w14:paraId="7ABDD715" w14:textId="77777777" w:rsidR="00671A6D" w:rsidRDefault="00671A6D" w:rsidP="0055431E">
            <w:pPr>
              <w:jc w:val="right"/>
              <w:rPr>
                <w:rFonts w:cs="Calibri"/>
                <w:color w:val="000000"/>
              </w:rPr>
            </w:pPr>
            <w:r>
              <w:rPr>
                <w:rFonts w:cs="Calibri"/>
                <w:color w:val="000000"/>
              </w:rPr>
              <w:t>479</w:t>
            </w:r>
          </w:p>
        </w:tc>
        <w:tc>
          <w:tcPr>
            <w:tcW w:w="1701" w:type="dxa"/>
            <w:noWrap/>
            <w:hideMark/>
          </w:tcPr>
          <w:p w14:paraId="5FF127F4" w14:textId="77777777" w:rsidR="00671A6D" w:rsidRDefault="00671A6D" w:rsidP="0055431E">
            <w:pPr>
              <w:jc w:val="right"/>
              <w:rPr>
                <w:rFonts w:cs="Calibri"/>
                <w:color w:val="000000"/>
              </w:rPr>
            </w:pPr>
            <w:r>
              <w:rPr>
                <w:rFonts w:cs="Calibri"/>
                <w:color w:val="000000"/>
              </w:rPr>
              <w:t>576</w:t>
            </w:r>
          </w:p>
        </w:tc>
        <w:tc>
          <w:tcPr>
            <w:tcW w:w="1559" w:type="dxa"/>
            <w:noWrap/>
            <w:hideMark/>
          </w:tcPr>
          <w:p w14:paraId="4196A810" w14:textId="77777777" w:rsidR="00671A6D" w:rsidRDefault="00671A6D" w:rsidP="0055431E">
            <w:pPr>
              <w:jc w:val="right"/>
              <w:rPr>
                <w:rFonts w:cs="Calibri"/>
                <w:color w:val="000000"/>
              </w:rPr>
            </w:pPr>
            <w:r>
              <w:rPr>
                <w:rFonts w:cs="Calibri"/>
                <w:color w:val="000000"/>
              </w:rPr>
              <w:t>4%</w:t>
            </w:r>
          </w:p>
        </w:tc>
      </w:tr>
      <w:tr w:rsidR="00671A6D" w:rsidRPr="001713B7" w14:paraId="35EC7CD8" w14:textId="77777777" w:rsidTr="0055431E">
        <w:trPr>
          <w:trHeight w:val="300"/>
        </w:trPr>
        <w:tc>
          <w:tcPr>
            <w:tcW w:w="683" w:type="dxa"/>
            <w:noWrap/>
            <w:hideMark/>
          </w:tcPr>
          <w:p w14:paraId="43674E55" w14:textId="77777777" w:rsidR="00671A6D" w:rsidRDefault="00671A6D" w:rsidP="0055431E">
            <w:pPr>
              <w:rPr>
                <w:rFonts w:cs="Calibri"/>
                <w:b/>
                <w:bCs/>
                <w:color w:val="000000"/>
              </w:rPr>
            </w:pPr>
            <w:r>
              <w:rPr>
                <w:rFonts w:cs="Calibri"/>
                <w:b/>
                <w:bCs/>
                <w:color w:val="000000"/>
              </w:rPr>
              <w:t>20</w:t>
            </w:r>
          </w:p>
        </w:tc>
        <w:tc>
          <w:tcPr>
            <w:tcW w:w="1444" w:type="dxa"/>
            <w:noWrap/>
            <w:hideMark/>
          </w:tcPr>
          <w:p w14:paraId="6D34F149" w14:textId="77777777" w:rsidR="00671A6D" w:rsidRDefault="00671A6D" w:rsidP="0055431E">
            <w:pPr>
              <w:jc w:val="right"/>
              <w:rPr>
                <w:rFonts w:cs="Calibri"/>
                <w:color w:val="000000"/>
              </w:rPr>
            </w:pPr>
            <w:r>
              <w:rPr>
                <w:rFonts w:cs="Calibri"/>
                <w:color w:val="000000"/>
              </w:rPr>
              <w:t>8</w:t>
            </w:r>
          </w:p>
        </w:tc>
        <w:tc>
          <w:tcPr>
            <w:tcW w:w="1701" w:type="dxa"/>
            <w:noWrap/>
            <w:hideMark/>
          </w:tcPr>
          <w:p w14:paraId="231978A1" w14:textId="77777777" w:rsidR="00671A6D" w:rsidRDefault="00671A6D" w:rsidP="0055431E">
            <w:pPr>
              <w:jc w:val="right"/>
              <w:rPr>
                <w:rFonts w:cs="Calibri"/>
                <w:color w:val="000000"/>
              </w:rPr>
            </w:pPr>
            <w:r>
              <w:rPr>
                <w:rFonts w:cs="Calibri"/>
                <w:color w:val="000000"/>
              </w:rPr>
              <w:t>14</w:t>
            </w:r>
          </w:p>
        </w:tc>
        <w:tc>
          <w:tcPr>
            <w:tcW w:w="1559" w:type="dxa"/>
            <w:noWrap/>
            <w:hideMark/>
          </w:tcPr>
          <w:p w14:paraId="23357CC0" w14:textId="77777777" w:rsidR="00671A6D" w:rsidRDefault="00671A6D" w:rsidP="0055431E">
            <w:pPr>
              <w:jc w:val="right"/>
              <w:rPr>
                <w:rFonts w:cs="Calibri"/>
                <w:color w:val="000000"/>
              </w:rPr>
            </w:pPr>
            <w:r>
              <w:rPr>
                <w:rFonts w:cs="Calibri"/>
                <w:color w:val="000000"/>
              </w:rPr>
              <w:t>85</w:t>
            </w:r>
          </w:p>
        </w:tc>
        <w:tc>
          <w:tcPr>
            <w:tcW w:w="1701" w:type="dxa"/>
            <w:noWrap/>
            <w:hideMark/>
          </w:tcPr>
          <w:p w14:paraId="55FF976F" w14:textId="77777777" w:rsidR="00671A6D" w:rsidRDefault="00671A6D" w:rsidP="0055431E">
            <w:pPr>
              <w:jc w:val="right"/>
              <w:rPr>
                <w:rFonts w:cs="Calibri"/>
                <w:color w:val="000000"/>
              </w:rPr>
            </w:pPr>
            <w:r>
              <w:rPr>
                <w:rFonts w:cs="Calibri"/>
                <w:color w:val="000000"/>
              </w:rPr>
              <w:t>107</w:t>
            </w:r>
          </w:p>
        </w:tc>
        <w:tc>
          <w:tcPr>
            <w:tcW w:w="1559" w:type="dxa"/>
            <w:noWrap/>
            <w:hideMark/>
          </w:tcPr>
          <w:p w14:paraId="49615451" w14:textId="77777777" w:rsidR="00671A6D" w:rsidRDefault="00671A6D" w:rsidP="0055431E">
            <w:pPr>
              <w:jc w:val="right"/>
              <w:rPr>
                <w:rFonts w:cs="Calibri"/>
                <w:color w:val="000000"/>
              </w:rPr>
            </w:pPr>
            <w:r>
              <w:rPr>
                <w:rFonts w:cs="Calibri"/>
                <w:color w:val="000000"/>
              </w:rPr>
              <w:t>1%</w:t>
            </w:r>
          </w:p>
        </w:tc>
      </w:tr>
      <w:tr w:rsidR="00671A6D" w:rsidRPr="001713B7" w14:paraId="7BA0C963" w14:textId="77777777" w:rsidTr="0055431E">
        <w:trPr>
          <w:trHeight w:val="300"/>
        </w:trPr>
        <w:tc>
          <w:tcPr>
            <w:tcW w:w="683" w:type="dxa"/>
            <w:noWrap/>
            <w:hideMark/>
          </w:tcPr>
          <w:p w14:paraId="4C7E4701" w14:textId="77777777" w:rsidR="00671A6D" w:rsidRDefault="00671A6D" w:rsidP="0055431E">
            <w:pPr>
              <w:rPr>
                <w:rFonts w:cs="Calibri"/>
                <w:b/>
                <w:bCs/>
                <w:color w:val="000000"/>
              </w:rPr>
            </w:pPr>
            <w:r>
              <w:rPr>
                <w:rFonts w:cs="Calibri"/>
                <w:b/>
                <w:bCs/>
                <w:color w:val="000000"/>
              </w:rPr>
              <w:t>21</w:t>
            </w:r>
          </w:p>
        </w:tc>
        <w:tc>
          <w:tcPr>
            <w:tcW w:w="1444" w:type="dxa"/>
            <w:noWrap/>
            <w:hideMark/>
          </w:tcPr>
          <w:p w14:paraId="2376D7B8" w14:textId="77777777" w:rsidR="00671A6D" w:rsidRDefault="00671A6D" w:rsidP="0055431E">
            <w:pPr>
              <w:jc w:val="right"/>
              <w:rPr>
                <w:rFonts w:cs="Calibri"/>
                <w:color w:val="000000"/>
              </w:rPr>
            </w:pPr>
            <w:r>
              <w:rPr>
                <w:rFonts w:cs="Calibri"/>
                <w:color w:val="000000"/>
              </w:rPr>
              <w:t>0</w:t>
            </w:r>
          </w:p>
        </w:tc>
        <w:tc>
          <w:tcPr>
            <w:tcW w:w="1701" w:type="dxa"/>
            <w:noWrap/>
            <w:hideMark/>
          </w:tcPr>
          <w:p w14:paraId="213E65F8" w14:textId="77777777" w:rsidR="00671A6D" w:rsidRDefault="00671A6D" w:rsidP="0055431E">
            <w:pPr>
              <w:jc w:val="right"/>
              <w:rPr>
                <w:rFonts w:cs="Calibri"/>
                <w:color w:val="000000"/>
              </w:rPr>
            </w:pPr>
            <w:r>
              <w:rPr>
                <w:rFonts w:cs="Calibri"/>
                <w:color w:val="000000"/>
              </w:rPr>
              <w:t>7</w:t>
            </w:r>
          </w:p>
        </w:tc>
        <w:tc>
          <w:tcPr>
            <w:tcW w:w="1559" w:type="dxa"/>
            <w:noWrap/>
            <w:hideMark/>
          </w:tcPr>
          <w:p w14:paraId="71DA9071" w14:textId="77777777" w:rsidR="00671A6D" w:rsidRDefault="00671A6D" w:rsidP="0055431E">
            <w:pPr>
              <w:jc w:val="right"/>
              <w:rPr>
                <w:rFonts w:cs="Calibri"/>
                <w:color w:val="000000"/>
              </w:rPr>
            </w:pPr>
            <w:r>
              <w:rPr>
                <w:rFonts w:cs="Calibri"/>
                <w:color w:val="000000"/>
              </w:rPr>
              <w:t>16</w:t>
            </w:r>
          </w:p>
        </w:tc>
        <w:tc>
          <w:tcPr>
            <w:tcW w:w="1701" w:type="dxa"/>
            <w:noWrap/>
            <w:hideMark/>
          </w:tcPr>
          <w:p w14:paraId="68E4257A" w14:textId="77777777" w:rsidR="00671A6D" w:rsidRDefault="00671A6D" w:rsidP="0055431E">
            <w:pPr>
              <w:jc w:val="right"/>
              <w:rPr>
                <w:rFonts w:cs="Calibri"/>
                <w:color w:val="000000"/>
              </w:rPr>
            </w:pPr>
            <w:r>
              <w:rPr>
                <w:rFonts w:cs="Calibri"/>
                <w:color w:val="000000"/>
              </w:rPr>
              <w:t>23</w:t>
            </w:r>
          </w:p>
        </w:tc>
        <w:tc>
          <w:tcPr>
            <w:tcW w:w="1559" w:type="dxa"/>
            <w:noWrap/>
            <w:hideMark/>
          </w:tcPr>
          <w:p w14:paraId="137E9EDA" w14:textId="77777777" w:rsidR="00671A6D" w:rsidRDefault="00671A6D" w:rsidP="0055431E">
            <w:pPr>
              <w:jc w:val="right"/>
              <w:rPr>
                <w:rFonts w:cs="Calibri"/>
                <w:color w:val="000000"/>
              </w:rPr>
            </w:pPr>
            <w:r>
              <w:rPr>
                <w:rFonts w:cs="Calibri"/>
                <w:color w:val="000000"/>
              </w:rPr>
              <w:t>0%</w:t>
            </w:r>
          </w:p>
        </w:tc>
      </w:tr>
      <w:tr w:rsidR="00671A6D" w:rsidRPr="001713B7" w14:paraId="3E133494" w14:textId="77777777" w:rsidTr="0055431E">
        <w:trPr>
          <w:trHeight w:val="300"/>
        </w:trPr>
        <w:tc>
          <w:tcPr>
            <w:tcW w:w="683" w:type="dxa"/>
            <w:noWrap/>
            <w:hideMark/>
          </w:tcPr>
          <w:p w14:paraId="625AE402" w14:textId="77777777" w:rsidR="00671A6D" w:rsidRDefault="00671A6D" w:rsidP="0055431E">
            <w:pPr>
              <w:rPr>
                <w:rFonts w:cs="Calibri"/>
                <w:b/>
                <w:bCs/>
                <w:color w:val="000000"/>
              </w:rPr>
            </w:pPr>
            <w:r>
              <w:rPr>
                <w:rFonts w:cs="Calibri"/>
                <w:b/>
                <w:bCs/>
                <w:color w:val="000000"/>
              </w:rPr>
              <w:t>22</w:t>
            </w:r>
          </w:p>
        </w:tc>
        <w:tc>
          <w:tcPr>
            <w:tcW w:w="1444" w:type="dxa"/>
            <w:noWrap/>
            <w:hideMark/>
          </w:tcPr>
          <w:p w14:paraId="53EA031B" w14:textId="77777777" w:rsidR="00671A6D" w:rsidRDefault="00671A6D" w:rsidP="0055431E">
            <w:pPr>
              <w:jc w:val="right"/>
              <w:rPr>
                <w:rFonts w:cs="Calibri"/>
                <w:color w:val="000000"/>
              </w:rPr>
            </w:pPr>
            <w:r>
              <w:rPr>
                <w:rFonts w:cs="Calibri"/>
                <w:color w:val="000000"/>
              </w:rPr>
              <w:t>1</w:t>
            </w:r>
          </w:p>
        </w:tc>
        <w:tc>
          <w:tcPr>
            <w:tcW w:w="1701" w:type="dxa"/>
            <w:noWrap/>
            <w:hideMark/>
          </w:tcPr>
          <w:p w14:paraId="53860F9B" w14:textId="77777777" w:rsidR="00671A6D" w:rsidRDefault="00671A6D" w:rsidP="0055431E">
            <w:pPr>
              <w:jc w:val="right"/>
              <w:rPr>
                <w:rFonts w:cs="Calibri"/>
                <w:color w:val="000000"/>
              </w:rPr>
            </w:pPr>
            <w:r>
              <w:rPr>
                <w:rFonts w:cs="Calibri"/>
                <w:color w:val="000000"/>
              </w:rPr>
              <w:t>0</w:t>
            </w:r>
          </w:p>
        </w:tc>
        <w:tc>
          <w:tcPr>
            <w:tcW w:w="1559" w:type="dxa"/>
            <w:noWrap/>
            <w:hideMark/>
          </w:tcPr>
          <w:p w14:paraId="59117D42" w14:textId="77777777" w:rsidR="00671A6D" w:rsidRDefault="00671A6D" w:rsidP="0055431E">
            <w:pPr>
              <w:jc w:val="right"/>
              <w:rPr>
                <w:rFonts w:cs="Calibri"/>
                <w:color w:val="000000"/>
              </w:rPr>
            </w:pPr>
            <w:r>
              <w:rPr>
                <w:rFonts w:cs="Calibri"/>
                <w:color w:val="000000"/>
              </w:rPr>
              <w:t>3</w:t>
            </w:r>
          </w:p>
        </w:tc>
        <w:tc>
          <w:tcPr>
            <w:tcW w:w="1701" w:type="dxa"/>
            <w:noWrap/>
            <w:hideMark/>
          </w:tcPr>
          <w:p w14:paraId="0EFF1F8D" w14:textId="77777777" w:rsidR="00671A6D" w:rsidRDefault="00671A6D" w:rsidP="0055431E">
            <w:pPr>
              <w:jc w:val="right"/>
              <w:rPr>
                <w:rFonts w:cs="Calibri"/>
                <w:color w:val="000000"/>
              </w:rPr>
            </w:pPr>
            <w:r>
              <w:rPr>
                <w:rFonts w:cs="Calibri"/>
                <w:color w:val="000000"/>
              </w:rPr>
              <w:t>5</w:t>
            </w:r>
          </w:p>
        </w:tc>
        <w:tc>
          <w:tcPr>
            <w:tcW w:w="1559" w:type="dxa"/>
            <w:noWrap/>
            <w:hideMark/>
          </w:tcPr>
          <w:p w14:paraId="6C6A1E24" w14:textId="77777777" w:rsidR="00671A6D" w:rsidRDefault="00671A6D" w:rsidP="0055431E">
            <w:pPr>
              <w:jc w:val="right"/>
              <w:rPr>
                <w:rFonts w:cs="Calibri"/>
                <w:color w:val="000000"/>
              </w:rPr>
            </w:pPr>
            <w:r>
              <w:rPr>
                <w:rFonts w:cs="Calibri"/>
                <w:color w:val="000000"/>
              </w:rPr>
              <w:t>0%</w:t>
            </w:r>
          </w:p>
        </w:tc>
      </w:tr>
      <w:tr w:rsidR="00671A6D" w:rsidRPr="001713B7" w14:paraId="2EB714DD" w14:textId="77777777" w:rsidTr="0055431E">
        <w:trPr>
          <w:trHeight w:val="300"/>
        </w:trPr>
        <w:tc>
          <w:tcPr>
            <w:tcW w:w="683" w:type="dxa"/>
            <w:noWrap/>
            <w:hideMark/>
          </w:tcPr>
          <w:p w14:paraId="01D4E205" w14:textId="77777777" w:rsidR="00671A6D" w:rsidRDefault="00671A6D" w:rsidP="0055431E">
            <w:pPr>
              <w:rPr>
                <w:rFonts w:cs="Calibri"/>
                <w:b/>
                <w:bCs/>
                <w:color w:val="000000"/>
              </w:rPr>
            </w:pPr>
            <w:r>
              <w:rPr>
                <w:rFonts w:cs="Calibri"/>
                <w:b/>
                <w:bCs/>
                <w:color w:val="000000"/>
              </w:rPr>
              <w:t>23</w:t>
            </w:r>
          </w:p>
        </w:tc>
        <w:tc>
          <w:tcPr>
            <w:tcW w:w="1444" w:type="dxa"/>
            <w:noWrap/>
            <w:hideMark/>
          </w:tcPr>
          <w:p w14:paraId="5EEF7B88" w14:textId="77777777" w:rsidR="00671A6D" w:rsidRDefault="00671A6D" w:rsidP="0055431E">
            <w:pPr>
              <w:jc w:val="right"/>
              <w:rPr>
                <w:rFonts w:cs="Calibri"/>
                <w:color w:val="000000"/>
              </w:rPr>
            </w:pPr>
            <w:r>
              <w:rPr>
                <w:rFonts w:cs="Calibri"/>
                <w:color w:val="000000"/>
              </w:rPr>
              <w:t>0</w:t>
            </w:r>
          </w:p>
        </w:tc>
        <w:tc>
          <w:tcPr>
            <w:tcW w:w="1701" w:type="dxa"/>
            <w:noWrap/>
            <w:hideMark/>
          </w:tcPr>
          <w:p w14:paraId="24630693" w14:textId="77777777" w:rsidR="00671A6D" w:rsidRDefault="00671A6D" w:rsidP="0055431E">
            <w:pPr>
              <w:jc w:val="right"/>
              <w:rPr>
                <w:rFonts w:cs="Calibri"/>
                <w:color w:val="000000"/>
              </w:rPr>
            </w:pPr>
            <w:r>
              <w:rPr>
                <w:rFonts w:cs="Calibri"/>
                <w:color w:val="000000"/>
              </w:rPr>
              <w:t>1</w:t>
            </w:r>
          </w:p>
        </w:tc>
        <w:tc>
          <w:tcPr>
            <w:tcW w:w="1559" w:type="dxa"/>
            <w:noWrap/>
            <w:hideMark/>
          </w:tcPr>
          <w:p w14:paraId="05FFEAAE" w14:textId="77777777" w:rsidR="00671A6D" w:rsidRDefault="00671A6D" w:rsidP="0055431E">
            <w:pPr>
              <w:jc w:val="right"/>
              <w:rPr>
                <w:rFonts w:cs="Calibri"/>
                <w:color w:val="000000"/>
              </w:rPr>
            </w:pPr>
            <w:r>
              <w:rPr>
                <w:rFonts w:cs="Calibri"/>
                <w:color w:val="000000"/>
              </w:rPr>
              <w:t>0</w:t>
            </w:r>
          </w:p>
        </w:tc>
        <w:tc>
          <w:tcPr>
            <w:tcW w:w="1701" w:type="dxa"/>
            <w:noWrap/>
            <w:hideMark/>
          </w:tcPr>
          <w:p w14:paraId="45DACE4E" w14:textId="77777777" w:rsidR="00671A6D" w:rsidRDefault="00671A6D" w:rsidP="0055431E">
            <w:pPr>
              <w:jc w:val="right"/>
              <w:rPr>
                <w:rFonts w:cs="Calibri"/>
                <w:color w:val="000000"/>
              </w:rPr>
            </w:pPr>
            <w:r>
              <w:rPr>
                <w:rFonts w:cs="Calibri"/>
                <w:color w:val="000000"/>
              </w:rPr>
              <w:t>1</w:t>
            </w:r>
          </w:p>
        </w:tc>
        <w:tc>
          <w:tcPr>
            <w:tcW w:w="1559" w:type="dxa"/>
            <w:noWrap/>
            <w:hideMark/>
          </w:tcPr>
          <w:p w14:paraId="76296FE8" w14:textId="77777777" w:rsidR="00671A6D" w:rsidRDefault="00671A6D" w:rsidP="0055431E">
            <w:pPr>
              <w:jc w:val="right"/>
              <w:rPr>
                <w:rFonts w:cs="Calibri"/>
                <w:color w:val="000000"/>
              </w:rPr>
            </w:pPr>
            <w:r>
              <w:rPr>
                <w:rFonts w:cs="Calibri"/>
                <w:color w:val="000000"/>
              </w:rPr>
              <w:t>0%</w:t>
            </w:r>
          </w:p>
        </w:tc>
      </w:tr>
      <w:tr w:rsidR="00671A6D" w:rsidRPr="001713B7" w14:paraId="09823292" w14:textId="77777777" w:rsidTr="0055431E">
        <w:trPr>
          <w:trHeight w:val="300"/>
        </w:trPr>
        <w:tc>
          <w:tcPr>
            <w:tcW w:w="683" w:type="dxa"/>
            <w:noWrap/>
            <w:hideMark/>
          </w:tcPr>
          <w:p w14:paraId="40A8263F" w14:textId="77777777" w:rsidR="00671A6D" w:rsidRDefault="00671A6D" w:rsidP="0055431E">
            <w:pPr>
              <w:rPr>
                <w:rFonts w:cs="Calibri"/>
                <w:b/>
                <w:bCs/>
                <w:color w:val="000000"/>
              </w:rPr>
            </w:pPr>
            <w:r>
              <w:rPr>
                <w:rFonts w:cs="Calibri"/>
                <w:b/>
                <w:bCs/>
                <w:color w:val="000000"/>
              </w:rPr>
              <w:t>24</w:t>
            </w:r>
          </w:p>
        </w:tc>
        <w:tc>
          <w:tcPr>
            <w:tcW w:w="1444" w:type="dxa"/>
            <w:noWrap/>
            <w:hideMark/>
          </w:tcPr>
          <w:p w14:paraId="0DD00F10" w14:textId="77777777" w:rsidR="00671A6D" w:rsidRDefault="00671A6D" w:rsidP="0055431E">
            <w:pPr>
              <w:jc w:val="right"/>
              <w:rPr>
                <w:rFonts w:cs="Calibri"/>
                <w:color w:val="000000"/>
              </w:rPr>
            </w:pPr>
            <w:r>
              <w:rPr>
                <w:rFonts w:cs="Calibri"/>
                <w:color w:val="000000"/>
              </w:rPr>
              <w:t>0</w:t>
            </w:r>
          </w:p>
        </w:tc>
        <w:tc>
          <w:tcPr>
            <w:tcW w:w="1701" w:type="dxa"/>
            <w:noWrap/>
            <w:hideMark/>
          </w:tcPr>
          <w:p w14:paraId="01DE99EE" w14:textId="77777777" w:rsidR="00671A6D" w:rsidRDefault="00671A6D" w:rsidP="0055431E">
            <w:pPr>
              <w:jc w:val="right"/>
              <w:rPr>
                <w:rFonts w:cs="Calibri"/>
                <w:color w:val="000000"/>
              </w:rPr>
            </w:pPr>
            <w:r>
              <w:rPr>
                <w:rFonts w:cs="Calibri"/>
                <w:color w:val="000000"/>
              </w:rPr>
              <w:t>0</w:t>
            </w:r>
          </w:p>
        </w:tc>
        <w:tc>
          <w:tcPr>
            <w:tcW w:w="1559" w:type="dxa"/>
            <w:noWrap/>
            <w:hideMark/>
          </w:tcPr>
          <w:p w14:paraId="53C3ED04" w14:textId="77777777" w:rsidR="00671A6D" w:rsidRDefault="00671A6D" w:rsidP="0055431E">
            <w:pPr>
              <w:jc w:val="right"/>
              <w:rPr>
                <w:rFonts w:cs="Calibri"/>
                <w:color w:val="000000"/>
              </w:rPr>
            </w:pPr>
            <w:r>
              <w:rPr>
                <w:rFonts w:cs="Calibri"/>
                <w:color w:val="000000"/>
              </w:rPr>
              <w:t>0</w:t>
            </w:r>
          </w:p>
        </w:tc>
        <w:tc>
          <w:tcPr>
            <w:tcW w:w="1701" w:type="dxa"/>
            <w:noWrap/>
            <w:hideMark/>
          </w:tcPr>
          <w:p w14:paraId="1E689D15" w14:textId="77777777" w:rsidR="00671A6D" w:rsidRDefault="00671A6D" w:rsidP="0055431E">
            <w:pPr>
              <w:jc w:val="right"/>
              <w:rPr>
                <w:rFonts w:cs="Calibri"/>
                <w:color w:val="000000"/>
              </w:rPr>
            </w:pPr>
            <w:r>
              <w:rPr>
                <w:rFonts w:cs="Calibri"/>
                <w:color w:val="000000"/>
              </w:rPr>
              <w:t>0</w:t>
            </w:r>
          </w:p>
        </w:tc>
        <w:tc>
          <w:tcPr>
            <w:tcW w:w="1559" w:type="dxa"/>
            <w:noWrap/>
            <w:hideMark/>
          </w:tcPr>
          <w:p w14:paraId="2E5EE4F4" w14:textId="77777777" w:rsidR="00671A6D" w:rsidRDefault="00671A6D" w:rsidP="0055431E">
            <w:pPr>
              <w:jc w:val="right"/>
              <w:rPr>
                <w:rFonts w:cs="Calibri"/>
                <w:color w:val="000000"/>
              </w:rPr>
            </w:pPr>
            <w:r>
              <w:rPr>
                <w:rFonts w:cs="Calibri"/>
                <w:color w:val="000000"/>
              </w:rPr>
              <w:t>0%</w:t>
            </w:r>
          </w:p>
        </w:tc>
      </w:tr>
      <w:tr w:rsidR="00671A6D" w:rsidRPr="001713B7" w14:paraId="163D95D2" w14:textId="77777777" w:rsidTr="0055431E">
        <w:trPr>
          <w:trHeight w:val="300"/>
        </w:trPr>
        <w:tc>
          <w:tcPr>
            <w:tcW w:w="683" w:type="dxa"/>
            <w:noWrap/>
            <w:hideMark/>
          </w:tcPr>
          <w:p w14:paraId="62DABAEB" w14:textId="77777777" w:rsidR="00671A6D" w:rsidRDefault="00671A6D" w:rsidP="0055431E">
            <w:pPr>
              <w:rPr>
                <w:rFonts w:cs="Calibri"/>
                <w:b/>
                <w:bCs/>
                <w:color w:val="000000"/>
              </w:rPr>
            </w:pPr>
            <w:r>
              <w:rPr>
                <w:rFonts w:cs="Calibri"/>
                <w:b/>
                <w:bCs/>
                <w:color w:val="000000"/>
              </w:rPr>
              <w:t>25</w:t>
            </w:r>
          </w:p>
        </w:tc>
        <w:tc>
          <w:tcPr>
            <w:tcW w:w="1444" w:type="dxa"/>
            <w:noWrap/>
            <w:hideMark/>
          </w:tcPr>
          <w:p w14:paraId="7C41A5D4" w14:textId="77777777" w:rsidR="00671A6D" w:rsidRDefault="00671A6D" w:rsidP="0055431E">
            <w:pPr>
              <w:jc w:val="right"/>
              <w:rPr>
                <w:rFonts w:cs="Calibri"/>
                <w:color w:val="000000"/>
              </w:rPr>
            </w:pPr>
            <w:r>
              <w:rPr>
                <w:rFonts w:cs="Calibri"/>
                <w:color w:val="000000"/>
              </w:rPr>
              <w:t>0</w:t>
            </w:r>
          </w:p>
        </w:tc>
        <w:tc>
          <w:tcPr>
            <w:tcW w:w="1701" w:type="dxa"/>
            <w:noWrap/>
            <w:hideMark/>
          </w:tcPr>
          <w:p w14:paraId="7D83BBC2" w14:textId="77777777" w:rsidR="00671A6D" w:rsidRDefault="00671A6D" w:rsidP="0055431E">
            <w:pPr>
              <w:jc w:val="right"/>
              <w:rPr>
                <w:rFonts w:cs="Calibri"/>
                <w:color w:val="000000"/>
              </w:rPr>
            </w:pPr>
            <w:r>
              <w:rPr>
                <w:rFonts w:cs="Calibri"/>
                <w:color w:val="000000"/>
              </w:rPr>
              <w:t>0</w:t>
            </w:r>
          </w:p>
        </w:tc>
        <w:tc>
          <w:tcPr>
            <w:tcW w:w="1559" w:type="dxa"/>
            <w:noWrap/>
            <w:hideMark/>
          </w:tcPr>
          <w:p w14:paraId="41C70A85" w14:textId="77777777" w:rsidR="00671A6D" w:rsidRDefault="00671A6D" w:rsidP="0055431E">
            <w:pPr>
              <w:jc w:val="right"/>
              <w:rPr>
                <w:rFonts w:cs="Calibri"/>
                <w:color w:val="000000"/>
              </w:rPr>
            </w:pPr>
            <w:r>
              <w:rPr>
                <w:rFonts w:cs="Calibri"/>
                <w:color w:val="000000"/>
              </w:rPr>
              <w:t>1</w:t>
            </w:r>
          </w:p>
        </w:tc>
        <w:tc>
          <w:tcPr>
            <w:tcW w:w="1701" w:type="dxa"/>
            <w:noWrap/>
            <w:hideMark/>
          </w:tcPr>
          <w:p w14:paraId="0BEB72B3" w14:textId="77777777" w:rsidR="00671A6D" w:rsidRDefault="00671A6D" w:rsidP="0055431E">
            <w:pPr>
              <w:jc w:val="right"/>
              <w:rPr>
                <w:rFonts w:cs="Calibri"/>
                <w:color w:val="000000"/>
              </w:rPr>
            </w:pPr>
            <w:r>
              <w:rPr>
                <w:rFonts w:cs="Calibri"/>
                <w:color w:val="000000"/>
              </w:rPr>
              <w:t>1</w:t>
            </w:r>
          </w:p>
        </w:tc>
        <w:tc>
          <w:tcPr>
            <w:tcW w:w="1559" w:type="dxa"/>
            <w:noWrap/>
            <w:hideMark/>
          </w:tcPr>
          <w:p w14:paraId="629C0375" w14:textId="77777777" w:rsidR="00671A6D" w:rsidRDefault="00671A6D" w:rsidP="0055431E">
            <w:pPr>
              <w:jc w:val="right"/>
              <w:rPr>
                <w:rFonts w:cs="Calibri"/>
                <w:color w:val="000000"/>
              </w:rPr>
            </w:pPr>
            <w:r>
              <w:rPr>
                <w:rFonts w:cs="Calibri"/>
                <w:color w:val="000000"/>
              </w:rPr>
              <w:t>0%</w:t>
            </w:r>
          </w:p>
        </w:tc>
      </w:tr>
    </w:tbl>
    <w:p w14:paraId="4245AB5C" w14:textId="77777777" w:rsidR="00671A6D" w:rsidRDefault="00671A6D" w:rsidP="00671A6D">
      <w:pPr>
        <w:pStyle w:val="Heading4"/>
      </w:pPr>
      <w:r>
        <w:t>Table 6: National – Age of Participant</w:t>
      </w:r>
    </w:p>
    <w:tbl>
      <w:tblPr>
        <w:tblStyle w:val="TableGrid"/>
        <w:tblW w:w="0" w:type="auto"/>
        <w:tblLook w:val="04A0" w:firstRow="1" w:lastRow="0" w:firstColumn="1" w:lastColumn="0" w:noHBand="0" w:noVBand="1"/>
        <w:tblDescription w:val="Table 5: VIC - Age of Participants"/>
      </w:tblPr>
      <w:tblGrid>
        <w:gridCol w:w="518"/>
        <w:gridCol w:w="1619"/>
        <w:gridCol w:w="1619"/>
        <w:gridCol w:w="1619"/>
        <w:gridCol w:w="1619"/>
        <w:gridCol w:w="1619"/>
      </w:tblGrid>
      <w:tr w:rsidR="00671A6D" w:rsidRPr="00580A81" w14:paraId="5FD41EA4" w14:textId="77777777" w:rsidTr="00671A6D">
        <w:trPr>
          <w:tblHeader/>
        </w:trPr>
        <w:tc>
          <w:tcPr>
            <w:tcW w:w="518" w:type="dxa"/>
            <w:shd w:val="clear" w:color="auto" w:fill="DBE5F1" w:themeFill="accent1" w:themeFillTint="33"/>
          </w:tcPr>
          <w:p w14:paraId="14DC352D" w14:textId="77777777" w:rsidR="00671A6D" w:rsidRPr="00580A81" w:rsidRDefault="00671A6D" w:rsidP="00671A6D">
            <w:pPr>
              <w:tabs>
                <w:tab w:val="left" w:pos="6153"/>
              </w:tabs>
              <w:jc w:val="center"/>
              <w:rPr>
                <w:b/>
              </w:rPr>
            </w:pPr>
          </w:p>
        </w:tc>
        <w:tc>
          <w:tcPr>
            <w:tcW w:w="1619" w:type="dxa"/>
            <w:shd w:val="clear" w:color="auto" w:fill="DBE5F1" w:themeFill="accent1" w:themeFillTint="33"/>
          </w:tcPr>
          <w:p w14:paraId="5EF0C10F" w14:textId="77777777" w:rsidR="00671A6D" w:rsidRPr="00580A81" w:rsidRDefault="00671A6D" w:rsidP="00671A6D">
            <w:pPr>
              <w:tabs>
                <w:tab w:val="left" w:pos="6153"/>
              </w:tabs>
              <w:jc w:val="center"/>
              <w:rPr>
                <w:b/>
              </w:rPr>
            </w:pPr>
            <w:r w:rsidRPr="00580A81">
              <w:rPr>
                <w:b/>
              </w:rPr>
              <w:t>Level 1</w:t>
            </w:r>
          </w:p>
        </w:tc>
        <w:tc>
          <w:tcPr>
            <w:tcW w:w="1619" w:type="dxa"/>
            <w:shd w:val="clear" w:color="auto" w:fill="DBE5F1" w:themeFill="accent1" w:themeFillTint="33"/>
          </w:tcPr>
          <w:p w14:paraId="552B41C0" w14:textId="77777777" w:rsidR="00671A6D" w:rsidRPr="00580A81" w:rsidRDefault="00671A6D" w:rsidP="00671A6D">
            <w:pPr>
              <w:tabs>
                <w:tab w:val="left" w:pos="6153"/>
              </w:tabs>
              <w:jc w:val="center"/>
              <w:rPr>
                <w:b/>
              </w:rPr>
            </w:pPr>
            <w:r w:rsidRPr="00580A81">
              <w:rPr>
                <w:b/>
              </w:rPr>
              <w:t xml:space="preserve">Level </w:t>
            </w:r>
            <w:proofErr w:type="spellStart"/>
            <w:r w:rsidRPr="00580A81">
              <w:rPr>
                <w:b/>
              </w:rPr>
              <w:t>2a</w:t>
            </w:r>
            <w:proofErr w:type="spellEnd"/>
          </w:p>
        </w:tc>
        <w:tc>
          <w:tcPr>
            <w:tcW w:w="1619" w:type="dxa"/>
            <w:shd w:val="clear" w:color="auto" w:fill="DBE5F1" w:themeFill="accent1" w:themeFillTint="33"/>
          </w:tcPr>
          <w:p w14:paraId="778652C4" w14:textId="77777777" w:rsidR="00671A6D" w:rsidRPr="00580A81" w:rsidRDefault="00671A6D" w:rsidP="00671A6D">
            <w:pPr>
              <w:tabs>
                <w:tab w:val="left" w:pos="6153"/>
              </w:tabs>
              <w:jc w:val="center"/>
              <w:rPr>
                <w:b/>
              </w:rPr>
            </w:pPr>
            <w:r w:rsidRPr="00580A81">
              <w:rPr>
                <w:b/>
              </w:rPr>
              <w:t xml:space="preserve">Level </w:t>
            </w:r>
            <w:proofErr w:type="spellStart"/>
            <w:r w:rsidRPr="00580A81">
              <w:rPr>
                <w:b/>
              </w:rPr>
              <w:t>2b</w:t>
            </w:r>
            <w:proofErr w:type="spellEnd"/>
          </w:p>
        </w:tc>
        <w:tc>
          <w:tcPr>
            <w:tcW w:w="1619" w:type="dxa"/>
            <w:shd w:val="clear" w:color="auto" w:fill="DBE5F1" w:themeFill="accent1" w:themeFillTint="33"/>
          </w:tcPr>
          <w:p w14:paraId="7722183E" w14:textId="77777777" w:rsidR="00671A6D" w:rsidRPr="00580A81" w:rsidRDefault="00671A6D" w:rsidP="00671A6D">
            <w:pPr>
              <w:tabs>
                <w:tab w:val="left" w:pos="6153"/>
              </w:tabs>
              <w:jc w:val="center"/>
              <w:rPr>
                <w:b/>
              </w:rPr>
            </w:pPr>
            <w:r w:rsidRPr="00580A81">
              <w:rPr>
                <w:b/>
              </w:rPr>
              <w:t>Total</w:t>
            </w:r>
          </w:p>
        </w:tc>
        <w:tc>
          <w:tcPr>
            <w:tcW w:w="1619" w:type="dxa"/>
            <w:shd w:val="clear" w:color="auto" w:fill="DBE5F1" w:themeFill="accent1" w:themeFillTint="33"/>
          </w:tcPr>
          <w:p w14:paraId="72090A11" w14:textId="77777777" w:rsidR="00671A6D" w:rsidRPr="00580A81" w:rsidRDefault="00671A6D" w:rsidP="00671A6D">
            <w:pPr>
              <w:tabs>
                <w:tab w:val="left" w:pos="6153"/>
              </w:tabs>
              <w:jc w:val="center"/>
              <w:rPr>
                <w:b/>
              </w:rPr>
            </w:pPr>
            <w:r w:rsidRPr="00580A81">
              <w:rPr>
                <w:b/>
              </w:rPr>
              <w:t>%</w:t>
            </w:r>
          </w:p>
        </w:tc>
      </w:tr>
      <w:tr w:rsidR="00671A6D" w14:paraId="5260D0AA" w14:textId="77777777" w:rsidTr="00671A6D">
        <w:tc>
          <w:tcPr>
            <w:tcW w:w="518" w:type="dxa"/>
            <w:vAlign w:val="bottom"/>
          </w:tcPr>
          <w:p w14:paraId="67A86C24" w14:textId="77777777" w:rsidR="00671A6D" w:rsidRDefault="00671A6D" w:rsidP="00671A6D">
            <w:pPr>
              <w:rPr>
                <w:rFonts w:cs="Calibri"/>
                <w:b/>
                <w:bCs/>
                <w:color w:val="000000"/>
              </w:rPr>
            </w:pPr>
            <w:r>
              <w:rPr>
                <w:rFonts w:cs="Calibri"/>
                <w:b/>
                <w:bCs/>
                <w:color w:val="000000"/>
              </w:rPr>
              <w:t>8</w:t>
            </w:r>
          </w:p>
        </w:tc>
        <w:tc>
          <w:tcPr>
            <w:tcW w:w="1619" w:type="dxa"/>
            <w:vAlign w:val="bottom"/>
          </w:tcPr>
          <w:p w14:paraId="434996DE" w14:textId="77777777" w:rsidR="00671A6D" w:rsidRDefault="00671A6D" w:rsidP="00671A6D">
            <w:pPr>
              <w:jc w:val="right"/>
              <w:rPr>
                <w:rFonts w:cs="Calibri"/>
                <w:color w:val="000000"/>
              </w:rPr>
            </w:pPr>
            <w:r>
              <w:rPr>
                <w:rFonts w:cs="Calibri"/>
                <w:color w:val="000000"/>
              </w:rPr>
              <w:t>13</w:t>
            </w:r>
          </w:p>
        </w:tc>
        <w:tc>
          <w:tcPr>
            <w:tcW w:w="1619" w:type="dxa"/>
            <w:vAlign w:val="bottom"/>
          </w:tcPr>
          <w:p w14:paraId="792D8ACD" w14:textId="77777777" w:rsidR="00671A6D" w:rsidRDefault="00671A6D" w:rsidP="00671A6D">
            <w:pPr>
              <w:jc w:val="right"/>
              <w:rPr>
                <w:rFonts w:cs="Calibri"/>
                <w:color w:val="000000"/>
              </w:rPr>
            </w:pPr>
            <w:r>
              <w:rPr>
                <w:rFonts w:cs="Calibri"/>
                <w:color w:val="000000"/>
              </w:rPr>
              <w:t>2</w:t>
            </w:r>
          </w:p>
        </w:tc>
        <w:tc>
          <w:tcPr>
            <w:tcW w:w="1619" w:type="dxa"/>
            <w:vAlign w:val="bottom"/>
          </w:tcPr>
          <w:p w14:paraId="6332D79A" w14:textId="77777777" w:rsidR="00671A6D" w:rsidRDefault="00671A6D" w:rsidP="00671A6D">
            <w:pPr>
              <w:jc w:val="right"/>
              <w:rPr>
                <w:rFonts w:cs="Calibri"/>
                <w:color w:val="000000"/>
              </w:rPr>
            </w:pPr>
            <w:r>
              <w:rPr>
                <w:rFonts w:cs="Calibri"/>
                <w:color w:val="000000"/>
              </w:rPr>
              <w:t>2</w:t>
            </w:r>
          </w:p>
        </w:tc>
        <w:tc>
          <w:tcPr>
            <w:tcW w:w="1619" w:type="dxa"/>
            <w:vAlign w:val="bottom"/>
          </w:tcPr>
          <w:p w14:paraId="308615D3" w14:textId="77777777" w:rsidR="00671A6D" w:rsidRDefault="00671A6D" w:rsidP="00671A6D">
            <w:pPr>
              <w:jc w:val="right"/>
              <w:rPr>
                <w:rFonts w:cs="Calibri"/>
                <w:color w:val="000000"/>
              </w:rPr>
            </w:pPr>
            <w:r>
              <w:rPr>
                <w:rFonts w:cs="Calibri"/>
                <w:color w:val="000000"/>
              </w:rPr>
              <w:t>18</w:t>
            </w:r>
          </w:p>
        </w:tc>
        <w:tc>
          <w:tcPr>
            <w:tcW w:w="1619" w:type="dxa"/>
            <w:vAlign w:val="bottom"/>
          </w:tcPr>
          <w:p w14:paraId="23000231" w14:textId="77777777" w:rsidR="00671A6D" w:rsidRDefault="00671A6D" w:rsidP="00671A6D">
            <w:pPr>
              <w:jc w:val="right"/>
              <w:rPr>
                <w:rFonts w:cs="Calibri"/>
                <w:color w:val="000000"/>
              </w:rPr>
            </w:pPr>
            <w:r>
              <w:rPr>
                <w:rFonts w:cs="Calibri"/>
                <w:color w:val="000000"/>
              </w:rPr>
              <w:t>0%</w:t>
            </w:r>
          </w:p>
        </w:tc>
      </w:tr>
      <w:tr w:rsidR="00671A6D" w14:paraId="4B00EDFA" w14:textId="77777777" w:rsidTr="00671A6D">
        <w:tc>
          <w:tcPr>
            <w:tcW w:w="518" w:type="dxa"/>
            <w:vAlign w:val="bottom"/>
          </w:tcPr>
          <w:p w14:paraId="6731F2CE" w14:textId="77777777" w:rsidR="00671A6D" w:rsidRDefault="00671A6D" w:rsidP="00671A6D">
            <w:pPr>
              <w:rPr>
                <w:rFonts w:cs="Calibri"/>
                <w:b/>
                <w:bCs/>
                <w:color w:val="000000"/>
              </w:rPr>
            </w:pPr>
            <w:r>
              <w:rPr>
                <w:rFonts w:cs="Calibri"/>
                <w:b/>
                <w:bCs/>
                <w:color w:val="000000"/>
              </w:rPr>
              <w:t>9</w:t>
            </w:r>
          </w:p>
        </w:tc>
        <w:tc>
          <w:tcPr>
            <w:tcW w:w="1619" w:type="dxa"/>
            <w:vAlign w:val="bottom"/>
          </w:tcPr>
          <w:p w14:paraId="023CBC01" w14:textId="77777777" w:rsidR="00671A6D" w:rsidRDefault="00671A6D" w:rsidP="00671A6D">
            <w:pPr>
              <w:jc w:val="right"/>
              <w:rPr>
                <w:rFonts w:cs="Calibri"/>
                <w:color w:val="000000"/>
              </w:rPr>
            </w:pPr>
            <w:r>
              <w:rPr>
                <w:rFonts w:cs="Calibri"/>
                <w:color w:val="000000"/>
              </w:rPr>
              <w:t>53</w:t>
            </w:r>
          </w:p>
        </w:tc>
        <w:tc>
          <w:tcPr>
            <w:tcW w:w="1619" w:type="dxa"/>
            <w:vAlign w:val="bottom"/>
          </w:tcPr>
          <w:p w14:paraId="6F052CCE" w14:textId="77777777" w:rsidR="00671A6D" w:rsidRDefault="00671A6D" w:rsidP="00671A6D">
            <w:pPr>
              <w:jc w:val="right"/>
              <w:rPr>
                <w:rFonts w:cs="Calibri"/>
                <w:color w:val="000000"/>
              </w:rPr>
            </w:pPr>
            <w:r>
              <w:rPr>
                <w:rFonts w:cs="Calibri"/>
                <w:color w:val="000000"/>
              </w:rPr>
              <w:t>10</w:t>
            </w:r>
          </w:p>
        </w:tc>
        <w:tc>
          <w:tcPr>
            <w:tcW w:w="1619" w:type="dxa"/>
            <w:vAlign w:val="bottom"/>
          </w:tcPr>
          <w:p w14:paraId="3494CEC1" w14:textId="77777777" w:rsidR="00671A6D" w:rsidRDefault="00671A6D" w:rsidP="00671A6D">
            <w:pPr>
              <w:jc w:val="right"/>
              <w:rPr>
                <w:rFonts w:cs="Calibri"/>
                <w:color w:val="000000"/>
              </w:rPr>
            </w:pPr>
            <w:r>
              <w:rPr>
                <w:rFonts w:cs="Calibri"/>
                <w:color w:val="000000"/>
              </w:rPr>
              <w:t>3</w:t>
            </w:r>
          </w:p>
        </w:tc>
        <w:tc>
          <w:tcPr>
            <w:tcW w:w="1619" w:type="dxa"/>
            <w:vAlign w:val="bottom"/>
          </w:tcPr>
          <w:p w14:paraId="4BCC8C84" w14:textId="77777777" w:rsidR="00671A6D" w:rsidRDefault="00671A6D" w:rsidP="00671A6D">
            <w:pPr>
              <w:jc w:val="right"/>
              <w:rPr>
                <w:rFonts w:cs="Calibri"/>
                <w:color w:val="000000"/>
              </w:rPr>
            </w:pPr>
            <w:r>
              <w:rPr>
                <w:rFonts w:cs="Calibri"/>
                <w:color w:val="000000"/>
              </w:rPr>
              <w:t>65</w:t>
            </w:r>
          </w:p>
        </w:tc>
        <w:tc>
          <w:tcPr>
            <w:tcW w:w="1619" w:type="dxa"/>
            <w:vAlign w:val="bottom"/>
          </w:tcPr>
          <w:p w14:paraId="01378BF5" w14:textId="77777777" w:rsidR="00671A6D" w:rsidRDefault="00671A6D" w:rsidP="00671A6D">
            <w:pPr>
              <w:jc w:val="right"/>
              <w:rPr>
                <w:rFonts w:cs="Calibri"/>
                <w:color w:val="000000"/>
              </w:rPr>
            </w:pPr>
            <w:r>
              <w:rPr>
                <w:rFonts w:cs="Calibri"/>
                <w:color w:val="000000"/>
              </w:rPr>
              <w:t>0%</w:t>
            </w:r>
          </w:p>
        </w:tc>
      </w:tr>
      <w:tr w:rsidR="00671A6D" w14:paraId="165ACD92" w14:textId="77777777" w:rsidTr="00671A6D">
        <w:tc>
          <w:tcPr>
            <w:tcW w:w="518" w:type="dxa"/>
            <w:vAlign w:val="bottom"/>
          </w:tcPr>
          <w:p w14:paraId="7DB65D98" w14:textId="77777777" w:rsidR="00671A6D" w:rsidRDefault="00671A6D" w:rsidP="00671A6D">
            <w:pPr>
              <w:rPr>
                <w:rFonts w:cs="Calibri"/>
                <w:b/>
                <w:bCs/>
                <w:color w:val="000000"/>
              </w:rPr>
            </w:pPr>
            <w:r>
              <w:rPr>
                <w:rFonts w:cs="Calibri"/>
                <w:b/>
                <w:bCs/>
                <w:color w:val="000000"/>
              </w:rPr>
              <w:t>10</w:t>
            </w:r>
          </w:p>
        </w:tc>
        <w:tc>
          <w:tcPr>
            <w:tcW w:w="1619" w:type="dxa"/>
            <w:vAlign w:val="bottom"/>
          </w:tcPr>
          <w:p w14:paraId="58318A5A" w14:textId="77777777" w:rsidR="00671A6D" w:rsidRDefault="00671A6D" w:rsidP="00671A6D">
            <w:pPr>
              <w:jc w:val="right"/>
              <w:rPr>
                <w:rFonts w:cs="Calibri"/>
                <w:color w:val="000000"/>
              </w:rPr>
            </w:pPr>
            <w:r>
              <w:rPr>
                <w:rFonts w:cs="Calibri"/>
                <w:color w:val="000000"/>
              </w:rPr>
              <w:t>238</w:t>
            </w:r>
          </w:p>
        </w:tc>
        <w:tc>
          <w:tcPr>
            <w:tcW w:w="1619" w:type="dxa"/>
            <w:vAlign w:val="bottom"/>
          </w:tcPr>
          <w:p w14:paraId="7F957B61" w14:textId="77777777" w:rsidR="00671A6D" w:rsidRDefault="00671A6D" w:rsidP="00671A6D">
            <w:pPr>
              <w:jc w:val="right"/>
              <w:rPr>
                <w:rFonts w:cs="Calibri"/>
                <w:color w:val="000000"/>
              </w:rPr>
            </w:pPr>
            <w:r>
              <w:rPr>
                <w:rFonts w:cs="Calibri"/>
                <w:color w:val="000000"/>
              </w:rPr>
              <w:t>70</w:t>
            </w:r>
          </w:p>
        </w:tc>
        <w:tc>
          <w:tcPr>
            <w:tcW w:w="1619" w:type="dxa"/>
            <w:vAlign w:val="bottom"/>
          </w:tcPr>
          <w:p w14:paraId="24AB2C87" w14:textId="77777777" w:rsidR="00671A6D" w:rsidRDefault="00671A6D" w:rsidP="00671A6D">
            <w:pPr>
              <w:jc w:val="right"/>
              <w:rPr>
                <w:rFonts w:cs="Calibri"/>
                <w:color w:val="000000"/>
              </w:rPr>
            </w:pPr>
            <w:r>
              <w:rPr>
                <w:rFonts w:cs="Calibri"/>
                <w:color w:val="000000"/>
              </w:rPr>
              <w:t>13</w:t>
            </w:r>
          </w:p>
        </w:tc>
        <w:tc>
          <w:tcPr>
            <w:tcW w:w="1619" w:type="dxa"/>
            <w:vAlign w:val="bottom"/>
          </w:tcPr>
          <w:p w14:paraId="55D80D49" w14:textId="77777777" w:rsidR="00671A6D" w:rsidRDefault="00671A6D" w:rsidP="00671A6D">
            <w:pPr>
              <w:jc w:val="right"/>
              <w:rPr>
                <w:rFonts w:cs="Calibri"/>
                <w:color w:val="000000"/>
              </w:rPr>
            </w:pPr>
            <w:r>
              <w:rPr>
                <w:rFonts w:cs="Calibri"/>
                <w:color w:val="000000"/>
              </w:rPr>
              <w:t>310</w:t>
            </w:r>
          </w:p>
        </w:tc>
        <w:tc>
          <w:tcPr>
            <w:tcW w:w="1619" w:type="dxa"/>
            <w:vAlign w:val="bottom"/>
          </w:tcPr>
          <w:p w14:paraId="5C8285FB" w14:textId="77777777" w:rsidR="00671A6D" w:rsidRDefault="00671A6D" w:rsidP="00671A6D">
            <w:pPr>
              <w:jc w:val="right"/>
              <w:rPr>
                <w:rFonts w:cs="Calibri"/>
                <w:color w:val="000000"/>
              </w:rPr>
            </w:pPr>
            <w:r>
              <w:rPr>
                <w:rFonts w:cs="Calibri"/>
                <w:color w:val="000000"/>
              </w:rPr>
              <w:t>1%</w:t>
            </w:r>
          </w:p>
        </w:tc>
      </w:tr>
      <w:tr w:rsidR="00671A6D" w14:paraId="5EA46C35" w14:textId="77777777" w:rsidTr="00671A6D">
        <w:tc>
          <w:tcPr>
            <w:tcW w:w="518" w:type="dxa"/>
            <w:vAlign w:val="bottom"/>
          </w:tcPr>
          <w:p w14:paraId="348D1648" w14:textId="77777777" w:rsidR="00671A6D" w:rsidRDefault="00671A6D" w:rsidP="00671A6D">
            <w:pPr>
              <w:rPr>
                <w:rFonts w:cs="Calibri"/>
                <w:b/>
                <w:bCs/>
                <w:color w:val="000000"/>
              </w:rPr>
            </w:pPr>
            <w:r>
              <w:rPr>
                <w:rFonts w:cs="Calibri"/>
                <w:b/>
                <w:bCs/>
                <w:color w:val="000000"/>
              </w:rPr>
              <w:t>11</w:t>
            </w:r>
          </w:p>
        </w:tc>
        <w:tc>
          <w:tcPr>
            <w:tcW w:w="1619" w:type="dxa"/>
            <w:vAlign w:val="bottom"/>
          </w:tcPr>
          <w:p w14:paraId="239CA37F" w14:textId="77777777" w:rsidR="00671A6D" w:rsidRDefault="00671A6D" w:rsidP="00671A6D">
            <w:pPr>
              <w:jc w:val="right"/>
              <w:rPr>
                <w:rFonts w:cs="Calibri"/>
                <w:color w:val="000000"/>
              </w:rPr>
            </w:pPr>
            <w:r>
              <w:rPr>
                <w:rFonts w:cs="Calibri"/>
                <w:color w:val="000000"/>
              </w:rPr>
              <w:t>747</w:t>
            </w:r>
          </w:p>
        </w:tc>
        <w:tc>
          <w:tcPr>
            <w:tcW w:w="1619" w:type="dxa"/>
            <w:vAlign w:val="bottom"/>
          </w:tcPr>
          <w:p w14:paraId="4B3902B9" w14:textId="77777777" w:rsidR="00671A6D" w:rsidRDefault="00671A6D" w:rsidP="00671A6D">
            <w:pPr>
              <w:jc w:val="right"/>
              <w:rPr>
                <w:rFonts w:cs="Calibri"/>
                <w:color w:val="000000"/>
              </w:rPr>
            </w:pPr>
            <w:r>
              <w:rPr>
                <w:rFonts w:cs="Calibri"/>
                <w:color w:val="000000"/>
              </w:rPr>
              <w:t>238</w:t>
            </w:r>
          </w:p>
        </w:tc>
        <w:tc>
          <w:tcPr>
            <w:tcW w:w="1619" w:type="dxa"/>
            <w:vAlign w:val="bottom"/>
          </w:tcPr>
          <w:p w14:paraId="652A46E6" w14:textId="77777777" w:rsidR="00671A6D" w:rsidRDefault="00671A6D" w:rsidP="00671A6D">
            <w:pPr>
              <w:jc w:val="right"/>
              <w:rPr>
                <w:rFonts w:cs="Calibri"/>
                <w:color w:val="000000"/>
              </w:rPr>
            </w:pPr>
            <w:r>
              <w:rPr>
                <w:rFonts w:cs="Calibri"/>
                <w:color w:val="000000"/>
              </w:rPr>
              <w:t>43</w:t>
            </w:r>
          </w:p>
        </w:tc>
        <w:tc>
          <w:tcPr>
            <w:tcW w:w="1619" w:type="dxa"/>
            <w:vAlign w:val="bottom"/>
          </w:tcPr>
          <w:p w14:paraId="21EEE1A3" w14:textId="77777777" w:rsidR="00671A6D" w:rsidRDefault="00671A6D" w:rsidP="00671A6D">
            <w:pPr>
              <w:jc w:val="right"/>
              <w:rPr>
                <w:rFonts w:cs="Calibri"/>
                <w:color w:val="000000"/>
              </w:rPr>
            </w:pPr>
            <w:r>
              <w:rPr>
                <w:rFonts w:cs="Calibri"/>
                <w:color w:val="000000"/>
              </w:rPr>
              <w:t>976</w:t>
            </w:r>
          </w:p>
        </w:tc>
        <w:tc>
          <w:tcPr>
            <w:tcW w:w="1619" w:type="dxa"/>
            <w:vAlign w:val="bottom"/>
          </w:tcPr>
          <w:p w14:paraId="6452FC42" w14:textId="77777777" w:rsidR="00671A6D" w:rsidRDefault="00671A6D" w:rsidP="00671A6D">
            <w:pPr>
              <w:jc w:val="right"/>
              <w:rPr>
                <w:rFonts w:cs="Calibri"/>
                <w:color w:val="000000"/>
              </w:rPr>
            </w:pPr>
            <w:r>
              <w:rPr>
                <w:rFonts w:cs="Calibri"/>
                <w:color w:val="000000"/>
              </w:rPr>
              <w:t>2%</w:t>
            </w:r>
          </w:p>
        </w:tc>
      </w:tr>
      <w:tr w:rsidR="00671A6D" w14:paraId="46CCC641" w14:textId="77777777" w:rsidTr="00671A6D">
        <w:tc>
          <w:tcPr>
            <w:tcW w:w="518" w:type="dxa"/>
            <w:vAlign w:val="bottom"/>
          </w:tcPr>
          <w:p w14:paraId="64D80D3C" w14:textId="77777777" w:rsidR="00671A6D" w:rsidRDefault="00671A6D" w:rsidP="00671A6D">
            <w:pPr>
              <w:rPr>
                <w:rFonts w:cs="Calibri"/>
                <w:b/>
                <w:bCs/>
                <w:color w:val="000000"/>
              </w:rPr>
            </w:pPr>
            <w:r>
              <w:rPr>
                <w:rFonts w:cs="Calibri"/>
                <w:b/>
                <w:bCs/>
                <w:color w:val="000000"/>
              </w:rPr>
              <w:t>12</w:t>
            </w:r>
          </w:p>
        </w:tc>
        <w:tc>
          <w:tcPr>
            <w:tcW w:w="1619" w:type="dxa"/>
            <w:vAlign w:val="bottom"/>
          </w:tcPr>
          <w:p w14:paraId="4F80AAC9" w14:textId="77777777" w:rsidR="00671A6D" w:rsidRDefault="00671A6D" w:rsidP="00671A6D">
            <w:pPr>
              <w:jc w:val="right"/>
              <w:rPr>
                <w:rFonts w:cs="Calibri"/>
                <w:color w:val="000000"/>
              </w:rPr>
            </w:pPr>
            <w:r>
              <w:rPr>
                <w:rFonts w:cs="Calibri"/>
                <w:color w:val="000000"/>
              </w:rPr>
              <w:t>1197</w:t>
            </w:r>
          </w:p>
        </w:tc>
        <w:tc>
          <w:tcPr>
            <w:tcW w:w="1619" w:type="dxa"/>
            <w:vAlign w:val="bottom"/>
          </w:tcPr>
          <w:p w14:paraId="1624C1C1" w14:textId="77777777" w:rsidR="00671A6D" w:rsidRDefault="00671A6D" w:rsidP="00671A6D">
            <w:pPr>
              <w:jc w:val="right"/>
              <w:rPr>
                <w:rFonts w:cs="Calibri"/>
                <w:color w:val="000000"/>
              </w:rPr>
            </w:pPr>
            <w:r>
              <w:rPr>
                <w:rFonts w:cs="Calibri"/>
                <w:color w:val="000000"/>
              </w:rPr>
              <w:t>648</w:t>
            </w:r>
          </w:p>
        </w:tc>
        <w:tc>
          <w:tcPr>
            <w:tcW w:w="1619" w:type="dxa"/>
            <w:vAlign w:val="bottom"/>
          </w:tcPr>
          <w:p w14:paraId="1B29CFB3" w14:textId="77777777" w:rsidR="00671A6D" w:rsidRDefault="00671A6D" w:rsidP="00671A6D">
            <w:pPr>
              <w:jc w:val="right"/>
              <w:rPr>
                <w:rFonts w:cs="Calibri"/>
                <w:color w:val="000000"/>
              </w:rPr>
            </w:pPr>
            <w:r>
              <w:rPr>
                <w:rFonts w:cs="Calibri"/>
                <w:color w:val="000000"/>
              </w:rPr>
              <w:t>163</w:t>
            </w:r>
          </w:p>
        </w:tc>
        <w:tc>
          <w:tcPr>
            <w:tcW w:w="1619" w:type="dxa"/>
            <w:vAlign w:val="bottom"/>
          </w:tcPr>
          <w:p w14:paraId="2E11BD8D" w14:textId="77777777" w:rsidR="00671A6D" w:rsidRDefault="00671A6D" w:rsidP="00671A6D">
            <w:pPr>
              <w:jc w:val="right"/>
              <w:rPr>
                <w:rFonts w:cs="Calibri"/>
                <w:color w:val="000000"/>
              </w:rPr>
            </w:pPr>
            <w:r>
              <w:rPr>
                <w:rFonts w:cs="Calibri"/>
                <w:color w:val="000000"/>
              </w:rPr>
              <w:t>1890</w:t>
            </w:r>
          </w:p>
        </w:tc>
        <w:tc>
          <w:tcPr>
            <w:tcW w:w="1619" w:type="dxa"/>
            <w:vAlign w:val="bottom"/>
          </w:tcPr>
          <w:p w14:paraId="79A1948C" w14:textId="77777777" w:rsidR="00671A6D" w:rsidRDefault="00671A6D" w:rsidP="00671A6D">
            <w:pPr>
              <w:jc w:val="right"/>
              <w:rPr>
                <w:rFonts w:cs="Calibri"/>
                <w:color w:val="000000"/>
              </w:rPr>
            </w:pPr>
            <w:r>
              <w:rPr>
                <w:rFonts w:cs="Calibri"/>
                <w:color w:val="000000"/>
              </w:rPr>
              <w:t>3%</w:t>
            </w:r>
          </w:p>
        </w:tc>
      </w:tr>
      <w:tr w:rsidR="00671A6D" w14:paraId="10A7627E" w14:textId="77777777" w:rsidTr="00671A6D">
        <w:tc>
          <w:tcPr>
            <w:tcW w:w="518" w:type="dxa"/>
            <w:vAlign w:val="bottom"/>
          </w:tcPr>
          <w:p w14:paraId="38DE8E25" w14:textId="77777777" w:rsidR="00671A6D" w:rsidRDefault="00671A6D" w:rsidP="00671A6D">
            <w:pPr>
              <w:rPr>
                <w:rFonts w:cs="Calibri"/>
                <w:b/>
                <w:bCs/>
                <w:color w:val="000000"/>
              </w:rPr>
            </w:pPr>
            <w:r>
              <w:rPr>
                <w:rFonts w:cs="Calibri"/>
                <w:b/>
                <w:bCs/>
                <w:color w:val="000000"/>
              </w:rPr>
              <w:t>13</w:t>
            </w:r>
          </w:p>
        </w:tc>
        <w:tc>
          <w:tcPr>
            <w:tcW w:w="1619" w:type="dxa"/>
            <w:vAlign w:val="bottom"/>
          </w:tcPr>
          <w:p w14:paraId="4CFFF5CF" w14:textId="77777777" w:rsidR="00671A6D" w:rsidRDefault="00671A6D" w:rsidP="00671A6D">
            <w:pPr>
              <w:jc w:val="right"/>
              <w:rPr>
                <w:rFonts w:cs="Calibri"/>
                <w:color w:val="000000"/>
              </w:rPr>
            </w:pPr>
            <w:r>
              <w:rPr>
                <w:rFonts w:cs="Calibri"/>
                <w:color w:val="000000"/>
              </w:rPr>
              <w:t>2466</w:t>
            </w:r>
          </w:p>
        </w:tc>
        <w:tc>
          <w:tcPr>
            <w:tcW w:w="1619" w:type="dxa"/>
            <w:vAlign w:val="bottom"/>
          </w:tcPr>
          <w:p w14:paraId="1285F446" w14:textId="77777777" w:rsidR="00671A6D" w:rsidRDefault="00671A6D" w:rsidP="00671A6D">
            <w:pPr>
              <w:jc w:val="right"/>
              <w:rPr>
                <w:rFonts w:cs="Calibri"/>
                <w:color w:val="000000"/>
              </w:rPr>
            </w:pPr>
            <w:r>
              <w:rPr>
                <w:rFonts w:cs="Calibri"/>
                <w:color w:val="000000"/>
              </w:rPr>
              <w:t>1991</w:t>
            </w:r>
          </w:p>
        </w:tc>
        <w:tc>
          <w:tcPr>
            <w:tcW w:w="1619" w:type="dxa"/>
            <w:vAlign w:val="bottom"/>
          </w:tcPr>
          <w:p w14:paraId="37F8CE63" w14:textId="77777777" w:rsidR="00671A6D" w:rsidRDefault="00671A6D" w:rsidP="00671A6D">
            <w:pPr>
              <w:jc w:val="right"/>
              <w:rPr>
                <w:rFonts w:cs="Calibri"/>
                <w:color w:val="000000"/>
              </w:rPr>
            </w:pPr>
            <w:r>
              <w:rPr>
                <w:rFonts w:cs="Calibri"/>
                <w:color w:val="000000"/>
              </w:rPr>
              <w:t>719</w:t>
            </w:r>
          </w:p>
        </w:tc>
        <w:tc>
          <w:tcPr>
            <w:tcW w:w="1619" w:type="dxa"/>
            <w:vAlign w:val="bottom"/>
          </w:tcPr>
          <w:p w14:paraId="5F128534" w14:textId="77777777" w:rsidR="00671A6D" w:rsidRDefault="00671A6D" w:rsidP="00671A6D">
            <w:pPr>
              <w:jc w:val="right"/>
              <w:rPr>
                <w:rFonts w:cs="Calibri"/>
                <w:color w:val="000000"/>
              </w:rPr>
            </w:pPr>
            <w:r>
              <w:rPr>
                <w:rFonts w:cs="Calibri"/>
                <w:color w:val="000000"/>
              </w:rPr>
              <w:t>4860</w:t>
            </w:r>
          </w:p>
        </w:tc>
        <w:tc>
          <w:tcPr>
            <w:tcW w:w="1619" w:type="dxa"/>
            <w:vAlign w:val="bottom"/>
          </w:tcPr>
          <w:p w14:paraId="648D028A" w14:textId="77777777" w:rsidR="00671A6D" w:rsidRDefault="00671A6D" w:rsidP="00671A6D">
            <w:pPr>
              <w:jc w:val="right"/>
              <w:rPr>
                <w:rFonts w:cs="Calibri"/>
                <w:color w:val="000000"/>
              </w:rPr>
            </w:pPr>
            <w:r>
              <w:rPr>
                <w:rFonts w:cs="Calibri"/>
                <w:color w:val="000000"/>
              </w:rPr>
              <w:t>8%</w:t>
            </w:r>
          </w:p>
        </w:tc>
      </w:tr>
      <w:tr w:rsidR="00671A6D" w14:paraId="5D463F93" w14:textId="77777777" w:rsidTr="00671A6D">
        <w:tc>
          <w:tcPr>
            <w:tcW w:w="518" w:type="dxa"/>
            <w:vAlign w:val="bottom"/>
          </w:tcPr>
          <w:p w14:paraId="007A4701" w14:textId="77777777" w:rsidR="00671A6D" w:rsidRDefault="00671A6D" w:rsidP="00671A6D">
            <w:pPr>
              <w:rPr>
                <w:rFonts w:cs="Calibri"/>
                <w:b/>
                <w:bCs/>
                <w:color w:val="000000"/>
              </w:rPr>
            </w:pPr>
            <w:r>
              <w:rPr>
                <w:rFonts w:cs="Calibri"/>
                <w:b/>
                <w:bCs/>
                <w:color w:val="000000"/>
              </w:rPr>
              <w:t>14</w:t>
            </w:r>
          </w:p>
        </w:tc>
        <w:tc>
          <w:tcPr>
            <w:tcW w:w="1619" w:type="dxa"/>
            <w:vAlign w:val="bottom"/>
          </w:tcPr>
          <w:p w14:paraId="6E02B2EC" w14:textId="77777777" w:rsidR="00671A6D" w:rsidRDefault="00671A6D" w:rsidP="00671A6D">
            <w:pPr>
              <w:jc w:val="right"/>
              <w:rPr>
                <w:rFonts w:cs="Calibri"/>
                <w:color w:val="000000"/>
              </w:rPr>
            </w:pPr>
            <w:r>
              <w:rPr>
                <w:rFonts w:cs="Calibri"/>
                <w:color w:val="000000"/>
              </w:rPr>
              <w:t>3824</w:t>
            </w:r>
          </w:p>
        </w:tc>
        <w:tc>
          <w:tcPr>
            <w:tcW w:w="1619" w:type="dxa"/>
            <w:vAlign w:val="bottom"/>
          </w:tcPr>
          <w:p w14:paraId="78970576" w14:textId="77777777" w:rsidR="00671A6D" w:rsidRDefault="00671A6D" w:rsidP="00671A6D">
            <w:pPr>
              <w:jc w:val="right"/>
              <w:rPr>
                <w:rFonts w:cs="Calibri"/>
                <w:color w:val="000000"/>
              </w:rPr>
            </w:pPr>
            <w:r>
              <w:rPr>
                <w:rFonts w:cs="Calibri"/>
                <w:color w:val="000000"/>
              </w:rPr>
              <w:t>4629</w:t>
            </w:r>
          </w:p>
        </w:tc>
        <w:tc>
          <w:tcPr>
            <w:tcW w:w="1619" w:type="dxa"/>
            <w:vAlign w:val="bottom"/>
          </w:tcPr>
          <w:p w14:paraId="54B983AA" w14:textId="77777777" w:rsidR="00671A6D" w:rsidRDefault="00671A6D" w:rsidP="00671A6D">
            <w:pPr>
              <w:jc w:val="right"/>
              <w:rPr>
                <w:rFonts w:cs="Calibri"/>
                <w:color w:val="000000"/>
              </w:rPr>
            </w:pPr>
            <w:r>
              <w:rPr>
                <w:rFonts w:cs="Calibri"/>
                <w:color w:val="000000"/>
              </w:rPr>
              <w:t>2137</w:t>
            </w:r>
          </w:p>
        </w:tc>
        <w:tc>
          <w:tcPr>
            <w:tcW w:w="1619" w:type="dxa"/>
            <w:vAlign w:val="bottom"/>
          </w:tcPr>
          <w:p w14:paraId="6BFCFE13" w14:textId="77777777" w:rsidR="00671A6D" w:rsidRDefault="00671A6D" w:rsidP="00671A6D">
            <w:pPr>
              <w:jc w:val="right"/>
              <w:rPr>
                <w:rFonts w:cs="Calibri"/>
                <w:color w:val="000000"/>
              </w:rPr>
            </w:pPr>
            <w:r>
              <w:rPr>
                <w:rFonts w:cs="Calibri"/>
                <w:color w:val="000000"/>
              </w:rPr>
              <w:t>9900</w:t>
            </w:r>
          </w:p>
        </w:tc>
        <w:tc>
          <w:tcPr>
            <w:tcW w:w="1619" w:type="dxa"/>
            <w:vAlign w:val="bottom"/>
          </w:tcPr>
          <w:p w14:paraId="63AC1FA1" w14:textId="77777777" w:rsidR="00671A6D" w:rsidRDefault="00671A6D" w:rsidP="00671A6D">
            <w:pPr>
              <w:jc w:val="right"/>
              <w:rPr>
                <w:rFonts w:cs="Calibri"/>
                <w:color w:val="000000"/>
              </w:rPr>
            </w:pPr>
            <w:r>
              <w:rPr>
                <w:rFonts w:cs="Calibri"/>
                <w:color w:val="000000"/>
              </w:rPr>
              <w:t>17%</w:t>
            </w:r>
          </w:p>
        </w:tc>
      </w:tr>
      <w:tr w:rsidR="00671A6D" w14:paraId="1E173C5C" w14:textId="77777777" w:rsidTr="00671A6D">
        <w:tc>
          <w:tcPr>
            <w:tcW w:w="518" w:type="dxa"/>
            <w:vAlign w:val="bottom"/>
          </w:tcPr>
          <w:p w14:paraId="6B01CD4E" w14:textId="77777777" w:rsidR="00671A6D" w:rsidRDefault="00671A6D" w:rsidP="00671A6D">
            <w:pPr>
              <w:rPr>
                <w:rFonts w:cs="Calibri"/>
                <w:b/>
                <w:bCs/>
                <w:color w:val="000000"/>
              </w:rPr>
            </w:pPr>
            <w:r>
              <w:rPr>
                <w:rFonts w:cs="Calibri"/>
                <w:b/>
                <w:bCs/>
                <w:color w:val="000000"/>
              </w:rPr>
              <w:t>15</w:t>
            </w:r>
          </w:p>
        </w:tc>
        <w:tc>
          <w:tcPr>
            <w:tcW w:w="1619" w:type="dxa"/>
            <w:vAlign w:val="bottom"/>
          </w:tcPr>
          <w:p w14:paraId="3F2E208C" w14:textId="77777777" w:rsidR="00671A6D" w:rsidRDefault="00671A6D" w:rsidP="00671A6D">
            <w:pPr>
              <w:jc w:val="right"/>
              <w:rPr>
                <w:rFonts w:cs="Calibri"/>
                <w:color w:val="000000"/>
              </w:rPr>
            </w:pPr>
            <w:r>
              <w:rPr>
                <w:rFonts w:cs="Calibri"/>
                <w:color w:val="000000"/>
              </w:rPr>
              <w:t>3849</w:t>
            </w:r>
          </w:p>
        </w:tc>
        <w:tc>
          <w:tcPr>
            <w:tcW w:w="1619" w:type="dxa"/>
            <w:vAlign w:val="bottom"/>
          </w:tcPr>
          <w:p w14:paraId="67A37466" w14:textId="77777777" w:rsidR="00671A6D" w:rsidRDefault="00671A6D" w:rsidP="00671A6D">
            <w:pPr>
              <w:jc w:val="right"/>
              <w:rPr>
                <w:rFonts w:cs="Calibri"/>
                <w:color w:val="000000"/>
              </w:rPr>
            </w:pPr>
            <w:r>
              <w:rPr>
                <w:rFonts w:cs="Calibri"/>
                <w:color w:val="000000"/>
              </w:rPr>
              <w:t>6029</w:t>
            </w:r>
          </w:p>
        </w:tc>
        <w:tc>
          <w:tcPr>
            <w:tcW w:w="1619" w:type="dxa"/>
            <w:vAlign w:val="bottom"/>
          </w:tcPr>
          <w:p w14:paraId="04B54938" w14:textId="77777777" w:rsidR="00671A6D" w:rsidRDefault="00671A6D" w:rsidP="00671A6D">
            <w:pPr>
              <w:jc w:val="right"/>
              <w:rPr>
                <w:rFonts w:cs="Calibri"/>
                <w:color w:val="000000"/>
              </w:rPr>
            </w:pPr>
            <w:r>
              <w:rPr>
                <w:rFonts w:cs="Calibri"/>
                <w:color w:val="000000"/>
              </w:rPr>
              <w:t>3872</w:t>
            </w:r>
          </w:p>
        </w:tc>
        <w:tc>
          <w:tcPr>
            <w:tcW w:w="1619" w:type="dxa"/>
            <w:vAlign w:val="bottom"/>
          </w:tcPr>
          <w:p w14:paraId="39C6ACDB" w14:textId="77777777" w:rsidR="00671A6D" w:rsidRDefault="00671A6D" w:rsidP="00671A6D">
            <w:pPr>
              <w:jc w:val="right"/>
              <w:rPr>
                <w:rFonts w:cs="Calibri"/>
                <w:color w:val="000000"/>
              </w:rPr>
            </w:pPr>
            <w:r>
              <w:rPr>
                <w:rFonts w:cs="Calibri"/>
                <w:color w:val="000000"/>
              </w:rPr>
              <w:t>12958</w:t>
            </w:r>
          </w:p>
        </w:tc>
        <w:tc>
          <w:tcPr>
            <w:tcW w:w="1619" w:type="dxa"/>
            <w:vAlign w:val="bottom"/>
          </w:tcPr>
          <w:p w14:paraId="15E21A4A" w14:textId="77777777" w:rsidR="00671A6D" w:rsidRDefault="00671A6D" w:rsidP="00671A6D">
            <w:pPr>
              <w:jc w:val="right"/>
              <w:rPr>
                <w:rFonts w:cs="Calibri"/>
                <w:color w:val="000000"/>
              </w:rPr>
            </w:pPr>
            <w:r>
              <w:rPr>
                <w:rFonts w:cs="Calibri"/>
                <w:color w:val="000000"/>
              </w:rPr>
              <w:t>22%</w:t>
            </w:r>
          </w:p>
        </w:tc>
      </w:tr>
      <w:tr w:rsidR="00671A6D" w14:paraId="7165AC86" w14:textId="77777777" w:rsidTr="00671A6D">
        <w:tc>
          <w:tcPr>
            <w:tcW w:w="518" w:type="dxa"/>
            <w:vAlign w:val="bottom"/>
          </w:tcPr>
          <w:p w14:paraId="7C736717" w14:textId="77777777" w:rsidR="00671A6D" w:rsidRDefault="00671A6D" w:rsidP="00671A6D">
            <w:pPr>
              <w:rPr>
                <w:rFonts w:cs="Calibri"/>
                <w:b/>
                <w:bCs/>
                <w:color w:val="000000"/>
              </w:rPr>
            </w:pPr>
            <w:r>
              <w:rPr>
                <w:rFonts w:cs="Calibri"/>
                <w:b/>
                <w:bCs/>
                <w:color w:val="000000"/>
              </w:rPr>
              <w:t>16</w:t>
            </w:r>
          </w:p>
        </w:tc>
        <w:tc>
          <w:tcPr>
            <w:tcW w:w="1619" w:type="dxa"/>
            <w:vAlign w:val="bottom"/>
          </w:tcPr>
          <w:p w14:paraId="7246DD1B" w14:textId="77777777" w:rsidR="00671A6D" w:rsidRDefault="00671A6D" w:rsidP="00671A6D">
            <w:pPr>
              <w:jc w:val="right"/>
              <w:rPr>
                <w:rFonts w:cs="Calibri"/>
                <w:color w:val="000000"/>
              </w:rPr>
            </w:pPr>
            <w:r>
              <w:rPr>
                <w:rFonts w:cs="Calibri"/>
                <w:color w:val="000000"/>
              </w:rPr>
              <w:t>2149</w:t>
            </w:r>
          </w:p>
        </w:tc>
        <w:tc>
          <w:tcPr>
            <w:tcW w:w="1619" w:type="dxa"/>
            <w:vAlign w:val="bottom"/>
          </w:tcPr>
          <w:p w14:paraId="239D4979" w14:textId="77777777" w:rsidR="00671A6D" w:rsidRDefault="00671A6D" w:rsidP="00671A6D">
            <w:pPr>
              <w:jc w:val="right"/>
              <w:rPr>
                <w:rFonts w:cs="Calibri"/>
                <w:color w:val="000000"/>
              </w:rPr>
            </w:pPr>
            <w:r>
              <w:rPr>
                <w:rFonts w:cs="Calibri"/>
                <w:color w:val="000000"/>
              </w:rPr>
              <w:t>4408</w:t>
            </w:r>
          </w:p>
        </w:tc>
        <w:tc>
          <w:tcPr>
            <w:tcW w:w="1619" w:type="dxa"/>
            <w:vAlign w:val="bottom"/>
          </w:tcPr>
          <w:p w14:paraId="641879C0" w14:textId="77777777" w:rsidR="00671A6D" w:rsidRDefault="00671A6D" w:rsidP="00671A6D">
            <w:pPr>
              <w:jc w:val="right"/>
              <w:rPr>
                <w:rFonts w:cs="Calibri"/>
                <w:color w:val="000000"/>
              </w:rPr>
            </w:pPr>
            <w:r>
              <w:rPr>
                <w:rFonts w:cs="Calibri"/>
                <w:color w:val="000000"/>
              </w:rPr>
              <w:t>6164</w:t>
            </w:r>
          </w:p>
        </w:tc>
        <w:tc>
          <w:tcPr>
            <w:tcW w:w="1619" w:type="dxa"/>
            <w:vAlign w:val="bottom"/>
          </w:tcPr>
          <w:p w14:paraId="1A03AFF1" w14:textId="77777777" w:rsidR="00671A6D" w:rsidRDefault="00671A6D" w:rsidP="00671A6D">
            <w:pPr>
              <w:jc w:val="right"/>
              <w:rPr>
                <w:rFonts w:cs="Calibri"/>
                <w:color w:val="000000"/>
              </w:rPr>
            </w:pPr>
            <w:r>
              <w:rPr>
                <w:rFonts w:cs="Calibri"/>
                <w:color w:val="000000"/>
              </w:rPr>
              <w:t>12478</w:t>
            </w:r>
          </w:p>
        </w:tc>
        <w:tc>
          <w:tcPr>
            <w:tcW w:w="1619" w:type="dxa"/>
            <w:vAlign w:val="bottom"/>
          </w:tcPr>
          <w:p w14:paraId="1A816753" w14:textId="77777777" w:rsidR="00671A6D" w:rsidRDefault="00671A6D" w:rsidP="00671A6D">
            <w:pPr>
              <w:jc w:val="right"/>
              <w:rPr>
                <w:rFonts w:cs="Calibri"/>
                <w:color w:val="000000"/>
              </w:rPr>
            </w:pPr>
            <w:r>
              <w:rPr>
                <w:rFonts w:cs="Calibri"/>
                <w:color w:val="000000"/>
              </w:rPr>
              <w:t>21%</w:t>
            </w:r>
          </w:p>
        </w:tc>
      </w:tr>
      <w:tr w:rsidR="00671A6D" w14:paraId="5D9D56D6" w14:textId="77777777" w:rsidTr="00671A6D">
        <w:tc>
          <w:tcPr>
            <w:tcW w:w="518" w:type="dxa"/>
            <w:vAlign w:val="bottom"/>
          </w:tcPr>
          <w:p w14:paraId="6498748F" w14:textId="77777777" w:rsidR="00671A6D" w:rsidRDefault="00671A6D" w:rsidP="00671A6D">
            <w:pPr>
              <w:rPr>
                <w:rFonts w:cs="Calibri"/>
                <w:b/>
                <w:bCs/>
                <w:color w:val="000000"/>
              </w:rPr>
            </w:pPr>
            <w:r>
              <w:rPr>
                <w:rFonts w:cs="Calibri"/>
                <w:b/>
                <w:bCs/>
                <w:color w:val="000000"/>
              </w:rPr>
              <w:t>17</w:t>
            </w:r>
          </w:p>
        </w:tc>
        <w:tc>
          <w:tcPr>
            <w:tcW w:w="1619" w:type="dxa"/>
            <w:vAlign w:val="bottom"/>
          </w:tcPr>
          <w:p w14:paraId="47BC70BC" w14:textId="77777777" w:rsidR="00671A6D" w:rsidRDefault="00671A6D" w:rsidP="00671A6D">
            <w:pPr>
              <w:jc w:val="right"/>
              <w:rPr>
                <w:rFonts w:cs="Calibri"/>
                <w:color w:val="000000"/>
              </w:rPr>
            </w:pPr>
            <w:r>
              <w:rPr>
                <w:rFonts w:cs="Calibri"/>
                <w:color w:val="000000"/>
              </w:rPr>
              <w:t>967</w:t>
            </w:r>
          </w:p>
        </w:tc>
        <w:tc>
          <w:tcPr>
            <w:tcW w:w="1619" w:type="dxa"/>
            <w:vAlign w:val="bottom"/>
          </w:tcPr>
          <w:p w14:paraId="233DAD85" w14:textId="77777777" w:rsidR="00671A6D" w:rsidRDefault="00671A6D" w:rsidP="00671A6D">
            <w:pPr>
              <w:jc w:val="right"/>
              <w:rPr>
                <w:rFonts w:cs="Calibri"/>
                <w:color w:val="000000"/>
              </w:rPr>
            </w:pPr>
            <w:r>
              <w:rPr>
                <w:rFonts w:cs="Calibri"/>
                <w:color w:val="000000"/>
              </w:rPr>
              <w:t>2215</w:t>
            </w:r>
          </w:p>
        </w:tc>
        <w:tc>
          <w:tcPr>
            <w:tcW w:w="1619" w:type="dxa"/>
            <w:vAlign w:val="bottom"/>
          </w:tcPr>
          <w:p w14:paraId="10369D43" w14:textId="77777777" w:rsidR="00671A6D" w:rsidRDefault="00671A6D" w:rsidP="00671A6D">
            <w:pPr>
              <w:jc w:val="right"/>
              <w:rPr>
                <w:rFonts w:cs="Calibri"/>
                <w:color w:val="000000"/>
              </w:rPr>
            </w:pPr>
            <w:r>
              <w:rPr>
                <w:rFonts w:cs="Calibri"/>
                <w:color w:val="000000"/>
              </w:rPr>
              <w:t>5529</w:t>
            </w:r>
          </w:p>
        </w:tc>
        <w:tc>
          <w:tcPr>
            <w:tcW w:w="1619" w:type="dxa"/>
            <w:vAlign w:val="bottom"/>
          </w:tcPr>
          <w:p w14:paraId="1A3BD3EE" w14:textId="77777777" w:rsidR="00671A6D" w:rsidRDefault="00671A6D" w:rsidP="00671A6D">
            <w:pPr>
              <w:jc w:val="right"/>
              <w:rPr>
                <w:rFonts w:cs="Calibri"/>
                <w:color w:val="000000"/>
              </w:rPr>
            </w:pPr>
            <w:r>
              <w:rPr>
                <w:rFonts w:cs="Calibri"/>
                <w:color w:val="000000"/>
              </w:rPr>
              <w:t>8744</w:t>
            </w:r>
          </w:p>
        </w:tc>
        <w:tc>
          <w:tcPr>
            <w:tcW w:w="1619" w:type="dxa"/>
            <w:vAlign w:val="bottom"/>
          </w:tcPr>
          <w:p w14:paraId="043E1AF8" w14:textId="77777777" w:rsidR="00671A6D" w:rsidRDefault="00671A6D" w:rsidP="00671A6D">
            <w:pPr>
              <w:jc w:val="right"/>
              <w:rPr>
                <w:rFonts w:cs="Calibri"/>
                <w:color w:val="000000"/>
              </w:rPr>
            </w:pPr>
            <w:r>
              <w:rPr>
                <w:rFonts w:cs="Calibri"/>
                <w:color w:val="000000"/>
              </w:rPr>
              <w:t>15%</w:t>
            </w:r>
          </w:p>
        </w:tc>
      </w:tr>
      <w:tr w:rsidR="00671A6D" w14:paraId="32A29821" w14:textId="77777777" w:rsidTr="00671A6D">
        <w:tc>
          <w:tcPr>
            <w:tcW w:w="518" w:type="dxa"/>
            <w:vAlign w:val="bottom"/>
          </w:tcPr>
          <w:p w14:paraId="7819392A" w14:textId="77777777" w:rsidR="00671A6D" w:rsidRDefault="00671A6D" w:rsidP="00671A6D">
            <w:pPr>
              <w:rPr>
                <w:rFonts w:cs="Calibri"/>
                <w:b/>
                <w:bCs/>
                <w:color w:val="000000"/>
              </w:rPr>
            </w:pPr>
            <w:r>
              <w:rPr>
                <w:rFonts w:cs="Calibri"/>
                <w:b/>
                <w:bCs/>
                <w:color w:val="000000"/>
              </w:rPr>
              <w:t>18</w:t>
            </w:r>
          </w:p>
        </w:tc>
        <w:tc>
          <w:tcPr>
            <w:tcW w:w="1619" w:type="dxa"/>
            <w:vAlign w:val="bottom"/>
          </w:tcPr>
          <w:p w14:paraId="7AB2EFE6" w14:textId="77777777" w:rsidR="00671A6D" w:rsidRDefault="00671A6D" w:rsidP="00671A6D">
            <w:pPr>
              <w:jc w:val="right"/>
              <w:rPr>
                <w:rFonts w:cs="Calibri"/>
                <w:color w:val="000000"/>
              </w:rPr>
            </w:pPr>
            <w:r>
              <w:rPr>
                <w:rFonts w:cs="Calibri"/>
                <w:color w:val="000000"/>
              </w:rPr>
              <w:t>243</w:t>
            </w:r>
          </w:p>
        </w:tc>
        <w:tc>
          <w:tcPr>
            <w:tcW w:w="1619" w:type="dxa"/>
            <w:vAlign w:val="bottom"/>
          </w:tcPr>
          <w:p w14:paraId="3DAA3D1F" w14:textId="77777777" w:rsidR="00671A6D" w:rsidRDefault="00671A6D" w:rsidP="00671A6D">
            <w:pPr>
              <w:jc w:val="right"/>
              <w:rPr>
                <w:rFonts w:cs="Calibri"/>
                <w:color w:val="000000"/>
              </w:rPr>
            </w:pPr>
            <w:r>
              <w:rPr>
                <w:rFonts w:cs="Calibri"/>
                <w:color w:val="000000"/>
              </w:rPr>
              <w:t>642</w:t>
            </w:r>
          </w:p>
        </w:tc>
        <w:tc>
          <w:tcPr>
            <w:tcW w:w="1619" w:type="dxa"/>
            <w:vAlign w:val="bottom"/>
          </w:tcPr>
          <w:p w14:paraId="46F79DC3" w14:textId="77777777" w:rsidR="00671A6D" w:rsidRDefault="00671A6D" w:rsidP="00671A6D">
            <w:pPr>
              <w:jc w:val="right"/>
              <w:rPr>
                <w:rFonts w:cs="Calibri"/>
                <w:color w:val="000000"/>
              </w:rPr>
            </w:pPr>
            <w:r>
              <w:rPr>
                <w:rFonts w:cs="Calibri"/>
                <w:color w:val="000000"/>
              </w:rPr>
              <w:t>3041</w:t>
            </w:r>
          </w:p>
        </w:tc>
        <w:tc>
          <w:tcPr>
            <w:tcW w:w="1619" w:type="dxa"/>
            <w:vAlign w:val="bottom"/>
          </w:tcPr>
          <w:p w14:paraId="246C10F7" w14:textId="77777777" w:rsidR="00671A6D" w:rsidRDefault="00671A6D" w:rsidP="00671A6D">
            <w:pPr>
              <w:jc w:val="right"/>
              <w:rPr>
                <w:rFonts w:cs="Calibri"/>
                <w:color w:val="000000"/>
              </w:rPr>
            </w:pPr>
            <w:r>
              <w:rPr>
                <w:rFonts w:cs="Calibri"/>
                <w:color w:val="000000"/>
              </w:rPr>
              <w:t>4028</w:t>
            </w:r>
          </w:p>
        </w:tc>
        <w:tc>
          <w:tcPr>
            <w:tcW w:w="1619" w:type="dxa"/>
            <w:vAlign w:val="bottom"/>
          </w:tcPr>
          <w:p w14:paraId="60D3A660" w14:textId="77777777" w:rsidR="00671A6D" w:rsidRDefault="00671A6D" w:rsidP="00671A6D">
            <w:pPr>
              <w:jc w:val="right"/>
              <w:rPr>
                <w:rFonts w:cs="Calibri"/>
                <w:color w:val="000000"/>
              </w:rPr>
            </w:pPr>
            <w:r>
              <w:rPr>
                <w:rFonts w:cs="Calibri"/>
                <w:color w:val="000000"/>
              </w:rPr>
              <w:t>7%</w:t>
            </w:r>
          </w:p>
        </w:tc>
      </w:tr>
      <w:tr w:rsidR="00671A6D" w14:paraId="5089F0A7" w14:textId="77777777" w:rsidTr="00671A6D">
        <w:tc>
          <w:tcPr>
            <w:tcW w:w="518" w:type="dxa"/>
            <w:vAlign w:val="bottom"/>
          </w:tcPr>
          <w:p w14:paraId="22B2E901" w14:textId="77777777" w:rsidR="00671A6D" w:rsidRDefault="00671A6D" w:rsidP="00671A6D">
            <w:pPr>
              <w:rPr>
                <w:rFonts w:cs="Calibri"/>
                <w:b/>
                <w:bCs/>
                <w:color w:val="000000"/>
              </w:rPr>
            </w:pPr>
            <w:r>
              <w:rPr>
                <w:rFonts w:cs="Calibri"/>
                <w:b/>
                <w:bCs/>
                <w:color w:val="000000"/>
              </w:rPr>
              <w:t>19</w:t>
            </w:r>
          </w:p>
        </w:tc>
        <w:tc>
          <w:tcPr>
            <w:tcW w:w="1619" w:type="dxa"/>
            <w:vAlign w:val="bottom"/>
          </w:tcPr>
          <w:p w14:paraId="44A19BFC" w14:textId="77777777" w:rsidR="00671A6D" w:rsidRDefault="00671A6D" w:rsidP="00671A6D">
            <w:pPr>
              <w:jc w:val="right"/>
              <w:rPr>
                <w:rFonts w:cs="Calibri"/>
                <w:color w:val="000000"/>
              </w:rPr>
            </w:pPr>
            <w:r>
              <w:rPr>
                <w:rFonts w:cs="Calibri"/>
                <w:color w:val="000000"/>
              </w:rPr>
              <w:t>61</w:t>
            </w:r>
          </w:p>
        </w:tc>
        <w:tc>
          <w:tcPr>
            <w:tcW w:w="1619" w:type="dxa"/>
            <w:vAlign w:val="bottom"/>
          </w:tcPr>
          <w:p w14:paraId="06E9FD79" w14:textId="77777777" w:rsidR="00671A6D" w:rsidRDefault="00671A6D" w:rsidP="00671A6D">
            <w:pPr>
              <w:jc w:val="right"/>
              <w:rPr>
                <w:rFonts w:cs="Calibri"/>
                <w:color w:val="000000"/>
              </w:rPr>
            </w:pPr>
            <w:r>
              <w:rPr>
                <w:rFonts w:cs="Calibri"/>
                <w:color w:val="000000"/>
              </w:rPr>
              <w:t>183</w:t>
            </w:r>
          </w:p>
        </w:tc>
        <w:tc>
          <w:tcPr>
            <w:tcW w:w="1619" w:type="dxa"/>
            <w:vAlign w:val="bottom"/>
          </w:tcPr>
          <w:p w14:paraId="59ADC626" w14:textId="77777777" w:rsidR="00671A6D" w:rsidRDefault="00671A6D" w:rsidP="00671A6D">
            <w:pPr>
              <w:jc w:val="right"/>
              <w:rPr>
                <w:rFonts w:cs="Calibri"/>
                <w:color w:val="000000"/>
              </w:rPr>
            </w:pPr>
            <w:r>
              <w:rPr>
                <w:rFonts w:cs="Calibri"/>
                <w:color w:val="000000"/>
              </w:rPr>
              <w:t>1445</w:t>
            </w:r>
          </w:p>
        </w:tc>
        <w:tc>
          <w:tcPr>
            <w:tcW w:w="1619" w:type="dxa"/>
            <w:vAlign w:val="bottom"/>
          </w:tcPr>
          <w:p w14:paraId="7A978CAC" w14:textId="77777777" w:rsidR="00671A6D" w:rsidRDefault="00671A6D" w:rsidP="00671A6D">
            <w:pPr>
              <w:jc w:val="right"/>
              <w:rPr>
                <w:rFonts w:cs="Calibri"/>
                <w:color w:val="000000"/>
              </w:rPr>
            </w:pPr>
            <w:r>
              <w:rPr>
                <w:rFonts w:cs="Calibri"/>
                <w:color w:val="000000"/>
              </w:rPr>
              <w:t>1734</w:t>
            </w:r>
          </w:p>
        </w:tc>
        <w:tc>
          <w:tcPr>
            <w:tcW w:w="1619" w:type="dxa"/>
            <w:vAlign w:val="bottom"/>
          </w:tcPr>
          <w:p w14:paraId="22FC9FC4" w14:textId="77777777" w:rsidR="00671A6D" w:rsidRDefault="00671A6D" w:rsidP="00671A6D">
            <w:pPr>
              <w:jc w:val="right"/>
              <w:rPr>
                <w:rFonts w:cs="Calibri"/>
                <w:color w:val="000000"/>
              </w:rPr>
            </w:pPr>
            <w:r>
              <w:rPr>
                <w:rFonts w:cs="Calibri"/>
                <w:color w:val="000000"/>
              </w:rPr>
              <w:t>3%</w:t>
            </w:r>
          </w:p>
        </w:tc>
      </w:tr>
      <w:tr w:rsidR="00671A6D" w14:paraId="42F3CF2F" w14:textId="77777777" w:rsidTr="00671A6D">
        <w:tc>
          <w:tcPr>
            <w:tcW w:w="518" w:type="dxa"/>
            <w:vAlign w:val="bottom"/>
          </w:tcPr>
          <w:p w14:paraId="56E21753" w14:textId="77777777" w:rsidR="00671A6D" w:rsidRDefault="00671A6D" w:rsidP="00671A6D">
            <w:pPr>
              <w:rPr>
                <w:rFonts w:cs="Calibri"/>
                <w:b/>
                <w:bCs/>
                <w:color w:val="000000"/>
              </w:rPr>
            </w:pPr>
            <w:r>
              <w:rPr>
                <w:rFonts w:cs="Calibri"/>
                <w:b/>
                <w:bCs/>
                <w:color w:val="000000"/>
              </w:rPr>
              <w:t>20</w:t>
            </w:r>
          </w:p>
        </w:tc>
        <w:tc>
          <w:tcPr>
            <w:tcW w:w="1619" w:type="dxa"/>
            <w:vAlign w:val="bottom"/>
          </w:tcPr>
          <w:p w14:paraId="3AA5B121" w14:textId="77777777" w:rsidR="00671A6D" w:rsidRDefault="00671A6D" w:rsidP="00671A6D">
            <w:pPr>
              <w:jc w:val="right"/>
              <w:rPr>
                <w:rFonts w:cs="Calibri"/>
                <w:color w:val="000000"/>
              </w:rPr>
            </w:pPr>
            <w:r>
              <w:rPr>
                <w:rFonts w:cs="Calibri"/>
                <w:color w:val="000000"/>
              </w:rPr>
              <w:t>15</w:t>
            </w:r>
          </w:p>
        </w:tc>
        <w:tc>
          <w:tcPr>
            <w:tcW w:w="1619" w:type="dxa"/>
            <w:vAlign w:val="bottom"/>
          </w:tcPr>
          <w:p w14:paraId="01892100" w14:textId="77777777" w:rsidR="00671A6D" w:rsidRDefault="00671A6D" w:rsidP="00671A6D">
            <w:pPr>
              <w:jc w:val="right"/>
              <w:rPr>
                <w:rFonts w:cs="Calibri"/>
                <w:color w:val="000000"/>
              </w:rPr>
            </w:pPr>
            <w:r>
              <w:rPr>
                <w:rFonts w:cs="Calibri"/>
                <w:color w:val="000000"/>
              </w:rPr>
              <w:t>40</w:t>
            </w:r>
          </w:p>
        </w:tc>
        <w:tc>
          <w:tcPr>
            <w:tcW w:w="1619" w:type="dxa"/>
            <w:vAlign w:val="bottom"/>
          </w:tcPr>
          <w:p w14:paraId="04C3A098" w14:textId="77777777" w:rsidR="00671A6D" w:rsidRDefault="00671A6D" w:rsidP="00671A6D">
            <w:pPr>
              <w:jc w:val="right"/>
              <w:rPr>
                <w:rFonts w:cs="Calibri"/>
                <w:color w:val="000000"/>
              </w:rPr>
            </w:pPr>
            <w:r>
              <w:rPr>
                <w:rFonts w:cs="Calibri"/>
                <w:color w:val="000000"/>
              </w:rPr>
              <w:t>279</w:t>
            </w:r>
          </w:p>
        </w:tc>
        <w:tc>
          <w:tcPr>
            <w:tcW w:w="1619" w:type="dxa"/>
            <w:vAlign w:val="bottom"/>
          </w:tcPr>
          <w:p w14:paraId="5FF4A569" w14:textId="77777777" w:rsidR="00671A6D" w:rsidRDefault="00671A6D" w:rsidP="00671A6D">
            <w:pPr>
              <w:jc w:val="right"/>
              <w:rPr>
                <w:rFonts w:cs="Calibri"/>
                <w:color w:val="000000"/>
              </w:rPr>
            </w:pPr>
            <w:r>
              <w:rPr>
                <w:rFonts w:cs="Calibri"/>
                <w:color w:val="000000"/>
              </w:rPr>
              <w:t>340</w:t>
            </w:r>
          </w:p>
        </w:tc>
        <w:tc>
          <w:tcPr>
            <w:tcW w:w="1619" w:type="dxa"/>
            <w:vAlign w:val="bottom"/>
          </w:tcPr>
          <w:p w14:paraId="477A8958" w14:textId="77777777" w:rsidR="00671A6D" w:rsidRDefault="00671A6D" w:rsidP="00671A6D">
            <w:pPr>
              <w:jc w:val="right"/>
              <w:rPr>
                <w:rFonts w:cs="Calibri"/>
                <w:color w:val="000000"/>
              </w:rPr>
            </w:pPr>
            <w:r>
              <w:rPr>
                <w:rFonts w:cs="Calibri"/>
                <w:color w:val="000000"/>
              </w:rPr>
              <w:t>1%</w:t>
            </w:r>
          </w:p>
        </w:tc>
      </w:tr>
      <w:tr w:rsidR="00671A6D" w14:paraId="1A906601" w14:textId="77777777" w:rsidTr="00671A6D">
        <w:tc>
          <w:tcPr>
            <w:tcW w:w="518" w:type="dxa"/>
            <w:vAlign w:val="bottom"/>
          </w:tcPr>
          <w:p w14:paraId="1E600C3A" w14:textId="77777777" w:rsidR="00671A6D" w:rsidRDefault="00671A6D" w:rsidP="00671A6D">
            <w:pPr>
              <w:rPr>
                <w:rFonts w:cs="Calibri"/>
                <w:b/>
                <w:bCs/>
                <w:color w:val="000000"/>
              </w:rPr>
            </w:pPr>
            <w:r>
              <w:rPr>
                <w:rFonts w:cs="Calibri"/>
                <w:b/>
                <w:bCs/>
                <w:color w:val="000000"/>
              </w:rPr>
              <w:t>21</w:t>
            </w:r>
          </w:p>
        </w:tc>
        <w:tc>
          <w:tcPr>
            <w:tcW w:w="1619" w:type="dxa"/>
            <w:vAlign w:val="bottom"/>
          </w:tcPr>
          <w:p w14:paraId="65C1D1DA" w14:textId="77777777" w:rsidR="00671A6D" w:rsidRDefault="00671A6D" w:rsidP="00671A6D">
            <w:pPr>
              <w:jc w:val="right"/>
              <w:rPr>
                <w:rFonts w:cs="Calibri"/>
                <w:color w:val="000000"/>
              </w:rPr>
            </w:pPr>
            <w:r>
              <w:rPr>
                <w:rFonts w:cs="Calibri"/>
                <w:color w:val="000000"/>
              </w:rPr>
              <w:t>1</w:t>
            </w:r>
          </w:p>
        </w:tc>
        <w:tc>
          <w:tcPr>
            <w:tcW w:w="1619" w:type="dxa"/>
            <w:vAlign w:val="bottom"/>
          </w:tcPr>
          <w:p w14:paraId="579C8EA8" w14:textId="77777777" w:rsidR="00671A6D" w:rsidRDefault="00671A6D" w:rsidP="00671A6D">
            <w:pPr>
              <w:jc w:val="right"/>
              <w:rPr>
                <w:rFonts w:cs="Calibri"/>
                <w:color w:val="000000"/>
              </w:rPr>
            </w:pPr>
            <w:r>
              <w:rPr>
                <w:rFonts w:cs="Calibri"/>
                <w:color w:val="000000"/>
              </w:rPr>
              <w:t>10</w:t>
            </w:r>
          </w:p>
        </w:tc>
        <w:tc>
          <w:tcPr>
            <w:tcW w:w="1619" w:type="dxa"/>
            <w:vAlign w:val="bottom"/>
          </w:tcPr>
          <w:p w14:paraId="2C19A38A" w14:textId="77777777" w:rsidR="00671A6D" w:rsidRDefault="00671A6D" w:rsidP="00671A6D">
            <w:pPr>
              <w:jc w:val="right"/>
              <w:rPr>
                <w:rFonts w:cs="Calibri"/>
                <w:color w:val="000000"/>
              </w:rPr>
            </w:pPr>
            <w:r>
              <w:rPr>
                <w:rFonts w:cs="Calibri"/>
                <w:color w:val="000000"/>
              </w:rPr>
              <w:t>48</w:t>
            </w:r>
          </w:p>
        </w:tc>
        <w:tc>
          <w:tcPr>
            <w:tcW w:w="1619" w:type="dxa"/>
            <w:vAlign w:val="bottom"/>
          </w:tcPr>
          <w:p w14:paraId="6EA3BD2C" w14:textId="77777777" w:rsidR="00671A6D" w:rsidRDefault="00671A6D" w:rsidP="00671A6D">
            <w:pPr>
              <w:jc w:val="right"/>
              <w:rPr>
                <w:rFonts w:cs="Calibri"/>
                <w:color w:val="000000"/>
              </w:rPr>
            </w:pPr>
            <w:r>
              <w:rPr>
                <w:rFonts w:cs="Calibri"/>
                <w:color w:val="000000"/>
              </w:rPr>
              <w:t>61</w:t>
            </w:r>
          </w:p>
        </w:tc>
        <w:tc>
          <w:tcPr>
            <w:tcW w:w="1619" w:type="dxa"/>
            <w:vAlign w:val="bottom"/>
          </w:tcPr>
          <w:p w14:paraId="1A9D2B3C" w14:textId="77777777" w:rsidR="00671A6D" w:rsidRDefault="00671A6D" w:rsidP="00671A6D">
            <w:pPr>
              <w:jc w:val="right"/>
              <w:rPr>
                <w:rFonts w:cs="Calibri"/>
                <w:color w:val="000000"/>
              </w:rPr>
            </w:pPr>
            <w:r>
              <w:rPr>
                <w:rFonts w:cs="Calibri"/>
                <w:color w:val="000000"/>
              </w:rPr>
              <w:t>0%</w:t>
            </w:r>
          </w:p>
        </w:tc>
      </w:tr>
      <w:tr w:rsidR="00671A6D" w14:paraId="714E40D8" w14:textId="77777777" w:rsidTr="00671A6D">
        <w:tc>
          <w:tcPr>
            <w:tcW w:w="518" w:type="dxa"/>
            <w:vAlign w:val="bottom"/>
          </w:tcPr>
          <w:p w14:paraId="30A5F999" w14:textId="77777777" w:rsidR="00671A6D" w:rsidRDefault="00671A6D" w:rsidP="00671A6D">
            <w:pPr>
              <w:rPr>
                <w:rFonts w:cs="Calibri"/>
                <w:b/>
                <w:bCs/>
                <w:color w:val="000000"/>
              </w:rPr>
            </w:pPr>
            <w:r>
              <w:rPr>
                <w:rFonts w:cs="Calibri"/>
                <w:b/>
                <w:bCs/>
                <w:color w:val="000000"/>
              </w:rPr>
              <w:t>22</w:t>
            </w:r>
          </w:p>
        </w:tc>
        <w:tc>
          <w:tcPr>
            <w:tcW w:w="1619" w:type="dxa"/>
            <w:vAlign w:val="bottom"/>
          </w:tcPr>
          <w:p w14:paraId="6A653620" w14:textId="77777777" w:rsidR="00671A6D" w:rsidRDefault="00671A6D" w:rsidP="00671A6D">
            <w:pPr>
              <w:jc w:val="right"/>
              <w:rPr>
                <w:rFonts w:cs="Calibri"/>
                <w:color w:val="000000"/>
              </w:rPr>
            </w:pPr>
            <w:r>
              <w:rPr>
                <w:rFonts w:cs="Calibri"/>
                <w:color w:val="000000"/>
              </w:rPr>
              <w:t>1</w:t>
            </w:r>
          </w:p>
        </w:tc>
        <w:tc>
          <w:tcPr>
            <w:tcW w:w="1619" w:type="dxa"/>
            <w:vAlign w:val="bottom"/>
          </w:tcPr>
          <w:p w14:paraId="47DA57C5" w14:textId="77777777" w:rsidR="00671A6D" w:rsidRDefault="00671A6D" w:rsidP="00671A6D">
            <w:pPr>
              <w:jc w:val="right"/>
              <w:rPr>
                <w:rFonts w:cs="Calibri"/>
                <w:color w:val="000000"/>
              </w:rPr>
            </w:pPr>
            <w:r>
              <w:rPr>
                <w:rFonts w:cs="Calibri"/>
                <w:color w:val="000000"/>
              </w:rPr>
              <w:t>6</w:t>
            </w:r>
          </w:p>
        </w:tc>
        <w:tc>
          <w:tcPr>
            <w:tcW w:w="1619" w:type="dxa"/>
            <w:vAlign w:val="bottom"/>
          </w:tcPr>
          <w:p w14:paraId="1E65FADB" w14:textId="77777777" w:rsidR="00671A6D" w:rsidRDefault="00671A6D" w:rsidP="00671A6D">
            <w:pPr>
              <w:jc w:val="right"/>
              <w:rPr>
                <w:rFonts w:cs="Calibri"/>
                <w:color w:val="000000"/>
              </w:rPr>
            </w:pPr>
            <w:r>
              <w:rPr>
                <w:rFonts w:cs="Calibri"/>
                <w:color w:val="000000"/>
              </w:rPr>
              <w:t>20</w:t>
            </w:r>
          </w:p>
        </w:tc>
        <w:tc>
          <w:tcPr>
            <w:tcW w:w="1619" w:type="dxa"/>
            <w:vAlign w:val="bottom"/>
          </w:tcPr>
          <w:p w14:paraId="495578AD" w14:textId="77777777" w:rsidR="00671A6D" w:rsidRDefault="00671A6D" w:rsidP="00671A6D">
            <w:pPr>
              <w:jc w:val="right"/>
              <w:rPr>
                <w:rFonts w:cs="Calibri"/>
                <w:color w:val="000000"/>
              </w:rPr>
            </w:pPr>
            <w:r>
              <w:rPr>
                <w:rFonts w:cs="Calibri"/>
                <w:color w:val="000000"/>
              </w:rPr>
              <w:t>28</w:t>
            </w:r>
          </w:p>
        </w:tc>
        <w:tc>
          <w:tcPr>
            <w:tcW w:w="1619" w:type="dxa"/>
            <w:vAlign w:val="bottom"/>
          </w:tcPr>
          <w:p w14:paraId="6F036BDF" w14:textId="77777777" w:rsidR="00671A6D" w:rsidRDefault="00671A6D" w:rsidP="00671A6D">
            <w:pPr>
              <w:jc w:val="right"/>
              <w:rPr>
                <w:rFonts w:cs="Calibri"/>
                <w:color w:val="000000"/>
              </w:rPr>
            </w:pPr>
            <w:r>
              <w:rPr>
                <w:rFonts w:cs="Calibri"/>
                <w:color w:val="000000"/>
              </w:rPr>
              <w:t>0%</w:t>
            </w:r>
          </w:p>
        </w:tc>
      </w:tr>
      <w:tr w:rsidR="00671A6D" w14:paraId="5A82106F" w14:textId="77777777" w:rsidTr="00671A6D">
        <w:tc>
          <w:tcPr>
            <w:tcW w:w="518" w:type="dxa"/>
            <w:vAlign w:val="bottom"/>
          </w:tcPr>
          <w:p w14:paraId="621AA1D1" w14:textId="77777777" w:rsidR="00671A6D" w:rsidRDefault="00671A6D" w:rsidP="00671A6D">
            <w:pPr>
              <w:rPr>
                <w:rFonts w:cs="Calibri"/>
                <w:b/>
                <w:bCs/>
                <w:color w:val="000000"/>
              </w:rPr>
            </w:pPr>
            <w:r>
              <w:rPr>
                <w:rFonts w:cs="Calibri"/>
                <w:b/>
                <w:bCs/>
                <w:color w:val="000000"/>
              </w:rPr>
              <w:t>23</w:t>
            </w:r>
          </w:p>
        </w:tc>
        <w:tc>
          <w:tcPr>
            <w:tcW w:w="1619" w:type="dxa"/>
            <w:vAlign w:val="bottom"/>
          </w:tcPr>
          <w:p w14:paraId="32BEB8CD" w14:textId="77777777" w:rsidR="00671A6D" w:rsidRDefault="00671A6D" w:rsidP="00671A6D">
            <w:pPr>
              <w:jc w:val="right"/>
              <w:rPr>
                <w:rFonts w:cs="Calibri"/>
                <w:color w:val="000000"/>
              </w:rPr>
            </w:pPr>
            <w:r>
              <w:rPr>
                <w:rFonts w:cs="Calibri"/>
                <w:color w:val="000000"/>
              </w:rPr>
              <w:t>0</w:t>
            </w:r>
          </w:p>
        </w:tc>
        <w:tc>
          <w:tcPr>
            <w:tcW w:w="1619" w:type="dxa"/>
            <w:vAlign w:val="bottom"/>
          </w:tcPr>
          <w:p w14:paraId="59C45D33" w14:textId="77777777" w:rsidR="00671A6D" w:rsidRDefault="00671A6D" w:rsidP="00671A6D">
            <w:pPr>
              <w:jc w:val="right"/>
              <w:rPr>
                <w:rFonts w:cs="Calibri"/>
                <w:color w:val="000000"/>
              </w:rPr>
            </w:pPr>
            <w:r>
              <w:rPr>
                <w:rFonts w:cs="Calibri"/>
                <w:color w:val="000000"/>
              </w:rPr>
              <w:t>1</w:t>
            </w:r>
          </w:p>
        </w:tc>
        <w:tc>
          <w:tcPr>
            <w:tcW w:w="1619" w:type="dxa"/>
            <w:vAlign w:val="bottom"/>
          </w:tcPr>
          <w:p w14:paraId="5D38475D" w14:textId="77777777" w:rsidR="00671A6D" w:rsidRDefault="00671A6D" w:rsidP="00671A6D">
            <w:pPr>
              <w:jc w:val="right"/>
              <w:rPr>
                <w:rFonts w:cs="Calibri"/>
                <w:color w:val="000000"/>
              </w:rPr>
            </w:pPr>
            <w:r>
              <w:rPr>
                <w:rFonts w:cs="Calibri"/>
                <w:color w:val="000000"/>
              </w:rPr>
              <w:t>8</w:t>
            </w:r>
          </w:p>
        </w:tc>
        <w:tc>
          <w:tcPr>
            <w:tcW w:w="1619" w:type="dxa"/>
            <w:vAlign w:val="bottom"/>
          </w:tcPr>
          <w:p w14:paraId="5316B2D2" w14:textId="77777777" w:rsidR="00671A6D" w:rsidRDefault="00671A6D" w:rsidP="00671A6D">
            <w:pPr>
              <w:jc w:val="right"/>
              <w:rPr>
                <w:rFonts w:cs="Calibri"/>
                <w:color w:val="000000"/>
              </w:rPr>
            </w:pPr>
            <w:r>
              <w:rPr>
                <w:rFonts w:cs="Calibri"/>
                <w:color w:val="000000"/>
              </w:rPr>
              <w:t>9</w:t>
            </w:r>
          </w:p>
        </w:tc>
        <w:tc>
          <w:tcPr>
            <w:tcW w:w="1619" w:type="dxa"/>
            <w:vAlign w:val="bottom"/>
          </w:tcPr>
          <w:p w14:paraId="28D6FBAE" w14:textId="77777777" w:rsidR="00671A6D" w:rsidRDefault="00671A6D" w:rsidP="00671A6D">
            <w:pPr>
              <w:jc w:val="right"/>
              <w:rPr>
                <w:rFonts w:cs="Calibri"/>
                <w:color w:val="000000"/>
              </w:rPr>
            </w:pPr>
            <w:r>
              <w:rPr>
                <w:rFonts w:cs="Calibri"/>
                <w:color w:val="000000"/>
              </w:rPr>
              <w:t>0%</w:t>
            </w:r>
          </w:p>
        </w:tc>
      </w:tr>
      <w:tr w:rsidR="00671A6D" w14:paraId="1646CA65" w14:textId="77777777" w:rsidTr="00671A6D">
        <w:tc>
          <w:tcPr>
            <w:tcW w:w="518" w:type="dxa"/>
            <w:vAlign w:val="bottom"/>
          </w:tcPr>
          <w:p w14:paraId="4ABD6471" w14:textId="77777777" w:rsidR="00671A6D" w:rsidRDefault="00671A6D" w:rsidP="00671A6D">
            <w:pPr>
              <w:rPr>
                <w:rFonts w:cs="Calibri"/>
                <w:b/>
                <w:bCs/>
                <w:color w:val="000000"/>
              </w:rPr>
            </w:pPr>
            <w:r>
              <w:rPr>
                <w:rFonts w:cs="Calibri"/>
                <w:b/>
                <w:bCs/>
                <w:color w:val="000000"/>
              </w:rPr>
              <w:t>24</w:t>
            </w:r>
          </w:p>
        </w:tc>
        <w:tc>
          <w:tcPr>
            <w:tcW w:w="1619" w:type="dxa"/>
            <w:vAlign w:val="bottom"/>
          </w:tcPr>
          <w:p w14:paraId="5EC30F07" w14:textId="77777777" w:rsidR="00671A6D" w:rsidRDefault="00671A6D" w:rsidP="00671A6D">
            <w:pPr>
              <w:jc w:val="right"/>
              <w:rPr>
                <w:rFonts w:cs="Calibri"/>
                <w:color w:val="000000"/>
              </w:rPr>
            </w:pPr>
            <w:r>
              <w:rPr>
                <w:rFonts w:cs="Calibri"/>
                <w:color w:val="000000"/>
              </w:rPr>
              <w:t>0</w:t>
            </w:r>
          </w:p>
        </w:tc>
        <w:tc>
          <w:tcPr>
            <w:tcW w:w="1619" w:type="dxa"/>
            <w:vAlign w:val="bottom"/>
          </w:tcPr>
          <w:p w14:paraId="7C24606C" w14:textId="77777777" w:rsidR="00671A6D" w:rsidRDefault="00671A6D" w:rsidP="00671A6D">
            <w:pPr>
              <w:jc w:val="right"/>
              <w:rPr>
                <w:rFonts w:cs="Calibri"/>
                <w:color w:val="000000"/>
              </w:rPr>
            </w:pPr>
            <w:r>
              <w:rPr>
                <w:rFonts w:cs="Calibri"/>
                <w:color w:val="000000"/>
              </w:rPr>
              <w:t>1</w:t>
            </w:r>
          </w:p>
        </w:tc>
        <w:tc>
          <w:tcPr>
            <w:tcW w:w="1619" w:type="dxa"/>
            <w:vAlign w:val="bottom"/>
          </w:tcPr>
          <w:p w14:paraId="1A940A1F" w14:textId="77777777" w:rsidR="00671A6D" w:rsidRDefault="00671A6D" w:rsidP="00671A6D">
            <w:pPr>
              <w:jc w:val="right"/>
              <w:rPr>
                <w:rFonts w:cs="Calibri"/>
                <w:color w:val="000000"/>
              </w:rPr>
            </w:pPr>
            <w:r>
              <w:rPr>
                <w:rFonts w:cs="Calibri"/>
                <w:color w:val="000000"/>
              </w:rPr>
              <w:t>2</w:t>
            </w:r>
          </w:p>
        </w:tc>
        <w:tc>
          <w:tcPr>
            <w:tcW w:w="1619" w:type="dxa"/>
            <w:vAlign w:val="bottom"/>
          </w:tcPr>
          <w:p w14:paraId="3C54F68B" w14:textId="77777777" w:rsidR="00671A6D" w:rsidRDefault="00671A6D" w:rsidP="00671A6D">
            <w:pPr>
              <w:jc w:val="right"/>
              <w:rPr>
                <w:rFonts w:cs="Calibri"/>
                <w:color w:val="000000"/>
              </w:rPr>
            </w:pPr>
            <w:r>
              <w:rPr>
                <w:rFonts w:cs="Calibri"/>
                <w:color w:val="000000"/>
              </w:rPr>
              <w:t>4</w:t>
            </w:r>
          </w:p>
        </w:tc>
        <w:tc>
          <w:tcPr>
            <w:tcW w:w="1619" w:type="dxa"/>
            <w:vAlign w:val="bottom"/>
          </w:tcPr>
          <w:p w14:paraId="2282FD94" w14:textId="77777777" w:rsidR="00671A6D" w:rsidRDefault="00671A6D" w:rsidP="00671A6D">
            <w:pPr>
              <w:jc w:val="right"/>
              <w:rPr>
                <w:rFonts w:cs="Calibri"/>
                <w:color w:val="000000"/>
              </w:rPr>
            </w:pPr>
            <w:r>
              <w:rPr>
                <w:rFonts w:cs="Calibri"/>
                <w:color w:val="000000"/>
              </w:rPr>
              <w:t>0%</w:t>
            </w:r>
          </w:p>
        </w:tc>
      </w:tr>
      <w:tr w:rsidR="00671A6D" w14:paraId="29474057" w14:textId="77777777" w:rsidTr="00671A6D">
        <w:tc>
          <w:tcPr>
            <w:tcW w:w="518" w:type="dxa"/>
            <w:vAlign w:val="bottom"/>
          </w:tcPr>
          <w:p w14:paraId="34CF3DF0" w14:textId="77777777" w:rsidR="00671A6D" w:rsidRDefault="00671A6D" w:rsidP="00671A6D">
            <w:pPr>
              <w:rPr>
                <w:rFonts w:cs="Calibri"/>
                <w:b/>
                <w:bCs/>
                <w:color w:val="000000"/>
              </w:rPr>
            </w:pPr>
            <w:r>
              <w:rPr>
                <w:rFonts w:cs="Calibri"/>
                <w:b/>
                <w:bCs/>
                <w:color w:val="000000"/>
              </w:rPr>
              <w:t>25</w:t>
            </w:r>
          </w:p>
        </w:tc>
        <w:tc>
          <w:tcPr>
            <w:tcW w:w="1619" w:type="dxa"/>
            <w:vAlign w:val="bottom"/>
          </w:tcPr>
          <w:p w14:paraId="0D87F157" w14:textId="77777777" w:rsidR="00671A6D" w:rsidRDefault="00671A6D" w:rsidP="00671A6D">
            <w:pPr>
              <w:jc w:val="right"/>
              <w:rPr>
                <w:rFonts w:cs="Calibri"/>
                <w:color w:val="000000"/>
              </w:rPr>
            </w:pPr>
            <w:r>
              <w:rPr>
                <w:rFonts w:cs="Calibri"/>
                <w:color w:val="000000"/>
              </w:rPr>
              <w:t>1</w:t>
            </w:r>
          </w:p>
        </w:tc>
        <w:tc>
          <w:tcPr>
            <w:tcW w:w="1619" w:type="dxa"/>
            <w:vAlign w:val="bottom"/>
          </w:tcPr>
          <w:p w14:paraId="33423F38" w14:textId="77777777" w:rsidR="00671A6D" w:rsidRDefault="00671A6D" w:rsidP="00671A6D">
            <w:pPr>
              <w:jc w:val="right"/>
              <w:rPr>
                <w:rFonts w:cs="Calibri"/>
                <w:color w:val="000000"/>
              </w:rPr>
            </w:pPr>
            <w:r>
              <w:rPr>
                <w:rFonts w:cs="Calibri"/>
                <w:color w:val="000000"/>
              </w:rPr>
              <w:t>1</w:t>
            </w:r>
          </w:p>
        </w:tc>
        <w:tc>
          <w:tcPr>
            <w:tcW w:w="1619" w:type="dxa"/>
            <w:vAlign w:val="bottom"/>
          </w:tcPr>
          <w:p w14:paraId="0F800C0E" w14:textId="77777777" w:rsidR="00671A6D" w:rsidRDefault="00671A6D" w:rsidP="00671A6D">
            <w:pPr>
              <w:jc w:val="right"/>
              <w:rPr>
                <w:rFonts w:cs="Calibri"/>
                <w:color w:val="000000"/>
              </w:rPr>
            </w:pPr>
            <w:r>
              <w:rPr>
                <w:rFonts w:cs="Calibri"/>
                <w:color w:val="000000"/>
              </w:rPr>
              <w:t>3</w:t>
            </w:r>
          </w:p>
        </w:tc>
        <w:tc>
          <w:tcPr>
            <w:tcW w:w="1619" w:type="dxa"/>
            <w:vAlign w:val="bottom"/>
          </w:tcPr>
          <w:p w14:paraId="3E5B3E37" w14:textId="77777777" w:rsidR="00671A6D" w:rsidRDefault="00671A6D" w:rsidP="00671A6D">
            <w:pPr>
              <w:jc w:val="right"/>
              <w:rPr>
                <w:rFonts w:cs="Calibri"/>
                <w:color w:val="000000"/>
              </w:rPr>
            </w:pPr>
            <w:r>
              <w:rPr>
                <w:rFonts w:cs="Calibri"/>
                <w:color w:val="000000"/>
              </w:rPr>
              <w:t>5</w:t>
            </w:r>
          </w:p>
        </w:tc>
        <w:tc>
          <w:tcPr>
            <w:tcW w:w="1619" w:type="dxa"/>
            <w:vAlign w:val="bottom"/>
          </w:tcPr>
          <w:p w14:paraId="4D6EA89C" w14:textId="77777777" w:rsidR="00671A6D" w:rsidRDefault="00671A6D" w:rsidP="00671A6D">
            <w:pPr>
              <w:jc w:val="right"/>
              <w:rPr>
                <w:rFonts w:cs="Calibri"/>
                <w:color w:val="000000"/>
              </w:rPr>
            </w:pPr>
            <w:r>
              <w:rPr>
                <w:rFonts w:cs="Calibri"/>
                <w:color w:val="000000"/>
              </w:rPr>
              <w:t>0%</w:t>
            </w:r>
          </w:p>
        </w:tc>
      </w:tr>
    </w:tbl>
    <w:p w14:paraId="1C06C9C0" w14:textId="3DFF18AD" w:rsidR="003957AD" w:rsidRDefault="003957AD" w:rsidP="003957AD"/>
    <w:p w14:paraId="1A8FF2AD" w14:textId="77777777" w:rsidR="00606791" w:rsidRDefault="003957AD" w:rsidP="00606791">
      <w:pPr>
        <w:pStyle w:val="Heading4"/>
      </w:pPr>
      <w:r w:rsidRPr="00D36A5C">
        <w:lastRenderedPageBreak/>
        <w:t xml:space="preserve">Figure </w:t>
      </w:r>
      <w:r>
        <w:t>3</w:t>
      </w:r>
      <w:r w:rsidRPr="00D36A5C">
        <w:t xml:space="preserve">: </w:t>
      </w:r>
      <w:r>
        <w:t>VIC</w:t>
      </w:r>
      <w:r w:rsidRPr="00D36A5C">
        <w:t xml:space="preserve"> Age profile by Connection Level</w:t>
      </w:r>
    </w:p>
    <w:p w14:paraId="4B768A83" w14:textId="1F5D85AE" w:rsidR="003957AD" w:rsidRDefault="003957AD" w:rsidP="003957AD">
      <w:pPr>
        <w:rPr>
          <w:b/>
          <w:bCs/>
          <w:color w:val="4F81BD" w:themeColor="accent1"/>
          <w:sz w:val="18"/>
          <w:szCs w:val="18"/>
        </w:rPr>
      </w:pPr>
      <w:r>
        <w:rPr>
          <w:noProof/>
          <w:lang w:eastAsia="en-AU"/>
        </w:rPr>
        <w:drawing>
          <wp:inline distT="0" distB="0" distL="0" distR="0" wp14:anchorId="3C3703CD" wp14:editId="1E7AA371">
            <wp:extent cx="6297283" cy="4244196"/>
            <wp:effectExtent l="0" t="0" r="27940" b="23495"/>
            <wp:docPr id="10" name="Chart 10" descr="VIC Age profile by connection level, graphic representation of table5 above."/>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0570507C" w14:textId="77777777" w:rsidR="003957AD" w:rsidRDefault="003957AD" w:rsidP="00606791">
      <w:pPr>
        <w:pStyle w:val="Heading4"/>
      </w:pPr>
      <w:r w:rsidRPr="00CE02B7">
        <w:t>Figure 4: National Age profile by Connection Level</w:t>
      </w:r>
    </w:p>
    <w:p w14:paraId="40CC63FD" w14:textId="77777777" w:rsidR="003957AD" w:rsidRDefault="003957AD" w:rsidP="003957AD">
      <w:pPr>
        <w:tabs>
          <w:tab w:val="left" w:pos="6153"/>
        </w:tabs>
        <w:ind w:right="-425"/>
      </w:pPr>
      <w:r>
        <w:rPr>
          <w:noProof/>
          <w:lang w:eastAsia="en-AU"/>
        </w:rPr>
        <w:drawing>
          <wp:inline distT="0" distB="0" distL="0" distR="0" wp14:anchorId="101E74F9" wp14:editId="6DD7C9C5">
            <wp:extent cx="6297283" cy="4063042"/>
            <wp:effectExtent l="0" t="0" r="27940" b="13970"/>
            <wp:docPr id="11" name="Chart 11" descr="National Age profile by connection level, graphic representation of table 6 above."/>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25B0455C" w14:textId="77777777" w:rsidR="003957AD" w:rsidRPr="0047025E" w:rsidRDefault="003957AD" w:rsidP="00606791">
      <w:pPr>
        <w:pStyle w:val="Heading4"/>
      </w:pPr>
      <w:r w:rsidRPr="0047025E">
        <w:lastRenderedPageBreak/>
        <w:t>Figure 5: Percentage of Participants who have been identified as having a characteristic</w:t>
      </w:r>
    </w:p>
    <w:p w14:paraId="7661953D" w14:textId="77777777" w:rsidR="003957AD" w:rsidRDefault="003957AD" w:rsidP="003957AD">
      <w:r>
        <w:rPr>
          <w:noProof/>
          <w:lang w:eastAsia="en-AU"/>
        </w:rPr>
        <w:drawing>
          <wp:inline distT="0" distB="0" distL="0" distR="0" wp14:anchorId="1BC7860E" wp14:editId="506E8341">
            <wp:extent cx="6038850" cy="6029325"/>
            <wp:effectExtent l="0" t="0" r="0" b="0"/>
            <wp:docPr id="31" name="Chart 31" descr="VIC and National percentage of participants who have been identified as having a characteristic, graphic representation of table 7 below."/>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18A7358E" w14:textId="77777777" w:rsidR="003957AD" w:rsidRDefault="003957AD" w:rsidP="00606791">
      <w:pPr>
        <w:pStyle w:val="Heading4"/>
      </w:pPr>
      <w:r>
        <w:t>Table 7:</w:t>
      </w:r>
      <w:r w:rsidRPr="00D36A5C">
        <w:t xml:space="preserve"> </w:t>
      </w:r>
      <w:r>
        <w:t>Percentage of Participants who have been identified as having a characteristic</w:t>
      </w:r>
    </w:p>
    <w:tbl>
      <w:tblPr>
        <w:tblStyle w:val="TableGrid"/>
        <w:tblW w:w="0" w:type="auto"/>
        <w:tblLook w:val="04A0" w:firstRow="1" w:lastRow="0" w:firstColumn="1" w:lastColumn="0" w:noHBand="0" w:noVBand="1"/>
        <w:tblDescription w:val="Table 7: Percentage of Participants who have been identified as having a characteristic"/>
      </w:tblPr>
      <w:tblGrid>
        <w:gridCol w:w="2517"/>
        <w:gridCol w:w="1702"/>
        <w:gridCol w:w="1701"/>
        <w:gridCol w:w="1843"/>
        <w:gridCol w:w="1843"/>
      </w:tblGrid>
      <w:tr w:rsidR="003957AD" w:rsidRPr="00580A81" w14:paraId="2FBAFDBD" w14:textId="77777777" w:rsidTr="00793CB6">
        <w:trPr>
          <w:tblHeader/>
        </w:trPr>
        <w:tc>
          <w:tcPr>
            <w:tcW w:w="2517" w:type="dxa"/>
            <w:shd w:val="clear" w:color="auto" w:fill="DBE5F1" w:themeFill="accent1" w:themeFillTint="33"/>
          </w:tcPr>
          <w:p w14:paraId="61BE4DBE" w14:textId="77777777" w:rsidR="003957AD" w:rsidRPr="00580A81" w:rsidRDefault="003957AD" w:rsidP="00DE0473">
            <w:pPr>
              <w:tabs>
                <w:tab w:val="left" w:pos="6153"/>
              </w:tabs>
              <w:jc w:val="center"/>
              <w:rPr>
                <w:b/>
              </w:rPr>
            </w:pPr>
          </w:p>
        </w:tc>
        <w:tc>
          <w:tcPr>
            <w:tcW w:w="1702" w:type="dxa"/>
            <w:shd w:val="clear" w:color="auto" w:fill="DBE5F1" w:themeFill="accent1" w:themeFillTint="33"/>
          </w:tcPr>
          <w:p w14:paraId="5CB964F6" w14:textId="77777777" w:rsidR="003957AD" w:rsidRPr="00580A81" w:rsidRDefault="003957AD" w:rsidP="00DE0473">
            <w:pPr>
              <w:tabs>
                <w:tab w:val="left" w:pos="6153"/>
              </w:tabs>
              <w:jc w:val="center"/>
              <w:rPr>
                <w:b/>
              </w:rPr>
            </w:pPr>
            <w:r>
              <w:rPr>
                <w:b/>
              </w:rPr>
              <w:t>VIC</w:t>
            </w:r>
          </w:p>
        </w:tc>
        <w:tc>
          <w:tcPr>
            <w:tcW w:w="1701" w:type="dxa"/>
            <w:shd w:val="clear" w:color="auto" w:fill="DBE5F1" w:themeFill="accent1" w:themeFillTint="33"/>
          </w:tcPr>
          <w:p w14:paraId="4F6323A2" w14:textId="77777777" w:rsidR="003957AD" w:rsidRPr="00580A81" w:rsidRDefault="003957AD" w:rsidP="00DE0473">
            <w:pPr>
              <w:tabs>
                <w:tab w:val="left" w:pos="6153"/>
              </w:tabs>
              <w:jc w:val="center"/>
              <w:rPr>
                <w:b/>
              </w:rPr>
            </w:pPr>
            <w:r>
              <w:rPr>
                <w:b/>
              </w:rPr>
              <w:t>% VIC</w:t>
            </w:r>
          </w:p>
        </w:tc>
        <w:tc>
          <w:tcPr>
            <w:tcW w:w="1843" w:type="dxa"/>
            <w:shd w:val="clear" w:color="auto" w:fill="DBE5F1" w:themeFill="accent1" w:themeFillTint="33"/>
          </w:tcPr>
          <w:p w14:paraId="295AD7C4" w14:textId="77777777" w:rsidR="003957AD" w:rsidRPr="00580A81" w:rsidRDefault="003957AD" w:rsidP="00DE0473">
            <w:pPr>
              <w:tabs>
                <w:tab w:val="left" w:pos="6153"/>
              </w:tabs>
              <w:jc w:val="center"/>
              <w:rPr>
                <w:b/>
              </w:rPr>
            </w:pPr>
            <w:r>
              <w:rPr>
                <w:b/>
              </w:rPr>
              <w:t>National</w:t>
            </w:r>
          </w:p>
        </w:tc>
        <w:tc>
          <w:tcPr>
            <w:tcW w:w="1843" w:type="dxa"/>
            <w:shd w:val="clear" w:color="auto" w:fill="DBE5F1" w:themeFill="accent1" w:themeFillTint="33"/>
          </w:tcPr>
          <w:p w14:paraId="1D1452D9" w14:textId="77777777" w:rsidR="003957AD" w:rsidRPr="00580A81" w:rsidRDefault="003957AD" w:rsidP="00DE0473">
            <w:pPr>
              <w:tabs>
                <w:tab w:val="left" w:pos="6153"/>
              </w:tabs>
              <w:jc w:val="center"/>
              <w:rPr>
                <w:b/>
              </w:rPr>
            </w:pPr>
            <w:r>
              <w:rPr>
                <w:b/>
              </w:rPr>
              <w:t>% National</w:t>
            </w:r>
          </w:p>
        </w:tc>
      </w:tr>
      <w:tr w:rsidR="003957AD" w14:paraId="1A0FA88B" w14:textId="77777777" w:rsidTr="00DE0473">
        <w:tc>
          <w:tcPr>
            <w:tcW w:w="2517" w:type="dxa"/>
            <w:vAlign w:val="bottom"/>
          </w:tcPr>
          <w:p w14:paraId="33A50A43" w14:textId="77777777" w:rsidR="003957AD" w:rsidRDefault="003957AD" w:rsidP="00DE0473">
            <w:pPr>
              <w:rPr>
                <w:rFonts w:cs="Calibri"/>
                <w:color w:val="000000"/>
              </w:rPr>
            </w:pPr>
            <w:r>
              <w:rPr>
                <w:rFonts w:cs="Calibri"/>
                <w:color w:val="000000"/>
              </w:rPr>
              <w:t>Culturally and linguistically diverse</w:t>
            </w:r>
          </w:p>
        </w:tc>
        <w:tc>
          <w:tcPr>
            <w:tcW w:w="1702" w:type="dxa"/>
            <w:vAlign w:val="bottom"/>
          </w:tcPr>
          <w:p w14:paraId="5D877492" w14:textId="77777777" w:rsidR="003957AD" w:rsidRDefault="003957AD" w:rsidP="00DE0473">
            <w:pPr>
              <w:jc w:val="right"/>
              <w:rPr>
                <w:rFonts w:cs="Calibri"/>
                <w:color w:val="000000"/>
              </w:rPr>
            </w:pPr>
            <w:r>
              <w:rPr>
                <w:rFonts w:cs="Calibri"/>
                <w:color w:val="000000"/>
              </w:rPr>
              <w:t>971</w:t>
            </w:r>
          </w:p>
        </w:tc>
        <w:tc>
          <w:tcPr>
            <w:tcW w:w="1701" w:type="dxa"/>
            <w:vAlign w:val="bottom"/>
          </w:tcPr>
          <w:p w14:paraId="308FE2C7" w14:textId="77777777" w:rsidR="003957AD" w:rsidRDefault="003957AD" w:rsidP="00DE0473">
            <w:pPr>
              <w:jc w:val="right"/>
              <w:rPr>
                <w:rFonts w:cs="Calibri"/>
                <w:color w:val="000000"/>
              </w:rPr>
            </w:pPr>
            <w:r>
              <w:rPr>
                <w:rFonts w:cs="Calibri"/>
                <w:color w:val="000000"/>
              </w:rPr>
              <w:t>7%</w:t>
            </w:r>
          </w:p>
        </w:tc>
        <w:tc>
          <w:tcPr>
            <w:tcW w:w="1843" w:type="dxa"/>
            <w:vAlign w:val="bottom"/>
          </w:tcPr>
          <w:p w14:paraId="1AFBA8B0" w14:textId="77777777" w:rsidR="003957AD" w:rsidRDefault="003957AD" w:rsidP="00DE0473">
            <w:pPr>
              <w:jc w:val="right"/>
              <w:rPr>
                <w:rFonts w:cs="Calibri"/>
                <w:color w:val="000000"/>
              </w:rPr>
            </w:pPr>
            <w:r>
              <w:rPr>
                <w:rFonts w:cs="Calibri"/>
                <w:color w:val="000000"/>
              </w:rPr>
              <w:t>3948</w:t>
            </w:r>
          </w:p>
        </w:tc>
        <w:tc>
          <w:tcPr>
            <w:tcW w:w="1843" w:type="dxa"/>
            <w:vAlign w:val="bottom"/>
          </w:tcPr>
          <w:p w14:paraId="43832AD9" w14:textId="77777777" w:rsidR="003957AD" w:rsidRDefault="003957AD" w:rsidP="00DE0473">
            <w:pPr>
              <w:jc w:val="right"/>
              <w:rPr>
                <w:rFonts w:cs="Calibri"/>
                <w:color w:val="000000"/>
              </w:rPr>
            </w:pPr>
            <w:r>
              <w:rPr>
                <w:rFonts w:cs="Calibri"/>
                <w:color w:val="000000"/>
              </w:rPr>
              <w:t>7%</w:t>
            </w:r>
          </w:p>
        </w:tc>
      </w:tr>
      <w:tr w:rsidR="003957AD" w14:paraId="6EC44955" w14:textId="77777777" w:rsidTr="00DE0473">
        <w:tc>
          <w:tcPr>
            <w:tcW w:w="2517" w:type="dxa"/>
            <w:vAlign w:val="bottom"/>
          </w:tcPr>
          <w:p w14:paraId="65C18A93" w14:textId="77777777" w:rsidR="003957AD" w:rsidRDefault="003957AD" w:rsidP="00DE0473">
            <w:pPr>
              <w:rPr>
                <w:rFonts w:cs="Calibri"/>
                <w:color w:val="000000"/>
              </w:rPr>
            </w:pPr>
            <w:r>
              <w:rPr>
                <w:rFonts w:cs="Calibri"/>
                <w:color w:val="000000"/>
              </w:rPr>
              <w:t>Disability</w:t>
            </w:r>
          </w:p>
        </w:tc>
        <w:tc>
          <w:tcPr>
            <w:tcW w:w="1702" w:type="dxa"/>
            <w:vAlign w:val="bottom"/>
          </w:tcPr>
          <w:p w14:paraId="4CEE1E71" w14:textId="77777777" w:rsidR="003957AD" w:rsidRDefault="003957AD" w:rsidP="00DE0473">
            <w:pPr>
              <w:jc w:val="right"/>
              <w:rPr>
                <w:rFonts w:cs="Calibri"/>
                <w:color w:val="000000"/>
              </w:rPr>
            </w:pPr>
            <w:r>
              <w:rPr>
                <w:rFonts w:cs="Calibri"/>
                <w:color w:val="000000"/>
              </w:rPr>
              <w:t>695</w:t>
            </w:r>
          </w:p>
        </w:tc>
        <w:tc>
          <w:tcPr>
            <w:tcW w:w="1701" w:type="dxa"/>
            <w:vAlign w:val="bottom"/>
          </w:tcPr>
          <w:p w14:paraId="6612A43F" w14:textId="77777777" w:rsidR="003957AD" w:rsidRDefault="003957AD" w:rsidP="00DE0473">
            <w:pPr>
              <w:jc w:val="right"/>
              <w:rPr>
                <w:rFonts w:cs="Calibri"/>
                <w:color w:val="000000"/>
              </w:rPr>
            </w:pPr>
            <w:r>
              <w:rPr>
                <w:rFonts w:cs="Calibri"/>
                <w:color w:val="000000"/>
              </w:rPr>
              <w:t>5%</w:t>
            </w:r>
          </w:p>
        </w:tc>
        <w:tc>
          <w:tcPr>
            <w:tcW w:w="1843" w:type="dxa"/>
            <w:vAlign w:val="bottom"/>
          </w:tcPr>
          <w:p w14:paraId="743404DD" w14:textId="77777777" w:rsidR="003957AD" w:rsidRDefault="003957AD" w:rsidP="00DE0473">
            <w:pPr>
              <w:jc w:val="right"/>
              <w:rPr>
                <w:rFonts w:cs="Calibri"/>
                <w:color w:val="000000"/>
              </w:rPr>
            </w:pPr>
            <w:r>
              <w:rPr>
                <w:rFonts w:cs="Calibri"/>
                <w:color w:val="000000"/>
              </w:rPr>
              <w:t>2563</w:t>
            </w:r>
          </w:p>
        </w:tc>
        <w:tc>
          <w:tcPr>
            <w:tcW w:w="1843" w:type="dxa"/>
            <w:vAlign w:val="bottom"/>
          </w:tcPr>
          <w:p w14:paraId="0AAB756B" w14:textId="77777777" w:rsidR="003957AD" w:rsidRDefault="003957AD" w:rsidP="00DE0473">
            <w:pPr>
              <w:jc w:val="right"/>
              <w:rPr>
                <w:rFonts w:cs="Calibri"/>
                <w:color w:val="000000"/>
              </w:rPr>
            </w:pPr>
            <w:r>
              <w:rPr>
                <w:rFonts w:cs="Calibri"/>
                <w:color w:val="000000"/>
              </w:rPr>
              <w:t>4%</w:t>
            </w:r>
          </w:p>
        </w:tc>
      </w:tr>
      <w:tr w:rsidR="003957AD" w14:paraId="2A56BEDB" w14:textId="77777777" w:rsidTr="00DE0473">
        <w:tc>
          <w:tcPr>
            <w:tcW w:w="2517" w:type="dxa"/>
            <w:vAlign w:val="bottom"/>
          </w:tcPr>
          <w:p w14:paraId="7B3E3C4F" w14:textId="77777777" w:rsidR="003957AD" w:rsidRDefault="003957AD" w:rsidP="00DE0473">
            <w:pPr>
              <w:rPr>
                <w:rFonts w:cs="Calibri"/>
                <w:color w:val="000000"/>
              </w:rPr>
            </w:pPr>
            <w:r>
              <w:rPr>
                <w:rFonts w:cs="Calibri"/>
                <w:color w:val="000000"/>
              </w:rPr>
              <w:t>Humanitarian Refugee</w:t>
            </w:r>
          </w:p>
        </w:tc>
        <w:tc>
          <w:tcPr>
            <w:tcW w:w="1702" w:type="dxa"/>
            <w:vAlign w:val="bottom"/>
          </w:tcPr>
          <w:p w14:paraId="1D9C9B43" w14:textId="77777777" w:rsidR="003957AD" w:rsidRDefault="003957AD" w:rsidP="00DE0473">
            <w:pPr>
              <w:jc w:val="right"/>
              <w:rPr>
                <w:rFonts w:cs="Calibri"/>
                <w:color w:val="000000"/>
              </w:rPr>
            </w:pPr>
            <w:r>
              <w:rPr>
                <w:rFonts w:cs="Calibri"/>
                <w:color w:val="000000"/>
              </w:rPr>
              <w:t>382</w:t>
            </w:r>
          </w:p>
        </w:tc>
        <w:tc>
          <w:tcPr>
            <w:tcW w:w="1701" w:type="dxa"/>
            <w:vAlign w:val="bottom"/>
          </w:tcPr>
          <w:p w14:paraId="1BFD16DC" w14:textId="77777777" w:rsidR="003957AD" w:rsidRDefault="003957AD" w:rsidP="00DE0473">
            <w:pPr>
              <w:jc w:val="right"/>
              <w:rPr>
                <w:rFonts w:cs="Calibri"/>
                <w:color w:val="000000"/>
              </w:rPr>
            </w:pPr>
            <w:r>
              <w:rPr>
                <w:rFonts w:cs="Calibri"/>
                <w:color w:val="000000"/>
              </w:rPr>
              <w:t>3%</w:t>
            </w:r>
          </w:p>
        </w:tc>
        <w:tc>
          <w:tcPr>
            <w:tcW w:w="1843" w:type="dxa"/>
            <w:vAlign w:val="bottom"/>
          </w:tcPr>
          <w:p w14:paraId="5762AE44" w14:textId="77777777" w:rsidR="003957AD" w:rsidRDefault="003957AD" w:rsidP="00DE0473">
            <w:pPr>
              <w:jc w:val="right"/>
              <w:rPr>
                <w:rFonts w:cs="Calibri"/>
                <w:color w:val="000000"/>
              </w:rPr>
            </w:pPr>
            <w:r>
              <w:rPr>
                <w:rFonts w:cs="Calibri"/>
                <w:color w:val="000000"/>
              </w:rPr>
              <w:t>892</w:t>
            </w:r>
          </w:p>
        </w:tc>
        <w:tc>
          <w:tcPr>
            <w:tcW w:w="1843" w:type="dxa"/>
            <w:vAlign w:val="bottom"/>
          </w:tcPr>
          <w:p w14:paraId="7FC45751" w14:textId="77777777" w:rsidR="003957AD" w:rsidRDefault="003957AD" w:rsidP="00DE0473">
            <w:pPr>
              <w:jc w:val="right"/>
              <w:rPr>
                <w:rFonts w:cs="Calibri"/>
                <w:color w:val="000000"/>
              </w:rPr>
            </w:pPr>
            <w:r>
              <w:rPr>
                <w:rFonts w:cs="Calibri"/>
                <w:color w:val="000000"/>
              </w:rPr>
              <w:t>2%</w:t>
            </w:r>
          </w:p>
        </w:tc>
      </w:tr>
      <w:tr w:rsidR="003957AD" w14:paraId="1011B66F" w14:textId="77777777" w:rsidTr="00DE0473">
        <w:tc>
          <w:tcPr>
            <w:tcW w:w="2517" w:type="dxa"/>
            <w:vAlign w:val="bottom"/>
          </w:tcPr>
          <w:p w14:paraId="5CE497C5" w14:textId="77777777" w:rsidR="003957AD" w:rsidRDefault="003957AD" w:rsidP="00DE0473">
            <w:pPr>
              <w:rPr>
                <w:rFonts w:cs="Calibri"/>
                <w:color w:val="000000"/>
              </w:rPr>
            </w:pPr>
            <w:r>
              <w:rPr>
                <w:rFonts w:cs="Calibri"/>
                <w:color w:val="000000"/>
              </w:rPr>
              <w:t>Indigenous Australian</w:t>
            </w:r>
          </w:p>
        </w:tc>
        <w:tc>
          <w:tcPr>
            <w:tcW w:w="1702" w:type="dxa"/>
            <w:vAlign w:val="bottom"/>
          </w:tcPr>
          <w:p w14:paraId="489F53F5" w14:textId="77777777" w:rsidR="003957AD" w:rsidRDefault="003957AD" w:rsidP="00DE0473">
            <w:pPr>
              <w:jc w:val="right"/>
              <w:rPr>
                <w:rFonts w:cs="Calibri"/>
                <w:color w:val="000000"/>
              </w:rPr>
            </w:pPr>
            <w:r>
              <w:rPr>
                <w:rFonts w:cs="Calibri"/>
                <w:color w:val="000000"/>
              </w:rPr>
              <w:t>745</w:t>
            </w:r>
          </w:p>
        </w:tc>
        <w:tc>
          <w:tcPr>
            <w:tcW w:w="1701" w:type="dxa"/>
            <w:vAlign w:val="bottom"/>
          </w:tcPr>
          <w:p w14:paraId="2364AD5B" w14:textId="77777777" w:rsidR="003957AD" w:rsidRDefault="003957AD" w:rsidP="00DE0473">
            <w:pPr>
              <w:jc w:val="right"/>
              <w:rPr>
                <w:rFonts w:cs="Calibri"/>
                <w:color w:val="000000"/>
              </w:rPr>
            </w:pPr>
            <w:r>
              <w:rPr>
                <w:rFonts w:cs="Calibri"/>
                <w:color w:val="000000"/>
              </w:rPr>
              <w:t>6%</w:t>
            </w:r>
          </w:p>
        </w:tc>
        <w:tc>
          <w:tcPr>
            <w:tcW w:w="1843" w:type="dxa"/>
            <w:vAlign w:val="bottom"/>
          </w:tcPr>
          <w:p w14:paraId="685B3D3E" w14:textId="77777777" w:rsidR="003957AD" w:rsidRDefault="003957AD" w:rsidP="00DE0473">
            <w:pPr>
              <w:jc w:val="right"/>
              <w:rPr>
                <w:rFonts w:cs="Calibri"/>
                <w:color w:val="000000"/>
              </w:rPr>
            </w:pPr>
            <w:r>
              <w:rPr>
                <w:rFonts w:cs="Calibri"/>
                <w:color w:val="000000"/>
              </w:rPr>
              <w:t>10,955</w:t>
            </w:r>
          </w:p>
        </w:tc>
        <w:tc>
          <w:tcPr>
            <w:tcW w:w="1843" w:type="dxa"/>
            <w:vAlign w:val="bottom"/>
          </w:tcPr>
          <w:p w14:paraId="0F4974C7" w14:textId="77777777" w:rsidR="003957AD" w:rsidRDefault="003957AD" w:rsidP="00DE0473">
            <w:pPr>
              <w:jc w:val="right"/>
              <w:rPr>
                <w:rFonts w:cs="Calibri"/>
                <w:color w:val="000000"/>
              </w:rPr>
            </w:pPr>
            <w:r>
              <w:rPr>
                <w:rFonts w:cs="Calibri"/>
                <w:color w:val="000000"/>
              </w:rPr>
              <w:t>19%</w:t>
            </w:r>
          </w:p>
        </w:tc>
      </w:tr>
      <w:tr w:rsidR="003957AD" w14:paraId="07888697" w14:textId="77777777" w:rsidTr="00DE0473">
        <w:tc>
          <w:tcPr>
            <w:tcW w:w="2517" w:type="dxa"/>
            <w:vAlign w:val="bottom"/>
          </w:tcPr>
          <w:p w14:paraId="12908663" w14:textId="77777777" w:rsidR="003957AD" w:rsidRDefault="003957AD" w:rsidP="00DE0473">
            <w:pPr>
              <w:rPr>
                <w:rFonts w:cs="Calibri"/>
                <w:color w:val="000000"/>
              </w:rPr>
            </w:pPr>
            <w:r>
              <w:rPr>
                <w:rFonts w:cs="Calibri"/>
                <w:color w:val="000000"/>
              </w:rPr>
              <w:t>Parent</w:t>
            </w:r>
          </w:p>
        </w:tc>
        <w:tc>
          <w:tcPr>
            <w:tcW w:w="1702" w:type="dxa"/>
            <w:vAlign w:val="bottom"/>
          </w:tcPr>
          <w:p w14:paraId="4D803112" w14:textId="77777777" w:rsidR="003957AD" w:rsidRDefault="003957AD" w:rsidP="00DE0473">
            <w:pPr>
              <w:jc w:val="right"/>
              <w:rPr>
                <w:rFonts w:cs="Calibri"/>
                <w:color w:val="000000"/>
              </w:rPr>
            </w:pPr>
            <w:r>
              <w:rPr>
                <w:rFonts w:cs="Calibri"/>
                <w:color w:val="000000"/>
              </w:rPr>
              <w:t>293</w:t>
            </w:r>
          </w:p>
        </w:tc>
        <w:tc>
          <w:tcPr>
            <w:tcW w:w="1701" w:type="dxa"/>
            <w:vAlign w:val="bottom"/>
          </w:tcPr>
          <w:p w14:paraId="49E766B7" w14:textId="77777777" w:rsidR="003957AD" w:rsidRDefault="003957AD" w:rsidP="00DE0473">
            <w:pPr>
              <w:jc w:val="right"/>
              <w:rPr>
                <w:rFonts w:cs="Calibri"/>
                <w:color w:val="000000"/>
              </w:rPr>
            </w:pPr>
            <w:r>
              <w:rPr>
                <w:rFonts w:cs="Calibri"/>
                <w:color w:val="000000"/>
              </w:rPr>
              <w:t>2%</w:t>
            </w:r>
          </w:p>
        </w:tc>
        <w:tc>
          <w:tcPr>
            <w:tcW w:w="1843" w:type="dxa"/>
            <w:vAlign w:val="bottom"/>
          </w:tcPr>
          <w:p w14:paraId="4D5C58E4" w14:textId="77777777" w:rsidR="003957AD" w:rsidRDefault="003957AD" w:rsidP="00DE0473">
            <w:pPr>
              <w:jc w:val="right"/>
              <w:rPr>
                <w:rFonts w:cs="Calibri"/>
                <w:color w:val="000000"/>
              </w:rPr>
            </w:pPr>
            <w:r>
              <w:rPr>
                <w:rFonts w:cs="Calibri"/>
                <w:color w:val="000000"/>
              </w:rPr>
              <w:t>1245</w:t>
            </w:r>
          </w:p>
        </w:tc>
        <w:tc>
          <w:tcPr>
            <w:tcW w:w="1843" w:type="dxa"/>
            <w:vAlign w:val="bottom"/>
          </w:tcPr>
          <w:p w14:paraId="6ACAF792" w14:textId="77777777" w:rsidR="003957AD" w:rsidRDefault="003957AD" w:rsidP="00DE0473">
            <w:pPr>
              <w:jc w:val="right"/>
              <w:rPr>
                <w:rFonts w:cs="Calibri"/>
                <w:color w:val="000000"/>
              </w:rPr>
            </w:pPr>
            <w:r>
              <w:rPr>
                <w:rFonts w:cs="Calibri"/>
                <w:color w:val="000000"/>
              </w:rPr>
              <w:t>2%</w:t>
            </w:r>
          </w:p>
        </w:tc>
      </w:tr>
      <w:tr w:rsidR="003957AD" w14:paraId="08E5BDAA" w14:textId="77777777" w:rsidTr="00DE0473">
        <w:tc>
          <w:tcPr>
            <w:tcW w:w="2517" w:type="dxa"/>
            <w:vAlign w:val="bottom"/>
          </w:tcPr>
          <w:p w14:paraId="1BA00D93" w14:textId="77777777" w:rsidR="003957AD" w:rsidRDefault="003957AD" w:rsidP="00DE0473">
            <w:pPr>
              <w:rPr>
                <w:rFonts w:cs="Calibri"/>
                <w:color w:val="000000"/>
              </w:rPr>
            </w:pPr>
            <w:r>
              <w:rPr>
                <w:rFonts w:cs="Calibri"/>
                <w:color w:val="000000"/>
              </w:rPr>
              <w:t>Receiving Centrelink Income Support</w:t>
            </w:r>
          </w:p>
        </w:tc>
        <w:tc>
          <w:tcPr>
            <w:tcW w:w="1702" w:type="dxa"/>
            <w:vAlign w:val="bottom"/>
          </w:tcPr>
          <w:p w14:paraId="66357526" w14:textId="77777777" w:rsidR="003957AD" w:rsidRDefault="003957AD" w:rsidP="00DE0473">
            <w:pPr>
              <w:jc w:val="right"/>
              <w:rPr>
                <w:rFonts w:cs="Calibri"/>
                <w:color w:val="000000"/>
              </w:rPr>
            </w:pPr>
            <w:r>
              <w:rPr>
                <w:rFonts w:cs="Calibri"/>
                <w:color w:val="000000"/>
              </w:rPr>
              <w:t>4976</w:t>
            </w:r>
          </w:p>
        </w:tc>
        <w:tc>
          <w:tcPr>
            <w:tcW w:w="1701" w:type="dxa"/>
            <w:vAlign w:val="bottom"/>
          </w:tcPr>
          <w:p w14:paraId="2BDC2E37" w14:textId="77777777" w:rsidR="003957AD" w:rsidRDefault="003957AD" w:rsidP="00DE0473">
            <w:pPr>
              <w:jc w:val="right"/>
              <w:rPr>
                <w:rFonts w:cs="Calibri"/>
                <w:color w:val="000000"/>
              </w:rPr>
            </w:pPr>
            <w:r>
              <w:rPr>
                <w:rFonts w:cs="Calibri"/>
                <w:color w:val="000000"/>
              </w:rPr>
              <w:t>38%</w:t>
            </w:r>
          </w:p>
        </w:tc>
        <w:tc>
          <w:tcPr>
            <w:tcW w:w="1843" w:type="dxa"/>
            <w:vAlign w:val="bottom"/>
          </w:tcPr>
          <w:p w14:paraId="38E5ADAD" w14:textId="77777777" w:rsidR="003957AD" w:rsidRDefault="003957AD" w:rsidP="00DE0473">
            <w:pPr>
              <w:jc w:val="right"/>
              <w:rPr>
                <w:rFonts w:cs="Calibri"/>
                <w:color w:val="000000"/>
              </w:rPr>
            </w:pPr>
            <w:r>
              <w:rPr>
                <w:rFonts w:cs="Calibri"/>
                <w:color w:val="000000"/>
              </w:rPr>
              <w:t>18,409</w:t>
            </w:r>
          </w:p>
        </w:tc>
        <w:tc>
          <w:tcPr>
            <w:tcW w:w="1843" w:type="dxa"/>
            <w:vAlign w:val="bottom"/>
          </w:tcPr>
          <w:p w14:paraId="5E449A71" w14:textId="77777777" w:rsidR="003957AD" w:rsidRDefault="003957AD" w:rsidP="00DE0473">
            <w:pPr>
              <w:jc w:val="right"/>
              <w:rPr>
                <w:rFonts w:cs="Calibri"/>
                <w:color w:val="000000"/>
              </w:rPr>
            </w:pPr>
            <w:r>
              <w:rPr>
                <w:rFonts w:cs="Calibri"/>
                <w:color w:val="000000"/>
              </w:rPr>
              <w:t>32%</w:t>
            </w:r>
          </w:p>
        </w:tc>
      </w:tr>
      <w:tr w:rsidR="003957AD" w14:paraId="448F4E4D" w14:textId="77777777" w:rsidTr="00DE0473">
        <w:tc>
          <w:tcPr>
            <w:tcW w:w="2517" w:type="dxa"/>
            <w:vAlign w:val="bottom"/>
          </w:tcPr>
          <w:p w14:paraId="70A9E9B6" w14:textId="77777777" w:rsidR="003957AD" w:rsidRDefault="003957AD" w:rsidP="00DE0473">
            <w:pPr>
              <w:rPr>
                <w:rFonts w:cs="Calibri"/>
                <w:color w:val="000000"/>
              </w:rPr>
            </w:pPr>
            <w:r>
              <w:rPr>
                <w:rFonts w:cs="Calibri"/>
                <w:color w:val="000000"/>
              </w:rPr>
              <w:t>Refugee background</w:t>
            </w:r>
          </w:p>
        </w:tc>
        <w:tc>
          <w:tcPr>
            <w:tcW w:w="1702" w:type="dxa"/>
            <w:vAlign w:val="bottom"/>
          </w:tcPr>
          <w:p w14:paraId="4177EBD8" w14:textId="77777777" w:rsidR="003957AD" w:rsidRDefault="003957AD" w:rsidP="00DE0473">
            <w:pPr>
              <w:jc w:val="right"/>
              <w:rPr>
                <w:rFonts w:cs="Calibri"/>
                <w:color w:val="000000"/>
              </w:rPr>
            </w:pPr>
            <w:r>
              <w:rPr>
                <w:rFonts w:cs="Calibri"/>
                <w:color w:val="000000"/>
              </w:rPr>
              <w:t>187</w:t>
            </w:r>
          </w:p>
        </w:tc>
        <w:tc>
          <w:tcPr>
            <w:tcW w:w="1701" w:type="dxa"/>
            <w:vAlign w:val="bottom"/>
          </w:tcPr>
          <w:p w14:paraId="309F998F" w14:textId="77777777" w:rsidR="003957AD" w:rsidRDefault="003957AD" w:rsidP="00DE0473">
            <w:pPr>
              <w:jc w:val="right"/>
              <w:rPr>
                <w:rFonts w:cs="Calibri"/>
                <w:color w:val="000000"/>
              </w:rPr>
            </w:pPr>
            <w:r>
              <w:rPr>
                <w:rFonts w:cs="Calibri"/>
                <w:color w:val="000000"/>
              </w:rPr>
              <w:t>1%</w:t>
            </w:r>
          </w:p>
        </w:tc>
        <w:tc>
          <w:tcPr>
            <w:tcW w:w="1843" w:type="dxa"/>
            <w:vAlign w:val="bottom"/>
          </w:tcPr>
          <w:p w14:paraId="75D2BF7D" w14:textId="77777777" w:rsidR="003957AD" w:rsidRDefault="003957AD" w:rsidP="00DE0473">
            <w:pPr>
              <w:jc w:val="right"/>
              <w:rPr>
                <w:rFonts w:cs="Calibri"/>
                <w:color w:val="000000"/>
              </w:rPr>
            </w:pPr>
            <w:r>
              <w:rPr>
                <w:rFonts w:cs="Calibri"/>
                <w:color w:val="000000"/>
              </w:rPr>
              <w:t>354</w:t>
            </w:r>
          </w:p>
        </w:tc>
        <w:tc>
          <w:tcPr>
            <w:tcW w:w="1843" w:type="dxa"/>
            <w:vAlign w:val="bottom"/>
          </w:tcPr>
          <w:p w14:paraId="3109159F" w14:textId="77777777" w:rsidR="003957AD" w:rsidRDefault="003957AD" w:rsidP="00DE0473">
            <w:pPr>
              <w:jc w:val="right"/>
              <w:rPr>
                <w:rFonts w:cs="Calibri"/>
                <w:color w:val="000000"/>
              </w:rPr>
            </w:pPr>
            <w:r>
              <w:rPr>
                <w:rFonts w:cs="Calibri"/>
                <w:color w:val="000000"/>
              </w:rPr>
              <w:t>1%</w:t>
            </w:r>
          </w:p>
        </w:tc>
      </w:tr>
      <w:tr w:rsidR="003957AD" w14:paraId="6F5DD4AA" w14:textId="77777777" w:rsidTr="00DE0473">
        <w:tc>
          <w:tcPr>
            <w:tcW w:w="2517" w:type="dxa"/>
            <w:vAlign w:val="bottom"/>
          </w:tcPr>
          <w:p w14:paraId="48BBBC22" w14:textId="77777777" w:rsidR="003957AD" w:rsidRDefault="003957AD" w:rsidP="00DE0473">
            <w:pPr>
              <w:rPr>
                <w:rFonts w:cs="Calibri"/>
                <w:color w:val="000000"/>
              </w:rPr>
            </w:pPr>
            <w:r>
              <w:rPr>
                <w:rFonts w:cs="Calibri"/>
                <w:color w:val="000000"/>
              </w:rPr>
              <w:t>Suspected or diagnosed mental health issue</w:t>
            </w:r>
          </w:p>
        </w:tc>
        <w:tc>
          <w:tcPr>
            <w:tcW w:w="1702" w:type="dxa"/>
            <w:vAlign w:val="bottom"/>
          </w:tcPr>
          <w:p w14:paraId="652D4E39" w14:textId="77777777" w:rsidR="003957AD" w:rsidRDefault="003957AD" w:rsidP="00DE0473">
            <w:pPr>
              <w:jc w:val="right"/>
              <w:rPr>
                <w:rFonts w:cs="Calibri"/>
                <w:color w:val="000000"/>
              </w:rPr>
            </w:pPr>
            <w:r>
              <w:rPr>
                <w:rFonts w:cs="Calibri"/>
                <w:color w:val="000000"/>
              </w:rPr>
              <w:t>3841</w:t>
            </w:r>
          </w:p>
        </w:tc>
        <w:tc>
          <w:tcPr>
            <w:tcW w:w="1701" w:type="dxa"/>
            <w:vAlign w:val="bottom"/>
          </w:tcPr>
          <w:p w14:paraId="161ED3CD" w14:textId="77777777" w:rsidR="003957AD" w:rsidRDefault="003957AD" w:rsidP="00DE0473">
            <w:pPr>
              <w:jc w:val="right"/>
              <w:rPr>
                <w:rFonts w:cs="Calibri"/>
                <w:color w:val="000000"/>
              </w:rPr>
            </w:pPr>
            <w:r>
              <w:rPr>
                <w:rFonts w:cs="Calibri"/>
                <w:color w:val="000000"/>
              </w:rPr>
              <w:t>29%</w:t>
            </w:r>
          </w:p>
        </w:tc>
        <w:tc>
          <w:tcPr>
            <w:tcW w:w="1843" w:type="dxa"/>
            <w:vAlign w:val="bottom"/>
          </w:tcPr>
          <w:p w14:paraId="37B012F3" w14:textId="77777777" w:rsidR="003957AD" w:rsidRDefault="003957AD" w:rsidP="00DE0473">
            <w:pPr>
              <w:jc w:val="right"/>
              <w:rPr>
                <w:rFonts w:cs="Calibri"/>
                <w:color w:val="000000"/>
              </w:rPr>
            </w:pPr>
            <w:r>
              <w:rPr>
                <w:rFonts w:cs="Calibri"/>
                <w:color w:val="000000"/>
              </w:rPr>
              <w:t>12,712</w:t>
            </w:r>
          </w:p>
        </w:tc>
        <w:tc>
          <w:tcPr>
            <w:tcW w:w="1843" w:type="dxa"/>
            <w:vAlign w:val="bottom"/>
          </w:tcPr>
          <w:p w14:paraId="78D3C5F2" w14:textId="77777777" w:rsidR="003957AD" w:rsidRDefault="003957AD" w:rsidP="00DE0473">
            <w:pPr>
              <w:jc w:val="right"/>
              <w:rPr>
                <w:rFonts w:cs="Calibri"/>
                <w:color w:val="000000"/>
              </w:rPr>
            </w:pPr>
            <w:r>
              <w:rPr>
                <w:rFonts w:cs="Calibri"/>
                <w:color w:val="000000"/>
              </w:rPr>
              <w:t>22%</w:t>
            </w:r>
          </w:p>
        </w:tc>
      </w:tr>
      <w:tr w:rsidR="003957AD" w14:paraId="599221BA" w14:textId="77777777" w:rsidTr="00DE0473">
        <w:tc>
          <w:tcPr>
            <w:tcW w:w="2517" w:type="dxa"/>
            <w:vAlign w:val="bottom"/>
          </w:tcPr>
          <w:p w14:paraId="7DB4726B" w14:textId="77777777" w:rsidR="003957AD" w:rsidRDefault="003957AD" w:rsidP="00DE0473">
            <w:pPr>
              <w:rPr>
                <w:rFonts w:cs="Calibri"/>
                <w:color w:val="000000"/>
              </w:rPr>
            </w:pPr>
            <w:r>
              <w:rPr>
                <w:rFonts w:cs="Calibri"/>
                <w:color w:val="000000"/>
              </w:rPr>
              <w:t>Young Carer</w:t>
            </w:r>
          </w:p>
        </w:tc>
        <w:tc>
          <w:tcPr>
            <w:tcW w:w="1702" w:type="dxa"/>
            <w:vAlign w:val="bottom"/>
          </w:tcPr>
          <w:p w14:paraId="0E966C09" w14:textId="77777777" w:rsidR="003957AD" w:rsidRDefault="003957AD" w:rsidP="00DE0473">
            <w:pPr>
              <w:jc w:val="right"/>
              <w:rPr>
                <w:rFonts w:cs="Calibri"/>
                <w:color w:val="000000"/>
              </w:rPr>
            </w:pPr>
            <w:r>
              <w:rPr>
                <w:rFonts w:cs="Calibri"/>
                <w:color w:val="000000"/>
              </w:rPr>
              <w:t>331</w:t>
            </w:r>
          </w:p>
        </w:tc>
        <w:tc>
          <w:tcPr>
            <w:tcW w:w="1701" w:type="dxa"/>
            <w:vAlign w:val="bottom"/>
          </w:tcPr>
          <w:p w14:paraId="3BBB3DCE" w14:textId="77777777" w:rsidR="003957AD" w:rsidRDefault="003957AD" w:rsidP="00DE0473">
            <w:pPr>
              <w:jc w:val="right"/>
              <w:rPr>
                <w:rFonts w:cs="Calibri"/>
                <w:color w:val="000000"/>
              </w:rPr>
            </w:pPr>
            <w:r>
              <w:rPr>
                <w:rFonts w:cs="Calibri"/>
                <w:color w:val="000000"/>
              </w:rPr>
              <w:t>3%</w:t>
            </w:r>
          </w:p>
        </w:tc>
        <w:tc>
          <w:tcPr>
            <w:tcW w:w="1843" w:type="dxa"/>
            <w:vAlign w:val="bottom"/>
          </w:tcPr>
          <w:p w14:paraId="193EEBF1" w14:textId="77777777" w:rsidR="003957AD" w:rsidRDefault="003957AD" w:rsidP="00DE0473">
            <w:pPr>
              <w:jc w:val="right"/>
              <w:rPr>
                <w:rFonts w:cs="Calibri"/>
                <w:color w:val="000000"/>
              </w:rPr>
            </w:pPr>
            <w:r>
              <w:rPr>
                <w:rFonts w:cs="Calibri"/>
                <w:color w:val="000000"/>
              </w:rPr>
              <w:t>1232</w:t>
            </w:r>
          </w:p>
        </w:tc>
        <w:tc>
          <w:tcPr>
            <w:tcW w:w="1843" w:type="dxa"/>
            <w:vAlign w:val="bottom"/>
          </w:tcPr>
          <w:p w14:paraId="1DEE49CE" w14:textId="77777777" w:rsidR="003957AD" w:rsidRDefault="003957AD" w:rsidP="00DE0473">
            <w:pPr>
              <w:jc w:val="right"/>
              <w:rPr>
                <w:rFonts w:cs="Calibri"/>
                <w:color w:val="000000"/>
              </w:rPr>
            </w:pPr>
            <w:r>
              <w:rPr>
                <w:rFonts w:cs="Calibri"/>
                <w:color w:val="000000"/>
              </w:rPr>
              <w:t>2%</w:t>
            </w:r>
          </w:p>
        </w:tc>
      </w:tr>
    </w:tbl>
    <w:p w14:paraId="2344C9D3" w14:textId="77777777" w:rsidR="00606791" w:rsidRDefault="003957AD" w:rsidP="00606791">
      <w:pPr>
        <w:pStyle w:val="Heading4"/>
      </w:pPr>
      <w:r w:rsidRPr="001D5D39">
        <w:lastRenderedPageBreak/>
        <w:t>Figure 6: Percentage of Participants identified as having a barrier</w:t>
      </w:r>
    </w:p>
    <w:p w14:paraId="334F774D" w14:textId="20FF5AA7" w:rsidR="003957AD" w:rsidRDefault="003957AD" w:rsidP="003957AD">
      <w:r>
        <w:t xml:space="preserve"> </w:t>
      </w:r>
      <w:r>
        <w:rPr>
          <w:noProof/>
          <w:lang w:eastAsia="en-AU"/>
        </w:rPr>
        <w:drawing>
          <wp:inline distT="0" distB="0" distL="0" distR="0" wp14:anchorId="3AAE28FC" wp14:editId="46671341">
            <wp:extent cx="6276975" cy="7972425"/>
            <wp:effectExtent l="0" t="0" r="0" b="0"/>
            <wp:docPr id="13" name="Chart 13" descr="VIC and National percentage of participants who have been identified as having a barrier, graphic representation of table 8 below."/>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r>
        <w:br w:type="page"/>
      </w:r>
    </w:p>
    <w:p w14:paraId="0AA09E11" w14:textId="77777777" w:rsidR="003957AD" w:rsidRDefault="003957AD" w:rsidP="00546F15">
      <w:pPr>
        <w:pStyle w:val="Heading4"/>
      </w:pPr>
      <w:r>
        <w:lastRenderedPageBreak/>
        <w:t>Table 8:</w:t>
      </w:r>
      <w:r w:rsidRPr="00D36A5C">
        <w:t xml:space="preserve"> </w:t>
      </w:r>
      <w:r w:rsidRPr="003E33C6">
        <w:t>Percentage of Participants identified as having a barrier</w:t>
      </w:r>
    </w:p>
    <w:tbl>
      <w:tblPr>
        <w:tblW w:w="8419" w:type="dxa"/>
        <w:tblInd w:w="93" w:type="dxa"/>
        <w:tblLook w:val="04A0" w:firstRow="1" w:lastRow="0" w:firstColumn="1" w:lastColumn="0" w:noHBand="0" w:noVBand="1"/>
      </w:tblPr>
      <w:tblGrid>
        <w:gridCol w:w="5903"/>
        <w:gridCol w:w="1233"/>
        <w:gridCol w:w="1283"/>
      </w:tblGrid>
      <w:tr w:rsidR="003957AD" w:rsidRPr="0047025E" w14:paraId="6D133CD2" w14:textId="77777777" w:rsidTr="00DE0473">
        <w:trPr>
          <w:trHeight w:val="391"/>
        </w:trPr>
        <w:tc>
          <w:tcPr>
            <w:tcW w:w="5903" w:type="dxa"/>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4EDCA487" w14:textId="77777777" w:rsidR="003957AD" w:rsidRPr="0047025E" w:rsidRDefault="003957AD" w:rsidP="00DE0473">
            <w:pPr>
              <w:jc w:val="center"/>
              <w:rPr>
                <w:rFonts w:cs="Calibri"/>
                <w:b/>
                <w:bCs/>
                <w:color w:val="000000"/>
              </w:rPr>
            </w:pPr>
            <w:r w:rsidRPr="0047025E">
              <w:rPr>
                <w:rFonts w:cs="Calibri"/>
                <w:b/>
                <w:bCs/>
                <w:color w:val="000000"/>
              </w:rPr>
              <w:t>Barrier</w:t>
            </w:r>
          </w:p>
        </w:tc>
        <w:tc>
          <w:tcPr>
            <w:tcW w:w="1233" w:type="dxa"/>
            <w:tcBorders>
              <w:top w:val="single" w:sz="4" w:space="0" w:color="auto"/>
              <w:left w:val="nil"/>
              <w:bottom w:val="single" w:sz="4" w:space="0" w:color="auto"/>
              <w:right w:val="single" w:sz="4" w:space="0" w:color="auto"/>
            </w:tcBorders>
            <w:shd w:val="clear" w:color="DCE6F1" w:fill="DCE6F1"/>
            <w:noWrap/>
            <w:vAlign w:val="bottom"/>
            <w:hideMark/>
          </w:tcPr>
          <w:p w14:paraId="01A0AB49" w14:textId="77777777" w:rsidR="003957AD" w:rsidRPr="0047025E" w:rsidRDefault="003957AD" w:rsidP="00DE0473">
            <w:pPr>
              <w:jc w:val="center"/>
              <w:rPr>
                <w:rFonts w:cs="Calibri"/>
                <w:b/>
                <w:bCs/>
                <w:color w:val="000000"/>
              </w:rPr>
            </w:pPr>
            <w:r w:rsidRPr="0047025E">
              <w:rPr>
                <w:rFonts w:cs="Calibri"/>
                <w:b/>
                <w:bCs/>
                <w:color w:val="000000"/>
              </w:rPr>
              <w:t>VIC</w:t>
            </w:r>
          </w:p>
        </w:tc>
        <w:tc>
          <w:tcPr>
            <w:tcW w:w="1283" w:type="dxa"/>
            <w:tcBorders>
              <w:top w:val="single" w:sz="4" w:space="0" w:color="auto"/>
              <w:left w:val="nil"/>
              <w:bottom w:val="single" w:sz="4" w:space="0" w:color="auto"/>
              <w:right w:val="single" w:sz="4" w:space="0" w:color="auto"/>
            </w:tcBorders>
            <w:shd w:val="clear" w:color="DCE6F1" w:fill="DCE6F1"/>
            <w:noWrap/>
            <w:vAlign w:val="bottom"/>
            <w:hideMark/>
          </w:tcPr>
          <w:p w14:paraId="0BD7B3A3" w14:textId="77777777" w:rsidR="003957AD" w:rsidRPr="0047025E" w:rsidRDefault="003957AD" w:rsidP="00DE0473">
            <w:pPr>
              <w:jc w:val="center"/>
              <w:rPr>
                <w:rFonts w:cs="Calibri"/>
                <w:b/>
                <w:bCs/>
                <w:color w:val="000000"/>
              </w:rPr>
            </w:pPr>
            <w:r w:rsidRPr="0047025E">
              <w:rPr>
                <w:rFonts w:cs="Calibri"/>
                <w:b/>
                <w:bCs/>
                <w:color w:val="000000"/>
              </w:rPr>
              <w:t>National</w:t>
            </w:r>
          </w:p>
        </w:tc>
      </w:tr>
      <w:tr w:rsidR="003957AD" w:rsidRPr="0047025E" w14:paraId="07227755" w14:textId="77777777" w:rsidTr="00DE0473">
        <w:trPr>
          <w:trHeight w:val="391"/>
        </w:trPr>
        <w:tc>
          <w:tcPr>
            <w:tcW w:w="5903" w:type="dxa"/>
            <w:tcBorders>
              <w:top w:val="nil"/>
              <w:left w:val="single" w:sz="4" w:space="0" w:color="auto"/>
              <w:bottom w:val="single" w:sz="4" w:space="0" w:color="auto"/>
              <w:right w:val="single" w:sz="4" w:space="0" w:color="auto"/>
            </w:tcBorders>
            <w:shd w:val="clear" w:color="auto" w:fill="auto"/>
            <w:noWrap/>
            <w:vAlign w:val="bottom"/>
            <w:hideMark/>
          </w:tcPr>
          <w:p w14:paraId="16112A02" w14:textId="77777777" w:rsidR="003957AD" w:rsidRPr="0047025E" w:rsidRDefault="003957AD" w:rsidP="00DE0473">
            <w:pPr>
              <w:rPr>
                <w:rFonts w:cs="Calibri"/>
                <w:color w:val="000000"/>
              </w:rPr>
            </w:pPr>
            <w:r w:rsidRPr="0047025E">
              <w:rPr>
                <w:rFonts w:cs="Calibri"/>
                <w:color w:val="000000"/>
              </w:rPr>
              <w:t>Abuse/Domestic Violence issue</w:t>
            </w:r>
          </w:p>
        </w:tc>
        <w:tc>
          <w:tcPr>
            <w:tcW w:w="1233" w:type="dxa"/>
            <w:tcBorders>
              <w:top w:val="nil"/>
              <w:left w:val="nil"/>
              <w:bottom w:val="single" w:sz="4" w:space="0" w:color="auto"/>
              <w:right w:val="single" w:sz="4" w:space="0" w:color="auto"/>
            </w:tcBorders>
            <w:shd w:val="clear" w:color="auto" w:fill="auto"/>
            <w:noWrap/>
            <w:vAlign w:val="bottom"/>
            <w:hideMark/>
          </w:tcPr>
          <w:p w14:paraId="2B854533" w14:textId="77777777" w:rsidR="003957AD" w:rsidRPr="0047025E" w:rsidRDefault="003957AD" w:rsidP="00DE0473">
            <w:pPr>
              <w:jc w:val="right"/>
              <w:rPr>
                <w:rFonts w:cs="Calibri"/>
                <w:color w:val="000000"/>
              </w:rPr>
            </w:pPr>
            <w:r w:rsidRPr="0047025E">
              <w:rPr>
                <w:rFonts w:cs="Calibri"/>
                <w:color w:val="000000"/>
              </w:rPr>
              <w:t>12%</w:t>
            </w:r>
          </w:p>
        </w:tc>
        <w:tc>
          <w:tcPr>
            <w:tcW w:w="1283" w:type="dxa"/>
            <w:tcBorders>
              <w:top w:val="nil"/>
              <w:left w:val="nil"/>
              <w:bottom w:val="single" w:sz="4" w:space="0" w:color="auto"/>
              <w:right w:val="single" w:sz="4" w:space="0" w:color="auto"/>
            </w:tcBorders>
            <w:shd w:val="clear" w:color="auto" w:fill="auto"/>
            <w:noWrap/>
            <w:vAlign w:val="bottom"/>
            <w:hideMark/>
          </w:tcPr>
          <w:p w14:paraId="32BC9164" w14:textId="77777777" w:rsidR="003957AD" w:rsidRPr="0047025E" w:rsidRDefault="003957AD" w:rsidP="00DE0473">
            <w:pPr>
              <w:jc w:val="right"/>
              <w:rPr>
                <w:rFonts w:cs="Calibri"/>
                <w:color w:val="000000"/>
              </w:rPr>
            </w:pPr>
            <w:r w:rsidRPr="0047025E">
              <w:rPr>
                <w:rFonts w:cs="Calibri"/>
                <w:color w:val="000000"/>
              </w:rPr>
              <w:t>10%</w:t>
            </w:r>
          </w:p>
        </w:tc>
      </w:tr>
      <w:tr w:rsidR="003957AD" w:rsidRPr="0047025E" w14:paraId="41E2C581" w14:textId="77777777" w:rsidTr="00DE0473">
        <w:trPr>
          <w:trHeight w:val="391"/>
        </w:trPr>
        <w:tc>
          <w:tcPr>
            <w:tcW w:w="5903" w:type="dxa"/>
            <w:tcBorders>
              <w:top w:val="nil"/>
              <w:left w:val="single" w:sz="4" w:space="0" w:color="auto"/>
              <w:bottom w:val="single" w:sz="4" w:space="0" w:color="auto"/>
              <w:right w:val="single" w:sz="4" w:space="0" w:color="auto"/>
            </w:tcBorders>
            <w:shd w:val="clear" w:color="auto" w:fill="auto"/>
            <w:noWrap/>
            <w:vAlign w:val="bottom"/>
            <w:hideMark/>
          </w:tcPr>
          <w:p w14:paraId="5048AEBA" w14:textId="77777777" w:rsidR="003957AD" w:rsidRPr="0047025E" w:rsidRDefault="003957AD" w:rsidP="00DE0473">
            <w:pPr>
              <w:rPr>
                <w:rFonts w:cs="Calibri"/>
                <w:color w:val="000000"/>
              </w:rPr>
            </w:pPr>
            <w:r w:rsidRPr="0047025E">
              <w:rPr>
                <w:rFonts w:cs="Calibri"/>
                <w:color w:val="000000"/>
              </w:rPr>
              <w:t>Alcohol and/or drug misuse</w:t>
            </w:r>
          </w:p>
        </w:tc>
        <w:tc>
          <w:tcPr>
            <w:tcW w:w="1233" w:type="dxa"/>
            <w:tcBorders>
              <w:top w:val="nil"/>
              <w:left w:val="nil"/>
              <w:bottom w:val="single" w:sz="4" w:space="0" w:color="auto"/>
              <w:right w:val="single" w:sz="4" w:space="0" w:color="auto"/>
            </w:tcBorders>
            <w:shd w:val="clear" w:color="auto" w:fill="auto"/>
            <w:noWrap/>
            <w:vAlign w:val="bottom"/>
            <w:hideMark/>
          </w:tcPr>
          <w:p w14:paraId="0F63EDEA" w14:textId="77777777" w:rsidR="003957AD" w:rsidRPr="0047025E" w:rsidRDefault="003957AD" w:rsidP="00DE0473">
            <w:pPr>
              <w:jc w:val="right"/>
              <w:rPr>
                <w:rFonts w:cs="Calibri"/>
                <w:color w:val="000000"/>
              </w:rPr>
            </w:pPr>
            <w:r w:rsidRPr="0047025E">
              <w:rPr>
                <w:rFonts w:cs="Calibri"/>
                <w:color w:val="000000"/>
              </w:rPr>
              <w:t>19%</w:t>
            </w:r>
          </w:p>
        </w:tc>
        <w:tc>
          <w:tcPr>
            <w:tcW w:w="1283" w:type="dxa"/>
            <w:tcBorders>
              <w:top w:val="nil"/>
              <w:left w:val="nil"/>
              <w:bottom w:val="single" w:sz="4" w:space="0" w:color="auto"/>
              <w:right w:val="single" w:sz="4" w:space="0" w:color="auto"/>
            </w:tcBorders>
            <w:shd w:val="clear" w:color="auto" w:fill="auto"/>
            <w:noWrap/>
            <w:vAlign w:val="bottom"/>
            <w:hideMark/>
          </w:tcPr>
          <w:p w14:paraId="07AAE368" w14:textId="77777777" w:rsidR="003957AD" w:rsidRPr="0047025E" w:rsidRDefault="003957AD" w:rsidP="00DE0473">
            <w:pPr>
              <w:jc w:val="right"/>
              <w:rPr>
                <w:rFonts w:cs="Calibri"/>
                <w:color w:val="000000"/>
              </w:rPr>
            </w:pPr>
            <w:r w:rsidRPr="0047025E">
              <w:rPr>
                <w:rFonts w:cs="Calibri"/>
                <w:color w:val="000000"/>
              </w:rPr>
              <w:t>19%</w:t>
            </w:r>
          </w:p>
        </w:tc>
      </w:tr>
      <w:tr w:rsidR="003957AD" w:rsidRPr="0047025E" w14:paraId="4F08B669" w14:textId="77777777" w:rsidTr="00DE0473">
        <w:trPr>
          <w:trHeight w:val="391"/>
        </w:trPr>
        <w:tc>
          <w:tcPr>
            <w:tcW w:w="5903" w:type="dxa"/>
            <w:tcBorders>
              <w:top w:val="nil"/>
              <w:left w:val="single" w:sz="4" w:space="0" w:color="auto"/>
              <w:bottom w:val="single" w:sz="4" w:space="0" w:color="auto"/>
              <w:right w:val="single" w:sz="4" w:space="0" w:color="auto"/>
            </w:tcBorders>
            <w:shd w:val="clear" w:color="auto" w:fill="auto"/>
            <w:noWrap/>
            <w:vAlign w:val="bottom"/>
            <w:hideMark/>
          </w:tcPr>
          <w:p w14:paraId="33BFAC99" w14:textId="77777777" w:rsidR="003957AD" w:rsidRPr="0047025E" w:rsidRDefault="003957AD" w:rsidP="00DE0473">
            <w:pPr>
              <w:rPr>
                <w:rFonts w:cs="Calibri"/>
                <w:color w:val="000000"/>
              </w:rPr>
            </w:pPr>
            <w:r w:rsidRPr="0047025E">
              <w:rPr>
                <w:rFonts w:cs="Calibri"/>
                <w:color w:val="000000"/>
              </w:rPr>
              <w:t>Anger management issues</w:t>
            </w:r>
          </w:p>
        </w:tc>
        <w:tc>
          <w:tcPr>
            <w:tcW w:w="1233" w:type="dxa"/>
            <w:tcBorders>
              <w:top w:val="nil"/>
              <w:left w:val="nil"/>
              <w:bottom w:val="single" w:sz="4" w:space="0" w:color="auto"/>
              <w:right w:val="single" w:sz="4" w:space="0" w:color="auto"/>
            </w:tcBorders>
            <w:shd w:val="clear" w:color="auto" w:fill="auto"/>
            <w:noWrap/>
            <w:vAlign w:val="bottom"/>
            <w:hideMark/>
          </w:tcPr>
          <w:p w14:paraId="5B4D2F0A" w14:textId="77777777" w:rsidR="003957AD" w:rsidRPr="0047025E" w:rsidRDefault="003957AD" w:rsidP="00DE0473">
            <w:pPr>
              <w:jc w:val="right"/>
              <w:rPr>
                <w:rFonts w:cs="Calibri"/>
                <w:color w:val="000000"/>
              </w:rPr>
            </w:pPr>
            <w:r w:rsidRPr="0047025E">
              <w:rPr>
                <w:rFonts w:cs="Calibri"/>
                <w:color w:val="000000"/>
              </w:rPr>
              <w:t>29%</w:t>
            </w:r>
          </w:p>
        </w:tc>
        <w:tc>
          <w:tcPr>
            <w:tcW w:w="1283" w:type="dxa"/>
            <w:tcBorders>
              <w:top w:val="nil"/>
              <w:left w:val="nil"/>
              <w:bottom w:val="single" w:sz="4" w:space="0" w:color="auto"/>
              <w:right w:val="single" w:sz="4" w:space="0" w:color="auto"/>
            </w:tcBorders>
            <w:shd w:val="clear" w:color="auto" w:fill="auto"/>
            <w:noWrap/>
            <w:vAlign w:val="bottom"/>
            <w:hideMark/>
          </w:tcPr>
          <w:p w14:paraId="3B127B15" w14:textId="77777777" w:rsidR="003957AD" w:rsidRPr="0047025E" w:rsidRDefault="003957AD" w:rsidP="00DE0473">
            <w:pPr>
              <w:jc w:val="right"/>
              <w:rPr>
                <w:rFonts w:cs="Calibri"/>
                <w:color w:val="000000"/>
              </w:rPr>
            </w:pPr>
            <w:r w:rsidRPr="0047025E">
              <w:rPr>
                <w:rFonts w:cs="Calibri"/>
                <w:color w:val="000000"/>
              </w:rPr>
              <w:t>30%</w:t>
            </w:r>
          </w:p>
        </w:tc>
      </w:tr>
      <w:tr w:rsidR="003957AD" w:rsidRPr="0047025E" w14:paraId="2E3633C8" w14:textId="77777777" w:rsidTr="00DE0473">
        <w:trPr>
          <w:trHeight w:val="391"/>
        </w:trPr>
        <w:tc>
          <w:tcPr>
            <w:tcW w:w="5903" w:type="dxa"/>
            <w:tcBorders>
              <w:top w:val="nil"/>
              <w:left w:val="single" w:sz="4" w:space="0" w:color="auto"/>
              <w:bottom w:val="single" w:sz="4" w:space="0" w:color="auto"/>
              <w:right w:val="single" w:sz="4" w:space="0" w:color="auto"/>
            </w:tcBorders>
            <w:shd w:val="clear" w:color="auto" w:fill="auto"/>
            <w:noWrap/>
            <w:vAlign w:val="bottom"/>
            <w:hideMark/>
          </w:tcPr>
          <w:p w14:paraId="1C4AB58F" w14:textId="77777777" w:rsidR="003957AD" w:rsidRPr="0047025E" w:rsidRDefault="003957AD" w:rsidP="00DE0473">
            <w:pPr>
              <w:rPr>
                <w:rFonts w:cs="Calibri"/>
                <w:color w:val="000000"/>
              </w:rPr>
            </w:pPr>
            <w:r w:rsidRPr="0047025E">
              <w:rPr>
                <w:rFonts w:cs="Calibri"/>
                <w:color w:val="000000"/>
              </w:rPr>
              <w:t>Behavioural problems</w:t>
            </w:r>
          </w:p>
        </w:tc>
        <w:tc>
          <w:tcPr>
            <w:tcW w:w="1233" w:type="dxa"/>
            <w:tcBorders>
              <w:top w:val="nil"/>
              <w:left w:val="nil"/>
              <w:bottom w:val="single" w:sz="4" w:space="0" w:color="auto"/>
              <w:right w:val="single" w:sz="4" w:space="0" w:color="auto"/>
            </w:tcBorders>
            <w:shd w:val="clear" w:color="auto" w:fill="auto"/>
            <w:noWrap/>
            <w:vAlign w:val="bottom"/>
            <w:hideMark/>
          </w:tcPr>
          <w:p w14:paraId="7923F980" w14:textId="77777777" w:rsidR="003957AD" w:rsidRPr="0047025E" w:rsidRDefault="003957AD" w:rsidP="00DE0473">
            <w:pPr>
              <w:jc w:val="right"/>
              <w:rPr>
                <w:rFonts w:cs="Calibri"/>
                <w:color w:val="000000"/>
              </w:rPr>
            </w:pPr>
            <w:r w:rsidRPr="0047025E">
              <w:rPr>
                <w:rFonts w:cs="Calibri"/>
                <w:color w:val="000000"/>
              </w:rPr>
              <w:t>44%</w:t>
            </w:r>
          </w:p>
        </w:tc>
        <w:tc>
          <w:tcPr>
            <w:tcW w:w="1283" w:type="dxa"/>
            <w:tcBorders>
              <w:top w:val="nil"/>
              <w:left w:val="nil"/>
              <w:bottom w:val="single" w:sz="4" w:space="0" w:color="auto"/>
              <w:right w:val="single" w:sz="4" w:space="0" w:color="auto"/>
            </w:tcBorders>
            <w:shd w:val="clear" w:color="auto" w:fill="auto"/>
            <w:noWrap/>
            <w:vAlign w:val="bottom"/>
            <w:hideMark/>
          </w:tcPr>
          <w:p w14:paraId="7427996F" w14:textId="77777777" w:rsidR="003957AD" w:rsidRPr="0047025E" w:rsidRDefault="003957AD" w:rsidP="00DE0473">
            <w:pPr>
              <w:jc w:val="right"/>
              <w:rPr>
                <w:rFonts w:cs="Calibri"/>
                <w:color w:val="000000"/>
              </w:rPr>
            </w:pPr>
            <w:r w:rsidRPr="0047025E">
              <w:rPr>
                <w:rFonts w:cs="Calibri"/>
                <w:color w:val="000000"/>
              </w:rPr>
              <w:t>50%</w:t>
            </w:r>
          </w:p>
        </w:tc>
      </w:tr>
      <w:tr w:rsidR="003957AD" w:rsidRPr="0047025E" w14:paraId="3F3134AB" w14:textId="77777777" w:rsidTr="00DE0473">
        <w:trPr>
          <w:trHeight w:val="391"/>
        </w:trPr>
        <w:tc>
          <w:tcPr>
            <w:tcW w:w="5903" w:type="dxa"/>
            <w:tcBorders>
              <w:top w:val="nil"/>
              <w:left w:val="single" w:sz="4" w:space="0" w:color="auto"/>
              <w:bottom w:val="single" w:sz="4" w:space="0" w:color="auto"/>
              <w:right w:val="single" w:sz="4" w:space="0" w:color="auto"/>
            </w:tcBorders>
            <w:shd w:val="clear" w:color="auto" w:fill="auto"/>
            <w:noWrap/>
            <w:vAlign w:val="bottom"/>
            <w:hideMark/>
          </w:tcPr>
          <w:p w14:paraId="706D4E41" w14:textId="77777777" w:rsidR="003957AD" w:rsidRPr="0047025E" w:rsidRDefault="003957AD" w:rsidP="00DE0473">
            <w:pPr>
              <w:rPr>
                <w:rFonts w:cs="Calibri"/>
                <w:color w:val="000000"/>
              </w:rPr>
            </w:pPr>
            <w:r w:rsidRPr="0047025E">
              <w:rPr>
                <w:rFonts w:cs="Calibri"/>
                <w:color w:val="000000"/>
              </w:rPr>
              <w:t>Bullying</w:t>
            </w:r>
          </w:p>
        </w:tc>
        <w:tc>
          <w:tcPr>
            <w:tcW w:w="1233" w:type="dxa"/>
            <w:tcBorders>
              <w:top w:val="nil"/>
              <w:left w:val="nil"/>
              <w:bottom w:val="single" w:sz="4" w:space="0" w:color="auto"/>
              <w:right w:val="single" w:sz="4" w:space="0" w:color="auto"/>
            </w:tcBorders>
            <w:shd w:val="clear" w:color="auto" w:fill="auto"/>
            <w:noWrap/>
            <w:vAlign w:val="bottom"/>
            <w:hideMark/>
          </w:tcPr>
          <w:p w14:paraId="2C600235" w14:textId="77777777" w:rsidR="003957AD" w:rsidRPr="0047025E" w:rsidRDefault="003957AD" w:rsidP="00DE0473">
            <w:pPr>
              <w:jc w:val="right"/>
              <w:rPr>
                <w:rFonts w:cs="Calibri"/>
                <w:color w:val="000000"/>
              </w:rPr>
            </w:pPr>
            <w:r w:rsidRPr="0047025E">
              <w:rPr>
                <w:rFonts w:cs="Calibri"/>
                <w:color w:val="000000"/>
              </w:rPr>
              <w:t>25%</w:t>
            </w:r>
          </w:p>
        </w:tc>
        <w:tc>
          <w:tcPr>
            <w:tcW w:w="1283" w:type="dxa"/>
            <w:tcBorders>
              <w:top w:val="nil"/>
              <w:left w:val="nil"/>
              <w:bottom w:val="single" w:sz="4" w:space="0" w:color="auto"/>
              <w:right w:val="single" w:sz="4" w:space="0" w:color="auto"/>
            </w:tcBorders>
            <w:shd w:val="clear" w:color="auto" w:fill="auto"/>
            <w:noWrap/>
            <w:vAlign w:val="bottom"/>
            <w:hideMark/>
          </w:tcPr>
          <w:p w14:paraId="7A4188FC" w14:textId="77777777" w:rsidR="003957AD" w:rsidRPr="0047025E" w:rsidRDefault="003957AD" w:rsidP="00DE0473">
            <w:pPr>
              <w:jc w:val="right"/>
              <w:rPr>
                <w:rFonts w:cs="Calibri"/>
                <w:color w:val="000000"/>
              </w:rPr>
            </w:pPr>
            <w:r w:rsidRPr="0047025E">
              <w:rPr>
                <w:rFonts w:cs="Calibri"/>
                <w:color w:val="000000"/>
              </w:rPr>
              <w:t>25%</w:t>
            </w:r>
          </w:p>
        </w:tc>
      </w:tr>
      <w:tr w:rsidR="003957AD" w:rsidRPr="0047025E" w14:paraId="6CD7635B" w14:textId="77777777" w:rsidTr="00DE0473">
        <w:trPr>
          <w:trHeight w:val="391"/>
        </w:trPr>
        <w:tc>
          <w:tcPr>
            <w:tcW w:w="5903" w:type="dxa"/>
            <w:tcBorders>
              <w:top w:val="nil"/>
              <w:left w:val="single" w:sz="4" w:space="0" w:color="auto"/>
              <w:bottom w:val="single" w:sz="4" w:space="0" w:color="auto"/>
              <w:right w:val="single" w:sz="4" w:space="0" w:color="auto"/>
            </w:tcBorders>
            <w:shd w:val="clear" w:color="auto" w:fill="auto"/>
            <w:noWrap/>
            <w:vAlign w:val="bottom"/>
            <w:hideMark/>
          </w:tcPr>
          <w:p w14:paraId="5DBE4708" w14:textId="77777777" w:rsidR="003957AD" w:rsidRPr="0047025E" w:rsidRDefault="003957AD" w:rsidP="00DE0473">
            <w:pPr>
              <w:rPr>
                <w:rFonts w:cs="Calibri"/>
                <w:color w:val="000000"/>
              </w:rPr>
            </w:pPr>
            <w:r w:rsidRPr="0047025E">
              <w:rPr>
                <w:rFonts w:cs="Calibri"/>
                <w:color w:val="000000"/>
              </w:rPr>
              <w:t>Critical life event</w:t>
            </w:r>
          </w:p>
        </w:tc>
        <w:tc>
          <w:tcPr>
            <w:tcW w:w="1233" w:type="dxa"/>
            <w:tcBorders>
              <w:top w:val="nil"/>
              <w:left w:val="nil"/>
              <w:bottom w:val="single" w:sz="4" w:space="0" w:color="auto"/>
              <w:right w:val="single" w:sz="4" w:space="0" w:color="auto"/>
            </w:tcBorders>
            <w:shd w:val="clear" w:color="auto" w:fill="auto"/>
            <w:noWrap/>
            <w:vAlign w:val="bottom"/>
            <w:hideMark/>
          </w:tcPr>
          <w:p w14:paraId="67B7DF9C" w14:textId="77777777" w:rsidR="003957AD" w:rsidRPr="0047025E" w:rsidRDefault="003957AD" w:rsidP="00DE0473">
            <w:pPr>
              <w:jc w:val="right"/>
              <w:rPr>
                <w:rFonts w:cs="Calibri"/>
                <w:color w:val="000000"/>
              </w:rPr>
            </w:pPr>
            <w:r w:rsidRPr="0047025E">
              <w:rPr>
                <w:rFonts w:cs="Calibri"/>
                <w:color w:val="000000"/>
              </w:rPr>
              <w:t>22%</w:t>
            </w:r>
          </w:p>
        </w:tc>
        <w:tc>
          <w:tcPr>
            <w:tcW w:w="1283" w:type="dxa"/>
            <w:tcBorders>
              <w:top w:val="nil"/>
              <w:left w:val="nil"/>
              <w:bottom w:val="single" w:sz="4" w:space="0" w:color="auto"/>
              <w:right w:val="single" w:sz="4" w:space="0" w:color="auto"/>
            </w:tcBorders>
            <w:shd w:val="clear" w:color="auto" w:fill="auto"/>
            <w:noWrap/>
            <w:vAlign w:val="bottom"/>
            <w:hideMark/>
          </w:tcPr>
          <w:p w14:paraId="140A5E7B" w14:textId="77777777" w:rsidR="003957AD" w:rsidRPr="0047025E" w:rsidRDefault="003957AD" w:rsidP="00DE0473">
            <w:pPr>
              <w:jc w:val="right"/>
              <w:rPr>
                <w:rFonts w:cs="Calibri"/>
                <w:color w:val="000000"/>
              </w:rPr>
            </w:pPr>
            <w:r w:rsidRPr="0047025E">
              <w:rPr>
                <w:rFonts w:cs="Calibri"/>
                <w:color w:val="000000"/>
              </w:rPr>
              <w:t>16%</w:t>
            </w:r>
          </w:p>
        </w:tc>
      </w:tr>
      <w:tr w:rsidR="003957AD" w:rsidRPr="0047025E" w14:paraId="60168401" w14:textId="77777777" w:rsidTr="00DE0473">
        <w:trPr>
          <w:trHeight w:val="391"/>
        </w:trPr>
        <w:tc>
          <w:tcPr>
            <w:tcW w:w="5903" w:type="dxa"/>
            <w:tcBorders>
              <w:top w:val="nil"/>
              <w:left w:val="single" w:sz="4" w:space="0" w:color="auto"/>
              <w:bottom w:val="single" w:sz="4" w:space="0" w:color="auto"/>
              <w:right w:val="single" w:sz="4" w:space="0" w:color="auto"/>
            </w:tcBorders>
            <w:shd w:val="clear" w:color="auto" w:fill="auto"/>
            <w:noWrap/>
            <w:vAlign w:val="bottom"/>
            <w:hideMark/>
          </w:tcPr>
          <w:p w14:paraId="1E0B8FA0" w14:textId="77777777" w:rsidR="003957AD" w:rsidRPr="0047025E" w:rsidRDefault="003957AD" w:rsidP="00DE0473">
            <w:pPr>
              <w:rPr>
                <w:rFonts w:cs="Calibri"/>
                <w:color w:val="000000"/>
              </w:rPr>
            </w:pPr>
            <w:r w:rsidRPr="0047025E">
              <w:rPr>
                <w:rFonts w:cs="Calibri"/>
                <w:color w:val="000000"/>
              </w:rPr>
              <w:t>Current or previous Juvenile Justice Orders</w:t>
            </w:r>
          </w:p>
        </w:tc>
        <w:tc>
          <w:tcPr>
            <w:tcW w:w="1233" w:type="dxa"/>
            <w:tcBorders>
              <w:top w:val="nil"/>
              <w:left w:val="nil"/>
              <w:bottom w:val="single" w:sz="4" w:space="0" w:color="auto"/>
              <w:right w:val="single" w:sz="4" w:space="0" w:color="auto"/>
            </w:tcBorders>
            <w:shd w:val="clear" w:color="auto" w:fill="auto"/>
            <w:noWrap/>
            <w:vAlign w:val="bottom"/>
            <w:hideMark/>
          </w:tcPr>
          <w:p w14:paraId="3C91A074" w14:textId="77777777" w:rsidR="003957AD" w:rsidRPr="0047025E" w:rsidRDefault="003957AD" w:rsidP="00DE0473">
            <w:pPr>
              <w:jc w:val="right"/>
              <w:rPr>
                <w:rFonts w:cs="Calibri"/>
                <w:color w:val="000000"/>
              </w:rPr>
            </w:pPr>
            <w:r w:rsidRPr="0047025E">
              <w:rPr>
                <w:rFonts w:cs="Calibri"/>
                <w:color w:val="000000"/>
              </w:rPr>
              <w:t>9%</w:t>
            </w:r>
          </w:p>
        </w:tc>
        <w:tc>
          <w:tcPr>
            <w:tcW w:w="1283" w:type="dxa"/>
            <w:tcBorders>
              <w:top w:val="nil"/>
              <w:left w:val="nil"/>
              <w:bottom w:val="single" w:sz="4" w:space="0" w:color="auto"/>
              <w:right w:val="single" w:sz="4" w:space="0" w:color="auto"/>
            </w:tcBorders>
            <w:shd w:val="clear" w:color="auto" w:fill="auto"/>
            <w:noWrap/>
            <w:vAlign w:val="bottom"/>
            <w:hideMark/>
          </w:tcPr>
          <w:p w14:paraId="39C545E0" w14:textId="77777777" w:rsidR="003957AD" w:rsidRPr="0047025E" w:rsidRDefault="003957AD" w:rsidP="00DE0473">
            <w:pPr>
              <w:jc w:val="right"/>
              <w:rPr>
                <w:rFonts w:cs="Calibri"/>
                <w:color w:val="000000"/>
              </w:rPr>
            </w:pPr>
            <w:r w:rsidRPr="0047025E">
              <w:rPr>
                <w:rFonts w:cs="Calibri"/>
                <w:color w:val="000000"/>
              </w:rPr>
              <w:t>10%</w:t>
            </w:r>
          </w:p>
        </w:tc>
      </w:tr>
      <w:tr w:rsidR="003957AD" w:rsidRPr="0047025E" w14:paraId="1A6156FA" w14:textId="77777777" w:rsidTr="00DE0473">
        <w:trPr>
          <w:trHeight w:val="391"/>
        </w:trPr>
        <w:tc>
          <w:tcPr>
            <w:tcW w:w="5903" w:type="dxa"/>
            <w:tcBorders>
              <w:top w:val="nil"/>
              <w:left w:val="single" w:sz="4" w:space="0" w:color="auto"/>
              <w:bottom w:val="single" w:sz="4" w:space="0" w:color="auto"/>
              <w:right w:val="single" w:sz="4" w:space="0" w:color="auto"/>
            </w:tcBorders>
            <w:shd w:val="clear" w:color="auto" w:fill="auto"/>
            <w:noWrap/>
            <w:vAlign w:val="bottom"/>
            <w:hideMark/>
          </w:tcPr>
          <w:p w14:paraId="5AD30E33" w14:textId="77777777" w:rsidR="003957AD" w:rsidRPr="0047025E" w:rsidRDefault="003957AD" w:rsidP="00DE0473">
            <w:pPr>
              <w:rPr>
                <w:rFonts w:cs="Calibri"/>
                <w:color w:val="000000"/>
              </w:rPr>
            </w:pPr>
            <w:r w:rsidRPr="0047025E">
              <w:rPr>
                <w:rFonts w:cs="Calibri"/>
                <w:color w:val="000000"/>
              </w:rPr>
              <w:t>Disability</w:t>
            </w:r>
          </w:p>
        </w:tc>
        <w:tc>
          <w:tcPr>
            <w:tcW w:w="1233" w:type="dxa"/>
            <w:tcBorders>
              <w:top w:val="nil"/>
              <w:left w:val="nil"/>
              <w:bottom w:val="single" w:sz="4" w:space="0" w:color="auto"/>
              <w:right w:val="single" w:sz="4" w:space="0" w:color="auto"/>
            </w:tcBorders>
            <w:shd w:val="clear" w:color="auto" w:fill="auto"/>
            <w:noWrap/>
            <w:vAlign w:val="bottom"/>
            <w:hideMark/>
          </w:tcPr>
          <w:p w14:paraId="6DD4B3AF" w14:textId="77777777" w:rsidR="003957AD" w:rsidRPr="0047025E" w:rsidRDefault="003957AD" w:rsidP="00DE0473">
            <w:pPr>
              <w:jc w:val="right"/>
              <w:rPr>
                <w:rFonts w:cs="Calibri"/>
                <w:color w:val="000000"/>
              </w:rPr>
            </w:pPr>
            <w:r w:rsidRPr="0047025E">
              <w:rPr>
                <w:rFonts w:cs="Calibri"/>
                <w:color w:val="000000"/>
              </w:rPr>
              <w:t>6%</w:t>
            </w:r>
          </w:p>
        </w:tc>
        <w:tc>
          <w:tcPr>
            <w:tcW w:w="1283" w:type="dxa"/>
            <w:tcBorders>
              <w:top w:val="nil"/>
              <w:left w:val="nil"/>
              <w:bottom w:val="single" w:sz="4" w:space="0" w:color="auto"/>
              <w:right w:val="single" w:sz="4" w:space="0" w:color="auto"/>
            </w:tcBorders>
            <w:shd w:val="clear" w:color="auto" w:fill="auto"/>
            <w:noWrap/>
            <w:vAlign w:val="bottom"/>
            <w:hideMark/>
          </w:tcPr>
          <w:p w14:paraId="13FE35C4" w14:textId="77777777" w:rsidR="003957AD" w:rsidRPr="0047025E" w:rsidRDefault="003957AD" w:rsidP="00DE0473">
            <w:pPr>
              <w:jc w:val="right"/>
              <w:rPr>
                <w:rFonts w:cs="Calibri"/>
                <w:color w:val="000000"/>
              </w:rPr>
            </w:pPr>
            <w:r w:rsidRPr="0047025E">
              <w:rPr>
                <w:rFonts w:cs="Calibri"/>
                <w:color w:val="000000"/>
              </w:rPr>
              <w:t>5%</w:t>
            </w:r>
          </w:p>
        </w:tc>
      </w:tr>
      <w:tr w:rsidR="003957AD" w:rsidRPr="0047025E" w14:paraId="12D9A5FE" w14:textId="77777777" w:rsidTr="00DE0473">
        <w:trPr>
          <w:trHeight w:val="391"/>
        </w:trPr>
        <w:tc>
          <w:tcPr>
            <w:tcW w:w="5903" w:type="dxa"/>
            <w:tcBorders>
              <w:top w:val="nil"/>
              <w:left w:val="single" w:sz="4" w:space="0" w:color="auto"/>
              <w:bottom w:val="single" w:sz="4" w:space="0" w:color="auto"/>
              <w:right w:val="single" w:sz="4" w:space="0" w:color="auto"/>
            </w:tcBorders>
            <w:shd w:val="clear" w:color="auto" w:fill="auto"/>
            <w:noWrap/>
            <w:vAlign w:val="bottom"/>
            <w:hideMark/>
          </w:tcPr>
          <w:p w14:paraId="23528632" w14:textId="77777777" w:rsidR="003957AD" w:rsidRPr="0047025E" w:rsidRDefault="003957AD" w:rsidP="00DE0473">
            <w:pPr>
              <w:rPr>
                <w:rFonts w:cs="Calibri"/>
                <w:color w:val="000000"/>
              </w:rPr>
            </w:pPr>
            <w:r w:rsidRPr="0047025E">
              <w:rPr>
                <w:rFonts w:cs="Calibri"/>
                <w:color w:val="000000"/>
              </w:rPr>
              <w:t>Disconnection from cultural heritage</w:t>
            </w:r>
          </w:p>
        </w:tc>
        <w:tc>
          <w:tcPr>
            <w:tcW w:w="1233" w:type="dxa"/>
            <w:tcBorders>
              <w:top w:val="nil"/>
              <w:left w:val="nil"/>
              <w:bottom w:val="single" w:sz="4" w:space="0" w:color="auto"/>
              <w:right w:val="single" w:sz="4" w:space="0" w:color="auto"/>
            </w:tcBorders>
            <w:shd w:val="clear" w:color="auto" w:fill="auto"/>
            <w:noWrap/>
            <w:vAlign w:val="bottom"/>
            <w:hideMark/>
          </w:tcPr>
          <w:p w14:paraId="2FF2E9AE" w14:textId="77777777" w:rsidR="003957AD" w:rsidRPr="0047025E" w:rsidRDefault="003957AD" w:rsidP="00DE0473">
            <w:pPr>
              <w:jc w:val="right"/>
              <w:rPr>
                <w:rFonts w:cs="Calibri"/>
                <w:color w:val="000000"/>
              </w:rPr>
            </w:pPr>
            <w:r w:rsidRPr="0047025E">
              <w:rPr>
                <w:rFonts w:cs="Calibri"/>
                <w:color w:val="000000"/>
              </w:rPr>
              <w:t>4%</w:t>
            </w:r>
          </w:p>
        </w:tc>
        <w:tc>
          <w:tcPr>
            <w:tcW w:w="1283" w:type="dxa"/>
            <w:tcBorders>
              <w:top w:val="nil"/>
              <w:left w:val="nil"/>
              <w:bottom w:val="single" w:sz="4" w:space="0" w:color="auto"/>
              <w:right w:val="single" w:sz="4" w:space="0" w:color="auto"/>
            </w:tcBorders>
            <w:shd w:val="clear" w:color="auto" w:fill="auto"/>
            <w:noWrap/>
            <w:vAlign w:val="bottom"/>
            <w:hideMark/>
          </w:tcPr>
          <w:p w14:paraId="14FB96EC" w14:textId="77777777" w:rsidR="003957AD" w:rsidRPr="0047025E" w:rsidRDefault="003957AD" w:rsidP="00DE0473">
            <w:pPr>
              <w:jc w:val="right"/>
              <w:rPr>
                <w:rFonts w:cs="Calibri"/>
                <w:color w:val="000000"/>
              </w:rPr>
            </w:pPr>
            <w:r w:rsidRPr="0047025E">
              <w:rPr>
                <w:rFonts w:cs="Calibri"/>
                <w:color w:val="000000"/>
              </w:rPr>
              <w:t>5%</w:t>
            </w:r>
          </w:p>
        </w:tc>
      </w:tr>
      <w:tr w:rsidR="003957AD" w:rsidRPr="0047025E" w14:paraId="7D50B3F4" w14:textId="77777777" w:rsidTr="00DE0473">
        <w:trPr>
          <w:trHeight w:val="391"/>
        </w:trPr>
        <w:tc>
          <w:tcPr>
            <w:tcW w:w="5903" w:type="dxa"/>
            <w:tcBorders>
              <w:top w:val="nil"/>
              <w:left w:val="single" w:sz="4" w:space="0" w:color="auto"/>
              <w:bottom w:val="single" w:sz="4" w:space="0" w:color="auto"/>
              <w:right w:val="single" w:sz="4" w:space="0" w:color="auto"/>
            </w:tcBorders>
            <w:shd w:val="clear" w:color="auto" w:fill="auto"/>
            <w:noWrap/>
            <w:vAlign w:val="bottom"/>
            <w:hideMark/>
          </w:tcPr>
          <w:p w14:paraId="42C1B4F9" w14:textId="77777777" w:rsidR="003957AD" w:rsidRPr="0047025E" w:rsidRDefault="003957AD" w:rsidP="00DE0473">
            <w:pPr>
              <w:rPr>
                <w:rFonts w:cs="Calibri"/>
                <w:color w:val="000000"/>
              </w:rPr>
            </w:pPr>
            <w:r w:rsidRPr="0047025E">
              <w:rPr>
                <w:rFonts w:cs="Calibri"/>
                <w:color w:val="000000"/>
              </w:rPr>
              <w:t>Financial distress</w:t>
            </w:r>
          </w:p>
        </w:tc>
        <w:tc>
          <w:tcPr>
            <w:tcW w:w="1233" w:type="dxa"/>
            <w:tcBorders>
              <w:top w:val="nil"/>
              <w:left w:val="nil"/>
              <w:bottom w:val="single" w:sz="4" w:space="0" w:color="auto"/>
              <w:right w:val="single" w:sz="4" w:space="0" w:color="auto"/>
            </w:tcBorders>
            <w:shd w:val="clear" w:color="auto" w:fill="auto"/>
            <w:noWrap/>
            <w:vAlign w:val="bottom"/>
            <w:hideMark/>
          </w:tcPr>
          <w:p w14:paraId="1C489B09" w14:textId="77777777" w:rsidR="003957AD" w:rsidRPr="0047025E" w:rsidRDefault="003957AD" w:rsidP="00DE0473">
            <w:pPr>
              <w:jc w:val="right"/>
              <w:rPr>
                <w:rFonts w:cs="Calibri"/>
                <w:color w:val="000000"/>
              </w:rPr>
            </w:pPr>
            <w:r w:rsidRPr="0047025E">
              <w:rPr>
                <w:rFonts w:cs="Calibri"/>
                <w:color w:val="000000"/>
              </w:rPr>
              <w:t>35%</w:t>
            </w:r>
          </w:p>
        </w:tc>
        <w:tc>
          <w:tcPr>
            <w:tcW w:w="1283" w:type="dxa"/>
            <w:tcBorders>
              <w:top w:val="nil"/>
              <w:left w:val="nil"/>
              <w:bottom w:val="single" w:sz="4" w:space="0" w:color="auto"/>
              <w:right w:val="single" w:sz="4" w:space="0" w:color="auto"/>
            </w:tcBorders>
            <w:shd w:val="clear" w:color="auto" w:fill="auto"/>
            <w:noWrap/>
            <w:vAlign w:val="bottom"/>
            <w:hideMark/>
          </w:tcPr>
          <w:p w14:paraId="2870754C" w14:textId="77777777" w:rsidR="003957AD" w:rsidRPr="0047025E" w:rsidRDefault="003957AD" w:rsidP="00DE0473">
            <w:pPr>
              <w:jc w:val="right"/>
              <w:rPr>
                <w:rFonts w:cs="Calibri"/>
                <w:color w:val="000000"/>
              </w:rPr>
            </w:pPr>
            <w:r w:rsidRPr="0047025E">
              <w:rPr>
                <w:rFonts w:cs="Calibri"/>
                <w:color w:val="000000"/>
              </w:rPr>
              <w:t>28%</w:t>
            </w:r>
          </w:p>
        </w:tc>
      </w:tr>
      <w:tr w:rsidR="003957AD" w:rsidRPr="0047025E" w14:paraId="1BCA47ED" w14:textId="77777777" w:rsidTr="00DE0473">
        <w:trPr>
          <w:trHeight w:val="391"/>
        </w:trPr>
        <w:tc>
          <w:tcPr>
            <w:tcW w:w="5903" w:type="dxa"/>
            <w:tcBorders>
              <w:top w:val="nil"/>
              <w:left w:val="single" w:sz="4" w:space="0" w:color="auto"/>
              <w:bottom w:val="single" w:sz="4" w:space="0" w:color="auto"/>
              <w:right w:val="single" w:sz="4" w:space="0" w:color="auto"/>
            </w:tcBorders>
            <w:shd w:val="clear" w:color="auto" w:fill="auto"/>
            <w:noWrap/>
            <w:vAlign w:val="bottom"/>
            <w:hideMark/>
          </w:tcPr>
          <w:p w14:paraId="1C14A58F" w14:textId="77777777" w:rsidR="003957AD" w:rsidRPr="0047025E" w:rsidRDefault="003957AD" w:rsidP="00DE0473">
            <w:pPr>
              <w:rPr>
                <w:rFonts w:cs="Calibri"/>
                <w:color w:val="000000"/>
              </w:rPr>
            </w:pPr>
            <w:r w:rsidRPr="0047025E">
              <w:rPr>
                <w:rFonts w:cs="Calibri"/>
                <w:color w:val="000000"/>
              </w:rPr>
              <w:t>Gifted</w:t>
            </w:r>
          </w:p>
        </w:tc>
        <w:tc>
          <w:tcPr>
            <w:tcW w:w="1233" w:type="dxa"/>
            <w:tcBorders>
              <w:top w:val="nil"/>
              <w:left w:val="nil"/>
              <w:bottom w:val="single" w:sz="4" w:space="0" w:color="auto"/>
              <w:right w:val="single" w:sz="4" w:space="0" w:color="auto"/>
            </w:tcBorders>
            <w:shd w:val="clear" w:color="auto" w:fill="auto"/>
            <w:noWrap/>
            <w:vAlign w:val="bottom"/>
            <w:hideMark/>
          </w:tcPr>
          <w:p w14:paraId="5F201379" w14:textId="77777777" w:rsidR="003957AD" w:rsidRPr="0047025E" w:rsidRDefault="003957AD" w:rsidP="00DE0473">
            <w:pPr>
              <w:jc w:val="right"/>
              <w:rPr>
                <w:rFonts w:cs="Calibri"/>
                <w:color w:val="000000"/>
              </w:rPr>
            </w:pPr>
            <w:r w:rsidRPr="0047025E">
              <w:rPr>
                <w:rFonts w:cs="Calibri"/>
                <w:color w:val="000000"/>
              </w:rPr>
              <w:t>1%</w:t>
            </w:r>
          </w:p>
        </w:tc>
        <w:tc>
          <w:tcPr>
            <w:tcW w:w="1283" w:type="dxa"/>
            <w:tcBorders>
              <w:top w:val="nil"/>
              <w:left w:val="nil"/>
              <w:bottom w:val="single" w:sz="4" w:space="0" w:color="auto"/>
              <w:right w:val="single" w:sz="4" w:space="0" w:color="auto"/>
            </w:tcBorders>
            <w:shd w:val="clear" w:color="auto" w:fill="auto"/>
            <w:noWrap/>
            <w:vAlign w:val="bottom"/>
            <w:hideMark/>
          </w:tcPr>
          <w:p w14:paraId="6C97EF75" w14:textId="77777777" w:rsidR="003957AD" w:rsidRPr="0047025E" w:rsidRDefault="003957AD" w:rsidP="00DE0473">
            <w:pPr>
              <w:jc w:val="right"/>
              <w:rPr>
                <w:rFonts w:cs="Calibri"/>
                <w:color w:val="000000"/>
              </w:rPr>
            </w:pPr>
            <w:r w:rsidRPr="0047025E">
              <w:rPr>
                <w:rFonts w:cs="Calibri"/>
                <w:color w:val="000000"/>
              </w:rPr>
              <w:t>1%</w:t>
            </w:r>
          </w:p>
        </w:tc>
      </w:tr>
      <w:tr w:rsidR="003957AD" w:rsidRPr="0047025E" w14:paraId="31FD3742" w14:textId="77777777" w:rsidTr="00DE0473">
        <w:trPr>
          <w:trHeight w:val="391"/>
        </w:trPr>
        <w:tc>
          <w:tcPr>
            <w:tcW w:w="5903" w:type="dxa"/>
            <w:tcBorders>
              <w:top w:val="nil"/>
              <w:left w:val="single" w:sz="4" w:space="0" w:color="auto"/>
              <w:bottom w:val="single" w:sz="4" w:space="0" w:color="auto"/>
              <w:right w:val="single" w:sz="4" w:space="0" w:color="auto"/>
            </w:tcBorders>
            <w:shd w:val="clear" w:color="auto" w:fill="auto"/>
            <w:noWrap/>
            <w:vAlign w:val="bottom"/>
            <w:hideMark/>
          </w:tcPr>
          <w:p w14:paraId="3A3622A5" w14:textId="77777777" w:rsidR="003957AD" w:rsidRPr="0047025E" w:rsidRDefault="003957AD" w:rsidP="00DE0473">
            <w:pPr>
              <w:rPr>
                <w:rFonts w:cs="Calibri"/>
                <w:color w:val="000000"/>
              </w:rPr>
            </w:pPr>
            <w:r w:rsidRPr="0047025E">
              <w:rPr>
                <w:rFonts w:cs="Calibri"/>
                <w:color w:val="000000"/>
              </w:rPr>
              <w:t>Homelessness</w:t>
            </w:r>
          </w:p>
        </w:tc>
        <w:tc>
          <w:tcPr>
            <w:tcW w:w="1233" w:type="dxa"/>
            <w:tcBorders>
              <w:top w:val="nil"/>
              <w:left w:val="nil"/>
              <w:bottom w:val="single" w:sz="4" w:space="0" w:color="auto"/>
              <w:right w:val="single" w:sz="4" w:space="0" w:color="auto"/>
            </w:tcBorders>
            <w:shd w:val="clear" w:color="auto" w:fill="auto"/>
            <w:noWrap/>
            <w:vAlign w:val="bottom"/>
            <w:hideMark/>
          </w:tcPr>
          <w:p w14:paraId="49DBDBB9" w14:textId="77777777" w:rsidR="003957AD" w:rsidRPr="0047025E" w:rsidRDefault="003957AD" w:rsidP="00DE0473">
            <w:pPr>
              <w:jc w:val="right"/>
              <w:rPr>
                <w:rFonts w:cs="Calibri"/>
                <w:color w:val="000000"/>
              </w:rPr>
            </w:pPr>
            <w:r w:rsidRPr="0047025E">
              <w:rPr>
                <w:rFonts w:cs="Calibri"/>
                <w:color w:val="000000"/>
              </w:rPr>
              <w:t>6%</w:t>
            </w:r>
          </w:p>
        </w:tc>
        <w:tc>
          <w:tcPr>
            <w:tcW w:w="1283" w:type="dxa"/>
            <w:tcBorders>
              <w:top w:val="nil"/>
              <w:left w:val="nil"/>
              <w:bottom w:val="single" w:sz="4" w:space="0" w:color="auto"/>
              <w:right w:val="single" w:sz="4" w:space="0" w:color="auto"/>
            </w:tcBorders>
            <w:shd w:val="clear" w:color="auto" w:fill="auto"/>
            <w:noWrap/>
            <w:vAlign w:val="bottom"/>
            <w:hideMark/>
          </w:tcPr>
          <w:p w14:paraId="12892280" w14:textId="77777777" w:rsidR="003957AD" w:rsidRPr="0047025E" w:rsidRDefault="003957AD" w:rsidP="00DE0473">
            <w:pPr>
              <w:jc w:val="right"/>
              <w:rPr>
                <w:rFonts w:cs="Calibri"/>
                <w:color w:val="000000"/>
              </w:rPr>
            </w:pPr>
            <w:r w:rsidRPr="0047025E">
              <w:rPr>
                <w:rFonts w:cs="Calibri"/>
                <w:color w:val="000000"/>
              </w:rPr>
              <w:t>5%</w:t>
            </w:r>
          </w:p>
        </w:tc>
      </w:tr>
      <w:tr w:rsidR="003957AD" w:rsidRPr="0047025E" w14:paraId="1DDEDB8E" w14:textId="77777777" w:rsidTr="00DE0473">
        <w:trPr>
          <w:trHeight w:val="391"/>
        </w:trPr>
        <w:tc>
          <w:tcPr>
            <w:tcW w:w="5903" w:type="dxa"/>
            <w:tcBorders>
              <w:top w:val="nil"/>
              <w:left w:val="single" w:sz="4" w:space="0" w:color="auto"/>
              <w:bottom w:val="single" w:sz="4" w:space="0" w:color="auto"/>
              <w:right w:val="single" w:sz="4" w:space="0" w:color="auto"/>
            </w:tcBorders>
            <w:shd w:val="clear" w:color="auto" w:fill="auto"/>
            <w:noWrap/>
            <w:vAlign w:val="bottom"/>
            <w:hideMark/>
          </w:tcPr>
          <w:p w14:paraId="5A3D9FA3" w14:textId="77777777" w:rsidR="003957AD" w:rsidRPr="0047025E" w:rsidRDefault="003957AD" w:rsidP="00DE0473">
            <w:pPr>
              <w:rPr>
                <w:rFonts w:cs="Calibri"/>
                <w:color w:val="000000"/>
              </w:rPr>
            </w:pPr>
            <w:r w:rsidRPr="0047025E">
              <w:rPr>
                <w:rFonts w:cs="Calibri"/>
                <w:color w:val="000000"/>
              </w:rPr>
              <w:t>In detention/previously in detention</w:t>
            </w:r>
          </w:p>
        </w:tc>
        <w:tc>
          <w:tcPr>
            <w:tcW w:w="1233" w:type="dxa"/>
            <w:tcBorders>
              <w:top w:val="nil"/>
              <w:left w:val="nil"/>
              <w:bottom w:val="single" w:sz="4" w:space="0" w:color="auto"/>
              <w:right w:val="single" w:sz="4" w:space="0" w:color="auto"/>
            </w:tcBorders>
            <w:shd w:val="clear" w:color="auto" w:fill="auto"/>
            <w:noWrap/>
            <w:vAlign w:val="bottom"/>
            <w:hideMark/>
          </w:tcPr>
          <w:p w14:paraId="0922270E" w14:textId="77777777" w:rsidR="003957AD" w:rsidRPr="0047025E" w:rsidRDefault="003957AD" w:rsidP="00DE0473">
            <w:pPr>
              <w:jc w:val="right"/>
              <w:rPr>
                <w:rFonts w:cs="Calibri"/>
                <w:color w:val="000000"/>
              </w:rPr>
            </w:pPr>
            <w:r w:rsidRPr="0047025E">
              <w:rPr>
                <w:rFonts w:cs="Calibri"/>
                <w:color w:val="000000"/>
              </w:rPr>
              <w:t>2%</w:t>
            </w:r>
          </w:p>
        </w:tc>
        <w:tc>
          <w:tcPr>
            <w:tcW w:w="1283" w:type="dxa"/>
            <w:tcBorders>
              <w:top w:val="nil"/>
              <w:left w:val="nil"/>
              <w:bottom w:val="single" w:sz="4" w:space="0" w:color="auto"/>
              <w:right w:val="single" w:sz="4" w:space="0" w:color="auto"/>
            </w:tcBorders>
            <w:shd w:val="clear" w:color="auto" w:fill="auto"/>
            <w:noWrap/>
            <w:vAlign w:val="bottom"/>
            <w:hideMark/>
          </w:tcPr>
          <w:p w14:paraId="7E40FAB5" w14:textId="77777777" w:rsidR="003957AD" w:rsidRPr="0047025E" w:rsidRDefault="003957AD" w:rsidP="00DE0473">
            <w:pPr>
              <w:jc w:val="right"/>
              <w:rPr>
                <w:rFonts w:cs="Calibri"/>
                <w:color w:val="000000"/>
              </w:rPr>
            </w:pPr>
            <w:r w:rsidRPr="0047025E">
              <w:rPr>
                <w:rFonts w:cs="Calibri"/>
                <w:color w:val="000000"/>
              </w:rPr>
              <w:t>3%</w:t>
            </w:r>
          </w:p>
        </w:tc>
      </w:tr>
      <w:tr w:rsidR="003957AD" w:rsidRPr="0047025E" w14:paraId="29F5DF64" w14:textId="77777777" w:rsidTr="00DE0473">
        <w:trPr>
          <w:trHeight w:val="391"/>
        </w:trPr>
        <w:tc>
          <w:tcPr>
            <w:tcW w:w="5903" w:type="dxa"/>
            <w:tcBorders>
              <w:top w:val="nil"/>
              <w:left w:val="single" w:sz="4" w:space="0" w:color="auto"/>
              <w:bottom w:val="single" w:sz="4" w:space="0" w:color="auto"/>
              <w:right w:val="single" w:sz="4" w:space="0" w:color="auto"/>
            </w:tcBorders>
            <w:shd w:val="clear" w:color="auto" w:fill="auto"/>
            <w:noWrap/>
            <w:vAlign w:val="bottom"/>
            <w:hideMark/>
          </w:tcPr>
          <w:p w14:paraId="09999C59" w14:textId="77777777" w:rsidR="003957AD" w:rsidRPr="0047025E" w:rsidRDefault="003957AD" w:rsidP="00DE0473">
            <w:pPr>
              <w:rPr>
                <w:rFonts w:cs="Calibri"/>
                <w:color w:val="000000"/>
              </w:rPr>
            </w:pPr>
            <w:r w:rsidRPr="0047025E">
              <w:rPr>
                <w:rFonts w:cs="Calibri"/>
                <w:color w:val="000000"/>
              </w:rPr>
              <w:t>Inadequate family support</w:t>
            </w:r>
          </w:p>
        </w:tc>
        <w:tc>
          <w:tcPr>
            <w:tcW w:w="1233" w:type="dxa"/>
            <w:tcBorders>
              <w:top w:val="nil"/>
              <w:left w:val="nil"/>
              <w:bottom w:val="single" w:sz="4" w:space="0" w:color="auto"/>
              <w:right w:val="single" w:sz="4" w:space="0" w:color="auto"/>
            </w:tcBorders>
            <w:shd w:val="clear" w:color="auto" w:fill="auto"/>
            <w:noWrap/>
            <w:vAlign w:val="bottom"/>
            <w:hideMark/>
          </w:tcPr>
          <w:p w14:paraId="650FB9ED" w14:textId="77777777" w:rsidR="003957AD" w:rsidRPr="0047025E" w:rsidRDefault="003957AD" w:rsidP="00DE0473">
            <w:pPr>
              <w:jc w:val="right"/>
              <w:rPr>
                <w:rFonts w:cs="Calibri"/>
                <w:color w:val="000000"/>
              </w:rPr>
            </w:pPr>
            <w:r w:rsidRPr="0047025E">
              <w:rPr>
                <w:rFonts w:cs="Calibri"/>
                <w:color w:val="000000"/>
              </w:rPr>
              <w:t>36%</w:t>
            </w:r>
          </w:p>
        </w:tc>
        <w:tc>
          <w:tcPr>
            <w:tcW w:w="1283" w:type="dxa"/>
            <w:tcBorders>
              <w:top w:val="nil"/>
              <w:left w:val="nil"/>
              <w:bottom w:val="single" w:sz="4" w:space="0" w:color="auto"/>
              <w:right w:val="single" w:sz="4" w:space="0" w:color="auto"/>
            </w:tcBorders>
            <w:shd w:val="clear" w:color="auto" w:fill="auto"/>
            <w:noWrap/>
            <w:vAlign w:val="bottom"/>
            <w:hideMark/>
          </w:tcPr>
          <w:p w14:paraId="275CB0C3" w14:textId="77777777" w:rsidR="003957AD" w:rsidRPr="0047025E" w:rsidRDefault="003957AD" w:rsidP="00DE0473">
            <w:pPr>
              <w:jc w:val="right"/>
              <w:rPr>
                <w:rFonts w:cs="Calibri"/>
                <w:color w:val="000000"/>
              </w:rPr>
            </w:pPr>
            <w:r w:rsidRPr="0047025E">
              <w:rPr>
                <w:rFonts w:cs="Calibri"/>
                <w:color w:val="000000"/>
              </w:rPr>
              <w:t>28%</w:t>
            </w:r>
          </w:p>
        </w:tc>
      </w:tr>
      <w:tr w:rsidR="003957AD" w:rsidRPr="0047025E" w14:paraId="281441F5" w14:textId="77777777" w:rsidTr="00DE0473">
        <w:trPr>
          <w:trHeight w:val="391"/>
        </w:trPr>
        <w:tc>
          <w:tcPr>
            <w:tcW w:w="5903" w:type="dxa"/>
            <w:tcBorders>
              <w:top w:val="nil"/>
              <w:left w:val="single" w:sz="4" w:space="0" w:color="auto"/>
              <w:bottom w:val="single" w:sz="4" w:space="0" w:color="auto"/>
              <w:right w:val="single" w:sz="4" w:space="0" w:color="auto"/>
            </w:tcBorders>
            <w:shd w:val="clear" w:color="auto" w:fill="auto"/>
            <w:noWrap/>
            <w:vAlign w:val="bottom"/>
            <w:hideMark/>
          </w:tcPr>
          <w:p w14:paraId="5887BBCB" w14:textId="77777777" w:rsidR="003957AD" w:rsidRPr="0047025E" w:rsidRDefault="003957AD" w:rsidP="00DE0473">
            <w:pPr>
              <w:rPr>
                <w:rFonts w:cs="Calibri"/>
                <w:color w:val="000000"/>
              </w:rPr>
            </w:pPr>
            <w:r w:rsidRPr="0047025E">
              <w:rPr>
                <w:rFonts w:cs="Calibri"/>
                <w:color w:val="000000"/>
              </w:rPr>
              <w:t>Learning Difficulty</w:t>
            </w:r>
          </w:p>
        </w:tc>
        <w:tc>
          <w:tcPr>
            <w:tcW w:w="1233" w:type="dxa"/>
            <w:tcBorders>
              <w:top w:val="nil"/>
              <w:left w:val="nil"/>
              <w:bottom w:val="single" w:sz="4" w:space="0" w:color="auto"/>
              <w:right w:val="single" w:sz="4" w:space="0" w:color="auto"/>
            </w:tcBorders>
            <w:shd w:val="clear" w:color="auto" w:fill="auto"/>
            <w:noWrap/>
            <w:vAlign w:val="bottom"/>
            <w:hideMark/>
          </w:tcPr>
          <w:p w14:paraId="6A3C4AFD" w14:textId="77777777" w:rsidR="003957AD" w:rsidRPr="0047025E" w:rsidRDefault="003957AD" w:rsidP="00DE0473">
            <w:pPr>
              <w:jc w:val="right"/>
              <w:rPr>
                <w:rFonts w:cs="Calibri"/>
                <w:color w:val="000000"/>
              </w:rPr>
            </w:pPr>
            <w:r w:rsidRPr="0047025E">
              <w:rPr>
                <w:rFonts w:cs="Calibri"/>
                <w:color w:val="000000"/>
              </w:rPr>
              <w:t>11%</w:t>
            </w:r>
          </w:p>
        </w:tc>
        <w:tc>
          <w:tcPr>
            <w:tcW w:w="1283" w:type="dxa"/>
            <w:tcBorders>
              <w:top w:val="nil"/>
              <w:left w:val="nil"/>
              <w:bottom w:val="single" w:sz="4" w:space="0" w:color="auto"/>
              <w:right w:val="single" w:sz="4" w:space="0" w:color="auto"/>
            </w:tcBorders>
            <w:shd w:val="clear" w:color="auto" w:fill="auto"/>
            <w:noWrap/>
            <w:vAlign w:val="bottom"/>
            <w:hideMark/>
          </w:tcPr>
          <w:p w14:paraId="2615A97F" w14:textId="77777777" w:rsidR="003957AD" w:rsidRPr="0047025E" w:rsidRDefault="003957AD" w:rsidP="00DE0473">
            <w:pPr>
              <w:jc w:val="right"/>
              <w:rPr>
                <w:rFonts w:cs="Calibri"/>
                <w:color w:val="000000"/>
              </w:rPr>
            </w:pPr>
            <w:r w:rsidRPr="0047025E">
              <w:rPr>
                <w:rFonts w:cs="Calibri"/>
                <w:color w:val="000000"/>
              </w:rPr>
              <w:t>9%</w:t>
            </w:r>
          </w:p>
        </w:tc>
      </w:tr>
      <w:tr w:rsidR="003957AD" w:rsidRPr="0047025E" w14:paraId="11987914" w14:textId="77777777" w:rsidTr="00DE0473">
        <w:trPr>
          <w:trHeight w:val="391"/>
        </w:trPr>
        <w:tc>
          <w:tcPr>
            <w:tcW w:w="5903" w:type="dxa"/>
            <w:tcBorders>
              <w:top w:val="nil"/>
              <w:left w:val="single" w:sz="4" w:space="0" w:color="auto"/>
              <w:bottom w:val="single" w:sz="4" w:space="0" w:color="auto"/>
              <w:right w:val="single" w:sz="4" w:space="0" w:color="auto"/>
            </w:tcBorders>
            <w:shd w:val="clear" w:color="auto" w:fill="auto"/>
            <w:noWrap/>
            <w:vAlign w:val="bottom"/>
            <w:hideMark/>
          </w:tcPr>
          <w:p w14:paraId="2C331F29" w14:textId="77777777" w:rsidR="003957AD" w:rsidRPr="0047025E" w:rsidRDefault="003957AD" w:rsidP="00DE0473">
            <w:pPr>
              <w:rPr>
                <w:rFonts w:cs="Calibri"/>
                <w:color w:val="000000"/>
              </w:rPr>
            </w:pPr>
            <w:r w:rsidRPr="0047025E">
              <w:rPr>
                <w:rFonts w:cs="Calibri"/>
                <w:color w:val="000000"/>
              </w:rPr>
              <w:t>Low literacy and/or numeracy</w:t>
            </w:r>
          </w:p>
        </w:tc>
        <w:tc>
          <w:tcPr>
            <w:tcW w:w="1233" w:type="dxa"/>
            <w:tcBorders>
              <w:top w:val="nil"/>
              <w:left w:val="nil"/>
              <w:bottom w:val="single" w:sz="4" w:space="0" w:color="auto"/>
              <w:right w:val="single" w:sz="4" w:space="0" w:color="auto"/>
            </w:tcBorders>
            <w:shd w:val="clear" w:color="auto" w:fill="auto"/>
            <w:noWrap/>
            <w:vAlign w:val="bottom"/>
            <w:hideMark/>
          </w:tcPr>
          <w:p w14:paraId="403F227D" w14:textId="77777777" w:rsidR="003957AD" w:rsidRPr="0047025E" w:rsidRDefault="003957AD" w:rsidP="00DE0473">
            <w:pPr>
              <w:jc w:val="right"/>
              <w:rPr>
                <w:rFonts w:cs="Calibri"/>
                <w:color w:val="000000"/>
              </w:rPr>
            </w:pPr>
            <w:r w:rsidRPr="0047025E">
              <w:rPr>
                <w:rFonts w:cs="Calibri"/>
                <w:color w:val="000000"/>
              </w:rPr>
              <w:t>51%</w:t>
            </w:r>
          </w:p>
        </w:tc>
        <w:tc>
          <w:tcPr>
            <w:tcW w:w="1283" w:type="dxa"/>
            <w:tcBorders>
              <w:top w:val="nil"/>
              <w:left w:val="nil"/>
              <w:bottom w:val="single" w:sz="4" w:space="0" w:color="auto"/>
              <w:right w:val="single" w:sz="4" w:space="0" w:color="auto"/>
            </w:tcBorders>
            <w:shd w:val="clear" w:color="auto" w:fill="auto"/>
            <w:noWrap/>
            <w:vAlign w:val="bottom"/>
            <w:hideMark/>
          </w:tcPr>
          <w:p w14:paraId="511AF0E6" w14:textId="77777777" w:rsidR="003957AD" w:rsidRPr="0047025E" w:rsidRDefault="003957AD" w:rsidP="00DE0473">
            <w:pPr>
              <w:jc w:val="right"/>
              <w:rPr>
                <w:rFonts w:cs="Calibri"/>
                <w:color w:val="000000"/>
              </w:rPr>
            </w:pPr>
            <w:r w:rsidRPr="0047025E">
              <w:rPr>
                <w:rFonts w:cs="Calibri"/>
                <w:color w:val="000000"/>
              </w:rPr>
              <w:t>49%</w:t>
            </w:r>
          </w:p>
        </w:tc>
      </w:tr>
      <w:tr w:rsidR="003957AD" w:rsidRPr="0047025E" w14:paraId="51483345" w14:textId="77777777" w:rsidTr="00DE0473">
        <w:trPr>
          <w:trHeight w:val="391"/>
        </w:trPr>
        <w:tc>
          <w:tcPr>
            <w:tcW w:w="5903" w:type="dxa"/>
            <w:tcBorders>
              <w:top w:val="nil"/>
              <w:left w:val="single" w:sz="4" w:space="0" w:color="auto"/>
              <w:bottom w:val="single" w:sz="4" w:space="0" w:color="auto"/>
              <w:right w:val="single" w:sz="4" w:space="0" w:color="auto"/>
            </w:tcBorders>
            <w:shd w:val="clear" w:color="auto" w:fill="auto"/>
            <w:noWrap/>
            <w:vAlign w:val="bottom"/>
            <w:hideMark/>
          </w:tcPr>
          <w:p w14:paraId="2169BFB8" w14:textId="77777777" w:rsidR="003957AD" w:rsidRPr="0047025E" w:rsidRDefault="003957AD" w:rsidP="00DE0473">
            <w:pPr>
              <w:rPr>
                <w:rFonts w:cs="Calibri"/>
                <w:color w:val="000000"/>
              </w:rPr>
            </w:pPr>
            <w:r w:rsidRPr="0047025E">
              <w:rPr>
                <w:rFonts w:cs="Calibri"/>
                <w:color w:val="000000"/>
              </w:rPr>
              <w:t>Low Self Esteem</w:t>
            </w:r>
          </w:p>
        </w:tc>
        <w:tc>
          <w:tcPr>
            <w:tcW w:w="1233" w:type="dxa"/>
            <w:tcBorders>
              <w:top w:val="nil"/>
              <w:left w:val="nil"/>
              <w:bottom w:val="single" w:sz="4" w:space="0" w:color="auto"/>
              <w:right w:val="single" w:sz="4" w:space="0" w:color="auto"/>
            </w:tcBorders>
            <w:shd w:val="clear" w:color="auto" w:fill="auto"/>
            <w:noWrap/>
            <w:vAlign w:val="bottom"/>
            <w:hideMark/>
          </w:tcPr>
          <w:p w14:paraId="70ECCC4F" w14:textId="77777777" w:rsidR="003957AD" w:rsidRPr="0047025E" w:rsidRDefault="003957AD" w:rsidP="00DE0473">
            <w:pPr>
              <w:jc w:val="right"/>
              <w:rPr>
                <w:rFonts w:cs="Calibri"/>
                <w:color w:val="000000"/>
              </w:rPr>
            </w:pPr>
            <w:r w:rsidRPr="0047025E">
              <w:rPr>
                <w:rFonts w:cs="Calibri"/>
                <w:color w:val="000000"/>
              </w:rPr>
              <w:t>57%</w:t>
            </w:r>
          </w:p>
        </w:tc>
        <w:tc>
          <w:tcPr>
            <w:tcW w:w="1283" w:type="dxa"/>
            <w:tcBorders>
              <w:top w:val="nil"/>
              <w:left w:val="nil"/>
              <w:bottom w:val="single" w:sz="4" w:space="0" w:color="auto"/>
              <w:right w:val="single" w:sz="4" w:space="0" w:color="auto"/>
            </w:tcBorders>
            <w:shd w:val="clear" w:color="auto" w:fill="auto"/>
            <w:noWrap/>
            <w:vAlign w:val="bottom"/>
            <w:hideMark/>
          </w:tcPr>
          <w:p w14:paraId="4766E411" w14:textId="77777777" w:rsidR="003957AD" w:rsidRPr="0047025E" w:rsidRDefault="003957AD" w:rsidP="00DE0473">
            <w:pPr>
              <w:jc w:val="right"/>
              <w:rPr>
                <w:rFonts w:cs="Calibri"/>
                <w:color w:val="000000"/>
              </w:rPr>
            </w:pPr>
            <w:r w:rsidRPr="0047025E">
              <w:rPr>
                <w:rFonts w:cs="Calibri"/>
                <w:color w:val="000000"/>
              </w:rPr>
              <w:t>56%</w:t>
            </w:r>
          </w:p>
        </w:tc>
      </w:tr>
      <w:tr w:rsidR="003957AD" w:rsidRPr="0047025E" w14:paraId="599790C1" w14:textId="77777777" w:rsidTr="00DE0473">
        <w:trPr>
          <w:trHeight w:val="391"/>
        </w:trPr>
        <w:tc>
          <w:tcPr>
            <w:tcW w:w="5903" w:type="dxa"/>
            <w:tcBorders>
              <w:top w:val="nil"/>
              <w:left w:val="single" w:sz="4" w:space="0" w:color="auto"/>
              <w:bottom w:val="single" w:sz="4" w:space="0" w:color="auto"/>
              <w:right w:val="single" w:sz="4" w:space="0" w:color="auto"/>
            </w:tcBorders>
            <w:shd w:val="clear" w:color="auto" w:fill="auto"/>
            <w:noWrap/>
            <w:vAlign w:val="bottom"/>
            <w:hideMark/>
          </w:tcPr>
          <w:p w14:paraId="59E3C8C3" w14:textId="77777777" w:rsidR="003957AD" w:rsidRPr="0047025E" w:rsidRDefault="003957AD" w:rsidP="00DE0473">
            <w:pPr>
              <w:rPr>
                <w:rFonts w:cs="Calibri"/>
                <w:color w:val="000000"/>
              </w:rPr>
            </w:pPr>
            <w:r w:rsidRPr="0047025E">
              <w:rPr>
                <w:rFonts w:cs="Calibri"/>
                <w:color w:val="000000"/>
              </w:rPr>
              <w:t>Medical or other health issue</w:t>
            </w:r>
          </w:p>
        </w:tc>
        <w:tc>
          <w:tcPr>
            <w:tcW w:w="1233" w:type="dxa"/>
            <w:tcBorders>
              <w:top w:val="nil"/>
              <w:left w:val="nil"/>
              <w:bottom w:val="single" w:sz="4" w:space="0" w:color="auto"/>
              <w:right w:val="single" w:sz="4" w:space="0" w:color="auto"/>
            </w:tcBorders>
            <w:shd w:val="clear" w:color="auto" w:fill="auto"/>
            <w:noWrap/>
            <w:vAlign w:val="bottom"/>
            <w:hideMark/>
          </w:tcPr>
          <w:p w14:paraId="1299D3DC" w14:textId="77777777" w:rsidR="003957AD" w:rsidRPr="0047025E" w:rsidRDefault="003957AD" w:rsidP="00DE0473">
            <w:pPr>
              <w:jc w:val="right"/>
              <w:rPr>
                <w:rFonts w:cs="Calibri"/>
                <w:color w:val="000000"/>
              </w:rPr>
            </w:pPr>
            <w:r w:rsidRPr="0047025E">
              <w:rPr>
                <w:rFonts w:cs="Calibri"/>
                <w:color w:val="000000"/>
              </w:rPr>
              <w:t>12%</w:t>
            </w:r>
          </w:p>
        </w:tc>
        <w:tc>
          <w:tcPr>
            <w:tcW w:w="1283" w:type="dxa"/>
            <w:tcBorders>
              <w:top w:val="nil"/>
              <w:left w:val="nil"/>
              <w:bottom w:val="single" w:sz="4" w:space="0" w:color="auto"/>
              <w:right w:val="single" w:sz="4" w:space="0" w:color="auto"/>
            </w:tcBorders>
            <w:shd w:val="clear" w:color="auto" w:fill="auto"/>
            <w:noWrap/>
            <w:vAlign w:val="bottom"/>
            <w:hideMark/>
          </w:tcPr>
          <w:p w14:paraId="32614B6E" w14:textId="77777777" w:rsidR="003957AD" w:rsidRPr="0047025E" w:rsidRDefault="003957AD" w:rsidP="00DE0473">
            <w:pPr>
              <w:jc w:val="right"/>
              <w:rPr>
                <w:rFonts w:cs="Calibri"/>
                <w:color w:val="000000"/>
              </w:rPr>
            </w:pPr>
            <w:r w:rsidRPr="0047025E">
              <w:rPr>
                <w:rFonts w:cs="Calibri"/>
                <w:color w:val="000000"/>
              </w:rPr>
              <w:t>10%</w:t>
            </w:r>
          </w:p>
        </w:tc>
      </w:tr>
      <w:tr w:rsidR="003957AD" w:rsidRPr="0047025E" w14:paraId="1425D723" w14:textId="77777777" w:rsidTr="00DE0473">
        <w:trPr>
          <w:trHeight w:val="391"/>
        </w:trPr>
        <w:tc>
          <w:tcPr>
            <w:tcW w:w="5903" w:type="dxa"/>
            <w:tcBorders>
              <w:top w:val="nil"/>
              <w:left w:val="single" w:sz="4" w:space="0" w:color="auto"/>
              <w:bottom w:val="single" w:sz="4" w:space="0" w:color="auto"/>
              <w:right w:val="single" w:sz="4" w:space="0" w:color="auto"/>
            </w:tcBorders>
            <w:shd w:val="clear" w:color="auto" w:fill="auto"/>
            <w:noWrap/>
            <w:vAlign w:val="bottom"/>
            <w:hideMark/>
          </w:tcPr>
          <w:p w14:paraId="26991521" w14:textId="77777777" w:rsidR="003957AD" w:rsidRPr="0047025E" w:rsidRDefault="003957AD" w:rsidP="00DE0473">
            <w:pPr>
              <w:rPr>
                <w:rFonts w:cs="Calibri"/>
                <w:color w:val="000000"/>
              </w:rPr>
            </w:pPr>
            <w:r w:rsidRPr="0047025E">
              <w:rPr>
                <w:rFonts w:cs="Calibri"/>
                <w:color w:val="000000"/>
              </w:rPr>
              <w:t>Negative experience(s) with education and training</w:t>
            </w:r>
          </w:p>
        </w:tc>
        <w:tc>
          <w:tcPr>
            <w:tcW w:w="1233" w:type="dxa"/>
            <w:tcBorders>
              <w:top w:val="nil"/>
              <w:left w:val="nil"/>
              <w:bottom w:val="single" w:sz="4" w:space="0" w:color="auto"/>
              <w:right w:val="single" w:sz="4" w:space="0" w:color="auto"/>
            </w:tcBorders>
            <w:shd w:val="clear" w:color="auto" w:fill="auto"/>
            <w:noWrap/>
            <w:vAlign w:val="bottom"/>
            <w:hideMark/>
          </w:tcPr>
          <w:p w14:paraId="59CC64BC" w14:textId="77777777" w:rsidR="003957AD" w:rsidRPr="0047025E" w:rsidRDefault="003957AD" w:rsidP="00DE0473">
            <w:pPr>
              <w:jc w:val="right"/>
              <w:rPr>
                <w:rFonts w:cs="Calibri"/>
                <w:color w:val="000000"/>
              </w:rPr>
            </w:pPr>
            <w:r w:rsidRPr="0047025E">
              <w:rPr>
                <w:rFonts w:cs="Calibri"/>
                <w:color w:val="000000"/>
              </w:rPr>
              <w:t>17%</w:t>
            </w:r>
          </w:p>
        </w:tc>
        <w:tc>
          <w:tcPr>
            <w:tcW w:w="1283" w:type="dxa"/>
            <w:tcBorders>
              <w:top w:val="nil"/>
              <w:left w:val="nil"/>
              <w:bottom w:val="single" w:sz="4" w:space="0" w:color="auto"/>
              <w:right w:val="single" w:sz="4" w:space="0" w:color="auto"/>
            </w:tcBorders>
            <w:shd w:val="clear" w:color="auto" w:fill="auto"/>
            <w:noWrap/>
            <w:vAlign w:val="bottom"/>
            <w:hideMark/>
          </w:tcPr>
          <w:p w14:paraId="114160A8" w14:textId="77777777" w:rsidR="003957AD" w:rsidRPr="0047025E" w:rsidRDefault="003957AD" w:rsidP="00DE0473">
            <w:pPr>
              <w:jc w:val="right"/>
              <w:rPr>
                <w:rFonts w:cs="Calibri"/>
                <w:color w:val="000000"/>
              </w:rPr>
            </w:pPr>
            <w:r w:rsidRPr="0047025E">
              <w:rPr>
                <w:rFonts w:cs="Calibri"/>
                <w:color w:val="000000"/>
              </w:rPr>
              <w:t>14%</w:t>
            </w:r>
          </w:p>
        </w:tc>
      </w:tr>
      <w:tr w:rsidR="003957AD" w:rsidRPr="0047025E" w14:paraId="1698D845" w14:textId="77777777" w:rsidTr="00DE0473">
        <w:trPr>
          <w:trHeight w:val="391"/>
        </w:trPr>
        <w:tc>
          <w:tcPr>
            <w:tcW w:w="5903" w:type="dxa"/>
            <w:tcBorders>
              <w:top w:val="nil"/>
              <w:left w:val="single" w:sz="4" w:space="0" w:color="auto"/>
              <w:bottom w:val="single" w:sz="4" w:space="0" w:color="auto"/>
              <w:right w:val="single" w:sz="4" w:space="0" w:color="auto"/>
            </w:tcBorders>
            <w:shd w:val="clear" w:color="auto" w:fill="auto"/>
            <w:noWrap/>
            <w:vAlign w:val="bottom"/>
            <w:hideMark/>
          </w:tcPr>
          <w:p w14:paraId="0ABB25D8" w14:textId="77777777" w:rsidR="003957AD" w:rsidRPr="0047025E" w:rsidRDefault="003957AD" w:rsidP="00DE0473">
            <w:pPr>
              <w:rPr>
                <w:rFonts w:cs="Calibri"/>
                <w:color w:val="000000"/>
              </w:rPr>
            </w:pPr>
            <w:r w:rsidRPr="0047025E">
              <w:rPr>
                <w:rFonts w:cs="Calibri"/>
                <w:color w:val="000000"/>
              </w:rPr>
              <w:t>Out of home care</w:t>
            </w:r>
          </w:p>
        </w:tc>
        <w:tc>
          <w:tcPr>
            <w:tcW w:w="1233" w:type="dxa"/>
            <w:tcBorders>
              <w:top w:val="nil"/>
              <w:left w:val="nil"/>
              <w:bottom w:val="single" w:sz="4" w:space="0" w:color="auto"/>
              <w:right w:val="single" w:sz="4" w:space="0" w:color="auto"/>
            </w:tcBorders>
            <w:shd w:val="clear" w:color="auto" w:fill="auto"/>
            <w:noWrap/>
            <w:vAlign w:val="bottom"/>
            <w:hideMark/>
          </w:tcPr>
          <w:p w14:paraId="48A797ED" w14:textId="77777777" w:rsidR="003957AD" w:rsidRPr="0047025E" w:rsidRDefault="003957AD" w:rsidP="00DE0473">
            <w:pPr>
              <w:jc w:val="right"/>
              <w:rPr>
                <w:rFonts w:cs="Calibri"/>
                <w:color w:val="000000"/>
              </w:rPr>
            </w:pPr>
            <w:r w:rsidRPr="0047025E">
              <w:rPr>
                <w:rFonts w:cs="Calibri"/>
                <w:color w:val="000000"/>
              </w:rPr>
              <w:t>4%</w:t>
            </w:r>
          </w:p>
        </w:tc>
        <w:tc>
          <w:tcPr>
            <w:tcW w:w="1283" w:type="dxa"/>
            <w:tcBorders>
              <w:top w:val="nil"/>
              <w:left w:val="nil"/>
              <w:bottom w:val="single" w:sz="4" w:space="0" w:color="auto"/>
              <w:right w:val="single" w:sz="4" w:space="0" w:color="auto"/>
            </w:tcBorders>
            <w:shd w:val="clear" w:color="auto" w:fill="auto"/>
            <w:noWrap/>
            <w:vAlign w:val="bottom"/>
            <w:hideMark/>
          </w:tcPr>
          <w:p w14:paraId="607C2B5F" w14:textId="77777777" w:rsidR="003957AD" w:rsidRPr="0047025E" w:rsidRDefault="003957AD" w:rsidP="00DE0473">
            <w:pPr>
              <w:jc w:val="right"/>
              <w:rPr>
                <w:rFonts w:cs="Calibri"/>
                <w:color w:val="000000"/>
              </w:rPr>
            </w:pPr>
            <w:r w:rsidRPr="0047025E">
              <w:rPr>
                <w:rFonts w:cs="Calibri"/>
                <w:color w:val="000000"/>
              </w:rPr>
              <w:t>4%</w:t>
            </w:r>
          </w:p>
        </w:tc>
      </w:tr>
      <w:tr w:rsidR="003957AD" w:rsidRPr="0047025E" w14:paraId="5CFFA8A0" w14:textId="77777777" w:rsidTr="00DE0473">
        <w:trPr>
          <w:trHeight w:val="391"/>
        </w:trPr>
        <w:tc>
          <w:tcPr>
            <w:tcW w:w="5903" w:type="dxa"/>
            <w:tcBorders>
              <w:top w:val="nil"/>
              <w:left w:val="single" w:sz="4" w:space="0" w:color="auto"/>
              <w:bottom w:val="single" w:sz="4" w:space="0" w:color="auto"/>
              <w:right w:val="single" w:sz="4" w:space="0" w:color="auto"/>
            </w:tcBorders>
            <w:shd w:val="clear" w:color="auto" w:fill="auto"/>
            <w:noWrap/>
            <w:vAlign w:val="bottom"/>
            <w:hideMark/>
          </w:tcPr>
          <w:p w14:paraId="00AD931B" w14:textId="77777777" w:rsidR="003957AD" w:rsidRPr="0047025E" w:rsidRDefault="003957AD" w:rsidP="00DE0473">
            <w:pPr>
              <w:rPr>
                <w:rFonts w:cs="Calibri"/>
                <w:color w:val="000000"/>
              </w:rPr>
            </w:pPr>
            <w:r w:rsidRPr="0047025E">
              <w:rPr>
                <w:rFonts w:cs="Calibri"/>
                <w:color w:val="000000"/>
              </w:rPr>
              <w:t>Parent/Pregnancy</w:t>
            </w:r>
          </w:p>
        </w:tc>
        <w:tc>
          <w:tcPr>
            <w:tcW w:w="1233" w:type="dxa"/>
            <w:tcBorders>
              <w:top w:val="nil"/>
              <w:left w:val="nil"/>
              <w:bottom w:val="single" w:sz="4" w:space="0" w:color="auto"/>
              <w:right w:val="single" w:sz="4" w:space="0" w:color="auto"/>
            </w:tcBorders>
            <w:shd w:val="clear" w:color="auto" w:fill="auto"/>
            <w:noWrap/>
            <w:vAlign w:val="bottom"/>
            <w:hideMark/>
          </w:tcPr>
          <w:p w14:paraId="1DF12397" w14:textId="77777777" w:rsidR="003957AD" w:rsidRPr="0047025E" w:rsidRDefault="003957AD" w:rsidP="00DE0473">
            <w:pPr>
              <w:jc w:val="right"/>
              <w:rPr>
                <w:rFonts w:cs="Calibri"/>
                <w:color w:val="000000"/>
              </w:rPr>
            </w:pPr>
            <w:r w:rsidRPr="0047025E">
              <w:rPr>
                <w:rFonts w:cs="Calibri"/>
                <w:color w:val="000000"/>
              </w:rPr>
              <w:t>4%</w:t>
            </w:r>
          </w:p>
        </w:tc>
        <w:tc>
          <w:tcPr>
            <w:tcW w:w="1283" w:type="dxa"/>
            <w:tcBorders>
              <w:top w:val="nil"/>
              <w:left w:val="nil"/>
              <w:bottom w:val="single" w:sz="4" w:space="0" w:color="auto"/>
              <w:right w:val="single" w:sz="4" w:space="0" w:color="auto"/>
            </w:tcBorders>
            <w:shd w:val="clear" w:color="auto" w:fill="auto"/>
            <w:noWrap/>
            <w:vAlign w:val="bottom"/>
            <w:hideMark/>
          </w:tcPr>
          <w:p w14:paraId="46EF14D9" w14:textId="77777777" w:rsidR="003957AD" w:rsidRPr="0047025E" w:rsidRDefault="003957AD" w:rsidP="00DE0473">
            <w:pPr>
              <w:jc w:val="right"/>
              <w:rPr>
                <w:rFonts w:cs="Calibri"/>
                <w:color w:val="000000"/>
              </w:rPr>
            </w:pPr>
            <w:r w:rsidRPr="0047025E">
              <w:rPr>
                <w:rFonts w:cs="Calibri"/>
                <w:color w:val="000000"/>
              </w:rPr>
              <w:t>4%</w:t>
            </w:r>
          </w:p>
        </w:tc>
      </w:tr>
      <w:tr w:rsidR="003957AD" w:rsidRPr="0047025E" w14:paraId="03945B0F" w14:textId="77777777" w:rsidTr="00DE0473">
        <w:trPr>
          <w:trHeight w:val="391"/>
        </w:trPr>
        <w:tc>
          <w:tcPr>
            <w:tcW w:w="5903" w:type="dxa"/>
            <w:tcBorders>
              <w:top w:val="nil"/>
              <w:left w:val="single" w:sz="4" w:space="0" w:color="auto"/>
              <w:bottom w:val="single" w:sz="4" w:space="0" w:color="auto"/>
              <w:right w:val="single" w:sz="4" w:space="0" w:color="auto"/>
            </w:tcBorders>
            <w:shd w:val="clear" w:color="auto" w:fill="auto"/>
            <w:noWrap/>
            <w:vAlign w:val="bottom"/>
            <w:hideMark/>
          </w:tcPr>
          <w:p w14:paraId="56F4F7E9" w14:textId="77777777" w:rsidR="003957AD" w:rsidRPr="0047025E" w:rsidRDefault="003957AD" w:rsidP="00DE0473">
            <w:pPr>
              <w:rPr>
                <w:rFonts w:cs="Calibri"/>
                <w:color w:val="000000"/>
              </w:rPr>
            </w:pPr>
            <w:r w:rsidRPr="0047025E">
              <w:rPr>
                <w:rFonts w:cs="Calibri"/>
                <w:color w:val="000000"/>
              </w:rPr>
              <w:t>Petrol sniffing</w:t>
            </w:r>
          </w:p>
        </w:tc>
        <w:tc>
          <w:tcPr>
            <w:tcW w:w="1233" w:type="dxa"/>
            <w:tcBorders>
              <w:top w:val="nil"/>
              <w:left w:val="nil"/>
              <w:bottom w:val="single" w:sz="4" w:space="0" w:color="auto"/>
              <w:right w:val="single" w:sz="4" w:space="0" w:color="auto"/>
            </w:tcBorders>
            <w:shd w:val="clear" w:color="auto" w:fill="auto"/>
            <w:noWrap/>
            <w:vAlign w:val="bottom"/>
            <w:hideMark/>
          </w:tcPr>
          <w:p w14:paraId="0ED7942B" w14:textId="77777777" w:rsidR="003957AD" w:rsidRPr="0047025E" w:rsidRDefault="003957AD" w:rsidP="00DE0473">
            <w:pPr>
              <w:jc w:val="right"/>
              <w:rPr>
                <w:rFonts w:cs="Calibri"/>
                <w:color w:val="000000"/>
              </w:rPr>
            </w:pPr>
            <w:r w:rsidRPr="0047025E">
              <w:rPr>
                <w:rFonts w:cs="Calibri"/>
                <w:color w:val="000000"/>
              </w:rPr>
              <w:t>0%</w:t>
            </w:r>
          </w:p>
        </w:tc>
        <w:tc>
          <w:tcPr>
            <w:tcW w:w="1283" w:type="dxa"/>
            <w:tcBorders>
              <w:top w:val="nil"/>
              <w:left w:val="nil"/>
              <w:bottom w:val="single" w:sz="4" w:space="0" w:color="auto"/>
              <w:right w:val="single" w:sz="4" w:space="0" w:color="auto"/>
            </w:tcBorders>
            <w:shd w:val="clear" w:color="auto" w:fill="auto"/>
            <w:noWrap/>
            <w:vAlign w:val="bottom"/>
            <w:hideMark/>
          </w:tcPr>
          <w:p w14:paraId="7F5BE605" w14:textId="77777777" w:rsidR="003957AD" w:rsidRPr="0047025E" w:rsidRDefault="003957AD" w:rsidP="00DE0473">
            <w:pPr>
              <w:jc w:val="right"/>
              <w:rPr>
                <w:rFonts w:cs="Calibri"/>
                <w:color w:val="000000"/>
              </w:rPr>
            </w:pPr>
            <w:r w:rsidRPr="0047025E">
              <w:rPr>
                <w:rFonts w:cs="Calibri"/>
                <w:color w:val="000000"/>
              </w:rPr>
              <w:t>0%</w:t>
            </w:r>
          </w:p>
        </w:tc>
      </w:tr>
      <w:tr w:rsidR="003957AD" w:rsidRPr="0047025E" w14:paraId="778AB62F" w14:textId="77777777" w:rsidTr="00DE0473">
        <w:trPr>
          <w:trHeight w:val="391"/>
        </w:trPr>
        <w:tc>
          <w:tcPr>
            <w:tcW w:w="5903" w:type="dxa"/>
            <w:tcBorders>
              <w:top w:val="nil"/>
              <w:left w:val="single" w:sz="4" w:space="0" w:color="auto"/>
              <w:bottom w:val="single" w:sz="4" w:space="0" w:color="auto"/>
              <w:right w:val="single" w:sz="4" w:space="0" w:color="auto"/>
            </w:tcBorders>
            <w:shd w:val="clear" w:color="auto" w:fill="auto"/>
            <w:noWrap/>
            <w:vAlign w:val="bottom"/>
            <w:hideMark/>
          </w:tcPr>
          <w:p w14:paraId="6D76110F" w14:textId="77777777" w:rsidR="003957AD" w:rsidRPr="0047025E" w:rsidRDefault="003957AD" w:rsidP="00DE0473">
            <w:pPr>
              <w:rPr>
                <w:rFonts w:cs="Calibri"/>
                <w:color w:val="000000"/>
              </w:rPr>
            </w:pPr>
            <w:r w:rsidRPr="0047025E">
              <w:rPr>
                <w:rFonts w:cs="Calibri"/>
                <w:color w:val="000000"/>
              </w:rPr>
              <w:t>Socialisation issues</w:t>
            </w:r>
          </w:p>
        </w:tc>
        <w:tc>
          <w:tcPr>
            <w:tcW w:w="1233" w:type="dxa"/>
            <w:tcBorders>
              <w:top w:val="nil"/>
              <w:left w:val="nil"/>
              <w:bottom w:val="single" w:sz="4" w:space="0" w:color="auto"/>
              <w:right w:val="single" w:sz="4" w:space="0" w:color="auto"/>
            </w:tcBorders>
            <w:shd w:val="clear" w:color="auto" w:fill="auto"/>
            <w:noWrap/>
            <w:vAlign w:val="bottom"/>
            <w:hideMark/>
          </w:tcPr>
          <w:p w14:paraId="657958A5" w14:textId="77777777" w:rsidR="003957AD" w:rsidRPr="0047025E" w:rsidRDefault="003957AD" w:rsidP="00DE0473">
            <w:pPr>
              <w:jc w:val="right"/>
              <w:rPr>
                <w:rFonts w:cs="Calibri"/>
                <w:color w:val="000000"/>
              </w:rPr>
            </w:pPr>
            <w:r w:rsidRPr="0047025E">
              <w:rPr>
                <w:rFonts w:cs="Calibri"/>
                <w:color w:val="000000"/>
              </w:rPr>
              <w:t>39%</w:t>
            </w:r>
          </w:p>
        </w:tc>
        <w:tc>
          <w:tcPr>
            <w:tcW w:w="1283" w:type="dxa"/>
            <w:tcBorders>
              <w:top w:val="nil"/>
              <w:left w:val="nil"/>
              <w:bottom w:val="single" w:sz="4" w:space="0" w:color="auto"/>
              <w:right w:val="single" w:sz="4" w:space="0" w:color="auto"/>
            </w:tcBorders>
            <w:shd w:val="clear" w:color="auto" w:fill="auto"/>
            <w:noWrap/>
            <w:vAlign w:val="bottom"/>
            <w:hideMark/>
          </w:tcPr>
          <w:p w14:paraId="7B4A96DE" w14:textId="77777777" w:rsidR="003957AD" w:rsidRPr="0047025E" w:rsidRDefault="003957AD" w:rsidP="00DE0473">
            <w:pPr>
              <w:jc w:val="right"/>
              <w:rPr>
                <w:rFonts w:cs="Calibri"/>
                <w:color w:val="000000"/>
              </w:rPr>
            </w:pPr>
            <w:r w:rsidRPr="0047025E">
              <w:rPr>
                <w:rFonts w:cs="Calibri"/>
                <w:color w:val="000000"/>
              </w:rPr>
              <w:t>42%</w:t>
            </w:r>
          </w:p>
        </w:tc>
      </w:tr>
      <w:tr w:rsidR="003957AD" w:rsidRPr="0047025E" w14:paraId="535B5534" w14:textId="77777777" w:rsidTr="00DE0473">
        <w:trPr>
          <w:trHeight w:val="391"/>
        </w:trPr>
        <w:tc>
          <w:tcPr>
            <w:tcW w:w="5903" w:type="dxa"/>
            <w:tcBorders>
              <w:top w:val="nil"/>
              <w:left w:val="single" w:sz="4" w:space="0" w:color="auto"/>
              <w:bottom w:val="single" w:sz="4" w:space="0" w:color="auto"/>
              <w:right w:val="single" w:sz="4" w:space="0" w:color="auto"/>
            </w:tcBorders>
            <w:shd w:val="clear" w:color="auto" w:fill="auto"/>
            <w:noWrap/>
            <w:vAlign w:val="bottom"/>
            <w:hideMark/>
          </w:tcPr>
          <w:p w14:paraId="1F7C2CBA" w14:textId="77777777" w:rsidR="003957AD" w:rsidRPr="0047025E" w:rsidRDefault="003957AD" w:rsidP="00DE0473">
            <w:pPr>
              <w:rPr>
                <w:rFonts w:cs="Calibri"/>
                <w:color w:val="000000"/>
              </w:rPr>
            </w:pPr>
            <w:r w:rsidRPr="0047025E">
              <w:rPr>
                <w:rFonts w:cs="Calibri"/>
                <w:color w:val="000000"/>
              </w:rPr>
              <w:t>Suspected or diagnosed mental health issue</w:t>
            </w:r>
          </w:p>
        </w:tc>
        <w:tc>
          <w:tcPr>
            <w:tcW w:w="1233" w:type="dxa"/>
            <w:tcBorders>
              <w:top w:val="nil"/>
              <w:left w:val="nil"/>
              <w:bottom w:val="single" w:sz="4" w:space="0" w:color="auto"/>
              <w:right w:val="single" w:sz="4" w:space="0" w:color="auto"/>
            </w:tcBorders>
            <w:shd w:val="clear" w:color="auto" w:fill="auto"/>
            <w:noWrap/>
            <w:vAlign w:val="bottom"/>
            <w:hideMark/>
          </w:tcPr>
          <w:p w14:paraId="79CC9496" w14:textId="77777777" w:rsidR="003957AD" w:rsidRPr="0047025E" w:rsidRDefault="003957AD" w:rsidP="00DE0473">
            <w:pPr>
              <w:jc w:val="right"/>
              <w:rPr>
                <w:rFonts w:cs="Calibri"/>
                <w:color w:val="000000"/>
              </w:rPr>
            </w:pPr>
            <w:r w:rsidRPr="0047025E">
              <w:rPr>
                <w:rFonts w:cs="Calibri"/>
                <w:color w:val="000000"/>
              </w:rPr>
              <w:t>36%</w:t>
            </w:r>
          </w:p>
        </w:tc>
        <w:tc>
          <w:tcPr>
            <w:tcW w:w="1283" w:type="dxa"/>
            <w:tcBorders>
              <w:top w:val="nil"/>
              <w:left w:val="nil"/>
              <w:bottom w:val="single" w:sz="4" w:space="0" w:color="auto"/>
              <w:right w:val="single" w:sz="4" w:space="0" w:color="auto"/>
            </w:tcBorders>
            <w:shd w:val="clear" w:color="auto" w:fill="auto"/>
            <w:noWrap/>
            <w:vAlign w:val="bottom"/>
            <w:hideMark/>
          </w:tcPr>
          <w:p w14:paraId="386D4776" w14:textId="77777777" w:rsidR="003957AD" w:rsidRPr="0047025E" w:rsidRDefault="003957AD" w:rsidP="00DE0473">
            <w:pPr>
              <w:jc w:val="right"/>
              <w:rPr>
                <w:rFonts w:cs="Calibri"/>
                <w:color w:val="000000"/>
              </w:rPr>
            </w:pPr>
            <w:r w:rsidRPr="0047025E">
              <w:rPr>
                <w:rFonts w:cs="Calibri"/>
                <w:color w:val="000000"/>
              </w:rPr>
              <w:t>27%</w:t>
            </w:r>
          </w:p>
        </w:tc>
      </w:tr>
      <w:tr w:rsidR="003957AD" w:rsidRPr="0047025E" w14:paraId="3A452BB8" w14:textId="77777777" w:rsidTr="00DE0473">
        <w:trPr>
          <w:trHeight w:val="391"/>
        </w:trPr>
        <w:tc>
          <w:tcPr>
            <w:tcW w:w="5903" w:type="dxa"/>
            <w:tcBorders>
              <w:top w:val="nil"/>
              <w:left w:val="single" w:sz="4" w:space="0" w:color="auto"/>
              <w:bottom w:val="single" w:sz="4" w:space="0" w:color="auto"/>
              <w:right w:val="single" w:sz="4" w:space="0" w:color="auto"/>
            </w:tcBorders>
            <w:shd w:val="clear" w:color="auto" w:fill="auto"/>
            <w:noWrap/>
            <w:vAlign w:val="bottom"/>
            <w:hideMark/>
          </w:tcPr>
          <w:p w14:paraId="71E095D6" w14:textId="77777777" w:rsidR="003957AD" w:rsidRPr="0047025E" w:rsidRDefault="003957AD" w:rsidP="00DE0473">
            <w:pPr>
              <w:rPr>
                <w:rFonts w:cs="Calibri"/>
                <w:color w:val="000000"/>
              </w:rPr>
            </w:pPr>
            <w:r w:rsidRPr="0047025E">
              <w:rPr>
                <w:rFonts w:cs="Calibri"/>
                <w:color w:val="000000"/>
              </w:rPr>
              <w:t>Unstable living arrangements</w:t>
            </w:r>
          </w:p>
        </w:tc>
        <w:tc>
          <w:tcPr>
            <w:tcW w:w="1233" w:type="dxa"/>
            <w:tcBorders>
              <w:top w:val="nil"/>
              <w:left w:val="nil"/>
              <w:bottom w:val="single" w:sz="4" w:space="0" w:color="auto"/>
              <w:right w:val="single" w:sz="4" w:space="0" w:color="auto"/>
            </w:tcBorders>
            <w:shd w:val="clear" w:color="auto" w:fill="auto"/>
            <w:noWrap/>
            <w:vAlign w:val="bottom"/>
            <w:hideMark/>
          </w:tcPr>
          <w:p w14:paraId="4FE12CCD" w14:textId="77777777" w:rsidR="003957AD" w:rsidRPr="0047025E" w:rsidRDefault="003957AD" w:rsidP="00DE0473">
            <w:pPr>
              <w:jc w:val="right"/>
              <w:rPr>
                <w:rFonts w:cs="Calibri"/>
                <w:color w:val="000000"/>
              </w:rPr>
            </w:pPr>
            <w:r w:rsidRPr="0047025E">
              <w:rPr>
                <w:rFonts w:cs="Calibri"/>
                <w:color w:val="000000"/>
              </w:rPr>
              <w:t>23%</w:t>
            </w:r>
          </w:p>
        </w:tc>
        <w:tc>
          <w:tcPr>
            <w:tcW w:w="1283" w:type="dxa"/>
            <w:tcBorders>
              <w:top w:val="nil"/>
              <w:left w:val="nil"/>
              <w:bottom w:val="single" w:sz="4" w:space="0" w:color="auto"/>
              <w:right w:val="single" w:sz="4" w:space="0" w:color="auto"/>
            </w:tcBorders>
            <w:shd w:val="clear" w:color="auto" w:fill="auto"/>
            <w:noWrap/>
            <w:vAlign w:val="bottom"/>
            <w:hideMark/>
          </w:tcPr>
          <w:p w14:paraId="0C808A45" w14:textId="77777777" w:rsidR="003957AD" w:rsidRPr="0047025E" w:rsidRDefault="003957AD" w:rsidP="00DE0473">
            <w:pPr>
              <w:jc w:val="right"/>
              <w:rPr>
                <w:rFonts w:cs="Calibri"/>
                <w:color w:val="000000"/>
              </w:rPr>
            </w:pPr>
            <w:r w:rsidRPr="0047025E">
              <w:rPr>
                <w:rFonts w:cs="Calibri"/>
                <w:color w:val="000000"/>
              </w:rPr>
              <w:t>18%</w:t>
            </w:r>
          </w:p>
        </w:tc>
      </w:tr>
      <w:tr w:rsidR="003957AD" w:rsidRPr="0047025E" w14:paraId="1DB0581F" w14:textId="77777777" w:rsidTr="00DE0473">
        <w:trPr>
          <w:trHeight w:val="391"/>
        </w:trPr>
        <w:tc>
          <w:tcPr>
            <w:tcW w:w="5903" w:type="dxa"/>
            <w:tcBorders>
              <w:top w:val="nil"/>
              <w:left w:val="single" w:sz="4" w:space="0" w:color="auto"/>
              <w:bottom w:val="single" w:sz="4" w:space="0" w:color="auto"/>
              <w:right w:val="single" w:sz="4" w:space="0" w:color="auto"/>
            </w:tcBorders>
            <w:shd w:val="clear" w:color="auto" w:fill="auto"/>
            <w:noWrap/>
            <w:vAlign w:val="bottom"/>
            <w:hideMark/>
          </w:tcPr>
          <w:p w14:paraId="0AAB0398" w14:textId="77777777" w:rsidR="003957AD" w:rsidRPr="0047025E" w:rsidRDefault="003957AD" w:rsidP="00DE0473">
            <w:pPr>
              <w:rPr>
                <w:rFonts w:cs="Calibri"/>
                <w:color w:val="000000"/>
              </w:rPr>
            </w:pPr>
            <w:r w:rsidRPr="0047025E">
              <w:rPr>
                <w:rFonts w:cs="Calibri"/>
                <w:color w:val="000000"/>
              </w:rPr>
              <w:t>Volatile substance misuse</w:t>
            </w:r>
          </w:p>
        </w:tc>
        <w:tc>
          <w:tcPr>
            <w:tcW w:w="1233" w:type="dxa"/>
            <w:tcBorders>
              <w:top w:val="nil"/>
              <w:left w:val="nil"/>
              <w:bottom w:val="single" w:sz="4" w:space="0" w:color="auto"/>
              <w:right w:val="single" w:sz="4" w:space="0" w:color="auto"/>
            </w:tcBorders>
            <w:shd w:val="clear" w:color="auto" w:fill="auto"/>
            <w:noWrap/>
            <w:vAlign w:val="bottom"/>
            <w:hideMark/>
          </w:tcPr>
          <w:p w14:paraId="5DB59836" w14:textId="77777777" w:rsidR="003957AD" w:rsidRPr="0047025E" w:rsidRDefault="003957AD" w:rsidP="00DE0473">
            <w:pPr>
              <w:jc w:val="right"/>
              <w:rPr>
                <w:rFonts w:cs="Calibri"/>
                <w:color w:val="000000"/>
              </w:rPr>
            </w:pPr>
            <w:r w:rsidRPr="0047025E">
              <w:rPr>
                <w:rFonts w:cs="Calibri"/>
                <w:color w:val="000000"/>
              </w:rPr>
              <w:t>0%</w:t>
            </w:r>
          </w:p>
        </w:tc>
        <w:tc>
          <w:tcPr>
            <w:tcW w:w="1283" w:type="dxa"/>
            <w:tcBorders>
              <w:top w:val="nil"/>
              <w:left w:val="nil"/>
              <w:bottom w:val="single" w:sz="4" w:space="0" w:color="auto"/>
              <w:right w:val="single" w:sz="4" w:space="0" w:color="auto"/>
            </w:tcBorders>
            <w:shd w:val="clear" w:color="auto" w:fill="auto"/>
            <w:noWrap/>
            <w:vAlign w:val="bottom"/>
            <w:hideMark/>
          </w:tcPr>
          <w:p w14:paraId="1A9D4016" w14:textId="77777777" w:rsidR="003957AD" w:rsidRPr="0047025E" w:rsidRDefault="003957AD" w:rsidP="00DE0473">
            <w:pPr>
              <w:jc w:val="right"/>
              <w:rPr>
                <w:rFonts w:cs="Calibri"/>
                <w:color w:val="000000"/>
              </w:rPr>
            </w:pPr>
            <w:r w:rsidRPr="0047025E">
              <w:rPr>
                <w:rFonts w:cs="Calibri"/>
                <w:color w:val="000000"/>
              </w:rPr>
              <w:t>0%</w:t>
            </w:r>
          </w:p>
        </w:tc>
      </w:tr>
      <w:tr w:rsidR="003957AD" w:rsidRPr="0047025E" w14:paraId="36763011" w14:textId="77777777" w:rsidTr="00DE0473">
        <w:trPr>
          <w:trHeight w:val="391"/>
        </w:trPr>
        <w:tc>
          <w:tcPr>
            <w:tcW w:w="5903" w:type="dxa"/>
            <w:tcBorders>
              <w:top w:val="nil"/>
              <w:left w:val="single" w:sz="4" w:space="0" w:color="auto"/>
              <w:bottom w:val="single" w:sz="4" w:space="0" w:color="auto"/>
              <w:right w:val="single" w:sz="4" w:space="0" w:color="auto"/>
            </w:tcBorders>
            <w:shd w:val="clear" w:color="auto" w:fill="auto"/>
            <w:noWrap/>
            <w:vAlign w:val="bottom"/>
            <w:hideMark/>
          </w:tcPr>
          <w:p w14:paraId="113165B8" w14:textId="77777777" w:rsidR="003957AD" w:rsidRPr="0047025E" w:rsidRDefault="003957AD" w:rsidP="00DE0473">
            <w:pPr>
              <w:rPr>
                <w:rFonts w:cs="Calibri"/>
                <w:color w:val="000000"/>
              </w:rPr>
            </w:pPr>
            <w:r w:rsidRPr="0047025E">
              <w:rPr>
                <w:rFonts w:cs="Calibri"/>
                <w:color w:val="000000"/>
              </w:rPr>
              <w:t>Young Carer responsibilities</w:t>
            </w:r>
          </w:p>
        </w:tc>
        <w:tc>
          <w:tcPr>
            <w:tcW w:w="1233" w:type="dxa"/>
            <w:tcBorders>
              <w:top w:val="nil"/>
              <w:left w:val="nil"/>
              <w:bottom w:val="single" w:sz="4" w:space="0" w:color="auto"/>
              <w:right w:val="single" w:sz="4" w:space="0" w:color="auto"/>
            </w:tcBorders>
            <w:shd w:val="clear" w:color="auto" w:fill="auto"/>
            <w:noWrap/>
            <w:vAlign w:val="bottom"/>
            <w:hideMark/>
          </w:tcPr>
          <w:p w14:paraId="2F18101F" w14:textId="77777777" w:rsidR="003957AD" w:rsidRPr="0047025E" w:rsidRDefault="003957AD" w:rsidP="00DE0473">
            <w:pPr>
              <w:jc w:val="right"/>
              <w:rPr>
                <w:rFonts w:cs="Calibri"/>
                <w:color w:val="000000"/>
              </w:rPr>
            </w:pPr>
            <w:r w:rsidRPr="0047025E">
              <w:rPr>
                <w:rFonts w:cs="Calibri"/>
                <w:color w:val="000000"/>
              </w:rPr>
              <w:t>4%</w:t>
            </w:r>
          </w:p>
        </w:tc>
        <w:tc>
          <w:tcPr>
            <w:tcW w:w="1283" w:type="dxa"/>
            <w:tcBorders>
              <w:top w:val="nil"/>
              <w:left w:val="nil"/>
              <w:bottom w:val="single" w:sz="4" w:space="0" w:color="auto"/>
              <w:right w:val="single" w:sz="4" w:space="0" w:color="auto"/>
            </w:tcBorders>
            <w:shd w:val="clear" w:color="auto" w:fill="auto"/>
            <w:noWrap/>
            <w:vAlign w:val="bottom"/>
            <w:hideMark/>
          </w:tcPr>
          <w:p w14:paraId="492F4BA7" w14:textId="77777777" w:rsidR="003957AD" w:rsidRPr="0047025E" w:rsidRDefault="003957AD" w:rsidP="00DE0473">
            <w:pPr>
              <w:jc w:val="right"/>
              <w:rPr>
                <w:rFonts w:cs="Calibri"/>
                <w:color w:val="000000"/>
              </w:rPr>
            </w:pPr>
            <w:r w:rsidRPr="0047025E">
              <w:rPr>
                <w:rFonts w:cs="Calibri"/>
                <w:color w:val="000000"/>
              </w:rPr>
              <w:t>4%</w:t>
            </w:r>
          </w:p>
        </w:tc>
      </w:tr>
    </w:tbl>
    <w:p w14:paraId="4B566C38" w14:textId="77777777" w:rsidR="003957AD" w:rsidRDefault="003957AD" w:rsidP="003957AD"/>
    <w:p w14:paraId="4D827383" w14:textId="77777777" w:rsidR="003957AD" w:rsidRDefault="003957AD" w:rsidP="00606791">
      <w:pPr>
        <w:pStyle w:val="Heading4"/>
      </w:pPr>
      <w:r>
        <w:lastRenderedPageBreak/>
        <w:t>Figure 7</w:t>
      </w:r>
      <w:r w:rsidRPr="00BE6EBE">
        <w:t xml:space="preserve">: </w:t>
      </w:r>
      <w:r>
        <w:t>VIC</w:t>
      </w:r>
      <w:r w:rsidRPr="00BE6EBE">
        <w:t xml:space="preserve"> Participant Barriers by</w:t>
      </w:r>
      <w:r>
        <w:t xml:space="preserve"> </w:t>
      </w:r>
      <w:r w:rsidRPr="00BE6EBE">
        <w:t>Connection Level</w:t>
      </w:r>
    </w:p>
    <w:p w14:paraId="5E78183A" w14:textId="5B30A4C7" w:rsidR="00671A6D" w:rsidRDefault="003957AD" w:rsidP="003957AD">
      <w:r>
        <w:rPr>
          <w:noProof/>
          <w:lang w:eastAsia="en-AU"/>
        </w:rPr>
        <w:drawing>
          <wp:inline distT="0" distB="0" distL="0" distR="0" wp14:anchorId="7B5A77EE" wp14:editId="58B7E510">
            <wp:extent cx="5943600" cy="7952740"/>
            <wp:effectExtent l="0" t="0" r="0" b="0"/>
            <wp:docPr id="14" name="Chart 14" descr="VIC percentage of participants who have been identified as having a barrier, graphic representation of table 9  below."/>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742E5290" w14:textId="77777777" w:rsidR="00671A6D" w:rsidRDefault="00671A6D">
      <w:pPr>
        <w:spacing w:after="200"/>
      </w:pPr>
      <w:r>
        <w:br w:type="page"/>
      </w:r>
    </w:p>
    <w:p w14:paraId="7F65961A" w14:textId="77777777" w:rsidR="003957AD" w:rsidRDefault="003957AD" w:rsidP="00546F15">
      <w:pPr>
        <w:pStyle w:val="Heading4"/>
      </w:pPr>
      <w:r>
        <w:lastRenderedPageBreak/>
        <w:t>Table 9</w:t>
      </w:r>
      <w:r w:rsidRPr="001553A9">
        <w:t xml:space="preserve">: </w:t>
      </w:r>
      <w:r>
        <w:t xml:space="preserve">VIC - </w:t>
      </w:r>
      <w:r w:rsidRPr="001553A9">
        <w:t>Percentage of participants identified as having barrier, by Connection Level</w:t>
      </w:r>
    </w:p>
    <w:tbl>
      <w:tblPr>
        <w:tblStyle w:val="TableGrid"/>
        <w:tblW w:w="0" w:type="auto"/>
        <w:tblLook w:val="04A0" w:firstRow="1" w:lastRow="0" w:firstColumn="1" w:lastColumn="0" w:noHBand="0" w:noVBand="1"/>
        <w:tblDescription w:val="Table 9: VIC - Percentage of participants identified as having barrier, by Connection Level"/>
      </w:tblPr>
      <w:tblGrid>
        <w:gridCol w:w="6345"/>
        <w:gridCol w:w="993"/>
        <w:gridCol w:w="1134"/>
        <w:gridCol w:w="1134"/>
      </w:tblGrid>
      <w:tr w:rsidR="003957AD" w:rsidRPr="001553A9" w14:paraId="45F6A408" w14:textId="77777777" w:rsidTr="00793CB6">
        <w:trPr>
          <w:tblHeader/>
        </w:trPr>
        <w:tc>
          <w:tcPr>
            <w:tcW w:w="6345" w:type="dxa"/>
            <w:shd w:val="clear" w:color="auto" w:fill="C6D9F1" w:themeFill="text2" w:themeFillTint="33"/>
          </w:tcPr>
          <w:p w14:paraId="773C5FF9" w14:textId="77777777" w:rsidR="003957AD" w:rsidRPr="001553A9" w:rsidRDefault="003957AD" w:rsidP="00DE0473">
            <w:pPr>
              <w:jc w:val="center"/>
              <w:rPr>
                <w:b/>
              </w:rPr>
            </w:pPr>
            <w:r w:rsidRPr="001553A9">
              <w:rPr>
                <w:b/>
              </w:rPr>
              <w:t>Barrier</w:t>
            </w:r>
          </w:p>
        </w:tc>
        <w:tc>
          <w:tcPr>
            <w:tcW w:w="993" w:type="dxa"/>
            <w:shd w:val="clear" w:color="auto" w:fill="C6D9F1" w:themeFill="text2" w:themeFillTint="33"/>
          </w:tcPr>
          <w:p w14:paraId="623ACF50" w14:textId="77777777" w:rsidR="003957AD" w:rsidRPr="001553A9" w:rsidRDefault="003957AD" w:rsidP="00DE0473">
            <w:pPr>
              <w:jc w:val="center"/>
              <w:rPr>
                <w:b/>
              </w:rPr>
            </w:pPr>
            <w:r>
              <w:rPr>
                <w:b/>
              </w:rPr>
              <w:t>VIC</w:t>
            </w:r>
            <w:r w:rsidRPr="001553A9">
              <w:rPr>
                <w:b/>
              </w:rPr>
              <w:t xml:space="preserve"> Level 1</w:t>
            </w:r>
          </w:p>
        </w:tc>
        <w:tc>
          <w:tcPr>
            <w:tcW w:w="1134" w:type="dxa"/>
            <w:shd w:val="clear" w:color="auto" w:fill="C6D9F1" w:themeFill="text2" w:themeFillTint="33"/>
          </w:tcPr>
          <w:p w14:paraId="053013A5" w14:textId="77777777" w:rsidR="003957AD" w:rsidRPr="001553A9" w:rsidRDefault="003957AD" w:rsidP="00DE0473">
            <w:pPr>
              <w:jc w:val="center"/>
              <w:rPr>
                <w:b/>
              </w:rPr>
            </w:pPr>
            <w:r>
              <w:rPr>
                <w:b/>
              </w:rPr>
              <w:t>VIC</w:t>
            </w:r>
            <w:r w:rsidRPr="001553A9">
              <w:rPr>
                <w:b/>
              </w:rPr>
              <w:t xml:space="preserve"> Level </w:t>
            </w:r>
            <w:proofErr w:type="spellStart"/>
            <w:r w:rsidRPr="001553A9">
              <w:rPr>
                <w:b/>
              </w:rPr>
              <w:t>2a</w:t>
            </w:r>
            <w:proofErr w:type="spellEnd"/>
          </w:p>
        </w:tc>
        <w:tc>
          <w:tcPr>
            <w:tcW w:w="1134" w:type="dxa"/>
            <w:shd w:val="clear" w:color="auto" w:fill="C6D9F1" w:themeFill="text2" w:themeFillTint="33"/>
          </w:tcPr>
          <w:p w14:paraId="206E63C8" w14:textId="77777777" w:rsidR="003957AD" w:rsidRPr="001553A9" w:rsidRDefault="003957AD" w:rsidP="00DE0473">
            <w:pPr>
              <w:jc w:val="center"/>
              <w:rPr>
                <w:b/>
              </w:rPr>
            </w:pPr>
            <w:r>
              <w:rPr>
                <w:b/>
              </w:rPr>
              <w:t>VIC</w:t>
            </w:r>
            <w:r w:rsidRPr="001553A9">
              <w:rPr>
                <w:b/>
              </w:rPr>
              <w:t xml:space="preserve"> Level </w:t>
            </w:r>
            <w:proofErr w:type="spellStart"/>
            <w:r w:rsidRPr="001553A9">
              <w:rPr>
                <w:b/>
              </w:rPr>
              <w:t>2b</w:t>
            </w:r>
            <w:proofErr w:type="spellEnd"/>
          </w:p>
        </w:tc>
      </w:tr>
      <w:tr w:rsidR="003957AD" w:rsidRPr="0051278F" w14:paraId="2A65165C" w14:textId="77777777" w:rsidTr="00DE0473">
        <w:tc>
          <w:tcPr>
            <w:tcW w:w="6345" w:type="dxa"/>
          </w:tcPr>
          <w:p w14:paraId="21FF9F79" w14:textId="77777777" w:rsidR="003957AD" w:rsidRPr="0051278F" w:rsidRDefault="003957AD" w:rsidP="00DE0473">
            <w:r w:rsidRPr="0051278F">
              <w:t>Abuse/Domestic Violence issue</w:t>
            </w:r>
          </w:p>
        </w:tc>
        <w:tc>
          <w:tcPr>
            <w:tcW w:w="993" w:type="dxa"/>
            <w:vAlign w:val="bottom"/>
          </w:tcPr>
          <w:p w14:paraId="6695B341" w14:textId="77777777" w:rsidR="003957AD" w:rsidRDefault="003957AD" w:rsidP="00DE0473">
            <w:pPr>
              <w:jc w:val="right"/>
              <w:rPr>
                <w:rFonts w:cs="Calibri"/>
                <w:color w:val="000000"/>
              </w:rPr>
            </w:pPr>
            <w:r>
              <w:rPr>
                <w:rFonts w:cs="Calibri"/>
                <w:color w:val="000000"/>
              </w:rPr>
              <w:t>7%</w:t>
            </w:r>
          </w:p>
        </w:tc>
        <w:tc>
          <w:tcPr>
            <w:tcW w:w="1134" w:type="dxa"/>
            <w:vAlign w:val="bottom"/>
          </w:tcPr>
          <w:p w14:paraId="180ABDB3" w14:textId="77777777" w:rsidR="003957AD" w:rsidRDefault="003957AD" w:rsidP="00DE0473">
            <w:pPr>
              <w:jc w:val="right"/>
              <w:rPr>
                <w:rFonts w:cs="Calibri"/>
                <w:color w:val="000000"/>
              </w:rPr>
            </w:pPr>
            <w:r>
              <w:rPr>
                <w:rFonts w:cs="Calibri"/>
                <w:color w:val="000000"/>
              </w:rPr>
              <w:t>12%</w:t>
            </w:r>
          </w:p>
        </w:tc>
        <w:tc>
          <w:tcPr>
            <w:tcW w:w="1134" w:type="dxa"/>
            <w:vAlign w:val="bottom"/>
          </w:tcPr>
          <w:p w14:paraId="6F1C43E2" w14:textId="77777777" w:rsidR="003957AD" w:rsidRDefault="003957AD" w:rsidP="00DE0473">
            <w:pPr>
              <w:jc w:val="right"/>
              <w:rPr>
                <w:rFonts w:cs="Calibri"/>
                <w:color w:val="000000"/>
              </w:rPr>
            </w:pPr>
            <w:r>
              <w:rPr>
                <w:rFonts w:cs="Calibri"/>
                <w:color w:val="000000"/>
              </w:rPr>
              <w:t>13%</w:t>
            </w:r>
          </w:p>
        </w:tc>
      </w:tr>
      <w:tr w:rsidR="003957AD" w:rsidRPr="0051278F" w14:paraId="2FB01E28" w14:textId="77777777" w:rsidTr="00DE0473">
        <w:tc>
          <w:tcPr>
            <w:tcW w:w="6345" w:type="dxa"/>
          </w:tcPr>
          <w:p w14:paraId="0317986C" w14:textId="77777777" w:rsidR="003957AD" w:rsidRPr="0051278F" w:rsidRDefault="003957AD" w:rsidP="00DE0473">
            <w:r w:rsidRPr="0051278F">
              <w:t>Alcohol and/or drug misuse</w:t>
            </w:r>
          </w:p>
        </w:tc>
        <w:tc>
          <w:tcPr>
            <w:tcW w:w="993" w:type="dxa"/>
            <w:vAlign w:val="bottom"/>
          </w:tcPr>
          <w:p w14:paraId="3B3F2846" w14:textId="77777777" w:rsidR="003957AD" w:rsidRDefault="003957AD" w:rsidP="00DE0473">
            <w:pPr>
              <w:jc w:val="right"/>
              <w:rPr>
                <w:rFonts w:cs="Calibri"/>
                <w:color w:val="000000"/>
              </w:rPr>
            </w:pPr>
            <w:r>
              <w:rPr>
                <w:rFonts w:cs="Calibri"/>
                <w:color w:val="000000"/>
              </w:rPr>
              <w:t>9%</w:t>
            </w:r>
          </w:p>
        </w:tc>
        <w:tc>
          <w:tcPr>
            <w:tcW w:w="1134" w:type="dxa"/>
            <w:vAlign w:val="bottom"/>
          </w:tcPr>
          <w:p w14:paraId="00F8D263" w14:textId="77777777" w:rsidR="003957AD" w:rsidRDefault="003957AD" w:rsidP="00DE0473">
            <w:pPr>
              <w:jc w:val="right"/>
              <w:rPr>
                <w:rFonts w:cs="Calibri"/>
                <w:color w:val="000000"/>
              </w:rPr>
            </w:pPr>
            <w:r>
              <w:rPr>
                <w:rFonts w:cs="Calibri"/>
                <w:color w:val="000000"/>
              </w:rPr>
              <w:t>18%</w:t>
            </w:r>
          </w:p>
        </w:tc>
        <w:tc>
          <w:tcPr>
            <w:tcW w:w="1134" w:type="dxa"/>
            <w:vAlign w:val="bottom"/>
          </w:tcPr>
          <w:p w14:paraId="64ABD8FC" w14:textId="77777777" w:rsidR="003957AD" w:rsidRDefault="003957AD" w:rsidP="00DE0473">
            <w:pPr>
              <w:jc w:val="right"/>
              <w:rPr>
                <w:rFonts w:cs="Calibri"/>
                <w:color w:val="000000"/>
              </w:rPr>
            </w:pPr>
            <w:r>
              <w:rPr>
                <w:rFonts w:cs="Calibri"/>
                <w:color w:val="000000"/>
              </w:rPr>
              <w:t>24%</w:t>
            </w:r>
          </w:p>
        </w:tc>
      </w:tr>
      <w:tr w:rsidR="003957AD" w:rsidRPr="0051278F" w14:paraId="0C3BC12C" w14:textId="77777777" w:rsidTr="00DE0473">
        <w:tc>
          <w:tcPr>
            <w:tcW w:w="6345" w:type="dxa"/>
          </w:tcPr>
          <w:p w14:paraId="1281A4F9" w14:textId="77777777" w:rsidR="003957AD" w:rsidRPr="0051278F" w:rsidRDefault="003957AD" w:rsidP="00DE0473">
            <w:r w:rsidRPr="0051278F">
              <w:t>Anger management issues</w:t>
            </w:r>
          </w:p>
        </w:tc>
        <w:tc>
          <w:tcPr>
            <w:tcW w:w="993" w:type="dxa"/>
            <w:vAlign w:val="bottom"/>
          </w:tcPr>
          <w:p w14:paraId="12A2A007" w14:textId="77777777" w:rsidR="003957AD" w:rsidRDefault="003957AD" w:rsidP="00DE0473">
            <w:pPr>
              <w:jc w:val="right"/>
              <w:rPr>
                <w:rFonts w:cs="Calibri"/>
                <w:color w:val="000000"/>
              </w:rPr>
            </w:pPr>
            <w:r>
              <w:rPr>
                <w:rFonts w:cs="Calibri"/>
                <w:color w:val="000000"/>
              </w:rPr>
              <w:t>28%</w:t>
            </w:r>
          </w:p>
        </w:tc>
        <w:tc>
          <w:tcPr>
            <w:tcW w:w="1134" w:type="dxa"/>
            <w:vAlign w:val="bottom"/>
          </w:tcPr>
          <w:p w14:paraId="03E1EF88" w14:textId="77777777" w:rsidR="003957AD" w:rsidRDefault="003957AD" w:rsidP="00DE0473">
            <w:pPr>
              <w:jc w:val="right"/>
              <w:rPr>
                <w:rFonts w:cs="Calibri"/>
                <w:color w:val="000000"/>
              </w:rPr>
            </w:pPr>
            <w:r>
              <w:rPr>
                <w:rFonts w:cs="Calibri"/>
                <w:color w:val="000000"/>
              </w:rPr>
              <w:t>32%</w:t>
            </w:r>
          </w:p>
        </w:tc>
        <w:tc>
          <w:tcPr>
            <w:tcW w:w="1134" w:type="dxa"/>
            <w:vAlign w:val="bottom"/>
          </w:tcPr>
          <w:p w14:paraId="0DAEF6B9" w14:textId="77777777" w:rsidR="003957AD" w:rsidRDefault="003957AD" w:rsidP="00DE0473">
            <w:pPr>
              <w:jc w:val="right"/>
              <w:rPr>
                <w:rFonts w:cs="Calibri"/>
                <w:color w:val="000000"/>
              </w:rPr>
            </w:pPr>
            <w:r>
              <w:rPr>
                <w:rFonts w:cs="Calibri"/>
                <w:color w:val="000000"/>
              </w:rPr>
              <w:t>26%</w:t>
            </w:r>
          </w:p>
        </w:tc>
      </w:tr>
      <w:tr w:rsidR="003957AD" w:rsidRPr="0051278F" w14:paraId="60C5EBE6" w14:textId="77777777" w:rsidTr="00DE0473">
        <w:tc>
          <w:tcPr>
            <w:tcW w:w="6345" w:type="dxa"/>
          </w:tcPr>
          <w:p w14:paraId="6B6E5DAB" w14:textId="77777777" w:rsidR="003957AD" w:rsidRPr="0051278F" w:rsidRDefault="003957AD" w:rsidP="00DE0473">
            <w:r w:rsidRPr="0051278F">
              <w:t>Behavioural problems</w:t>
            </w:r>
          </w:p>
        </w:tc>
        <w:tc>
          <w:tcPr>
            <w:tcW w:w="993" w:type="dxa"/>
            <w:vAlign w:val="bottom"/>
          </w:tcPr>
          <w:p w14:paraId="040C5B2A" w14:textId="77777777" w:rsidR="003957AD" w:rsidRDefault="003957AD" w:rsidP="00DE0473">
            <w:pPr>
              <w:jc w:val="right"/>
              <w:rPr>
                <w:rFonts w:cs="Calibri"/>
                <w:color w:val="000000"/>
              </w:rPr>
            </w:pPr>
            <w:r>
              <w:rPr>
                <w:rFonts w:cs="Calibri"/>
                <w:color w:val="000000"/>
              </w:rPr>
              <w:t>52%</w:t>
            </w:r>
          </w:p>
        </w:tc>
        <w:tc>
          <w:tcPr>
            <w:tcW w:w="1134" w:type="dxa"/>
            <w:vAlign w:val="bottom"/>
          </w:tcPr>
          <w:p w14:paraId="69121F44" w14:textId="77777777" w:rsidR="003957AD" w:rsidRDefault="003957AD" w:rsidP="00DE0473">
            <w:pPr>
              <w:jc w:val="right"/>
              <w:rPr>
                <w:rFonts w:cs="Calibri"/>
                <w:color w:val="000000"/>
              </w:rPr>
            </w:pPr>
            <w:r>
              <w:rPr>
                <w:rFonts w:cs="Calibri"/>
                <w:color w:val="000000"/>
              </w:rPr>
              <w:t>50%</w:t>
            </w:r>
          </w:p>
        </w:tc>
        <w:tc>
          <w:tcPr>
            <w:tcW w:w="1134" w:type="dxa"/>
            <w:vAlign w:val="bottom"/>
          </w:tcPr>
          <w:p w14:paraId="774658B4" w14:textId="77777777" w:rsidR="003957AD" w:rsidRDefault="003957AD" w:rsidP="00DE0473">
            <w:pPr>
              <w:jc w:val="right"/>
              <w:rPr>
                <w:rFonts w:cs="Calibri"/>
                <w:color w:val="000000"/>
              </w:rPr>
            </w:pPr>
            <w:r>
              <w:rPr>
                <w:rFonts w:cs="Calibri"/>
                <w:color w:val="000000"/>
              </w:rPr>
              <w:t>36%</w:t>
            </w:r>
          </w:p>
        </w:tc>
      </w:tr>
      <w:tr w:rsidR="003957AD" w:rsidRPr="0051278F" w14:paraId="27A01913" w14:textId="77777777" w:rsidTr="00DE0473">
        <w:tc>
          <w:tcPr>
            <w:tcW w:w="6345" w:type="dxa"/>
          </w:tcPr>
          <w:p w14:paraId="23F7AFCC" w14:textId="77777777" w:rsidR="003957AD" w:rsidRPr="0051278F" w:rsidRDefault="003957AD" w:rsidP="00DE0473">
            <w:r w:rsidRPr="0051278F">
              <w:t>Bullying</w:t>
            </w:r>
          </w:p>
        </w:tc>
        <w:tc>
          <w:tcPr>
            <w:tcW w:w="993" w:type="dxa"/>
            <w:vAlign w:val="bottom"/>
          </w:tcPr>
          <w:p w14:paraId="701FE565" w14:textId="77777777" w:rsidR="003957AD" w:rsidRDefault="003957AD" w:rsidP="00DE0473">
            <w:pPr>
              <w:jc w:val="right"/>
              <w:rPr>
                <w:rFonts w:cs="Calibri"/>
                <w:color w:val="000000"/>
              </w:rPr>
            </w:pPr>
            <w:r>
              <w:rPr>
                <w:rFonts w:cs="Calibri"/>
                <w:color w:val="000000"/>
              </w:rPr>
              <w:t>26%</w:t>
            </w:r>
          </w:p>
        </w:tc>
        <w:tc>
          <w:tcPr>
            <w:tcW w:w="1134" w:type="dxa"/>
            <w:vAlign w:val="bottom"/>
          </w:tcPr>
          <w:p w14:paraId="12B04E0D" w14:textId="77777777" w:rsidR="003957AD" w:rsidRDefault="003957AD" w:rsidP="00DE0473">
            <w:pPr>
              <w:jc w:val="right"/>
              <w:rPr>
                <w:rFonts w:cs="Calibri"/>
                <w:color w:val="000000"/>
              </w:rPr>
            </w:pPr>
            <w:r>
              <w:rPr>
                <w:rFonts w:cs="Calibri"/>
                <w:color w:val="000000"/>
              </w:rPr>
              <w:t>26%</w:t>
            </w:r>
          </w:p>
        </w:tc>
        <w:tc>
          <w:tcPr>
            <w:tcW w:w="1134" w:type="dxa"/>
            <w:vAlign w:val="bottom"/>
          </w:tcPr>
          <w:p w14:paraId="10AF1407" w14:textId="77777777" w:rsidR="003957AD" w:rsidRDefault="003957AD" w:rsidP="00DE0473">
            <w:pPr>
              <w:jc w:val="right"/>
              <w:rPr>
                <w:rFonts w:cs="Calibri"/>
                <w:color w:val="000000"/>
              </w:rPr>
            </w:pPr>
            <w:r>
              <w:rPr>
                <w:rFonts w:cs="Calibri"/>
                <w:color w:val="000000"/>
              </w:rPr>
              <w:t>23%</w:t>
            </w:r>
          </w:p>
        </w:tc>
      </w:tr>
      <w:tr w:rsidR="003957AD" w:rsidRPr="0051278F" w14:paraId="0818CA59" w14:textId="77777777" w:rsidTr="00DE0473">
        <w:tc>
          <w:tcPr>
            <w:tcW w:w="6345" w:type="dxa"/>
          </w:tcPr>
          <w:p w14:paraId="43EEC126" w14:textId="77777777" w:rsidR="003957AD" w:rsidRPr="0051278F" w:rsidRDefault="003957AD" w:rsidP="00DE0473">
            <w:r w:rsidRPr="0051278F">
              <w:t>Critical life event</w:t>
            </w:r>
          </w:p>
        </w:tc>
        <w:tc>
          <w:tcPr>
            <w:tcW w:w="993" w:type="dxa"/>
            <w:vAlign w:val="bottom"/>
          </w:tcPr>
          <w:p w14:paraId="3974A114" w14:textId="77777777" w:rsidR="003957AD" w:rsidRDefault="003957AD" w:rsidP="00DE0473">
            <w:pPr>
              <w:jc w:val="right"/>
              <w:rPr>
                <w:rFonts w:cs="Calibri"/>
                <w:color w:val="000000"/>
              </w:rPr>
            </w:pPr>
            <w:r>
              <w:rPr>
                <w:rFonts w:cs="Calibri"/>
                <w:color w:val="000000"/>
              </w:rPr>
              <w:t>18%</w:t>
            </w:r>
          </w:p>
        </w:tc>
        <w:tc>
          <w:tcPr>
            <w:tcW w:w="1134" w:type="dxa"/>
            <w:vAlign w:val="bottom"/>
          </w:tcPr>
          <w:p w14:paraId="4A5440AD" w14:textId="77777777" w:rsidR="003957AD" w:rsidRDefault="003957AD" w:rsidP="00DE0473">
            <w:pPr>
              <w:jc w:val="right"/>
              <w:rPr>
                <w:rFonts w:cs="Calibri"/>
                <w:color w:val="000000"/>
              </w:rPr>
            </w:pPr>
            <w:r>
              <w:rPr>
                <w:rFonts w:cs="Calibri"/>
                <w:color w:val="000000"/>
              </w:rPr>
              <w:t>23%</w:t>
            </w:r>
          </w:p>
        </w:tc>
        <w:tc>
          <w:tcPr>
            <w:tcW w:w="1134" w:type="dxa"/>
            <w:vAlign w:val="bottom"/>
          </w:tcPr>
          <w:p w14:paraId="1D420078" w14:textId="77777777" w:rsidR="003957AD" w:rsidRDefault="003957AD" w:rsidP="00DE0473">
            <w:pPr>
              <w:jc w:val="right"/>
              <w:rPr>
                <w:rFonts w:cs="Calibri"/>
                <w:color w:val="000000"/>
              </w:rPr>
            </w:pPr>
            <w:r>
              <w:rPr>
                <w:rFonts w:cs="Calibri"/>
                <w:color w:val="000000"/>
              </w:rPr>
              <w:t>23%</w:t>
            </w:r>
          </w:p>
        </w:tc>
      </w:tr>
      <w:tr w:rsidR="003957AD" w:rsidRPr="0051278F" w14:paraId="7E6A629C" w14:textId="77777777" w:rsidTr="00DE0473">
        <w:tc>
          <w:tcPr>
            <w:tcW w:w="6345" w:type="dxa"/>
          </w:tcPr>
          <w:p w14:paraId="3A176823" w14:textId="77777777" w:rsidR="003957AD" w:rsidRPr="0051278F" w:rsidRDefault="003957AD" w:rsidP="00DE0473">
            <w:r w:rsidRPr="0051278F">
              <w:t>Current or previous Juvenile Justice Orders</w:t>
            </w:r>
          </w:p>
        </w:tc>
        <w:tc>
          <w:tcPr>
            <w:tcW w:w="993" w:type="dxa"/>
            <w:vAlign w:val="bottom"/>
          </w:tcPr>
          <w:p w14:paraId="2F02DC36" w14:textId="77777777" w:rsidR="003957AD" w:rsidRDefault="003957AD" w:rsidP="00DE0473">
            <w:pPr>
              <w:jc w:val="right"/>
              <w:rPr>
                <w:rFonts w:cs="Calibri"/>
                <w:color w:val="000000"/>
              </w:rPr>
            </w:pPr>
            <w:r>
              <w:rPr>
                <w:rFonts w:cs="Calibri"/>
                <w:color w:val="000000"/>
              </w:rPr>
              <w:t>3%</w:t>
            </w:r>
          </w:p>
        </w:tc>
        <w:tc>
          <w:tcPr>
            <w:tcW w:w="1134" w:type="dxa"/>
            <w:vAlign w:val="bottom"/>
          </w:tcPr>
          <w:p w14:paraId="1BC6C0C3" w14:textId="77777777" w:rsidR="003957AD" w:rsidRDefault="003957AD" w:rsidP="00DE0473">
            <w:pPr>
              <w:jc w:val="right"/>
              <w:rPr>
                <w:rFonts w:cs="Calibri"/>
                <w:color w:val="000000"/>
              </w:rPr>
            </w:pPr>
            <w:r>
              <w:rPr>
                <w:rFonts w:cs="Calibri"/>
                <w:color w:val="000000"/>
              </w:rPr>
              <w:t>7%</w:t>
            </w:r>
          </w:p>
        </w:tc>
        <w:tc>
          <w:tcPr>
            <w:tcW w:w="1134" w:type="dxa"/>
            <w:vAlign w:val="bottom"/>
          </w:tcPr>
          <w:p w14:paraId="32DDB4B5" w14:textId="77777777" w:rsidR="003957AD" w:rsidRDefault="003957AD" w:rsidP="00DE0473">
            <w:pPr>
              <w:jc w:val="right"/>
              <w:rPr>
                <w:rFonts w:cs="Calibri"/>
                <w:color w:val="000000"/>
              </w:rPr>
            </w:pPr>
            <w:r>
              <w:rPr>
                <w:rFonts w:cs="Calibri"/>
                <w:color w:val="000000"/>
              </w:rPr>
              <w:t>14%</w:t>
            </w:r>
          </w:p>
        </w:tc>
      </w:tr>
      <w:tr w:rsidR="003957AD" w:rsidRPr="0051278F" w14:paraId="2DF00DA9" w14:textId="77777777" w:rsidTr="00DE0473">
        <w:tc>
          <w:tcPr>
            <w:tcW w:w="6345" w:type="dxa"/>
          </w:tcPr>
          <w:p w14:paraId="5255F93A" w14:textId="77777777" w:rsidR="003957AD" w:rsidRPr="0051278F" w:rsidRDefault="003957AD" w:rsidP="00DE0473">
            <w:r w:rsidRPr="0051278F">
              <w:t>Disability</w:t>
            </w:r>
          </w:p>
        </w:tc>
        <w:tc>
          <w:tcPr>
            <w:tcW w:w="993" w:type="dxa"/>
            <w:vAlign w:val="bottom"/>
          </w:tcPr>
          <w:p w14:paraId="4746F7F8" w14:textId="77777777" w:rsidR="003957AD" w:rsidRDefault="003957AD" w:rsidP="00DE0473">
            <w:pPr>
              <w:jc w:val="right"/>
              <w:rPr>
                <w:rFonts w:cs="Calibri"/>
                <w:color w:val="000000"/>
              </w:rPr>
            </w:pPr>
            <w:r>
              <w:rPr>
                <w:rFonts w:cs="Calibri"/>
                <w:color w:val="000000"/>
              </w:rPr>
              <w:t>5%</w:t>
            </w:r>
          </w:p>
        </w:tc>
        <w:tc>
          <w:tcPr>
            <w:tcW w:w="1134" w:type="dxa"/>
            <w:vAlign w:val="bottom"/>
          </w:tcPr>
          <w:p w14:paraId="08A3AD07" w14:textId="77777777" w:rsidR="003957AD" w:rsidRDefault="003957AD" w:rsidP="00DE0473">
            <w:pPr>
              <w:jc w:val="right"/>
              <w:rPr>
                <w:rFonts w:cs="Calibri"/>
                <w:color w:val="000000"/>
              </w:rPr>
            </w:pPr>
            <w:r>
              <w:rPr>
                <w:rFonts w:cs="Calibri"/>
                <w:color w:val="000000"/>
              </w:rPr>
              <w:t>6%</w:t>
            </w:r>
          </w:p>
        </w:tc>
        <w:tc>
          <w:tcPr>
            <w:tcW w:w="1134" w:type="dxa"/>
            <w:vAlign w:val="bottom"/>
          </w:tcPr>
          <w:p w14:paraId="0A31A769" w14:textId="77777777" w:rsidR="003957AD" w:rsidRDefault="003957AD" w:rsidP="00DE0473">
            <w:pPr>
              <w:jc w:val="right"/>
              <w:rPr>
                <w:rFonts w:cs="Calibri"/>
                <w:color w:val="000000"/>
              </w:rPr>
            </w:pPr>
            <w:r>
              <w:rPr>
                <w:rFonts w:cs="Calibri"/>
                <w:color w:val="000000"/>
              </w:rPr>
              <w:t>6%</w:t>
            </w:r>
          </w:p>
        </w:tc>
      </w:tr>
      <w:tr w:rsidR="003957AD" w:rsidRPr="0051278F" w14:paraId="42282764" w14:textId="77777777" w:rsidTr="00DE0473">
        <w:tc>
          <w:tcPr>
            <w:tcW w:w="6345" w:type="dxa"/>
          </w:tcPr>
          <w:p w14:paraId="6D48CDCE" w14:textId="77777777" w:rsidR="003957AD" w:rsidRPr="0051278F" w:rsidRDefault="003957AD" w:rsidP="00DE0473">
            <w:r w:rsidRPr="0051278F">
              <w:t>Disconnection from cultural heritage</w:t>
            </w:r>
          </w:p>
        </w:tc>
        <w:tc>
          <w:tcPr>
            <w:tcW w:w="993" w:type="dxa"/>
            <w:vAlign w:val="bottom"/>
          </w:tcPr>
          <w:p w14:paraId="1D0C47A2" w14:textId="77777777" w:rsidR="003957AD" w:rsidRDefault="003957AD" w:rsidP="00DE0473">
            <w:pPr>
              <w:jc w:val="right"/>
              <w:rPr>
                <w:rFonts w:cs="Calibri"/>
                <w:color w:val="000000"/>
              </w:rPr>
            </w:pPr>
            <w:r>
              <w:rPr>
                <w:rFonts w:cs="Calibri"/>
                <w:color w:val="000000"/>
              </w:rPr>
              <w:t>4%</w:t>
            </w:r>
          </w:p>
        </w:tc>
        <w:tc>
          <w:tcPr>
            <w:tcW w:w="1134" w:type="dxa"/>
            <w:vAlign w:val="bottom"/>
          </w:tcPr>
          <w:p w14:paraId="7B24C5A0" w14:textId="77777777" w:rsidR="003957AD" w:rsidRDefault="003957AD" w:rsidP="00DE0473">
            <w:pPr>
              <w:jc w:val="right"/>
              <w:rPr>
                <w:rFonts w:cs="Calibri"/>
                <w:color w:val="000000"/>
              </w:rPr>
            </w:pPr>
            <w:r>
              <w:rPr>
                <w:rFonts w:cs="Calibri"/>
                <w:color w:val="000000"/>
              </w:rPr>
              <w:t>3%</w:t>
            </w:r>
          </w:p>
        </w:tc>
        <w:tc>
          <w:tcPr>
            <w:tcW w:w="1134" w:type="dxa"/>
            <w:vAlign w:val="bottom"/>
          </w:tcPr>
          <w:p w14:paraId="4CBE78AB" w14:textId="77777777" w:rsidR="003957AD" w:rsidRDefault="003957AD" w:rsidP="00DE0473">
            <w:pPr>
              <w:jc w:val="right"/>
              <w:rPr>
                <w:rFonts w:cs="Calibri"/>
                <w:color w:val="000000"/>
              </w:rPr>
            </w:pPr>
            <w:r>
              <w:rPr>
                <w:rFonts w:cs="Calibri"/>
                <w:color w:val="000000"/>
              </w:rPr>
              <w:t>5%</w:t>
            </w:r>
          </w:p>
        </w:tc>
      </w:tr>
      <w:tr w:rsidR="003957AD" w:rsidRPr="0051278F" w14:paraId="1717FD11" w14:textId="77777777" w:rsidTr="00DE0473">
        <w:tc>
          <w:tcPr>
            <w:tcW w:w="6345" w:type="dxa"/>
          </w:tcPr>
          <w:p w14:paraId="197BF70E" w14:textId="77777777" w:rsidR="003957AD" w:rsidRPr="0051278F" w:rsidRDefault="003957AD" w:rsidP="00DE0473">
            <w:r w:rsidRPr="0051278F">
              <w:t>Financial distress</w:t>
            </w:r>
          </w:p>
        </w:tc>
        <w:tc>
          <w:tcPr>
            <w:tcW w:w="993" w:type="dxa"/>
            <w:vAlign w:val="bottom"/>
          </w:tcPr>
          <w:p w14:paraId="43C191C1" w14:textId="77777777" w:rsidR="003957AD" w:rsidRDefault="003957AD" w:rsidP="00DE0473">
            <w:pPr>
              <w:jc w:val="right"/>
              <w:rPr>
                <w:rFonts w:cs="Calibri"/>
                <w:color w:val="000000"/>
              </w:rPr>
            </w:pPr>
            <w:r>
              <w:rPr>
                <w:rFonts w:cs="Calibri"/>
                <w:color w:val="000000"/>
              </w:rPr>
              <w:t>17%</w:t>
            </w:r>
          </w:p>
        </w:tc>
        <w:tc>
          <w:tcPr>
            <w:tcW w:w="1134" w:type="dxa"/>
            <w:vAlign w:val="bottom"/>
          </w:tcPr>
          <w:p w14:paraId="74015F65" w14:textId="77777777" w:rsidR="003957AD" w:rsidRDefault="003957AD" w:rsidP="00DE0473">
            <w:pPr>
              <w:jc w:val="right"/>
              <w:rPr>
                <w:rFonts w:cs="Calibri"/>
                <w:color w:val="000000"/>
              </w:rPr>
            </w:pPr>
            <w:r>
              <w:rPr>
                <w:rFonts w:cs="Calibri"/>
                <w:color w:val="000000"/>
              </w:rPr>
              <w:t>28%</w:t>
            </w:r>
          </w:p>
        </w:tc>
        <w:tc>
          <w:tcPr>
            <w:tcW w:w="1134" w:type="dxa"/>
            <w:vAlign w:val="bottom"/>
          </w:tcPr>
          <w:p w14:paraId="73B58E10" w14:textId="77777777" w:rsidR="003957AD" w:rsidRDefault="003957AD" w:rsidP="00DE0473">
            <w:pPr>
              <w:jc w:val="right"/>
              <w:rPr>
                <w:rFonts w:cs="Calibri"/>
                <w:color w:val="000000"/>
              </w:rPr>
            </w:pPr>
            <w:r>
              <w:rPr>
                <w:rFonts w:cs="Calibri"/>
                <w:color w:val="000000"/>
              </w:rPr>
              <w:t>47%</w:t>
            </w:r>
          </w:p>
        </w:tc>
      </w:tr>
      <w:tr w:rsidR="003957AD" w:rsidRPr="0051278F" w14:paraId="2693B4C5" w14:textId="77777777" w:rsidTr="00DE0473">
        <w:tc>
          <w:tcPr>
            <w:tcW w:w="6345" w:type="dxa"/>
          </w:tcPr>
          <w:p w14:paraId="0E543565" w14:textId="77777777" w:rsidR="003957AD" w:rsidRPr="0051278F" w:rsidRDefault="003957AD" w:rsidP="00DE0473">
            <w:r w:rsidRPr="0051278F">
              <w:t>Gifted</w:t>
            </w:r>
          </w:p>
        </w:tc>
        <w:tc>
          <w:tcPr>
            <w:tcW w:w="993" w:type="dxa"/>
            <w:vAlign w:val="bottom"/>
          </w:tcPr>
          <w:p w14:paraId="4F910A5B" w14:textId="77777777" w:rsidR="003957AD" w:rsidRDefault="003957AD" w:rsidP="00DE0473">
            <w:pPr>
              <w:jc w:val="right"/>
              <w:rPr>
                <w:rFonts w:cs="Calibri"/>
                <w:color w:val="000000"/>
              </w:rPr>
            </w:pPr>
            <w:r>
              <w:rPr>
                <w:rFonts w:cs="Calibri"/>
                <w:color w:val="000000"/>
              </w:rPr>
              <w:t>2%</w:t>
            </w:r>
          </w:p>
        </w:tc>
        <w:tc>
          <w:tcPr>
            <w:tcW w:w="1134" w:type="dxa"/>
            <w:vAlign w:val="bottom"/>
          </w:tcPr>
          <w:p w14:paraId="0A471469" w14:textId="77777777" w:rsidR="003957AD" w:rsidRDefault="003957AD" w:rsidP="00DE0473">
            <w:pPr>
              <w:jc w:val="right"/>
              <w:rPr>
                <w:rFonts w:cs="Calibri"/>
                <w:color w:val="000000"/>
              </w:rPr>
            </w:pPr>
            <w:r>
              <w:rPr>
                <w:rFonts w:cs="Calibri"/>
                <w:color w:val="000000"/>
              </w:rPr>
              <w:t>1%</w:t>
            </w:r>
          </w:p>
        </w:tc>
        <w:tc>
          <w:tcPr>
            <w:tcW w:w="1134" w:type="dxa"/>
            <w:vAlign w:val="bottom"/>
          </w:tcPr>
          <w:p w14:paraId="63E6C155" w14:textId="77777777" w:rsidR="003957AD" w:rsidRDefault="003957AD" w:rsidP="00DE0473">
            <w:pPr>
              <w:jc w:val="right"/>
              <w:rPr>
                <w:rFonts w:cs="Calibri"/>
                <w:color w:val="000000"/>
              </w:rPr>
            </w:pPr>
            <w:r>
              <w:rPr>
                <w:rFonts w:cs="Calibri"/>
                <w:color w:val="000000"/>
              </w:rPr>
              <w:t>1%</w:t>
            </w:r>
          </w:p>
        </w:tc>
      </w:tr>
      <w:tr w:rsidR="003957AD" w:rsidRPr="0051278F" w14:paraId="60BC1F09" w14:textId="77777777" w:rsidTr="00DE0473">
        <w:tc>
          <w:tcPr>
            <w:tcW w:w="6345" w:type="dxa"/>
          </w:tcPr>
          <w:p w14:paraId="0B8AA9B5" w14:textId="77777777" w:rsidR="003957AD" w:rsidRPr="0051278F" w:rsidRDefault="003957AD" w:rsidP="00DE0473">
            <w:r w:rsidRPr="0051278F">
              <w:t>Homelessness</w:t>
            </w:r>
          </w:p>
        </w:tc>
        <w:tc>
          <w:tcPr>
            <w:tcW w:w="993" w:type="dxa"/>
            <w:vAlign w:val="bottom"/>
          </w:tcPr>
          <w:p w14:paraId="619D4ACF" w14:textId="77777777" w:rsidR="003957AD" w:rsidRDefault="003957AD" w:rsidP="00DE0473">
            <w:pPr>
              <w:jc w:val="right"/>
              <w:rPr>
                <w:rFonts w:cs="Calibri"/>
                <w:color w:val="000000"/>
              </w:rPr>
            </w:pPr>
            <w:r>
              <w:rPr>
                <w:rFonts w:cs="Calibri"/>
                <w:color w:val="000000"/>
              </w:rPr>
              <w:t>2%</w:t>
            </w:r>
          </w:p>
        </w:tc>
        <w:tc>
          <w:tcPr>
            <w:tcW w:w="1134" w:type="dxa"/>
            <w:vAlign w:val="bottom"/>
          </w:tcPr>
          <w:p w14:paraId="6A4BE108" w14:textId="77777777" w:rsidR="003957AD" w:rsidRDefault="003957AD" w:rsidP="00DE0473">
            <w:pPr>
              <w:jc w:val="right"/>
              <w:rPr>
                <w:rFonts w:cs="Calibri"/>
                <w:color w:val="000000"/>
              </w:rPr>
            </w:pPr>
            <w:r>
              <w:rPr>
                <w:rFonts w:cs="Calibri"/>
                <w:color w:val="000000"/>
              </w:rPr>
              <w:t>5%</w:t>
            </w:r>
          </w:p>
        </w:tc>
        <w:tc>
          <w:tcPr>
            <w:tcW w:w="1134" w:type="dxa"/>
            <w:vAlign w:val="bottom"/>
          </w:tcPr>
          <w:p w14:paraId="7C04D714" w14:textId="77777777" w:rsidR="003957AD" w:rsidRDefault="003957AD" w:rsidP="00DE0473">
            <w:pPr>
              <w:jc w:val="right"/>
              <w:rPr>
                <w:rFonts w:cs="Calibri"/>
                <w:color w:val="000000"/>
              </w:rPr>
            </w:pPr>
            <w:r>
              <w:rPr>
                <w:rFonts w:cs="Calibri"/>
                <w:color w:val="000000"/>
              </w:rPr>
              <w:t>9%</w:t>
            </w:r>
          </w:p>
        </w:tc>
      </w:tr>
      <w:tr w:rsidR="003957AD" w:rsidRPr="0051278F" w14:paraId="44DE8764" w14:textId="77777777" w:rsidTr="00DE0473">
        <w:tc>
          <w:tcPr>
            <w:tcW w:w="6345" w:type="dxa"/>
          </w:tcPr>
          <w:p w14:paraId="2BFF9761" w14:textId="77777777" w:rsidR="003957AD" w:rsidRPr="0051278F" w:rsidRDefault="003957AD" w:rsidP="00DE0473">
            <w:r w:rsidRPr="0051278F">
              <w:t>In detention/previously in detention</w:t>
            </w:r>
          </w:p>
        </w:tc>
        <w:tc>
          <w:tcPr>
            <w:tcW w:w="993" w:type="dxa"/>
            <w:vAlign w:val="bottom"/>
          </w:tcPr>
          <w:p w14:paraId="075F286D" w14:textId="77777777" w:rsidR="003957AD" w:rsidRDefault="003957AD" w:rsidP="00DE0473">
            <w:pPr>
              <w:jc w:val="right"/>
              <w:rPr>
                <w:rFonts w:cs="Calibri"/>
                <w:color w:val="000000"/>
              </w:rPr>
            </w:pPr>
            <w:r>
              <w:rPr>
                <w:rFonts w:cs="Calibri"/>
                <w:color w:val="000000"/>
              </w:rPr>
              <w:t>1%</w:t>
            </w:r>
          </w:p>
        </w:tc>
        <w:tc>
          <w:tcPr>
            <w:tcW w:w="1134" w:type="dxa"/>
            <w:vAlign w:val="bottom"/>
          </w:tcPr>
          <w:p w14:paraId="689E9C4F" w14:textId="77777777" w:rsidR="003957AD" w:rsidRDefault="003957AD" w:rsidP="00DE0473">
            <w:pPr>
              <w:jc w:val="right"/>
              <w:rPr>
                <w:rFonts w:cs="Calibri"/>
                <w:color w:val="000000"/>
              </w:rPr>
            </w:pPr>
            <w:r>
              <w:rPr>
                <w:rFonts w:cs="Calibri"/>
                <w:color w:val="000000"/>
              </w:rPr>
              <w:t>1%</w:t>
            </w:r>
          </w:p>
        </w:tc>
        <w:tc>
          <w:tcPr>
            <w:tcW w:w="1134" w:type="dxa"/>
            <w:vAlign w:val="bottom"/>
          </w:tcPr>
          <w:p w14:paraId="27DF842D" w14:textId="77777777" w:rsidR="003957AD" w:rsidRDefault="003957AD" w:rsidP="00DE0473">
            <w:pPr>
              <w:jc w:val="right"/>
              <w:rPr>
                <w:rFonts w:cs="Calibri"/>
                <w:color w:val="000000"/>
              </w:rPr>
            </w:pPr>
            <w:r>
              <w:rPr>
                <w:rFonts w:cs="Calibri"/>
                <w:color w:val="000000"/>
              </w:rPr>
              <w:t>2%</w:t>
            </w:r>
          </w:p>
        </w:tc>
      </w:tr>
      <w:tr w:rsidR="003957AD" w:rsidRPr="0051278F" w14:paraId="6D66436D" w14:textId="77777777" w:rsidTr="00DE0473">
        <w:tc>
          <w:tcPr>
            <w:tcW w:w="6345" w:type="dxa"/>
          </w:tcPr>
          <w:p w14:paraId="27FCE763" w14:textId="77777777" w:rsidR="003957AD" w:rsidRPr="0051278F" w:rsidRDefault="003957AD" w:rsidP="00DE0473">
            <w:r w:rsidRPr="0051278F">
              <w:t>Inadequate family support</w:t>
            </w:r>
          </w:p>
        </w:tc>
        <w:tc>
          <w:tcPr>
            <w:tcW w:w="993" w:type="dxa"/>
            <w:vAlign w:val="bottom"/>
          </w:tcPr>
          <w:p w14:paraId="2C45958F" w14:textId="77777777" w:rsidR="003957AD" w:rsidRDefault="003957AD" w:rsidP="00DE0473">
            <w:pPr>
              <w:jc w:val="right"/>
              <w:rPr>
                <w:rFonts w:cs="Calibri"/>
                <w:color w:val="000000"/>
              </w:rPr>
            </w:pPr>
            <w:r>
              <w:rPr>
                <w:rFonts w:cs="Calibri"/>
                <w:color w:val="000000"/>
              </w:rPr>
              <w:t>27%</w:t>
            </w:r>
          </w:p>
        </w:tc>
        <w:tc>
          <w:tcPr>
            <w:tcW w:w="1134" w:type="dxa"/>
            <w:vAlign w:val="bottom"/>
          </w:tcPr>
          <w:p w14:paraId="04876B91" w14:textId="77777777" w:rsidR="003957AD" w:rsidRDefault="003957AD" w:rsidP="00DE0473">
            <w:pPr>
              <w:jc w:val="right"/>
              <w:rPr>
                <w:rFonts w:cs="Calibri"/>
                <w:color w:val="000000"/>
              </w:rPr>
            </w:pPr>
            <w:r>
              <w:rPr>
                <w:rFonts w:cs="Calibri"/>
                <w:color w:val="000000"/>
              </w:rPr>
              <w:t>33%</w:t>
            </w:r>
          </w:p>
        </w:tc>
        <w:tc>
          <w:tcPr>
            <w:tcW w:w="1134" w:type="dxa"/>
            <w:vAlign w:val="bottom"/>
          </w:tcPr>
          <w:p w14:paraId="5A363A45" w14:textId="77777777" w:rsidR="003957AD" w:rsidRDefault="003957AD" w:rsidP="00DE0473">
            <w:pPr>
              <w:jc w:val="right"/>
              <w:rPr>
                <w:rFonts w:cs="Calibri"/>
                <w:color w:val="000000"/>
              </w:rPr>
            </w:pPr>
            <w:r>
              <w:rPr>
                <w:rFonts w:cs="Calibri"/>
                <w:color w:val="000000"/>
              </w:rPr>
              <w:t>42%</w:t>
            </w:r>
          </w:p>
        </w:tc>
      </w:tr>
      <w:tr w:rsidR="003957AD" w:rsidRPr="0051278F" w14:paraId="1DF26A69" w14:textId="77777777" w:rsidTr="00DE0473">
        <w:tc>
          <w:tcPr>
            <w:tcW w:w="6345" w:type="dxa"/>
          </w:tcPr>
          <w:p w14:paraId="0735AF0D" w14:textId="77777777" w:rsidR="003957AD" w:rsidRPr="0051278F" w:rsidRDefault="003957AD" w:rsidP="00DE0473">
            <w:r w:rsidRPr="0051278F">
              <w:t>Learning Difficulty</w:t>
            </w:r>
          </w:p>
        </w:tc>
        <w:tc>
          <w:tcPr>
            <w:tcW w:w="993" w:type="dxa"/>
            <w:vAlign w:val="bottom"/>
          </w:tcPr>
          <w:p w14:paraId="31894257" w14:textId="77777777" w:rsidR="003957AD" w:rsidRDefault="003957AD" w:rsidP="00DE0473">
            <w:pPr>
              <w:jc w:val="right"/>
              <w:rPr>
                <w:rFonts w:cs="Calibri"/>
                <w:color w:val="000000"/>
              </w:rPr>
            </w:pPr>
            <w:r>
              <w:rPr>
                <w:rFonts w:cs="Calibri"/>
                <w:color w:val="000000"/>
              </w:rPr>
              <w:t>11%</w:t>
            </w:r>
          </w:p>
        </w:tc>
        <w:tc>
          <w:tcPr>
            <w:tcW w:w="1134" w:type="dxa"/>
            <w:vAlign w:val="bottom"/>
          </w:tcPr>
          <w:p w14:paraId="79C2DB6B" w14:textId="77777777" w:rsidR="003957AD" w:rsidRDefault="003957AD" w:rsidP="00DE0473">
            <w:pPr>
              <w:jc w:val="right"/>
              <w:rPr>
                <w:rFonts w:cs="Calibri"/>
                <w:color w:val="000000"/>
              </w:rPr>
            </w:pPr>
            <w:r>
              <w:rPr>
                <w:rFonts w:cs="Calibri"/>
                <w:color w:val="000000"/>
              </w:rPr>
              <w:t>10%</w:t>
            </w:r>
          </w:p>
        </w:tc>
        <w:tc>
          <w:tcPr>
            <w:tcW w:w="1134" w:type="dxa"/>
            <w:vAlign w:val="bottom"/>
          </w:tcPr>
          <w:p w14:paraId="43689394" w14:textId="77777777" w:rsidR="003957AD" w:rsidRDefault="003957AD" w:rsidP="00DE0473">
            <w:pPr>
              <w:jc w:val="right"/>
              <w:rPr>
                <w:rFonts w:cs="Calibri"/>
                <w:color w:val="000000"/>
              </w:rPr>
            </w:pPr>
            <w:r>
              <w:rPr>
                <w:rFonts w:cs="Calibri"/>
                <w:color w:val="000000"/>
              </w:rPr>
              <w:t>11%</w:t>
            </w:r>
          </w:p>
        </w:tc>
      </w:tr>
      <w:tr w:rsidR="003957AD" w:rsidRPr="0051278F" w14:paraId="4047F5A2" w14:textId="77777777" w:rsidTr="00DE0473">
        <w:tc>
          <w:tcPr>
            <w:tcW w:w="6345" w:type="dxa"/>
          </w:tcPr>
          <w:p w14:paraId="77E90938" w14:textId="77777777" w:rsidR="003957AD" w:rsidRPr="0051278F" w:rsidRDefault="003957AD" w:rsidP="00DE0473">
            <w:r w:rsidRPr="0051278F">
              <w:t>Low literacy and/or numeracy</w:t>
            </w:r>
          </w:p>
        </w:tc>
        <w:tc>
          <w:tcPr>
            <w:tcW w:w="993" w:type="dxa"/>
            <w:vAlign w:val="bottom"/>
          </w:tcPr>
          <w:p w14:paraId="4213A9B2" w14:textId="77777777" w:rsidR="003957AD" w:rsidRDefault="003957AD" w:rsidP="00DE0473">
            <w:pPr>
              <w:jc w:val="right"/>
              <w:rPr>
                <w:rFonts w:cs="Calibri"/>
                <w:color w:val="000000"/>
              </w:rPr>
            </w:pPr>
            <w:r>
              <w:rPr>
                <w:rFonts w:cs="Calibri"/>
                <w:color w:val="000000"/>
              </w:rPr>
              <w:t>49%</w:t>
            </w:r>
          </w:p>
        </w:tc>
        <w:tc>
          <w:tcPr>
            <w:tcW w:w="1134" w:type="dxa"/>
            <w:vAlign w:val="bottom"/>
          </w:tcPr>
          <w:p w14:paraId="0761F15A" w14:textId="77777777" w:rsidR="003957AD" w:rsidRDefault="003957AD" w:rsidP="00DE0473">
            <w:pPr>
              <w:jc w:val="right"/>
              <w:rPr>
                <w:rFonts w:cs="Calibri"/>
                <w:color w:val="000000"/>
              </w:rPr>
            </w:pPr>
            <w:r>
              <w:rPr>
                <w:rFonts w:cs="Calibri"/>
                <w:color w:val="000000"/>
              </w:rPr>
              <w:t>52%</w:t>
            </w:r>
          </w:p>
        </w:tc>
        <w:tc>
          <w:tcPr>
            <w:tcW w:w="1134" w:type="dxa"/>
            <w:vAlign w:val="bottom"/>
          </w:tcPr>
          <w:p w14:paraId="5374BB72" w14:textId="77777777" w:rsidR="003957AD" w:rsidRDefault="003957AD" w:rsidP="00DE0473">
            <w:pPr>
              <w:jc w:val="right"/>
              <w:rPr>
                <w:rFonts w:cs="Calibri"/>
                <w:color w:val="000000"/>
              </w:rPr>
            </w:pPr>
            <w:r>
              <w:rPr>
                <w:rFonts w:cs="Calibri"/>
                <w:color w:val="000000"/>
              </w:rPr>
              <w:t>52%</w:t>
            </w:r>
          </w:p>
        </w:tc>
      </w:tr>
      <w:tr w:rsidR="003957AD" w:rsidRPr="0051278F" w14:paraId="74EBFE10" w14:textId="77777777" w:rsidTr="00DE0473">
        <w:tc>
          <w:tcPr>
            <w:tcW w:w="6345" w:type="dxa"/>
          </w:tcPr>
          <w:p w14:paraId="23A70CF0" w14:textId="77777777" w:rsidR="003957AD" w:rsidRPr="0051278F" w:rsidRDefault="003957AD" w:rsidP="00DE0473">
            <w:r w:rsidRPr="0051278F">
              <w:t>Low Self Esteem</w:t>
            </w:r>
          </w:p>
        </w:tc>
        <w:tc>
          <w:tcPr>
            <w:tcW w:w="993" w:type="dxa"/>
            <w:vAlign w:val="bottom"/>
          </w:tcPr>
          <w:p w14:paraId="5AA818CB" w14:textId="77777777" w:rsidR="003957AD" w:rsidRDefault="003957AD" w:rsidP="00DE0473">
            <w:pPr>
              <w:jc w:val="right"/>
              <w:rPr>
                <w:rFonts w:cs="Calibri"/>
                <w:color w:val="000000"/>
              </w:rPr>
            </w:pPr>
            <w:r>
              <w:rPr>
                <w:rFonts w:cs="Calibri"/>
                <w:color w:val="000000"/>
              </w:rPr>
              <w:t>53%</w:t>
            </w:r>
          </w:p>
        </w:tc>
        <w:tc>
          <w:tcPr>
            <w:tcW w:w="1134" w:type="dxa"/>
            <w:vAlign w:val="bottom"/>
          </w:tcPr>
          <w:p w14:paraId="7DCC1A21" w14:textId="77777777" w:rsidR="003957AD" w:rsidRDefault="003957AD" w:rsidP="00DE0473">
            <w:pPr>
              <w:jc w:val="right"/>
              <w:rPr>
                <w:rFonts w:cs="Calibri"/>
                <w:color w:val="000000"/>
              </w:rPr>
            </w:pPr>
            <w:r>
              <w:rPr>
                <w:rFonts w:cs="Calibri"/>
                <w:color w:val="000000"/>
              </w:rPr>
              <w:t>58%</w:t>
            </w:r>
          </w:p>
        </w:tc>
        <w:tc>
          <w:tcPr>
            <w:tcW w:w="1134" w:type="dxa"/>
            <w:vAlign w:val="bottom"/>
          </w:tcPr>
          <w:p w14:paraId="1A1363E5" w14:textId="77777777" w:rsidR="003957AD" w:rsidRDefault="003957AD" w:rsidP="00DE0473">
            <w:pPr>
              <w:jc w:val="right"/>
              <w:rPr>
                <w:rFonts w:cs="Calibri"/>
                <w:color w:val="000000"/>
              </w:rPr>
            </w:pPr>
            <w:r>
              <w:rPr>
                <w:rFonts w:cs="Calibri"/>
                <w:color w:val="000000"/>
              </w:rPr>
              <w:t>59%</w:t>
            </w:r>
          </w:p>
        </w:tc>
      </w:tr>
      <w:tr w:rsidR="003957AD" w:rsidRPr="0051278F" w14:paraId="6EA7E351" w14:textId="77777777" w:rsidTr="00DE0473">
        <w:tc>
          <w:tcPr>
            <w:tcW w:w="6345" w:type="dxa"/>
          </w:tcPr>
          <w:p w14:paraId="1C7E9CA8" w14:textId="77777777" w:rsidR="003957AD" w:rsidRPr="0051278F" w:rsidRDefault="003957AD" w:rsidP="00DE0473">
            <w:r w:rsidRPr="0051278F">
              <w:t>Medical or other health issue</w:t>
            </w:r>
          </w:p>
        </w:tc>
        <w:tc>
          <w:tcPr>
            <w:tcW w:w="993" w:type="dxa"/>
            <w:vAlign w:val="bottom"/>
          </w:tcPr>
          <w:p w14:paraId="404CA1A3" w14:textId="77777777" w:rsidR="003957AD" w:rsidRDefault="003957AD" w:rsidP="00DE0473">
            <w:pPr>
              <w:jc w:val="right"/>
              <w:rPr>
                <w:rFonts w:cs="Calibri"/>
                <w:color w:val="000000"/>
              </w:rPr>
            </w:pPr>
            <w:r>
              <w:rPr>
                <w:rFonts w:cs="Calibri"/>
                <w:color w:val="000000"/>
              </w:rPr>
              <w:t>8%</w:t>
            </w:r>
          </w:p>
        </w:tc>
        <w:tc>
          <w:tcPr>
            <w:tcW w:w="1134" w:type="dxa"/>
            <w:vAlign w:val="bottom"/>
          </w:tcPr>
          <w:p w14:paraId="56E1C46D" w14:textId="77777777" w:rsidR="003957AD" w:rsidRDefault="003957AD" w:rsidP="00DE0473">
            <w:pPr>
              <w:jc w:val="right"/>
              <w:rPr>
                <w:rFonts w:cs="Calibri"/>
                <w:color w:val="000000"/>
              </w:rPr>
            </w:pPr>
            <w:r>
              <w:rPr>
                <w:rFonts w:cs="Calibri"/>
                <w:color w:val="000000"/>
              </w:rPr>
              <w:t>12%</w:t>
            </w:r>
          </w:p>
        </w:tc>
        <w:tc>
          <w:tcPr>
            <w:tcW w:w="1134" w:type="dxa"/>
            <w:vAlign w:val="bottom"/>
          </w:tcPr>
          <w:p w14:paraId="2E397E1D" w14:textId="77777777" w:rsidR="003957AD" w:rsidRDefault="003957AD" w:rsidP="00DE0473">
            <w:pPr>
              <w:jc w:val="right"/>
              <w:rPr>
                <w:rFonts w:cs="Calibri"/>
                <w:color w:val="000000"/>
              </w:rPr>
            </w:pPr>
            <w:r>
              <w:rPr>
                <w:rFonts w:cs="Calibri"/>
                <w:color w:val="000000"/>
              </w:rPr>
              <w:t>13%</w:t>
            </w:r>
          </w:p>
        </w:tc>
      </w:tr>
      <w:tr w:rsidR="003957AD" w:rsidRPr="0051278F" w14:paraId="6590455F" w14:textId="77777777" w:rsidTr="00DE0473">
        <w:tc>
          <w:tcPr>
            <w:tcW w:w="6345" w:type="dxa"/>
          </w:tcPr>
          <w:p w14:paraId="39C890E3" w14:textId="77777777" w:rsidR="003957AD" w:rsidRPr="0051278F" w:rsidRDefault="003957AD" w:rsidP="00DE0473">
            <w:r w:rsidRPr="0051278F">
              <w:t>Negative experience(s) with education and training</w:t>
            </w:r>
          </w:p>
        </w:tc>
        <w:tc>
          <w:tcPr>
            <w:tcW w:w="993" w:type="dxa"/>
            <w:vAlign w:val="bottom"/>
          </w:tcPr>
          <w:p w14:paraId="5E6B350C" w14:textId="77777777" w:rsidR="003957AD" w:rsidRDefault="003957AD" w:rsidP="00DE0473">
            <w:pPr>
              <w:jc w:val="right"/>
              <w:rPr>
                <w:rFonts w:cs="Calibri"/>
                <w:color w:val="000000"/>
              </w:rPr>
            </w:pPr>
            <w:r>
              <w:rPr>
                <w:rFonts w:cs="Calibri"/>
                <w:color w:val="000000"/>
              </w:rPr>
              <w:t>16%</w:t>
            </w:r>
          </w:p>
        </w:tc>
        <w:tc>
          <w:tcPr>
            <w:tcW w:w="1134" w:type="dxa"/>
            <w:vAlign w:val="bottom"/>
          </w:tcPr>
          <w:p w14:paraId="51DEEC5E" w14:textId="77777777" w:rsidR="003957AD" w:rsidRDefault="003957AD" w:rsidP="00DE0473">
            <w:pPr>
              <w:jc w:val="right"/>
              <w:rPr>
                <w:rFonts w:cs="Calibri"/>
                <w:color w:val="000000"/>
              </w:rPr>
            </w:pPr>
            <w:r>
              <w:rPr>
                <w:rFonts w:cs="Calibri"/>
                <w:color w:val="000000"/>
              </w:rPr>
              <w:t>16%</w:t>
            </w:r>
          </w:p>
        </w:tc>
        <w:tc>
          <w:tcPr>
            <w:tcW w:w="1134" w:type="dxa"/>
            <w:vAlign w:val="bottom"/>
          </w:tcPr>
          <w:p w14:paraId="701EB846" w14:textId="77777777" w:rsidR="003957AD" w:rsidRDefault="003957AD" w:rsidP="00DE0473">
            <w:pPr>
              <w:jc w:val="right"/>
              <w:rPr>
                <w:rFonts w:cs="Calibri"/>
                <w:color w:val="000000"/>
              </w:rPr>
            </w:pPr>
            <w:r>
              <w:rPr>
                <w:rFonts w:cs="Calibri"/>
                <w:color w:val="000000"/>
              </w:rPr>
              <w:t>16%</w:t>
            </w:r>
          </w:p>
        </w:tc>
      </w:tr>
      <w:tr w:rsidR="003957AD" w:rsidRPr="0051278F" w14:paraId="5A4B7D48" w14:textId="77777777" w:rsidTr="00DE0473">
        <w:tc>
          <w:tcPr>
            <w:tcW w:w="6345" w:type="dxa"/>
          </w:tcPr>
          <w:p w14:paraId="6AC23596" w14:textId="77777777" w:rsidR="003957AD" w:rsidRPr="0051278F" w:rsidRDefault="003957AD" w:rsidP="00DE0473">
            <w:r w:rsidRPr="0051278F">
              <w:t>Out of home care</w:t>
            </w:r>
          </w:p>
        </w:tc>
        <w:tc>
          <w:tcPr>
            <w:tcW w:w="993" w:type="dxa"/>
            <w:vAlign w:val="bottom"/>
          </w:tcPr>
          <w:p w14:paraId="378EA0CC" w14:textId="77777777" w:rsidR="003957AD" w:rsidRDefault="003957AD" w:rsidP="00DE0473">
            <w:pPr>
              <w:jc w:val="right"/>
              <w:rPr>
                <w:rFonts w:cs="Calibri"/>
                <w:color w:val="000000"/>
              </w:rPr>
            </w:pPr>
            <w:r>
              <w:rPr>
                <w:rFonts w:cs="Calibri"/>
                <w:color w:val="000000"/>
              </w:rPr>
              <w:t>3%</w:t>
            </w:r>
          </w:p>
        </w:tc>
        <w:tc>
          <w:tcPr>
            <w:tcW w:w="1134" w:type="dxa"/>
            <w:vAlign w:val="bottom"/>
          </w:tcPr>
          <w:p w14:paraId="75BB7BC3" w14:textId="77777777" w:rsidR="003957AD" w:rsidRDefault="003957AD" w:rsidP="00DE0473">
            <w:pPr>
              <w:jc w:val="right"/>
              <w:rPr>
                <w:rFonts w:cs="Calibri"/>
                <w:color w:val="000000"/>
              </w:rPr>
            </w:pPr>
            <w:r>
              <w:rPr>
                <w:rFonts w:cs="Calibri"/>
                <w:color w:val="000000"/>
              </w:rPr>
              <w:t>3%</w:t>
            </w:r>
          </w:p>
        </w:tc>
        <w:tc>
          <w:tcPr>
            <w:tcW w:w="1134" w:type="dxa"/>
            <w:vAlign w:val="bottom"/>
          </w:tcPr>
          <w:p w14:paraId="3487D6E2" w14:textId="77777777" w:rsidR="003957AD" w:rsidRDefault="003957AD" w:rsidP="00DE0473">
            <w:pPr>
              <w:jc w:val="right"/>
              <w:rPr>
                <w:rFonts w:cs="Calibri"/>
                <w:color w:val="000000"/>
              </w:rPr>
            </w:pPr>
            <w:r>
              <w:rPr>
                <w:rFonts w:cs="Calibri"/>
                <w:color w:val="000000"/>
              </w:rPr>
              <w:t>6%</w:t>
            </w:r>
          </w:p>
        </w:tc>
      </w:tr>
      <w:tr w:rsidR="003957AD" w:rsidRPr="0051278F" w14:paraId="71C8BDF2" w14:textId="77777777" w:rsidTr="00DE0473">
        <w:tc>
          <w:tcPr>
            <w:tcW w:w="6345" w:type="dxa"/>
          </w:tcPr>
          <w:p w14:paraId="1D12238D" w14:textId="77777777" w:rsidR="003957AD" w:rsidRPr="0051278F" w:rsidRDefault="003957AD" w:rsidP="00DE0473">
            <w:r w:rsidRPr="0051278F">
              <w:t>Parent/Pregnancy</w:t>
            </w:r>
          </w:p>
        </w:tc>
        <w:tc>
          <w:tcPr>
            <w:tcW w:w="993" w:type="dxa"/>
            <w:vAlign w:val="bottom"/>
          </w:tcPr>
          <w:p w14:paraId="5BEA9D61" w14:textId="77777777" w:rsidR="003957AD" w:rsidRDefault="003957AD" w:rsidP="00DE0473">
            <w:pPr>
              <w:jc w:val="right"/>
              <w:rPr>
                <w:rFonts w:cs="Calibri"/>
                <w:color w:val="000000"/>
              </w:rPr>
            </w:pPr>
            <w:r>
              <w:rPr>
                <w:rFonts w:cs="Calibri"/>
                <w:color w:val="000000"/>
              </w:rPr>
              <w:t>1%</w:t>
            </w:r>
          </w:p>
        </w:tc>
        <w:tc>
          <w:tcPr>
            <w:tcW w:w="1134" w:type="dxa"/>
            <w:vAlign w:val="bottom"/>
          </w:tcPr>
          <w:p w14:paraId="52A4852D" w14:textId="77777777" w:rsidR="003957AD" w:rsidRDefault="003957AD" w:rsidP="00DE0473">
            <w:pPr>
              <w:jc w:val="right"/>
              <w:rPr>
                <w:rFonts w:cs="Calibri"/>
                <w:color w:val="000000"/>
              </w:rPr>
            </w:pPr>
            <w:r>
              <w:rPr>
                <w:rFonts w:cs="Calibri"/>
                <w:color w:val="000000"/>
              </w:rPr>
              <w:t>2%</w:t>
            </w:r>
          </w:p>
        </w:tc>
        <w:tc>
          <w:tcPr>
            <w:tcW w:w="1134" w:type="dxa"/>
            <w:vAlign w:val="bottom"/>
          </w:tcPr>
          <w:p w14:paraId="0C96019E" w14:textId="77777777" w:rsidR="003957AD" w:rsidRDefault="003957AD" w:rsidP="00DE0473">
            <w:pPr>
              <w:jc w:val="right"/>
              <w:rPr>
                <w:rFonts w:cs="Calibri"/>
                <w:color w:val="000000"/>
              </w:rPr>
            </w:pPr>
            <w:r>
              <w:rPr>
                <w:rFonts w:cs="Calibri"/>
                <w:color w:val="000000"/>
              </w:rPr>
              <w:t>6%</w:t>
            </w:r>
          </w:p>
        </w:tc>
      </w:tr>
      <w:tr w:rsidR="003957AD" w:rsidRPr="0051278F" w14:paraId="5996D07D" w14:textId="77777777" w:rsidTr="00DE0473">
        <w:tc>
          <w:tcPr>
            <w:tcW w:w="6345" w:type="dxa"/>
          </w:tcPr>
          <w:p w14:paraId="3D2BEBEB" w14:textId="77777777" w:rsidR="003957AD" w:rsidRPr="0051278F" w:rsidRDefault="003957AD" w:rsidP="00DE0473">
            <w:r w:rsidRPr="0051278F">
              <w:t>Petrol sniffing</w:t>
            </w:r>
          </w:p>
        </w:tc>
        <w:tc>
          <w:tcPr>
            <w:tcW w:w="993" w:type="dxa"/>
            <w:vAlign w:val="bottom"/>
          </w:tcPr>
          <w:p w14:paraId="59066BB7" w14:textId="77777777" w:rsidR="003957AD" w:rsidRDefault="003957AD" w:rsidP="00DE0473">
            <w:pPr>
              <w:jc w:val="right"/>
              <w:rPr>
                <w:rFonts w:cs="Calibri"/>
                <w:color w:val="000000"/>
              </w:rPr>
            </w:pPr>
            <w:r>
              <w:rPr>
                <w:rFonts w:cs="Calibri"/>
                <w:color w:val="000000"/>
              </w:rPr>
              <w:t>0%</w:t>
            </w:r>
          </w:p>
        </w:tc>
        <w:tc>
          <w:tcPr>
            <w:tcW w:w="1134" w:type="dxa"/>
            <w:vAlign w:val="bottom"/>
          </w:tcPr>
          <w:p w14:paraId="665F210C" w14:textId="77777777" w:rsidR="003957AD" w:rsidRDefault="003957AD" w:rsidP="00DE0473">
            <w:pPr>
              <w:jc w:val="right"/>
              <w:rPr>
                <w:rFonts w:cs="Calibri"/>
                <w:color w:val="000000"/>
              </w:rPr>
            </w:pPr>
            <w:r>
              <w:rPr>
                <w:rFonts w:cs="Calibri"/>
                <w:color w:val="000000"/>
              </w:rPr>
              <w:t>0%</w:t>
            </w:r>
          </w:p>
        </w:tc>
        <w:tc>
          <w:tcPr>
            <w:tcW w:w="1134" w:type="dxa"/>
            <w:vAlign w:val="bottom"/>
          </w:tcPr>
          <w:p w14:paraId="6A83B3D5" w14:textId="77777777" w:rsidR="003957AD" w:rsidRDefault="003957AD" w:rsidP="00DE0473">
            <w:pPr>
              <w:jc w:val="right"/>
              <w:rPr>
                <w:rFonts w:cs="Calibri"/>
                <w:color w:val="000000"/>
              </w:rPr>
            </w:pPr>
            <w:r>
              <w:rPr>
                <w:rFonts w:cs="Calibri"/>
                <w:color w:val="000000"/>
              </w:rPr>
              <w:t>0%</w:t>
            </w:r>
          </w:p>
        </w:tc>
      </w:tr>
      <w:tr w:rsidR="003957AD" w:rsidRPr="0051278F" w14:paraId="30C50A84" w14:textId="77777777" w:rsidTr="00DE0473">
        <w:tc>
          <w:tcPr>
            <w:tcW w:w="6345" w:type="dxa"/>
          </w:tcPr>
          <w:p w14:paraId="09C92AA6" w14:textId="77777777" w:rsidR="003957AD" w:rsidRPr="0051278F" w:rsidRDefault="003957AD" w:rsidP="00DE0473">
            <w:r w:rsidRPr="0051278F">
              <w:t>Socialisation issues</w:t>
            </w:r>
          </w:p>
        </w:tc>
        <w:tc>
          <w:tcPr>
            <w:tcW w:w="993" w:type="dxa"/>
            <w:vAlign w:val="bottom"/>
          </w:tcPr>
          <w:p w14:paraId="0575D09D" w14:textId="77777777" w:rsidR="003957AD" w:rsidRDefault="003957AD" w:rsidP="00DE0473">
            <w:pPr>
              <w:jc w:val="right"/>
              <w:rPr>
                <w:rFonts w:cs="Calibri"/>
                <w:color w:val="000000"/>
              </w:rPr>
            </w:pPr>
            <w:r>
              <w:rPr>
                <w:rFonts w:cs="Calibri"/>
                <w:color w:val="000000"/>
              </w:rPr>
              <w:t>36%</w:t>
            </w:r>
          </w:p>
        </w:tc>
        <w:tc>
          <w:tcPr>
            <w:tcW w:w="1134" w:type="dxa"/>
            <w:vAlign w:val="bottom"/>
          </w:tcPr>
          <w:p w14:paraId="13D0D441" w14:textId="77777777" w:rsidR="003957AD" w:rsidRDefault="003957AD" w:rsidP="00DE0473">
            <w:pPr>
              <w:jc w:val="right"/>
              <w:rPr>
                <w:rFonts w:cs="Calibri"/>
                <w:color w:val="000000"/>
              </w:rPr>
            </w:pPr>
            <w:r>
              <w:rPr>
                <w:rFonts w:cs="Calibri"/>
                <w:color w:val="000000"/>
              </w:rPr>
              <w:t>37%</w:t>
            </w:r>
          </w:p>
        </w:tc>
        <w:tc>
          <w:tcPr>
            <w:tcW w:w="1134" w:type="dxa"/>
            <w:vAlign w:val="bottom"/>
          </w:tcPr>
          <w:p w14:paraId="4D6B8473" w14:textId="77777777" w:rsidR="003957AD" w:rsidRDefault="003957AD" w:rsidP="00DE0473">
            <w:pPr>
              <w:jc w:val="right"/>
              <w:rPr>
                <w:rFonts w:cs="Calibri"/>
                <w:color w:val="000000"/>
              </w:rPr>
            </w:pPr>
            <w:r>
              <w:rPr>
                <w:rFonts w:cs="Calibri"/>
                <w:color w:val="000000"/>
              </w:rPr>
              <w:t>42%</w:t>
            </w:r>
          </w:p>
        </w:tc>
      </w:tr>
      <w:tr w:rsidR="003957AD" w:rsidRPr="0051278F" w14:paraId="43050728" w14:textId="77777777" w:rsidTr="00DE0473">
        <w:tc>
          <w:tcPr>
            <w:tcW w:w="6345" w:type="dxa"/>
          </w:tcPr>
          <w:p w14:paraId="12314286" w14:textId="77777777" w:rsidR="003957AD" w:rsidRPr="0051278F" w:rsidRDefault="003957AD" w:rsidP="00DE0473">
            <w:r w:rsidRPr="0051278F">
              <w:t>Suspected or diagnosed mental health issue</w:t>
            </w:r>
          </w:p>
        </w:tc>
        <w:tc>
          <w:tcPr>
            <w:tcW w:w="993" w:type="dxa"/>
            <w:vAlign w:val="bottom"/>
          </w:tcPr>
          <w:p w14:paraId="06D1B69F" w14:textId="77777777" w:rsidR="003957AD" w:rsidRDefault="003957AD" w:rsidP="00DE0473">
            <w:pPr>
              <w:jc w:val="right"/>
              <w:rPr>
                <w:rFonts w:cs="Calibri"/>
                <w:color w:val="000000"/>
              </w:rPr>
            </w:pPr>
            <w:r>
              <w:rPr>
                <w:rFonts w:cs="Calibri"/>
                <w:color w:val="000000"/>
              </w:rPr>
              <w:t>27%</w:t>
            </w:r>
          </w:p>
        </w:tc>
        <w:tc>
          <w:tcPr>
            <w:tcW w:w="1134" w:type="dxa"/>
            <w:vAlign w:val="bottom"/>
          </w:tcPr>
          <w:p w14:paraId="36579E1F" w14:textId="77777777" w:rsidR="003957AD" w:rsidRDefault="003957AD" w:rsidP="00DE0473">
            <w:pPr>
              <w:jc w:val="right"/>
              <w:rPr>
                <w:rFonts w:cs="Calibri"/>
                <w:color w:val="000000"/>
              </w:rPr>
            </w:pPr>
            <w:r>
              <w:rPr>
                <w:rFonts w:cs="Calibri"/>
                <w:color w:val="000000"/>
              </w:rPr>
              <w:t>38%</w:t>
            </w:r>
          </w:p>
        </w:tc>
        <w:tc>
          <w:tcPr>
            <w:tcW w:w="1134" w:type="dxa"/>
            <w:vAlign w:val="bottom"/>
          </w:tcPr>
          <w:p w14:paraId="5A59D31E" w14:textId="77777777" w:rsidR="003957AD" w:rsidRDefault="003957AD" w:rsidP="00DE0473">
            <w:pPr>
              <w:jc w:val="right"/>
              <w:rPr>
                <w:rFonts w:cs="Calibri"/>
                <w:color w:val="000000"/>
              </w:rPr>
            </w:pPr>
            <w:r>
              <w:rPr>
                <w:rFonts w:cs="Calibri"/>
                <w:color w:val="000000"/>
              </w:rPr>
              <w:t>39%</w:t>
            </w:r>
          </w:p>
        </w:tc>
      </w:tr>
      <w:tr w:rsidR="003957AD" w:rsidRPr="0051278F" w14:paraId="63CD62B7" w14:textId="77777777" w:rsidTr="00DE0473">
        <w:tc>
          <w:tcPr>
            <w:tcW w:w="6345" w:type="dxa"/>
          </w:tcPr>
          <w:p w14:paraId="32F05A88" w14:textId="77777777" w:rsidR="003957AD" w:rsidRPr="0051278F" w:rsidRDefault="003957AD" w:rsidP="00DE0473">
            <w:r w:rsidRPr="0051278F">
              <w:t>Unstable living arrangements</w:t>
            </w:r>
          </w:p>
        </w:tc>
        <w:tc>
          <w:tcPr>
            <w:tcW w:w="993" w:type="dxa"/>
            <w:vAlign w:val="bottom"/>
          </w:tcPr>
          <w:p w14:paraId="49CDD472" w14:textId="77777777" w:rsidR="003957AD" w:rsidRDefault="003957AD" w:rsidP="00DE0473">
            <w:pPr>
              <w:jc w:val="right"/>
              <w:rPr>
                <w:rFonts w:cs="Calibri"/>
                <w:color w:val="000000"/>
              </w:rPr>
            </w:pPr>
            <w:r>
              <w:rPr>
                <w:rFonts w:cs="Calibri"/>
                <w:color w:val="000000"/>
              </w:rPr>
              <w:t>13%</w:t>
            </w:r>
          </w:p>
        </w:tc>
        <w:tc>
          <w:tcPr>
            <w:tcW w:w="1134" w:type="dxa"/>
            <w:vAlign w:val="bottom"/>
          </w:tcPr>
          <w:p w14:paraId="785BE65D" w14:textId="77777777" w:rsidR="003957AD" w:rsidRDefault="003957AD" w:rsidP="00DE0473">
            <w:pPr>
              <w:jc w:val="right"/>
              <w:rPr>
                <w:rFonts w:cs="Calibri"/>
                <w:color w:val="000000"/>
              </w:rPr>
            </w:pPr>
            <w:r>
              <w:rPr>
                <w:rFonts w:cs="Calibri"/>
                <w:color w:val="000000"/>
              </w:rPr>
              <w:t>21%</w:t>
            </w:r>
          </w:p>
        </w:tc>
        <w:tc>
          <w:tcPr>
            <w:tcW w:w="1134" w:type="dxa"/>
            <w:vAlign w:val="bottom"/>
          </w:tcPr>
          <w:p w14:paraId="78A16C87" w14:textId="77777777" w:rsidR="003957AD" w:rsidRDefault="003957AD" w:rsidP="00DE0473">
            <w:pPr>
              <w:jc w:val="right"/>
              <w:rPr>
                <w:rFonts w:cs="Calibri"/>
                <w:color w:val="000000"/>
              </w:rPr>
            </w:pPr>
            <w:r>
              <w:rPr>
                <w:rFonts w:cs="Calibri"/>
                <w:color w:val="000000"/>
              </w:rPr>
              <w:t>28%</w:t>
            </w:r>
          </w:p>
        </w:tc>
      </w:tr>
      <w:tr w:rsidR="003957AD" w:rsidRPr="0051278F" w14:paraId="3B24D955" w14:textId="77777777" w:rsidTr="00DE0473">
        <w:tc>
          <w:tcPr>
            <w:tcW w:w="6345" w:type="dxa"/>
          </w:tcPr>
          <w:p w14:paraId="5950E111" w14:textId="77777777" w:rsidR="003957AD" w:rsidRPr="0051278F" w:rsidRDefault="003957AD" w:rsidP="00DE0473">
            <w:r w:rsidRPr="0051278F">
              <w:t>Volatile substance misuse</w:t>
            </w:r>
          </w:p>
        </w:tc>
        <w:tc>
          <w:tcPr>
            <w:tcW w:w="993" w:type="dxa"/>
            <w:vAlign w:val="bottom"/>
          </w:tcPr>
          <w:p w14:paraId="0ED73A2C" w14:textId="77777777" w:rsidR="003957AD" w:rsidRDefault="003957AD" w:rsidP="00DE0473">
            <w:pPr>
              <w:jc w:val="right"/>
              <w:rPr>
                <w:rFonts w:cs="Calibri"/>
                <w:color w:val="000000"/>
              </w:rPr>
            </w:pPr>
            <w:r>
              <w:rPr>
                <w:rFonts w:cs="Calibri"/>
                <w:color w:val="000000"/>
              </w:rPr>
              <w:t>0%</w:t>
            </w:r>
          </w:p>
        </w:tc>
        <w:tc>
          <w:tcPr>
            <w:tcW w:w="1134" w:type="dxa"/>
            <w:vAlign w:val="bottom"/>
          </w:tcPr>
          <w:p w14:paraId="71DF5A29" w14:textId="77777777" w:rsidR="003957AD" w:rsidRDefault="003957AD" w:rsidP="00DE0473">
            <w:pPr>
              <w:jc w:val="right"/>
              <w:rPr>
                <w:rFonts w:cs="Calibri"/>
                <w:color w:val="000000"/>
              </w:rPr>
            </w:pPr>
            <w:r>
              <w:rPr>
                <w:rFonts w:cs="Calibri"/>
                <w:color w:val="000000"/>
              </w:rPr>
              <w:t>0%</w:t>
            </w:r>
          </w:p>
        </w:tc>
        <w:tc>
          <w:tcPr>
            <w:tcW w:w="1134" w:type="dxa"/>
            <w:vAlign w:val="bottom"/>
          </w:tcPr>
          <w:p w14:paraId="2092CF3B" w14:textId="77777777" w:rsidR="003957AD" w:rsidRDefault="003957AD" w:rsidP="00DE0473">
            <w:pPr>
              <w:jc w:val="right"/>
              <w:rPr>
                <w:rFonts w:cs="Calibri"/>
                <w:color w:val="000000"/>
              </w:rPr>
            </w:pPr>
            <w:r>
              <w:rPr>
                <w:rFonts w:cs="Calibri"/>
                <w:color w:val="000000"/>
              </w:rPr>
              <w:t>1%</w:t>
            </w:r>
          </w:p>
        </w:tc>
      </w:tr>
      <w:tr w:rsidR="003957AD" w:rsidRPr="0051278F" w14:paraId="59688978" w14:textId="77777777" w:rsidTr="00DE0473">
        <w:tc>
          <w:tcPr>
            <w:tcW w:w="6345" w:type="dxa"/>
          </w:tcPr>
          <w:p w14:paraId="0FB275FD" w14:textId="77777777" w:rsidR="003957AD" w:rsidRPr="0051278F" w:rsidRDefault="003957AD" w:rsidP="00DE0473">
            <w:r>
              <w:t>Young Carer responsibilities</w:t>
            </w:r>
          </w:p>
        </w:tc>
        <w:tc>
          <w:tcPr>
            <w:tcW w:w="993" w:type="dxa"/>
            <w:vAlign w:val="bottom"/>
          </w:tcPr>
          <w:p w14:paraId="4C6511CC" w14:textId="77777777" w:rsidR="003957AD" w:rsidRDefault="003957AD" w:rsidP="00DE0473">
            <w:pPr>
              <w:jc w:val="right"/>
              <w:rPr>
                <w:rFonts w:cs="Calibri"/>
                <w:color w:val="000000"/>
              </w:rPr>
            </w:pPr>
            <w:r>
              <w:rPr>
                <w:rFonts w:cs="Calibri"/>
                <w:color w:val="000000"/>
              </w:rPr>
              <w:t>5%</w:t>
            </w:r>
          </w:p>
        </w:tc>
        <w:tc>
          <w:tcPr>
            <w:tcW w:w="1134" w:type="dxa"/>
            <w:vAlign w:val="bottom"/>
          </w:tcPr>
          <w:p w14:paraId="5C68A35D" w14:textId="77777777" w:rsidR="003957AD" w:rsidRDefault="003957AD" w:rsidP="00DE0473">
            <w:pPr>
              <w:jc w:val="right"/>
              <w:rPr>
                <w:rFonts w:cs="Calibri"/>
                <w:color w:val="000000"/>
              </w:rPr>
            </w:pPr>
            <w:r>
              <w:rPr>
                <w:rFonts w:cs="Calibri"/>
                <w:color w:val="000000"/>
              </w:rPr>
              <w:t>4%</w:t>
            </w:r>
          </w:p>
        </w:tc>
        <w:tc>
          <w:tcPr>
            <w:tcW w:w="1134" w:type="dxa"/>
            <w:vAlign w:val="bottom"/>
          </w:tcPr>
          <w:p w14:paraId="355001F9" w14:textId="77777777" w:rsidR="003957AD" w:rsidRDefault="003957AD" w:rsidP="00DE0473">
            <w:pPr>
              <w:jc w:val="right"/>
              <w:rPr>
                <w:rFonts w:cs="Calibri"/>
                <w:color w:val="000000"/>
              </w:rPr>
            </w:pPr>
            <w:r>
              <w:rPr>
                <w:rFonts w:cs="Calibri"/>
                <w:color w:val="000000"/>
              </w:rPr>
              <w:t>5%</w:t>
            </w:r>
          </w:p>
        </w:tc>
      </w:tr>
    </w:tbl>
    <w:p w14:paraId="1A6E9C89" w14:textId="77777777" w:rsidR="003957AD" w:rsidRDefault="003957AD" w:rsidP="003957AD">
      <w:pPr>
        <w:rPr>
          <w:rFonts w:cs="Calibri"/>
          <w:bCs/>
          <w:color w:val="000000"/>
        </w:rPr>
      </w:pPr>
    </w:p>
    <w:p w14:paraId="2077E261" w14:textId="77316E89" w:rsidR="00075C2D" w:rsidRDefault="00075C2D">
      <w:pPr>
        <w:spacing w:after="200"/>
      </w:pPr>
      <w:r>
        <w:br w:type="page"/>
      </w:r>
    </w:p>
    <w:p w14:paraId="704FBF5B" w14:textId="77777777" w:rsidR="00075C2D" w:rsidRDefault="003957AD" w:rsidP="00075C2D">
      <w:pPr>
        <w:pStyle w:val="Heading4"/>
      </w:pPr>
      <w:r w:rsidRPr="00873515">
        <w:lastRenderedPageBreak/>
        <w:t>Figure 8: National Participant Barriers by Connection Level</w:t>
      </w:r>
    </w:p>
    <w:p w14:paraId="4812DF1E" w14:textId="3E6D03A4" w:rsidR="003957AD" w:rsidRDefault="003957AD" w:rsidP="003957AD">
      <w:r>
        <w:rPr>
          <w:noProof/>
          <w:lang w:eastAsia="en-AU"/>
        </w:rPr>
        <w:drawing>
          <wp:inline distT="0" distB="0" distL="0" distR="0" wp14:anchorId="21DB7D8B" wp14:editId="1772CF4F">
            <wp:extent cx="6448508" cy="8627166"/>
            <wp:effectExtent l="0" t="0" r="9525" b="21590"/>
            <wp:docPr id="34" name="Chart 34" descr="National percentage of participants who have been identified as having a barrier, graphic representation of table 10  below."/>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r>
        <w:br w:type="page"/>
      </w:r>
    </w:p>
    <w:p w14:paraId="17065CA4" w14:textId="77777777" w:rsidR="003957AD" w:rsidRPr="001553A9" w:rsidRDefault="003957AD" w:rsidP="00546F15">
      <w:pPr>
        <w:pStyle w:val="Heading4"/>
      </w:pPr>
      <w:r>
        <w:lastRenderedPageBreak/>
        <w:t>Table 10</w:t>
      </w:r>
      <w:r w:rsidRPr="001553A9">
        <w:t xml:space="preserve">: </w:t>
      </w:r>
      <w:r>
        <w:t xml:space="preserve">National - </w:t>
      </w:r>
      <w:r w:rsidRPr="001553A9">
        <w:t>Percentage of participants identified as having barrier, by Connection Level</w:t>
      </w:r>
    </w:p>
    <w:tbl>
      <w:tblPr>
        <w:tblStyle w:val="TableGrid"/>
        <w:tblW w:w="0" w:type="auto"/>
        <w:tblLayout w:type="fixed"/>
        <w:tblLook w:val="04A0" w:firstRow="1" w:lastRow="0" w:firstColumn="1" w:lastColumn="0" w:noHBand="0" w:noVBand="1"/>
        <w:tblDescription w:val="Table 10: National - Percentage of participants identified as having barrier, by Connection Level"/>
      </w:tblPr>
      <w:tblGrid>
        <w:gridCol w:w="5353"/>
        <w:gridCol w:w="1418"/>
        <w:gridCol w:w="1417"/>
        <w:gridCol w:w="1559"/>
      </w:tblGrid>
      <w:tr w:rsidR="003957AD" w:rsidRPr="001553A9" w14:paraId="15DED1DC" w14:textId="77777777" w:rsidTr="00793CB6">
        <w:trPr>
          <w:tblHeader/>
        </w:trPr>
        <w:tc>
          <w:tcPr>
            <w:tcW w:w="5353" w:type="dxa"/>
            <w:shd w:val="clear" w:color="auto" w:fill="C6D9F1" w:themeFill="text2" w:themeFillTint="33"/>
          </w:tcPr>
          <w:p w14:paraId="6A1CB1C7" w14:textId="77777777" w:rsidR="003957AD" w:rsidRPr="001553A9" w:rsidRDefault="003957AD" w:rsidP="00DE0473">
            <w:pPr>
              <w:jc w:val="center"/>
              <w:rPr>
                <w:b/>
              </w:rPr>
            </w:pPr>
            <w:r w:rsidRPr="001553A9">
              <w:rPr>
                <w:b/>
              </w:rPr>
              <w:t>Barrier</w:t>
            </w:r>
          </w:p>
        </w:tc>
        <w:tc>
          <w:tcPr>
            <w:tcW w:w="1418" w:type="dxa"/>
            <w:shd w:val="clear" w:color="auto" w:fill="C6D9F1" w:themeFill="text2" w:themeFillTint="33"/>
          </w:tcPr>
          <w:p w14:paraId="69DD13F4" w14:textId="77777777" w:rsidR="003957AD" w:rsidRPr="001553A9" w:rsidRDefault="003957AD" w:rsidP="00DE0473">
            <w:pPr>
              <w:jc w:val="center"/>
              <w:rPr>
                <w:b/>
              </w:rPr>
            </w:pPr>
            <w:r w:rsidRPr="001553A9">
              <w:rPr>
                <w:b/>
              </w:rPr>
              <w:t>National Level 1</w:t>
            </w:r>
          </w:p>
        </w:tc>
        <w:tc>
          <w:tcPr>
            <w:tcW w:w="1417" w:type="dxa"/>
            <w:shd w:val="clear" w:color="auto" w:fill="C6D9F1" w:themeFill="text2" w:themeFillTint="33"/>
          </w:tcPr>
          <w:p w14:paraId="615370B9" w14:textId="77777777" w:rsidR="003957AD" w:rsidRPr="001553A9" w:rsidRDefault="003957AD" w:rsidP="00DE0473">
            <w:pPr>
              <w:jc w:val="center"/>
              <w:rPr>
                <w:b/>
              </w:rPr>
            </w:pPr>
            <w:r w:rsidRPr="001553A9">
              <w:rPr>
                <w:b/>
              </w:rPr>
              <w:t xml:space="preserve">National Level </w:t>
            </w:r>
            <w:proofErr w:type="spellStart"/>
            <w:r w:rsidRPr="001553A9">
              <w:rPr>
                <w:b/>
              </w:rPr>
              <w:t>2a</w:t>
            </w:r>
            <w:proofErr w:type="spellEnd"/>
          </w:p>
        </w:tc>
        <w:tc>
          <w:tcPr>
            <w:tcW w:w="1559" w:type="dxa"/>
            <w:shd w:val="clear" w:color="auto" w:fill="C6D9F1" w:themeFill="text2" w:themeFillTint="33"/>
          </w:tcPr>
          <w:p w14:paraId="5918576D" w14:textId="77777777" w:rsidR="003957AD" w:rsidRPr="001553A9" w:rsidRDefault="003957AD" w:rsidP="00DE0473">
            <w:pPr>
              <w:jc w:val="center"/>
              <w:rPr>
                <w:b/>
              </w:rPr>
            </w:pPr>
            <w:r w:rsidRPr="001553A9">
              <w:rPr>
                <w:b/>
              </w:rPr>
              <w:t xml:space="preserve">National Level </w:t>
            </w:r>
            <w:proofErr w:type="spellStart"/>
            <w:r w:rsidRPr="001553A9">
              <w:rPr>
                <w:b/>
              </w:rPr>
              <w:t>2b</w:t>
            </w:r>
            <w:proofErr w:type="spellEnd"/>
          </w:p>
        </w:tc>
      </w:tr>
      <w:tr w:rsidR="003957AD" w14:paraId="40F37E6E" w14:textId="77777777" w:rsidTr="00DE0473">
        <w:tc>
          <w:tcPr>
            <w:tcW w:w="5353" w:type="dxa"/>
          </w:tcPr>
          <w:p w14:paraId="20258F8F" w14:textId="77777777" w:rsidR="003957AD" w:rsidRPr="0051278F" w:rsidRDefault="003957AD" w:rsidP="00DE0473">
            <w:r w:rsidRPr="0051278F">
              <w:t>Abuse/Domestic Violence issue</w:t>
            </w:r>
          </w:p>
        </w:tc>
        <w:tc>
          <w:tcPr>
            <w:tcW w:w="1418" w:type="dxa"/>
            <w:vAlign w:val="bottom"/>
          </w:tcPr>
          <w:p w14:paraId="5C0121FC" w14:textId="77777777" w:rsidR="003957AD" w:rsidRDefault="003957AD" w:rsidP="00DE0473">
            <w:pPr>
              <w:jc w:val="right"/>
              <w:rPr>
                <w:rFonts w:cs="Calibri"/>
                <w:color w:val="000000"/>
              </w:rPr>
            </w:pPr>
            <w:r>
              <w:rPr>
                <w:rFonts w:cs="Calibri"/>
                <w:color w:val="000000"/>
              </w:rPr>
              <w:t>6%</w:t>
            </w:r>
          </w:p>
        </w:tc>
        <w:tc>
          <w:tcPr>
            <w:tcW w:w="1417" w:type="dxa"/>
            <w:vAlign w:val="bottom"/>
          </w:tcPr>
          <w:p w14:paraId="3281B3DD" w14:textId="77777777" w:rsidR="003957AD" w:rsidRDefault="003957AD" w:rsidP="00DE0473">
            <w:pPr>
              <w:jc w:val="right"/>
              <w:rPr>
                <w:rFonts w:cs="Calibri"/>
                <w:color w:val="000000"/>
              </w:rPr>
            </w:pPr>
            <w:r>
              <w:rPr>
                <w:rFonts w:cs="Calibri"/>
                <w:color w:val="000000"/>
              </w:rPr>
              <w:t>10%</w:t>
            </w:r>
          </w:p>
        </w:tc>
        <w:tc>
          <w:tcPr>
            <w:tcW w:w="1559" w:type="dxa"/>
            <w:vAlign w:val="bottom"/>
          </w:tcPr>
          <w:p w14:paraId="34DDEDAB" w14:textId="77777777" w:rsidR="003957AD" w:rsidRDefault="003957AD" w:rsidP="00DE0473">
            <w:pPr>
              <w:jc w:val="right"/>
              <w:rPr>
                <w:rFonts w:cs="Calibri"/>
                <w:color w:val="000000"/>
              </w:rPr>
            </w:pPr>
            <w:r>
              <w:rPr>
                <w:rFonts w:cs="Calibri"/>
                <w:color w:val="000000"/>
              </w:rPr>
              <w:t>12%</w:t>
            </w:r>
          </w:p>
        </w:tc>
      </w:tr>
      <w:tr w:rsidR="003957AD" w14:paraId="3A880E62" w14:textId="77777777" w:rsidTr="00DE0473">
        <w:tc>
          <w:tcPr>
            <w:tcW w:w="5353" w:type="dxa"/>
          </w:tcPr>
          <w:p w14:paraId="58461C79" w14:textId="77777777" w:rsidR="003957AD" w:rsidRPr="0051278F" w:rsidRDefault="003957AD" w:rsidP="00DE0473">
            <w:r w:rsidRPr="0051278F">
              <w:t>Alcohol and/or drug misuse</w:t>
            </w:r>
          </w:p>
        </w:tc>
        <w:tc>
          <w:tcPr>
            <w:tcW w:w="1418" w:type="dxa"/>
            <w:vAlign w:val="bottom"/>
          </w:tcPr>
          <w:p w14:paraId="14BF37FC" w14:textId="77777777" w:rsidR="003957AD" w:rsidRDefault="003957AD" w:rsidP="00DE0473">
            <w:pPr>
              <w:jc w:val="right"/>
              <w:rPr>
                <w:rFonts w:cs="Calibri"/>
                <w:color w:val="000000"/>
              </w:rPr>
            </w:pPr>
            <w:r>
              <w:rPr>
                <w:rFonts w:cs="Calibri"/>
                <w:color w:val="000000"/>
              </w:rPr>
              <w:t>9%</w:t>
            </w:r>
          </w:p>
        </w:tc>
        <w:tc>
          <w:tcPr>
            <w:tcW w:w="1417" w:type="dxa"/>
            <w:vAlign w:val="bottom"/>
          </w:tcPr>
          <w:p w14:paraId="06D372DA" w14:textId="77777777" w:rsidR="003957AD" w:rsidRDefault="003957AD" w:rsidP="00DE0473">
            <w:pPr>
              <w:jc w:val="right"/>
              <w:rPr>
                <w:rFonts w:cs="Calibri"/>
                <w:color w:val="000000"/>
              </w:rPr>
            </w:pPr>
            <w:r>
              <w:rPr>
                <w:rFonts w:cs="Calibri"/>
                <w:color w:val="000000"/>
              </w:rPr>
              <w:t>18%</w:t>
            </w:r>
          </w:p>
        </w:tc>
        <w:tc>
          <w:tcPr>
            <w:tcW w:w="1559" w:type="dxa"/>
            <w:vAlign w:val="bottom"/>
          </w:tcPr>
          <w:p w14:paraId="78E9C06D" w14:textId="77777777" w:rsidR="003957AD" w:rsidRDefault="003957AD" w:rsidP="00DE0473">
            <w:pPr>
              <w:jc w:val="right"/>
              <w:rPr>
                <w:rFonts w:cs="Calibri"/>
                <w:color w:val="000000"/>
              </w:rPr>
            </w:pPr>
            <w:r>
              <w:rPr>
                <w:rFonts w:cs="Calibri"/>
                <w:color w:val="000000"/>
              </w:rPr>
              <w:t>26%</w:t>
            </w:r>
          </w:p>
        </w:tc>
      </w:tr>
      <w:tr w:rsidR="003957AD" w14:paraId="5C24D00D" w14:textId="77777777" w:rsidTr="00DE0473">
        <w:tc>
          <w:tcPr>
            <w:tcW w:w="5353" w:type="dxa"/>
          </w:tcPr>
          <w:p w14:paraId="109C97F3" w14:textId="77777777" w:rsidR="003957AD" w:rsidRPr="0051278F" w:rsidRDefault="003957AD" w:rsidP="00DE0473">
            <w:r w:rsidRPr="0051278F">
              <w:t>Anger management issues</w:t>
            </w:r>
          </w:p>
        </w:tc>
        <w:tc>
          <w:tcPr>
            <w:tcW w:w="1418" w:type="dxa"/>
            <w:vAlign w:val="bottom"/>
          </w:tcPr>
          <w:p w14:paraId="627E10A7" w14:textId="77777777" w:rsidR="003957AD" w:rsidRDefault="003957AD" w:rsidP="00DE0473">
            <w:pPr>
              <w:jc w:val="right"/>
              <w:rPr>
                <w:rFonts w:cs="Calibri"/>
                <w:color w:val="000000"/>
              </w:rPr>
            </w:pPr>
            <w:r>
              <w:rPr>
                <w:rFonts w:cs="Calibri"/>
                <w:color w:val="000000"/>
              </w:rPr>
              <w:t>27%</w:t>
            </w:r>
          </w:p>
        </w:tc>
        <w:tc>
          <w:tcPr>
            <w:tcW w:w="1417" w:type="dxa"/>
            <w:vAlign w:val="bottom"/>
          </w:tcPr>
          <w:p w14:paraId="1951CC88" w14:textId="77777777" w:rsidR="003957AD" w:rsidRDefault="003957AD" w:rsidP="00DE0473">
            <w:pPr>
              <w:jc w:val="right"/>
              <w:rPr>
                <w:rFonts w:cs="Calibri"/>
                <w:color w:val="000000"/>
              </w:rPr>
            </w:pPr>
            <w:r>
              <w:rPr>
                <w:rFonts w:cs="Calibri"/>
                <w:color w:val="000000"/>
              </w:rPr>
              <w:t>35%</w:t>
            </w:r>
          </w:p>
        </w:tc>
        <w:tc>
          <w:tcPr>
            <w:tcW w:w="1559" w:type="dxa"/>
            <w:vAlign w:val="bottom"/>
          </w:tcPr>
          <w:p w14:paraId="72204C87" w14:textId="77777777" w:rsidR="003957AD" w:rsidRDefault="003957AD" w:rsidP="00DE0473">
            <w:pPr>
              <w:jc w:val="right"/>
              <w:rPr>
                <w:rFonts w:cs="Calibri"/>
                <w:color w:val="000000"/>
              </w:rPr>
            </w:pPr>
            <w:r>
              <w:rPr>
                <w:rFonts w:cs="Calibri"/>
                <w:color w:val="000000"/>
              </w:rPr>
              <w:t>28%</w:t>
            </w:r>
          </w:p>
        </w:tc>
      </w:tr>
      <w:tr w:rsidR="003957AD" w14:paraId="65A33EAD" w14:textId="77777777" w:rsidTr="00DE0473">
        <w:tc>
          <w:tcPr>
            <w:tcW w:w="5353" w:type="dxa"/>
          </w:tcPr>
          <w:p w14:paraId="0B4E6A0D" w14:textId="77777777" w:rsidR="003957AD" w:rsidRPr="0051278F" w:rsidRDefault="003957AD" w:rsidP="00DE0473">
            <w:r w:rsidRPr="0051278F">
              <w:t>Behavioural problems</w:t>
            </w:r>
          </w:p>
        </w:tc>
        <w:tc>
          <w:tcPr>
            <w:tcW w:w="1418" w:type="dxa"/>
            <w:vAlign w:val="bottom"/>
          </w:tcPr>
          <w:p w14:paraId="5A473AB4" w14:textId="77777777" w:rsidR="003957AD" w:rsidRDefault="003957AD" w:rsidP="00DE0473">
            <w:pPr>
              <w:jc w:val="right"/>
              <w:rPr>
                <w:rFonts w:cs="Calibri"/>
                <w:color w:val="000000"/>
              </w:rPr>
            </w:pPr>
            <w:r>
              <w:rPr>
                <w:rFonts w:cs="Calibri"/>
                <w:color w:val="000000"/>
              </w:rPr>
              <w:t>54%</w:t>
            </w:r>
          </w:p>
        </w:tc>
        <w:tc>
          <w:tcPr>
            <w:tcW w:w="1417" w:type="dxa"/>
            <w:vAlign w:val="bottom"/>
          </w:tcPr>
          <w:p w14:paraId="79A3FE41" w14:textId="77777777" w:rsidR="003957AD" w:rsidRDefault="003957AD" w:rsidP="00DE0473">
            <w:pPr>
              <w:jc w:val="right"/>
              <w:rPr>
                <w:rFonts w:cs="Calibri"/>
                <w:color w:val="000000"/>
              </w:rPr>
            </w:pPr>
            <w:r>
              <w:rPr>
                <w:rFonts w:cs="Calibri"/>
                <w:color w:val="000000"/>
              </w:rPr>
              <w:t>59%</w:t>
            </w:r>
          </w:p>
        </w:tc>
        <w:tc>
          <w:tcPr>
            <w:tcW w:w="1559" w:type="dxa"/>
            <w:vAlign w:val="bottom"/>
          </w:tcPr>
          <w:p w14:paraId="235DEEEA" w14:textId="77777777" w:rsidR="003957AD" w:rsidRDefault="003957AD" w:rsidP="00DE0473">
            <w:pPr>
              <w:jc w:val="right"/>
              <w:rPr>
                <w:rFonts w:cs="Calibri"/>
                <w:color w:val="000000"/>
              </w:rPr>
            </w:pPr>
            <w:r>
              <w:rPr>
                <w:rFonts w:cs="Calibri"/>
                <w:color w:val="000000"/>
              </w:rPr>
              <w:t>41%</w:t>
            </w:r>
          </w:p>
        </w:tc>
      </w:tr>
      <w:tr w:rsidR="003957AD" w14:paraId="6712CC8F" w14:textId="77777777" w:rsidTr="00DE0473">
        <w:tc>
          <w:tcPr>
            <w:tcW w:w="5353" w:type="dxa"/>
          </w:tcPr>
          <w:p w14:paraId="42A8717A" w14:textId="77777777" w:rsidR="003957AD" w:rsidRPr="0051278F" w:rsidRDefault="003957AD" w:rsidP="00DE0473">
            <w:r w:rsidRPr="0051278F">
              <w:t>Bullying</w:t>
            </w:r>
          </w:p>
        </w:tc>
        <w:tc>
          <w:tcPr>
            <w:tcW w:w="1418" w:type="dxa"/>
            <w:vAlign w:val="bottom"/>
          </w:tcPr>
          <w:p w14:paraId="53162E1C" w14:textId="77777777" w:rsidR="003957AD" w:rsidRDefault="003957AD" w:rsidP="00DE0473">
            <w:pPr>
              <w:jc w:val="right"/>
              <w:rPr>
                <w:rFonts w:cs="Calibri"/>
                <w:color w:val="000000"/>
              </w:rPr>
            </w:pPr>
            <w:r>
              <w:rPr>
                <w:rFonts w:cs="Calibri"/>
                <w:color w:val="000000"/>
              </w:rPr>
              <w:t>28%</w:t>
            </w:r>
          </w:p>
        </w:tc>
        <w:tc>
          <w:tcPr>
            <w:tcW w:w="1417" w:type="dxa"/>
            <w:vAlign w:val="bottom"/>
          </w:tcPr>
          <w:p w14:paraId="14F3CB61" w14:textId="77777777" w:rsidR="003957AD" w:rsidRDefault="003957AD" w:rsidP="00DE0473">
            <w:pPr>
              <w:jc w:val="right"/>
              <w:rPr>
                <w:rFonts w:cs="Calibri"/>
                <w:color w:val="000000"/>
              </w:rPr>
            </w:pPr>
            <w:r>
              <w:rPr>
                <w:rFonts w:cs="Calibri"/>
                <w:color w:val="000000"/>
              </w:rPr>
              <w:t>27%</w:t>
            </w:r>
          </w:p>
        </w:tc>
        <w:tc>
          <w:tcPr>
            <w:tcW w:w="1559" w:type="dxa"/>
            <w:vAlign w:val="bottom"/>
          </w:tcPr>
          <w:p w14:paraId="67CE0E98" w14:textId="77777777" w:rsidR="003957AD" w:rsidRDefault="003957AD" w:rsidP="00DE0473">
            <w:pPr>
              <w:jc w:val="right"/>
              <w:rPr>
                <w:rFonts w:cs="Calibri"/>
                <w:color w:val="000000"/>
              </w:rPr>
            </w:pPr>
            <w:r>
              <w:rPr>
                <w:rFonts w:cs="Calibri"/>
                <w:color w:val="000000"/>
              </w:rPr>
              <w:t>21%</w:t>
            </w:r>
          </w:p>
        </w:tc>
      </w:tr>
      <w:tr w:rsidR="003957AD" w14:paraId="6DF5740A" w14:textId="77777777" w:rsidTr="00DE0473">
        <w:tc>
          <w:tcPr>
            <w:tcW w:w="5353" w:type="dxa"/>
          </w:tcPr>
          <w:p w14:paraId="573E8701" w14:textId="77777777" w:rsidR="003957AD" w:rsidRPr="0051278F" w:rsidRDefault="003957AD" w:rsidP="00DE0473">
            <w:r w:rsidRPr="0051278F">
              <w:t>Critical life event</w:t>
            </w:r>
          </w:p>
        </w:tc>
        <w:tc>
          <w:tcPr>
            <w:tcW w:w="1418" w:type="dxa"/>
            <w:vAlign w:val="bottom"/>
          </w:tcPr>
          <w:p w14:paraId="14CE1146" w14:textId="77777777" w:rsidR="003957AD" w:rsidRDefault="003957AD" w:rsidP="00DE0473">
            <w:pPr>
              <w:jc w:val="right"/>
              <w:rPr>
                <w:rFonts w:cs="Calibri"/>
                <w:color w:val="000000"/>
              </w:rPr>
            </w:pPr>
            <w:r>
              <w:rPr>
                <w:rFonts w:cs="Calibri"/>
                <w:color w:val="000000"/>
              </w:rPr>
              <w:t>12%</w:t>
            </w:r>
          </w:p>
        </w:tc>
        <w:tc>
          <w:tcPr>
            <w:tcW w:w="1417" w:type="dxa"/>
            <w:vAlign w:val="bottom"/>
          </w:tcPr>
          <w:p w14:paraId="40797116" w14:textId="77777777" w:rsidR="003957AD" w:rsidRDefault="003957AD" w:rsidP="00DE0473">
            <w:pPr>
              <w:jc w:val="right"/>
              <w:rPr>
                <w:rFonts w:cs="Calibri"/>
                <w:color w:val="000000"/>
              </w:rPr>
            </w:pPr>
            <w:r>
              <w:rPr>
                <w:rFonts w:cs="Calibri"/>
                <w:color w:val="000000"/>
              </w:rPr>
              <w:t>17%</w:t>
            </w:r>
          </w:p>
        </w:tc>
        <w:tc>
          <w:tcPr>
            <w:tcW w:w="1559" w:type="dxa"/>
            <w:vAlign w:val="bottom"/>
          </w:tcPr>
          <w:p w14:paraId="0DF43DD9" w14:textId="77777777" w:rsidR="003957AD" w:rsidRDefault="003957AD" w:rsidP="00DE0473">
            <w:pPr>
              <w:jc w:val="right"/>
              <w:rPr>
                <w:rFonts w:cs="Calibri"/>
                <w:color w:val="000000"/>
              </w:rPr>
            </w:pPr>
            <w:r>
              <w:rPr>
                <w:rFonts w:cs="Calibri"/>
                <w:color w:val="000000"/>
              </w:rPr>
              <w:t>18%</w:t>
            </w:r>
          </w:p>
        </w:tc>
      </w:tr>
      <w:tr w:rsidR="003957AD" w14:paraId="31D2CFA5" w14:textId="77777777" w:rsidTr="00DE0473">
        <w:tc>
          <w:tcPr>
            <w:tcW w:w="5353" w:type="dxa"/>
          </w:tcPr>
          <w:p w14:paraId="7C718509" w14:textId="77777777" w:rsidR="003957AD" w:rsidRPr="0051278F" w:rsidRDefault="003957AD" w:rsidP="00DE0473">
            <w:r w:rsidRPr="0051278F">
              <w:t>Current or previous Juvenile Justice Orders</w:t>
            </w:r>
          </w:p>
        </w:tc>
        <w:tc>
          <w:tcPr>
            <w:tcW w:w="1418" w:type="dxa"/>
            <w:vAlign w:val="bottom"/>
          </w:tcPr>
          <w:p w14:paraId="2A09AF92" w14:textId="77777777" w:rsidR="003957AD" w:rsidRDefault="003957AD" w:rsidP="00DE0473">
            <w:pPr>
              <w:jc w:val="right"/>
              <w:rPr>
                <w:rFonts w:cs="Calibri"/>
                <w:color w:val="000000"/>
              </w:rPr>
            </w:pPr>
            <w:r>
              <w:rPr>
                <w:rFonts w:cs="Calibri"/>
                <w:color w:val="000000"/>
              </w:rPr>
              <w:t>3%</w:t>
            </w:r>
          </w:p>
        </w:tc>
        <w:tc>
          <w:tcPr>
            <w:tcW w:w="1417" w:type="dxa"/>
            <w:vAlign w:val="bottom"/>
          </w:tcPr>
          <w:p w14:paraId="50A12CE9" w14:textId="77777777" w:rsidR="003957AD" w:rsidRDefault="003957AD" w:rsidP="00DE0473">
            <w:pPr>
              <w:jc w:val="right"/>
              <w:rPr>
                <w:rFonts w:cs="Calibri"/>
                <w:color w:val="000000"/>
              </w:rPr>
            </w:pPr>
            <w:r>
              <w:rPr>
                <w:rFonts w:cs="Calibri"/>
                <w:color w:val="000000"/>
              </w:rPr>
              <w:t>7%</w:t>
            </w:r>
          </w:p>
        </w:tc>
        <w:tc>
          <w:tcPr>
            <w:tcW w:w="1559" w:type="dxa"/>
            <w:vAlign w:val="bottom"/>
          </w:tcPr>
          <w:p w14:paraId="5244BB50" w14:textId="77777777" w:rsidR="003957AD" w:rsidRDefault="003957AD" w:rsidP="00DE0473">
            <w:pPr>
              <w:jc w:val="right"/>
              <w:rPr>
                <w:rFonts w:cs="Calibri"/>
                <w:color w:val="000000"/>
              </w:rPr>
            </w:pPr>
            <w:r>
              <w:rPr>
                <w:rFonts w:cs="Calibri"/>
                <w:color w:val="000000"/>
              </w:rPr>
              <w:t>17%</w:t>
            </w:r>
          </w:p>
        </w:tc>
      </w:tr>
      <w:tr w:rsidR="003957AD" w14:paraId="23093397" w14:textId="77777777" w:rsidTr="00DE0473">
        <w:tc>
          <w:tcPr>
            <w:tcW w:w="5353" w:type="dxa"/>
          </w:tcPr>
          <w:p w14:paraId="7F74AFC6" w14:textId="77777777" w:rsidR="003957AD" w:rsidRPr="0051278F" w:rsidRDefault="003957AD" w:rsidP="00DE0473">
            <w:r w:rsidRPr="0051278F">
              <w:t>Disability</w:t>
            </w:r>
          </w:p>
        </w:tc>
        <w:tc>
          <w:tcPr>
            <w:tcW w:w="1418" w:type="dxa"/>
            <w:vAlign w:val="bottom"/>
          </w:tcPr>
          <w:p w14:paraId="3A884008" w14:textId="77777777" w:rsidR="003957AD" w:rsidRDefault="003957AD" w:rsidP="00DE0473">
            <w:pPr>
              <w:jc w:val="right"/>
              <w:rPr>
                <w:rFonts w:cs="Calibri"/>
                <w:color w:val="000000"/>
              </w:rPr>
            </w:pPr>
            <w:r>
              <w:rPr>
                <w:rFonts w:cs="Calibri"/>
                <w:color w:val="000000"/>
              </w:rPr>
              <w:t>4%</w:t>
            </w:r>
          </w:p>
        </w:tc>
        <w:tc>
          <w:tcPr>
            <w:tcW w:w="1417" w:type="dxa"/>
            <w:vAlign w:val="bottom"/>
          </w:tcPr>
          <w:p w14:paraId="180D4B8D" w14:textId="77777777" w:rsidR="003957AD" w:rsidRDefault="003957AD" w:rsidP="00DE0473">
            <w:pPr>
              <w:jc w:val="right"/>
              <w:rPr>
                <w:rFonts w:cs="Calibri"/>
                <w:color w:val="000000"/>
              </w:rPr>
            </w:pPr>
            <w:r>
              <w:rPr>
                <w:rFonts w:cs="Calibri"/>
                <w:color w:val="000000"/>
              </w:rPr>
              <w:t>5%</w:t>
            </w:r>
          </w:p>
        </w:tc>
        <w:tc>
          <w:tcPr>
            <w:tcW w:w="1559" w:type="dxa"/>
            <w:vAlign w:val="bottom"/>
          </w:tcPr>
          <w:p w14:paraId="51180F21" w14:textId="77777777" w:rsidR="003957AD" w:rsidRDefault="003957AD" w:rsidP="00DE0473">
            <w:pPr>
              <w:jc w:val="right"/>
              <w:rPr>
                <w:rFonts w:cs="Calibri"/>
                <w:color w:val="000000"/>
              </w:rPr>
            </w:pPr>
            <w:r>
              <w:rPr>
                <w:rFonts w:cs="Calibri"/>
                <w:color w:val="000000"/>
              </w:rPr>
              <w:t>5%</w:t>
            </w:r>
          </w:p>
        </w:tc>
      </w:tr>
      <w:tr w:rsidR="003957AD" w14:paraId="333B9B4E" w14:textId="77777777" w:rsidTr="00DE0473">
        <w:tc>
          <w:tcPr>
            <w:tcW w:w="5353" w:type="dxa"/>
          </w:tcPr>
          <w:p w14:paraId="330CF016" w14:textId="77777777" w:rsidR="003957AD" w:rsidRPr="0051278F" w:rsidRDefault="003957AD" w:rsidP="00DE0473">
            <w:r w:rsidRPr="0051278F">
              <w:t>Disconnection from cultural heritage</w:t>
            </w:r>
          </w:p>
        </w:tc>
        <w:tc>
          <w:tcPr>
            <w:tcW w:w="1418" w:type="dxa"/>
            <w:vAlign w:val="bottom"/>
          </w:tcPr>
          <w:p w14:paraId="126359BB" w14:textId="77777777" w:rsidR="003957AD" w:rsidRDefault="003957AD" w:rsidP="00DE0473">
            <w:pPr>
              <w:jc w:val="right"/>
              <w:rPr>
                <w:rFonts w:cs="Calibri"/>
                <w:color w:val="000000"/>
              </w:rPr>
            </w:pPr>
            <w:r>
              <w:rPr>
                <w:rFonts w:cs="Calibri"/>
                <w:color w:val="000000"/>
              </w:rPr>
              <w:t>5%</w:t>
            </w:r>
          </w:p>
        </w:tc>
        <w:tc>
          <w:tcPr>
            <w:tcW w:w="1417" w:type="dxa"/>
            <w:vAlign w:val="bottom"/>
          </w:tcPr>
          <w:p w14:paraId="08761754" w14:textId="77777777" w:rsidR="003957AD" w:rsidRDefault="003957AD" w:rsidP="00DE0473">
            <w:pPr>
              <w:jc w:val="right"/>
              <w:rPr>
                <w:rFonts w:cs="Calibri"/>
                <w:color w:val="000000"/>
              </w:rPr>
            </w:pPr>
            <w:r>
              <w:rPr>
                <w:rFonts w:cs="Calibri"/>
                <w:color w:val="000000"/>
              </w:rPr>
              <w:t>4%</w:t>
            </w:r>
          </w:p>
        </w:tc>
        <w:tc>
          <w:tcPr>
            <w:tcW w:w="1559" w:type="dxa"/>
            <w:vAlign w:val="bottom"/>
          </w:tcPr>
          <w:p w14:paraId="3569B46D" w14:textId="77777777" w:rsidR="003957AD" w:rsidRDefault="003957AD" w:rsidP="00DE0473">
            <w:pPr>
              <w:jc w:val="right"/>
              <w:rPr>
                <w:rFonts w:cs="Calibri"/>
                <w:color w:val="000000"/>
              </w:rPr>
            </w:pPr>
            <w:r>
              <w:rPr>
                <w:rFonts w:cs="Calibri"/>
                <w:color w:val="000000"/>
              </w:rPr>
              <w:t>5%</w:t>
            </w:r>
          </w:p>
        </w:tc>
      </w:tr>
      <w:tr w:rsidR="003957AD" w14:paraId="63DE04BD" w14:textId="77777777" w:rsidTr="00DE0473">
        <w:tc>
          <w:tcPr>
            <w:tcW w:w="5353" w:type="dxa"/>
          </w:tcPr>
          <w:p w14:paraId="10C1D3C9" w14:textId="77777777" w:rsidR="003957AD" w:rsidRPr="0051278F" w:rsidRDefault="003957AD" w:rsidP="00DE0473">
            <w:r w:rsidRPr="0051278F">
              <w:t>Financial distress</w:t>
            </w:r>
          </w:p>
        </w:tc>
        <w:tc>
          <w:tcPr>
            <w:tcW w:w="1418" w:type="dxa"/>
            <w:vAlign w:val="bottom"/>
          </w:tcPr>
          <w:p w14:paraId="76E66E54" w14:textId="77777777" w:rsidR="003957AD" w:rsidRDefault="003957AD" w:rsidP="00DE0473">
            <w:pPr>
              <w:jc w:val="right"/>
              <w:rPr>
                <w:rFonts w:cs="Calibri"/>
                <w:color w:val="000000"/>
              </w:rPr>
            </w:pPr>
            <w:r>
              <w:rPr>
                <w:rFonts w:cs="Calibri"/>
                <w:color w:val="000000"/>
              </w:rPr>
              <w:t>14%</w:t>
            </w:r>
          </w:p>
        </w:tc>
        <w:tc>
          <w:tcPr>
            <w:tcW w:w="1417" w:type="dxa"/>
            <w:vAlign w:val="bottom"/>
          </w:tcPr>
          <w:p w14:paraId="01238215" w14:textId="77777777" w:rsidR="003957AD" w:rsidRDefault="003957AD" w:rsidP="00DE0473">
            <w:pPr>
              <w:jc w:val="right"/>
              <w:rPr>
                <w:rFonts w:cs="Calibri"/>
                <w:color w:val="000000"/>
              </w:rPr>
            </w:pPr>
            <w:r>
              <w:rPr>
                <w:rFonts w:cs="Calibri"/>
                <w:color w:val="000000"/>
              </w:rPr>
              <w:t>23%</w:t>
            </w:r>
          </w:p>
        </w:tc>
        <w:tc>
          <w:tcPr>
            <w:tcW w:w="1559" w:type="dxa"/>
            <w:vAlign w:val="bottom"/>
          </w:tcPr>
          <w:p w14:paraId="4A4212F4" w14:textId="77777777" w:rsidR="003957AD" w:rsidRDefault="003957AD" w:rsidP="00DE0473">
            <w:pPr>
              <w:jc w:val="right"/>
              <w:rPr>
                <w:rFonts w:cs="Calibri"/>
                <w:color w:val="000000"/>
              </w:rPr>
            </w:pPr>
            <w:r>
              <w:rPr>
                <w:rFonts w:cs="Calibri"/>
                <w:color w:val="000000"/>
              </w:rPr>
              <w:t>42%</w:t>
            </w:r>
          </w:p>
        </w:tc>
      </w:tr>
      <w:tr w:rsidR="003957AD" w14:paraId="0CCB0D08" w14:textId="77777777" w:rsidTr="00DE0473">
        <w:tc>
          <w:tcPr>
            <w:tcW w:w="5353" w:type="dxa"/>
          </w:tcPr>
          <w:p w14:paraId="5768B3C1" w14:textId="77777777" w:rsidR="003957AD" w:rsidRPr="0051278F" w:rsidRDefault="003957AD" w:rsidP="00DE0473">
            <w:r w:rsidRPr="0051278F">
              <w:t>Gifted</w:t>
            </w:r>
          </w:p>
        </w:tc>
        <w:tc>
          <w:tcPr>
            <w:tcW w:w="1418" w:type="dxa"/>
            <w:vAlign w:val="bottom"/>
          </w:tcPr>
          <w:p w14:paraId="66C4DEEF" w14:textId="77777777" w:rsidR="003957AD" w:rsidRDefault="003957AD" w:rsidP="00DE0473">
            <w:pPr>
              <w:jc w:val="right"/>
              <w:rPr>
                <w:rFonts w:cs="Calibri"/>
                <w:color w:val="000000"/>
              </w:rPr>
            </w:pPr>
            <w:r>
              <w:rPr>
                <w:rFonts w:cs="Calibri"/>
                <w:color w:val="000000"/>
              </w:rPr>
              <w:t>1%</w:t>
            </w:r>
          </w:p>
        </w:tc>
        <w:tc>
          <w:tcPr>
            <w:tcW w:w="1417" w:type="dxa"/>
            <w:vAlign w:val="bottom"/>
          </w:tcPr>
          <w:p w14:paraId="29A95F47" w14:textId="77777777" w:rsidR="003957AD" w:rsidRDefault="003957AD" w:rsidP="00DE0473">
            <w:pPr>
              <w:jc w:val="right"/>
              <w:rPr>
                <w:rFonts w:cs="Calibri"/>
                <w:color w:val="000000"/>
              </w:rPr>
            </w:pPr>
            <w:r>
              <w:rPr>
                <w:rFonts w:cs="Calibri"/>
                <w:color w:val="000000"/>
              </w:rPr>
              <w:t>1%</w:t>
            </w:r>
          </w:p>
        </w:tc>
        <w:tc>
          <w:tcPr>
            <w:tcW w:w="1559" w:type="dxa"/>
            <w:vAlign w:val="bottom"/>
          </w:tcPr>
          <w:p w14:paraId="61B8E236" w14:textId="77777777" w:rsidR="003957AD" w:rsidRDefault="003957AD" w:rsidP="00DE0473">
            <w:pPr>
              <w:jc w:val="right"/>
              <w:rPr>
                <w:rFonts w:cs="Calibri"/>
                <w:color w:val="000000"/>
              </w:rPr>
            </w:pPr>
            <w:r>
              <w:rPr>
                <w:rFonts w:cs="Calibri"/>
                <w:color w:val="000000"/>
              </w:rPr>
              <w:t>1%</w:t>
            </w:r>
          </w:p>
        </w:tc>
      </w:tr>
      <w:tr w:rsidR="003957AD" w14:paraId="40A8F95B" w14:textId="77777777" w:rsidTr="00DE0473">
        <w:tc>
          <w:tcPr>
            <w:tcW w:w="5353" w:type="dxa"/>
          </w:tcPr>
          <w:p w14:paraId="64BFB675" w14:textId="77777777" w:rsidR="003957AD" w:rsidRPr="0051278F" w:rsidRDefault="003957AD" w:rsidP="00DE0473">
            <w:r w:rsidRPr="0051278F">
              <w:t>Homelessness</w:t>
            </w:r>
          </w:p>
        </w:tc>
        <w:tc>
          <w:tcPr>
            <w:tcW w:w="1418" w:type="dxa"/>
            <w:vAlign w:val="bottom"/>
          </w:tcPr>
          <w:p w14:paraId="29C79C71" w14:textId="77777777" w:rsidR="003957AD" w:rsidRDefault="003957AD" w:rsidP="00DE0473">
            <w:pPr>
              <w:jc w:val="right"/>
              <w:rPr>
                <w:rFonts w:cs="Calibri"/>
                <w:color w:val="000000"/>
              </w:rPr>
            </w:pPr>
            <w:r>
              <w:rPr>
                <w:rFonts w:cs="Calibri"/>
                <w:color w:val="000000"/>
              </w:rPr>
              <w:t>1%</w:t>
            </w:r>
          </w:p>
        </w:tc>
        <w:tc>
          <w:tcPr>
            <w:tcW w:w="1417" w:type="dxa"/>
            <w:vAlign w:val="bottom"/>
          </w:tcPr>
          <w:p w14:paraId="69C97124" w14:textId="77777777" w:rsidR="003957AD" w:rsidRDefault="003957AD" w:rsidP="00DE0473">
            <w:pPr>
              <w:jc w:val="right"/>
              <w:rPr>
                <w:rFonts w:cs="Calibri"/>
                <w:color w:val="000000"/>
              </w:rPr>
            </w:pPr>
            <w:r>
              <w:rPr>
                <w:rFonts w:cs="Calibri"/>
                <w:color w:val="000000"/>
              </w:rPr>
              <w:t>3%</w:t>
            </w:r>
          </w:p>
        </w:tc>
        <w:tc>
          <w:tcPr>
            <w:tcW w:w="1559" w:type="dxa"/>
            <w:vAlign w:val="bottom"/>
          </w:tcPr>
          <w:p w14:paraId="700666F7" w14:textId="77777777" w:rsidR="003957AD" w:rsidRDefault="003957AD" w:rsidP="00DE0473">
            <w:pPr>
              <w:jc w:val="right"/>
              <w:rPr>
                <w:rFonts w:cs="Calibri"/>
                <w:color w:val="000000"/>
              </w:rPr>
            </w:pPr>
            <w:r>
              <w:rPr>
                <w:rFonts w:cs="Calibri"/>
                <w:color w:val="000000"/>
              </w:rPr>
              <w:t>8%</w:t>
            </w:r>
          </w:p>
        </w:tc>
      </w:tr>
      <w:tr w:rsidR="003957AD" w14:paraId="061A3154" w14:textId="77777777" w:rsidTr="00DE0473">
        <w:tc>
          <w:tcPr>
            <w:tcW w:w="5353" w:type="dxa"/>
          </w:tcPr>
          <w:p w14:paraId="2D72F9FE" w14:textId="77777777" w:rsidR="003957AD" w:rsidRPr="0051278F" w:rsidRDefault="003957AD" w:rsidP="00DE0473">
            <w:r w:rsidRPr="0051278F">
              <w:t>In detention/previously in detention</w:t>
            </w:r>
          </w:p>
        </w:tc>
        <w:tc>
          <w:tcPr>
            <w:tcW w:w="1418" w:type="dxa"/>
            <w:vAlign w:val="bottom"/>
          </w:tcPr>
          <w:p w14:paraId="2EED4843" w14:textId="77777777" w:rsidR="003957AD" w:rsidRDefault="003957AD" w:rsidP="00DE0473">
            <w:pPr>
              <w:jc w:val="right"/>
              <w:rPr>
                <w:rFonts w:cs="Calibri"/>
                <w:color w:val="000000"/>
              </w:rPr>
            </w:pPr>
            <w:r>
              <w:rPr>
                <w:rFonts w:cs="Calibri"/>
                <w:color w:val="000000"/>
              </w:rPr>
              <w:t>1%</w:t>
            </w:r>
          </w:p>
        </w:tc>
        <w:tc>
          <w:tcPr>
            <w:tcW w:w="1417" w:type="dxa"/>
            <w:vAlign w:val="bottom"/>
          </w:tcPr>
          <w:p w14:paraId="5FF9F4A6" w14:textId="77777777" w:rsidR="003957AD" w:rsidRDefault="003957AD" w:rsidP="00DE0473">
            <w:pPr>
              <w:jc w:val="right"/>
              <w:rPr>
                <w:rFonts w:cs="Calibri"/>
                <w:color w:val="000000"/>
              </w:rPr>
            </w:pPr>
            <w:r>
              <w:rPr>
                <w:rFonts w:cs="Calibri"/>
                <w:color w:val="000000"/>
              </w:rPr>
              <w:t>2%</w:t>
            </w:r>
          </w:p>
        </w:tc>
        <w:tc>
          <w:tcPr>
            <w:tcW w:w="1559" w:type="dxa"/>
            <w:vAlign w:val="bottom"/>
          </w:tcPr>
          <w:p w14:paraId="132B7AFF" w14:textId="77777777" w:rsidR="003957AD" w:rsidRDefault="003957AD" w:rsidP="00DE0473">
            <w:pPr>
              <w:jc w:val="right"/>
              <w:rPr>
                <w:rFonts w:cs="Calibri"/>
                <w:color w:val="000000"/>
              </w:rPr>
            </w:pPr>
            <w:r>
              <w:rPr>
                <w:rFonts w:cs="Calibri"/>
                <w:color w:val="000000"/>
              </w:rPr>
              <w:t>5%</w:t>
            </w:r>
          </w:p>
        </w:tc>
      </w:tr>
      <w:tr w:rsidR="003957AD" w14:paraId="46FB4553" w14:textId="77777777" w:rsidTr="00DE0473">
        <w:tc>
          <w:tcPr>
            <w:tcW w:w="5353" w:type="dxa"/>
          </w:tcPr>
          <w:p w14:paraId="35E308D5" w14:textId="77777777" w:rsidR="003957AD" w:rsidRPr="0051278F" w:rsidRDefault="003957AD" w:rsidP="00DE0473">
            <w:r w:rsidRPr="0051278F">
              <w:t>Inadequate family support</w:t>
            </w:r>
          </w:p>
        </w:tc>
        <w:tc>
          <w:tcPr>
            <w:tcW w:w="1418" w:type="dxa"/>
            <w:vAlign w:val="bottom"/>
          </w:tcPr>
          <w:p w14:paraId="61D69863" w14:textId="77777777" w:rsidR="003957AD" w:rsidRDefault="003957AD" w:rsidP="00DE0473">
            <w:pPr>
              <w:jc w:val="right"/>
              <w:rPr>
                <w:rFonts w:cs="Calibri"/>
                <w:color w:val="000000"/>
              </w:rPr>
            </w:pPr>
            <w:r>
              <w:rPr>
                <w:rFonts w:cs="Calibri"/>
                <w:color w:val="000000"/>
              </w:rPr>
              <w:t>17%</w:t>
            </w:r>
          </w:p>
        </w:tc>
        <w:tc>
          <w:tcPr>
            <w:tcW w:w="1417" w:type="dxa"/>
            <w:vAlign w:val="bottom"/>
          </w:tcPr>
          <w:p w14:paraId="00A0F2F9" w14:textId="77777777" w:rsidR="003957AD" w:rsidRDefault="003957AD" w:rsidP="00DE0473">
            <w:pPr>
              <w:jc w:val="right"/>
              <w:rPr>
                <w:rFonts w:cs="Calibri"/>
                <w:color w:val="000000"/>
              </w:rPr>
            </w:pPr>
            <w:r>
              <w:rPr>
                <w:rFonts w:cs="Calibri"/>
                <w:color w:val="000000"/>
              </w:rPr>
              <w:t>26%</w:t>
            </w:r>
          </w:p>
        </w:tc>
        <w:tc>
          <w:tcPr>
            <w:tcW w:w="1559" w:type="dxa"/>
            <w:vAlign w:val="bottom"/>
          </w:tcPr>
          <w:p w14:paraId="3995E83D" w14:textId="77777777" w:rsidR="003957AD" w:rsidRDefault="003957AD" w:rsidP="00DE0473">
            <w:pPr>
              <w:jc w:val="right"/>
              <w:rPr>
                <w:rFonts w:cs="Calibri"/>
                <w:color w:val="000000"/>
              </w:rPr>
            </w:pPr>
            <w:r>
              <w:rPr>
                <w:rFonts w:cs="Calibri"/>
                <w:color w:val="000000"/>
              </w:rPr>
              <w:t>36%</w:t>
            </w:r>
          </w:p>
        </w:tc>
      </w:tr>
      <w:tr w:rsidR="003957AD" w14:paraId="19EC204E" w14:textId="77777777" w:rsidTr="00DE0473">
        <w:tc>
          <w:tcPr>
            <w:tcW w:w="5353" w:type="dxa"/>
          </w:tcPr>
          <w:p w14:paraId="309F6C4D" w14:textId="77777777" w:rsidR="003957AD" w:rsidRPr="0051278F" w:rsidRDefault="003957AD" w:rsidP="00DE0473">
            <w:r w:rsidRPr="0051278F">
              <w:t>Learning Difficulty</w:t>
            </w:r>
          </w:p>
        </w:tc>
        <w:tc>
          <w:tcPr>
            <w:tcW w:w="1418" w:type="dxa"/>
            <w:vAlign w:val="bottom"/>
          </w:tcPr>
          <w:p w14:paraId="6F0A9612" w14:textId="77777777" w:rsidR="003957AD" w:rsidRDefault="003957AD" w:rsidP="00DE0473">
            <w:pPr>
              <w:jc w:val="right"/>
              <w:rPr>
                <w:rFonts w:cs="Calibri"/>
                <w:color w:val="000000"/>
              </w:rPr>
            </w:pPr>
            <w:r>
              <w:rPr>
                <w:rFonts w:cs="Calibri"/>
                <w:color w:val="000000"/>
              </w:rPr>
              <w:t>7%</w:t>
            </w:r>
          </w:p>
        </w:tc>
        <w:tc>
          <w:tcPr>
            <w:tcW w:w="1417" w:type="dxa"/>
            <w:vAlign w:val="bottom"/>
          </w:tcPr>
          <w:p w14:paraId="042C110D" w14:textId="77777777" w:rsidR="003957AD" w:rsidRDefault="003957AD" w:rsidP="00DE0473">
            <w:pPr>
              <w:jc w:val="right"/>
              <w:rPr>
                <w:rFonts w:cs="Calibri"/>
                <w:color w:val="000000"/>
              </w:rPr>
            </w:pPr>
            <w:r>
              <w:rPr>
                <w:rFonts w:cs="Calibri"/>
                <w:color w:val="000000"/>
              </w:rPr>
              <w:t>9%</w:t>
            </w:r>
          </w:p>
        </w:tc>
        <w:tc>
          <w:tcPr>
            <w:tcW w:w="1559" w:type="dxa"/>
            <w:vAlign w:val="bottom"/>
          </w:tcPr>
          <w:p w14:paraId="2996D167" w14:textId="77777777" w:rsidR="003957AD" w:rsidRDefault="003957AD" w:rsidP="00DE0473">
            <w:pPr>
              <w:jc w:val="right"/>
              <w:rPr>
                <w:rFonts w:cs="Calibri"/>
                <w:color w:val="000000"/>
              </w:rPr>
            </w:pPr>
            <w:r>
              <w:rPr>
                <w:rFonts w:cs="Calibri"/>
                <w:color w:val="000000"/>
              </w:rPr>
              <w:t>9%</w:t>
            </w:r>
          </w:p>
        </w:tc>
      </w:tr>
      <w:tr w:rsidR="003957AD" w14:paraId="1AB41486" w14:textId="77777777" w:rsidTr="00DE0473">
        <w:tc>
          <w:tcPr>
            <w:tcW w:w="5353" w:type="dxa"/>
          </w:tcPr>
          <w:p w14:paraId="12A0198B" w14:textId="77777777" w:rsidR="003957AD" w:rsidRPr="0051278F" w:rsidRDefault="003957AD" w:rsidP="00DE0473">
            <w:r w:rsidRPr="0051278F">
              <w:t>Low literacy and/or numeracy</w:t>
            </w:r>
          </w:p>
        </w:tc>
        <w:tc>
          <w:tcPr>
            <w:tcW w:w="1418" w:type="dxa"/>
            <w:vAlign w:val="bottom"/>
          </w:tcPr>
          <w:p w14:paraId="2300AEBB" w14:textId="77777777" w:rsidR="003957AD" w:rsidRDefault="003957AD" w:rsidP="00DE0473">
            <w:pPr>
              <w:jc w:val="right"/>
              <w:rPr>
                <w:rFonts w:cs="Calibri"/>
                <w:color w:val="000000"/>
              </w:rPr>
            </w:pPr>
            <w:r>
              <w:rPr>
                <w:rFonts w:cs="Calibri"/>
                <w:color w:val="000000"/>
              </w:rPr>
              <w:t>43%</w:t>
            </w:r>
          </w:p>
        </w:tc>
        <w:tc>
          <w:tcPr>
            <w:tcW w:w="1417" w:type="dxa"/>
            <w:vAlign w:val="bottom"/>
          </w:tcPr>
          <w:p w14:paraId="6C3C0F7A" w14:textId="77777777" w:rsidR="003957AD" w:rsidRDefault="003957AD" w:rsidP="00DE0473">
            <w:pPr>
              <w:jc w:val="right"/>
              <w:rPr>
                <w:rFonts w:cs="Calibri"/>
                <w:color w:val="000000"/>
              </w:rPr>
            </w:pPr>
            <w:r>
              <w:rPr>
                <w:rFonts w:cs="Calibri"/>
                <w:color w:val="000000"/>
              </w:rPr>
              <w:t>51%</w:t>
            </w:r>
          </w:p>
        </w:tc>
        <w:tc>
          <w:tcPr>
            <w:tcW w:w="1559" w:type="dxa"/>
            <w:vAlign w:val="bottom"/>
          </w:tcPr>
          <w:p w14:paraId="572AA977" w14:textId="77777777" w:rsidR="003957AD" w:rsidRDefault="003957AD" w:rsidP="00DE0473">
            <w:pPr>
              <w:jc w:val="right"/>
              <w:rPr>
                <w:rFonts w:cs="Calibri"/>
                <w:color w:val="000000"/>
              </w:rPr>
            </w:pPr>
            <w:r>
              <w:rPr>
                <w:rFonts w:cs="Calibri"/>
                <w:color w:val="000000"/>
              </w:rPr>
              <w:t>52%</w:t>
            </w:r>
          </w:p>
        </w:tc>
      </w:tr>
      <w:tr w:rsidR="003957AD" w14:paraId="3D71531C" w14:textId="77777777" w:rsidTr="00DE0473">
        <w:tc>
          <w:tcPr>
            <w:tcW w:w="5353" w:type="dxa"/>
          </w:tcPr>
          <w:p w14:paraId="09840770" w14:textId="77777777" w:rsidR="003957AD" w:rsidRPr="0051278F" w:rsidRDefault="003957AD" w:rsidP="00DE0473">
            <w:r w:rsidRPr="0051278F">
              <w:t>Low Self Esteem</w:t>
            </w:r>
          </w:p>
        </w:tc>
        <w:tc>
          <w:tcPr>
            <w:tcW w:w="1418" w:type="dxa"/>
            <w:vAlign w:val="bottom"/>
          </w:tcPr>
          <w:p w14:paraId="291E145A" w14:textId="77777777" w:rsidR="003957AD" w:rsidRDefault="003957AD" w:rsidP="00DE0473">
            <w:pPr>
              <w:jc w:val="right"/>
              <w:rPr>
                <w:rFonts w:cs="Calibri"/>
                <w:color w:val="000000"/>
              </w:rPr>
            </w:pPr>
            <w:r>
              <w:rPr>
                <w:rFonts w:cs="Calibri"/>
                <w:color w:val="000000"/>
              </w:rPr>
              <w:t>54%</w:t>
            </w:r>
          </w:p>
        </w:tc>
        <w:tc>
          <w:tcPr>
            <w:tcW w:w="1417" w:type="dxa"/>
            <w:vAlign w:val="bottom"/>
          </w:tcPr>
          <w:p w14:paraId="01FF912C" w14:textId="77777777" w:rsidR="003957AD" w:rsidRDefault="003957AD" w:rsidP="00DE0473">
            <w:pPr>
              <w:jc w:val="right"/>
              <w:rPr>
                <w:rFonts w:cs="Calibri"/>
                <w:color w:val="000000"/>
              </w:rPr>
            </w:pPr>
            <w:r>
              <w:rPr>
                <w:rFonts w:cs="Calibri"/>
                <w:color w:val="000000"/>
              </w:rPr>
              <w:t>57%</w:t>
            </w:r>
          </w:p>
        </w:tc>
        <w:tc>
          <w:tcPr>
            <w:tcW w:w="1559" w:type="dxa"/>
            <w:vAlign w:val="bottom"/>
          </w:tcPr>
          <w:p w14:paraId="4470FB9B" w14:textId="77777777" w:rsidR="003957AD" w:rsidRDefault="003957AD" w:rsidP="00DE0473">
            <w:pPr>
              <w:jc w:val="right"/>
              <w:rPr>
                <w:rFonts w:cs="Calibri"/>
                <w:color w:val="000000"/>
              </w:rPr>
            </w:pPr>
            <w:r>
              <w:rPr>
                <w:rFonts w:cs="Calibri"/>
                <w:color w:val="000000"/>
              </w:rPr>
              <w:t>56%</w:t>
            </w:r>
          </w:p>
        </w:tc>
      </w:tr>
      <w:tr w:rsidR="003957AD" w14:paraId="6652F889" w14:textId="77777777" w:rsidTr="00DE0473">
        <w:tc>
          <w:tcPr>
            <w:tcW w:w="5353" w:type="dxa"/>
          </w:tcPr>
          <w:p w14:paraId="3F8E35EF" w14:textId="77777777" w:rsidR="003957AD" w:rsidRPr="0051278F" w:rsidRDefault="003957AD" w:rsidP="00DE0473">
            <w:r w:rsidRPr="0051278F">
              <w:t>Medical or other health issue</w:t>
            </w:r>
          </w:p>
        </w:tc>
        <w:tc>
          <w:tcPr>
            <w:tcW w:w="1418" w:type="dxa"/>
            <w:vAlign w:val="bottom"/>
          </w:tcPr>
          <w:p w14:paraId="4DB7E6B8" w14:textId="77777777" w:rsidR="003957AD" w:rsidRDefault="003957AD" w:rsidP="00DE0473">
            <w:pPr>
              <w:jc w:val="right"/>
              <w:rPr>
                <w:rFonts w:cs="Calibri"/>
                <w:color w:val="000000"/>
              </w:rPr>
            </w:pPr>
            <w:r>
              <w:rPr>
                <w:rFonts w:cs="Calibri"/>
                <w:color w:val="000000"/>
              </w:rPr>
              <w:t>7%</w:t>
            </w:r>
          </w:p>
        </w:tc>
        <w:tc>
          <w:tcPr>
            <w:tcW w:w="1417" w:type="dxa"/>
            <w:vAlign w:val="bottom"/>
          </w:tcPr>
          <w:p w14:paraId="231AF2F8" w14:textId="77777777" w:rsidR="003957AD" w:rsidRDefault="003957AD" w:rsidP="00DE0473">
            <w:pPr>
              <w:jc w:val="right"/>
              <w:rPr>
                <w:rFonts w:cs="Calibri"/>
                <w:color w:val="000000"/>
              </w:rPr>
            </w:pPr>
            <w:r>
              <w:rPr>
                <w:rFonts w:cs="Calibri"/>
                <w:color w:val="000000"/>
              </w:rPr>
              <w:t>10%</w:t>
            </w:r>
          </w:p>
        </w:tc>
        <w:tc>
          <w:tcPr>
            <w:tcW w:w="1559" w:type="dxa"/>
            <w:vAlign w:val="bottom"/>
          </w:tcPr>
          <w:p w14:paraId="5BE7CA91" w14:textId="77777777" w:rsidR="003957AD" w:rsidRDefault="003957AD" w:rsidP="00DE0473">
            <w:pPr>
              <w:jc w:val="right"/>
              <w:rPr>
                <w:rFonts w:cs="Calibri"/>
                <w:color w:val="000000"/>
              </w:rPr>
            </w:pPr>
            <w:r>
              <w:rPr>
                <w:rFonts w:cs="Calibri"/>
                <w:color w:val="000000"/>
              </w:rPr>
              <w:t>12%</w:t>
            </w:r>
          </w:p>
        </w:tc>
      </w:tr>
      <w:tr w:rsidR="003957AD" w14:paraId="39B42BAF" w14:textId="77777777" w:rsidTr="00DE0473">
        <w:tc>
          <w:tcPr>
            <w:tcW w:w="5353" w:type="dxa"/>
          </w:tcPr>
          <w:p w14:paraId="18159423" w14:textId="77777777" w:rsidR="003957AD" w:rsidRPr="0051278F" w:rsidRDefault="003957AD" w:rsidP="00DE0473">
            <w:r w:rsidRPr="0051278F">
              <w:t>Negative experience(s) with education and training</w:t>
            </w:r>
          </w:p>
        </w:tc>
        <w:tc>
          <w:tcPr>
            <w:tcW w:w="1418" w:type="dxa"/>
            <w:vAlign w:val="bottom"/>
          </w:tcPr>
          <w:p w14:paraId="0EE0B991" w14:textId="77777777" w:rsidR="003957AD" w:rsidRDefault="003957AD" w:rsidP="00DE0473">
            <w:pPr>
              <w:jc w:val="right"/>
              <w:rPr>
                <w:rFonts w:cs="Calibri"/>
                <w:color w:val="000000"/>
              </w:rPr>
            </w:pPr>
            <w:r>
              <w:rPr>
                <w:rFonts w:cs="Calibri"/>
                <w:color w:val="000000"/>
              </w:rPr>
              <w:t>10%</w:t>
            </w:r>
          </w:p>
        </w:tc>
        <w:tc>
          <w:tcPr>
            <w:tcW w:w="1417" w:type="dxa"/>
            <w:vAlign w:val="bottom"/>
          </w:tcPr>
          <w:p w14:paraId="5E3BA1A7" w14:textId="77777777" w:rsidR="003957AD" w:rsidRDefault="003957AD" w:rsidP="00DE0473">
            <w:pPr>
              <w:jc w:val="right"/>
              <w:rPr>
                <w:rFonts w:cs="Calibri"/>
                <w:color w:val="000000"/>
              </w:rPr>
            </w:pPr>
            <w:r>
              <w:rPr>
                <w:rFonts w:cs="Calibri"/>
                <w:color w:val="000000"/>
              </w:rPr>
              <w:t>14%</w:t>
            </w:r>
          </w:p>
        </w:tc>
        <w:tc>
          <w:tcPr>
            <w:tcW w:w="1559" w:type="dxa"/>
            <w:vAlign w:val="bottom"/>
          </w:tcPr>
          <w:p w14:paraId="30B5636D" w14:textId="77777777" w:rsidR="003957AD" w:rsidRDefault="003957AD" w:rsidP="00DE0473">
            <w:pPr>
              <w:jc w:val="right"/>
              <w:rPr>
                <w:rFonts w:cs="Calibri"/>
                <w:color w:val="000000"/>
              </w:rPr>
            </w:pPr>
            <w:r>
              <w:rPr>
                <w:rFonts w:cs="Calibri"/>
                <w:color w:val="000000"/>
              </w:rPr>
              <w:t>15%</w:t>
            </w:r>
          </w:p>
        </w:tc>
      </w:tr>
      <w:tr w:rsidR="003957AD" w14:paraId="71741624" w14:textId="77777777" w:rsidTr="00DE0473">
        <w:tc>
          <w:tcPr>
            <w:tcW w:w="5353" w:type="dxa"/>
          </w:tcPr>
          <w:p w14:paraId="4FFC9F4E" w14:textId="77777777" w:rsidR="003957AD" w:rsidRPr="0051278F" w:rsidRDefault="003957AD" w:rsidP="00DE0473">
            <w:r w:rsidRPr="0051278F">
              <w:t>Out of home care</w:t>
            </w:r>
          </w:p>
        </w:tc>
        <w:tc>
          <w:tcPr>
            <w:tcW w:w="1418" w:type="dxa"/>
            <w:vAlign w:val="bottom"/>
          </w:tcPr>
          <w:p w14:paraId="29785F29" w14:textId="77777777" w:rsidR="003957AD" w:rsidRDefault="003957AD" w:rsidP="00DE0473">
            <w:pPr>
              <w:jc w:val="right"/>
              <w:rPr>
                <w:rFonts w:cs="Calibri"/>
                <w:color w:val="000000"/>
              </w:rPr>
            </w:pPr>
            <w:r>
              <w:rPr>
                <w:rFonts w:cs="Calibri"/>
                <w:color w:val="000000"/>
              </w:rPr>
              <w:t>2%</w:t>
            </w:r>
          </w:p>
        </w:tc>
        <w:tc>
          <w:tcPr>
            <w:tcW w:w="1417" w:type="dxa"/>
            <w:vAlign w:val="bottom"/>
          </w:tcPr>
          <w:p w14:paraId="09E769FC" w14:textId="77777777" w:rsidR="003957AD" w:rsidRDefault="003957AD" w:rsidP="00DE0473">
            <w:pPr>
              <w:jc w:val="right"/>
              <w:rPr>
                <w:rFonts w:cs="Calibri"/>
                <w:color w:val="000000"/>
              </w:rPr>
            </w:pPr>
            <w:r>
              <w:rPr>
                <w:rFonts w:cs="Calibri"/>
                <w:color w:val="000000"/>
              </w:rPr>
              <w:t>3%</w:t>
            </w:r>
          </w:p>
        </w:tc>
        <w:tc>
          <w:tcPr>
            <w:tcW w:w="1559" w:type="dxa"/>
            <w:vAlign w:val="bottom"/>
          </w:tcPr>
          <w:p w14:paraId="0DD9A3F8" w14:textId="77777777" w:rsidR="003957AD" w:rsidRDefault="003957AD" w:rsidP="00DE0473">
            <w:pPr>
              <w:jc w:val="right"/>
              <w:rPr>
                <w:rFonts w:cs="Calibri"/>
                <w:color w:val="000000"/>
              </w:rPr>
            </w:pPr>
            <w:r>
              <w:rPr>
                <w:rFonts w:cs="Calibri"/>
                <w:color w:val="000000"/>
              </w:rPr>
              <w:t>5%</w:t>
            </w:r>
          </w:p>
        </w:tc>
      </w:tr>
      <w:tr w:rsidR="003957AD" w14:paraId="25DA0569" w14:textId="77777777" w:rsidTr="00DE0473">
        <w:tc>
          <w:tcPr>
            <w:tcW w:w="5353" w:type="dxa"/>
          </w:tcPr>
          <w:p w14:paraId="0D825400" w14:textId="77777777" w:rsidR="003957AD" w:rsidRPr="0051278F" w:rsidRDefault="003957AD" w:rsidP="00DE0473">
            <w:r w:rsidRPr="0051278F">
              <w:t>Parent/Pregnancy</w:t>
            </w:r>
          </w:p>
        </w:tc>
        <w:tc>
          <w:tcPr>
            <w:tcW w:w="1418" w:type="dxa"/>
            <w:vAlign w:val="bottom"/>
          </w:tcPr>
          <w:p w14:paraId="5BDD2D49" w14:textId="77777777" w:rsidR="003957AD" w:rsidRDefault="003957AD" w:rsidP="00DE0473">
            <w:pPr>
              <w:jc w:val="right"/>
              <w:rPr>
                <w:rFonts w:cs="Calibri"/>
                <w:color w:val="000000"/>
              </w:rPr>
            </w:pPr>
            <w:r>
              <w:rPr>
                <w:rFonts w:cs="Calibri"/>
                <w:color w:val="000000"/>
              </w:rPr>
              <w:t>1%</w:t>
            </w:r>
          </w:p>
        </w:tc>
        <w:tc>
          <w:tcPr>
            <w:tcW w:w="1417" w:type="dxa"/>
            <w:vAlign w:val="bottom"/>
          </w:tcPr>
          <w:p w14:paraId="4F1F2694" w14:textId="77777777" w:rsidR="003957AD" w:rsidRDefault="003957AD" w:rsidP="00DE0473">
            <w:pPr>
              <w:jc w:val="right"/>
              <w:rPr>
                <w:rFonts w:cs="Calibri"/>
                <w:color w:val="000000"/>
              </w:rPr>
            </w:pPr>
            <w:r>
              <w:rPr>
                <w:rFonts w:cs="Calibri"/>
                <w:color w:val="000000"/>
              </w:rPr>
              <w:t>2%</w:t>
            </w:r>
          </w:p>
        </w:tc>
        <w:tc>
          <w:tcPr>
            <w:tcW w:w="1559" w:type="dxa"/>
            <w:vAlign w:val="bottom"/>
          </w:tcPr>
          <w:p w14:paraId="7917EC88" w14:textId="77777777" w:rsidR="003957AD" w:rsidRDefault="003957AD" w:rsidP="00DE0473">
            <w:pPr>
              <w:jc w:val="right"/>
              <w:rPr>
                <w:rFonts w:cs="Calibri"/>
                <w:color w:val="000000"/>
              </w:rPr>
            </w:pPr>
            <w:r>
              <w:rPr>
                <w:rFonts w:cs="Calibri"/>
                <w:color w:val="000000"/>
              </w:rPr>
              <w:t>7%</w:t>
            </w:r>
          </w:p>
        </w:tc>
      </w:tr>
      <w:tr w:rsidR="003957AD" w14:paraId="790983A5" w14:textId="77777777" w:rsidTr="00DE0473">
        <w:tc>
          <w:tcPr>
            <w:tcW w:w="5353" w:type="dxa"/>
          </w:tcPr>
          <w:p w14:paraId="380E451E" w14:textId="77777777" w:rsidR="003957AD" w:rsidRPr="0051278F" w:rsidRDefault="003957AD" w:rsidP="00DE0473">
            <w:r w:rsidRPr="0051278F">
              <w:t>Petrol sniffing</w:t>
            </w:r>
          </w:p>
        </w:tc>
        <w:tc>
          <w:tcPr>
            <w:tcW w:w="1418" w:type="dxa"/>
            <w:vAlign w:val="bottom"/>
          </w:tcPr>
          <w:p w14:paraId="167E5DAD" w14:textId="77777777" w:rsidR="003957AD" w:rsidRDefault="003957AD" w:rsidP="00DE0473">
            <w:pPr>
              <w:jc w:val="right"/>
              <w:rPr>
                <w:rFonts w:cs="Calibri"/>
                <w:color w:val="000000"/>
              </w:rPr>
            </w:pPr>
            <w:r>
              <w:rPr>
                <w:rFonts w:cs="Calibri"/>
                <w:color w:val="000000"/>
              </w:rPr>
              <w:t>0%</w:t>
            </w:r>
          </w:p>
        </w:tc>
        <w:tc>
          <w:tcPr>
            <w:tcW w:w="1417" w:type="dxa"/>
            <w:vAlign w:val="bottom"/>
          </w:tcPr>
          <w:p w14:paraId="08DC7E28" w14:textId="77777777" w:rsidR="003957AD" w:rsidRDefault="003957AD" w:rsidP="00DE0473">
            <w:pPr>
              <w:jc w:val="right"/>
              <w:rPr>
                <w:rFonts w:cs="Calibri"/>
                <w:color w:val="000000"/>
              </w:rPr>
            </w:pPr>
            <w:r>
              <w:rPr>
                <w:rFonts w:cs="Calibri"/>
                <w:color w:val="000000"/>
              </w:rPr>
              <w:t>0%</w:t>
            </w:r>
          </w:p>
        </w:tc>
        <w:tc>
          <w:tcPr>
            <w:tcW w:w="1559" w:type="dxa"/>
            <w:vAlign w:val="bottom"/>
          </w:tcPr>
          <w:p w14:paraId="0DE082E0" w14:textId="77777777" w:rsidR="003957AD" w:rsidRDefault="003957AD" w:rsidP="00DE0473">
            <w:pPr>
              <w:jc w:val="right"/>
              <w:rPr>
                <w:rFonts w:cs="Calibri"/>
                <w:color w:val="000000"/>
              </w:rPr>
            </w:pPr>
            <w:r>
              <w:rPr>
                <w:rFonts w:cs="Calibri"/>
                <w:color w:val="000000"/>
              </w:rPr>
              <w:t>0%</w:t>
            </w:r>
          </w:p>
        </w:tc>
      </w:tr>
      <w:tr w:rsidR="003957AD" w14:paraId="7E51A0B9" w14:textId="77777777" w:rsidTr="00DE0473">
        <w:tc>
          <w:tcPr>
            <w:tcW w:w="5353" w:type="dxa"/>
          </w:tcPr>
          <w:p w14:paraId="7D0C3A96" w14:textId="77777777" w:rsidR="003957AD" w:rsidRPr="0051278F" w:rsidRDefault="003957AD" w:rsidP="00DE0473">
            <w:r w:rsidRPr="0051278F">
              <w:t>Socialisation issues</w:t>
            </w:r>
          </w:p>
        </w:tc>
        <w:tc>
          <w:tcPr>
            <w:tcW w:w="1418" w:type="dxa"/>
            <w:vAlign w:val="bottom"/>
          </w:tcPr>
          <w:p w14:paraId="5930910A" w14:textId="77777777" w:rsidR="003957AD" w:rsidRDefault="003957AD" w:rsidP="00DE0473">
            <w:pPr>
              <w:jc w:val="right"/>
              <w:rPr>
                <w:rFonts w:cs="Calibri"/>
                <w:color w:val="000000"/>
              </w:rPr>
            </w:pPr>
            <w:r>
              <w:rPr>
                <w:rFonts w:cs="Calibri"/>
                <w:color w:val="000000"/>
              </w:rPr>
              <w:t>38%</w:t>
            </w:r>
          </w:p>
        </w:tc>
        <w:tc>
          <w:tcPr>
            <w:tcW w:w="1417" w:type="dxa"/>
            <w:vAlign w:val="bottom"/>
          </w:tcPr>
          <w:p w14:paraId="373912E9" w14:textId="77777777" w:rsidR="003957AD" w:rsidRDefault="003957AD" w:rsidP="00DE0473">
            <w:pPr>
              <w:jc w:val="right"/>
              <w:rPr>
                <w:rFonts w:cs="Calibri"/>
                <w:color w:val="000000"/>
              </w:rPr>
            </w:pPr>
            <w:r>
              <w:rPr>
                <w:rFonts w:cs="Calibri"/>
                <w:color w:val="000000"/>
              </w:rPr>
              <w:t>42%</w:t>
            </w:r>
          </w:p>
        </w:tc>
        <w:tc>
          <w:tcPr>
            <w:tcW w:w="1559" w:type="dxa"/>
            <w:vAlign w:val="bottom"/>
          </w:tcPr>
          <w:p w14:paraId="23974C2A" w14:textId="77777777" w:rsidR="003957AD" w:rsidRDefault="003957AD" w:rsidP="00DE0473">
            <w:pPr>
              <w:jc w:val="right"/>
              <w:rPr>
                <w:rFonts w:cs="Calibri"/>
                <w:color w:val="000000"/>
              </w:rPr>
            </w:pPr>
            <w:r>
              <w:rPr>
                <w:rFonts w:cs="Calibri"/>
                <w:color w:val="000000"/>
              </w:rPr>
              <w:t>44%</w:t>
            </w:r>
          </w:p>
        </w:tc>
      </w:tr>
      <w:tr w:rsidR="003957AD" w14:paraId="44472DA4" w14:textId="77777777" w:rsidTr="00DE0473">
        <w:tc>
          <w:tcPr>
            <w:tcW w:w="5353" w:type="dxa"/>
          </w:tcPr>
          <w:p w14:paraId="1C8FE5A0" w14:textId="77777777" w:rsidR="003957AD" w:rsidRPr="0051278F" w:rsidRDefault="003957AD" w:rsidP="00DE0473">
            <w:r w:rsidRPr="0051278F">
              <w:t>Suspected or diagnosed mental health issue</w:t>
            </w:r>
          </w:p>
        </w:tc>
        <w:tc>
          <w:tcPr>
            <w:tcW w:w="1418" w:type="dxa"/>
            <w:vAlign w:val="bottom"/>
          </w:tcPr>
          <w:p w14:paraId="5768EDBC" w14:textId="77777777" w:rsidR="003957AD" w:rsidRDefault="003957AD" w:rsidP="00DE0473">
            <w:pPr>
              <w:jc w:val="right"/>
              <w:rPr>
                <w:rFonts w:cs="Calibri"/>
                <w:color w:val="000000"/>
              </w:rPr>
            </w:pPr>
            <w:r>
              <w:rPr>
                <w:rFonts w:cs="Calibri"/>
                <w:color w:val="000000"/>
              </w:rPr>
              <w:t>16%</w:t>
            </w:r>
          </w:p>
        </w:tc>
        <w:tc>
          <w:tcPr>
            <w:tcW w:w="1417" w:type="dxa"/>
            <w:vAlign w:val="bottom"/>
          </w:tcPr>
          <w:p w14:paraId="6F75317E" w14:textId="77777777" w:rsidR="003957AD" w:rsidRDefault="003957AD" w:rsidP="00DE0473">
            <w:pPr>
              <w:jc w:val="right"/>
              <w:rPr>
                <w:rFonts w:cs="Calibri"/>
                <w:color w:val="000000"/>
              </w:rPr>
            </w:pPr>
            <w:r>
              <w:rPr>
                <w:rFonts w:cs="Calibri"/>
                <w:color w:val="000000"/>
              </w:rPr>
              <w:t>29%</w:t>
            </w:r>
          </w:p>
        </w:tc>
        <w:tc>
          <w:tcPr>
            <w:tcW w:w="1559" w:type="dxa"/>
            <w:vAlign w:val="bottom"/>
          </w:tcPr>
          <w:p w14:paraId="7DF893B3" w14:textId="77777777" w:rsidR="003957AD" w:rsidRDefault="003957AD" w:rsidP="00DE0473">
            <w:pPr>
              <w:jc w:val="right"/>
              <w:rPr>
                <w:rFonts w:cs="Calibri"/>
                <w:color w:val="000000"/>
              </w:rPr>
            </w:pPr>
            <w:r>
              <w:rPr>
                <w:rFonts w:cs="Calibri"/>
                <w:color w:val="000000"/>
              </w:rPr>
              <w:t>32%</w:t>
            </w:r>
          </w:p>
        </w:tc>
      </w:tr>
      <w:tr w:rsidR="003957AD" w14:paraId="74AF20B6" w14:textId="77777777" w:rsidTr="00DE0473">
        <w:tc>
          <w:tcPr>
            <w:tcW w:w="5353" w:type="dxa"/>
          </w:tcPr>
          <w:p w14:paraId="79AED0E7" w14:textId="77777777" w:rsidR="003957AD" w:rsidRPr="0051278F" w:rsidRDefault="003957AD" w:rsidP="00DE0473">
            <w:r w:rsidRPr="0051278F">
              <w:t>Unstable living arrangements</w:t>
            </w:r>
          </w:p>
        </w:tc>
        <w:tc>
          <w:tcPr>
            <w:tcW w:w="1418" w:type="dxa"/>
            <w:vAlign w:val="bottom"/>
          </w:tcPr>
          <w:p w14:paraId="42913670" w14:textId="77777777" w:rsidR="003957AD" w:rsidRDefault="003957AD" w:rsidP="00DE0473">
            <w:pPr>
              <w:jc w:val="right"/>
              <w:rPr>
                <w:rFonts w:cs="Calibri"/>
                <w:color w:val="000000"/>
              </w:rPr>
            </w:pPr>
            <w:r>
              <w:rPr>
                <w:rFonts w:cs="Calibri"/>
                <w:color w:val="000000"/>
              </w:rPr>
              <w:t>8%</w:t>
            </w:r>
          </w:p>
        </w:tc>
        <w:tc>
          <w:tcPr>
            <w:tcW w:w="1417" w:type="dxa"/>
            <w:vAlign w:val="bottom"/>
          </w:tcPr>
          <w:p w14:paraId="57E23E94" w14:textId="77777777" w:rsidR="003957AD" w:rsidRDefault="003957AD" w:rsidP="00DE0473">
            <w:pPr>
              <w:jc w:val="right"/>
              <w:rPr>
                <w:rFonts w:cs="Calibri"/>
                <w:color w:val="000000"/>
              </w:rPr>
            </w:pPr>
            <w:r>
              <w:rPr>
                <w:rFonts w:cs="Calibri"/>
                <w:color w:val="000000"/>
              </w:rPr>
              <w:t>15%</w:t>
            </w:r>
          </w:p>
        </w:tc>
        <w:tc>
          <w:tcPr>
            <w:tcW w:w="1559" w:type="dxa"/>
            <w:vAlign w:val="bottom"/>
          </w:tcPr>
          <w:p w14:paraId="1D879014" w14:textId="77777777" w:rsidR="003957AD" w:rsidRDefault="003957AD" w:rsidP="00DE0473">
            <w:pPr>
              <w:jc w:val="right"/>
              <w:rPr>
                <w:rFonts w:cs="Calibri"/>
                <w:color w:val="000000"/>
              </w:rPr>
            </w:pPr>
            <w:r>
              <w:rPr>
                <w:rFonts w:cs="Calibri"/>
                <w:color w:val="000000"/>
              </w:rPr>
              <w:t>26%</w:t>
            </w:r>
          </w:p>
        </w:tc>
      </w:tr>
      <w:tr w:rsidR="003957AD" w14:paraId="1297FB60" w14:textId="77777777" w:rsidTr="00DE0473">
        <w:tc>
          <w:tcPr>
            <w:tcW w:w="5353" w:type="dxa"/>
          </w:tcPr>
          <w:p w14:paraId="7D86D0F6" w14:textId="77777777" w:rsidR="003957AD" w:rsidRPr="0051278F" w:rsidRDefault="003957AD" w:rsidP="00DE0473">
            <w:r w:rsidRPr="0051278F">
              <w:t>Volatile substance misuse</w:t>
            </w:r>
          </w:p>
        </w:tc>
        <w:tc>
          <w:tcPr>
            <w:tcW w:w="1418" w:type="dxa"/>
            <w:vAlign w:val="bottom"/>
          </w:tcPr>
          <w:p w14:paraId="380B6E52" w14:textId="77777777" w:rsidR="003957AD" w:rsidRDefault="003957AD" w:rsidP="00DE0473">
            <w:pPr>
              <w:jc w:val="right"/>
              <w:rPr>
                <w:rFonts w:cs="Calibri"/>
                <w:color w:val="000000"/>
              </w:rPr>
            </w:pPr>
            <w:r>
              <w:rPr>
                <w:rFonts w:cs="Calibri"/>
                <w:color w:val="000000"/>
              </w:rPr>
              <w:t>0%</w:t>
            </w:r>
          </w:p>
        </w:tc>
        <w:tc>
          <w:tcPr>
            <w:tcW w:w="1417" w:type="dxa"/>
            <w:vAlign w:val="bottom"/>
          </w:tcPr>
          <w:p w14:paraId="29940A7F" w14:textId="77777777" w:rsidR="003957AD" w:rsidRDefault="003957AD" w:rsidP="00DE0473">
            <w:pPr>
              <w:jc w:val="right"/>
              <w:rPr>
                <w:rFonts w:cs="Calibri"/>
                <w:color w:val="000000"/>
              </w:rPr>
            </w:pPr>
            <w:r>
              <w:rPr>
                <w:rFonts w:cs="Calibri"/>
                <w:color w:val="000000"/>
              </w:rPr>
              <w:t>0%</w:t>
            </w:r>
          </w:p>
        </w:tc>
        <w:tc>
          <w:tcPr>
            <w:tcW w:w="1559" w:type="dxa"/>
            <w:vAlign w:val="bottom"/>
          </w:tcPr>
          <w:p w14:paraId="2F636149" w14:textId="77777777" w:rsidR="003957AD" w:rsidRDefault="003957AD" w:rsidP="00DE0473">
            <w:pPr>
              <w:jc w:val="right"/>
              <w:rPr>
                <w:rFonts w:cs="Calibri"/>
                <w:color w:val="000000"/>
              </w:rPr>
            </w:pPr>
            <w:r>
              <w:rPr>
                <w:rFonts w:cs="Calibri"/>
                <w:color w:val="000000"/>
              </w:rPr>
              <w:t>1%</w:t>
            </w:r>
          </w:p>
        </w:tc>
      </w:tr>
      <w:tr w:rsidR="003957AD" w14:paraId="4466EE09" w14:textId="77777777" w:rsidTr="00DE0473">
        <w:tc>
          <w:tcPr>
            <w:tcW w:w="5353" w:type="dxa"/>
          </w:tcPr>
          <w:p w14:paraId="6B933AC9" w14:textId="77777777" w:rsidR="003957AD" w:rsidRPr="0051278F" w:rsidRDefault="003957AD" w:rsidP="00DE0473">
            <w:r>
              <w:t>Young Carer responsibilities</w:t>
            </w:r>
          </w:p>
        </w:tc>
        <w:tc>
          <w:tcPr>
            <w:tcW w:w="1418" w:type="dxa"/>
            <w:vAlign w:val="bottom"/>
          </w:tcPr>
          <w:p w14:paraId="0A43119B" w14:textId="77777777" w:rsidR="003957AD" w:rsidRDefault="003957AD" w:rsidP="00DE0473">
            <w:pPr>
              <w:jc w:val="right"/>
              <w:rPr>
                <w:rFonts w:cs="Calibri"/>
                <w:color w:val="000000"/>
              </w:rPr>
            </w:pPr>
            <w:r>
              <w:rPr>
                <w:rFonts w:cs="Calibri"/>
                <w:color w:val="000000"/>
              </w:rPr>
              <w:t>3%</w:t>
            </w:r>
          </w:p>
        </w:tc>
        <w:tc>
          <w:tcPr>
            <w:tcW w:w="1417" w:type="dxa"/>
            <w:vAlign w:val="bottom"/>
          </w:tcPr>
          <w:p w14:paraId="4A072007" w14:textId="77777777" w:rsidR="003957AD" w:rsidRDefault="003957AD" w:rsidP="00DE0473">
            <w:pPr>
              <w:jc w:val="right"/>
              <w:rPr>
                <w:rFonts w:cs="Calibri"/>
                <w:color w:val="000000"/>
              </w:rPr>
            </w:pPr>
            <w:r>
              <w:rPr>
                <w:rFonts w:cs="Calibri"/>
                <w:color w:val="000000"/>
              </w:rPr>
              <w:t>3%</w:t>
            </w:r>
          </w:p>
        </w:tc>
        <w:tc>
          <w:tcPr>
            <w:tcW w:w="1559" w:type="dxa"/>
            <w:vAlign w:val="bottom"/>
          </w:tcPr>
          <w:p w14:paraId="0E6499A4" w14:textId="77777777" w:rsidR="003957AD" w:rsidRDefault="003957AD" w:rsidP="00DE0473">
            <w:pPr>
              <w:jc w:val="right"/>
              <w:rPr>
                <w:rFonts w:cs="Calibri"/>
                <w:color w:val="000000"/>
              </w:rPr>
            </w:pPr>
            <w:r>
              <w:rPr>
                <w:rFonts w:cs="Calibri"/>
                <w:color w:val="000000"/>
              </w:rPr>
              <w:t>4%</w:t>
            </w:r>
          </w:p>
        </w:tc>
      </w:tr>
    </w:tbl>
    <w:p w14:paraId="3BC6B7B8" w14:textId="77777777" w:rsidR="003957AD" w:rsidRDefault="003957AD" w:rsidP="003957AD"/>
    <w:p w14:paraId="5182EFA0" w14:textId="77777777" w:rsidR="003957AD" w:rsidRPr="00873515" w:rsidRDefault="003957AD" w:rsidP="003957AD">
      <w:pPr>
        <w:rPr>
          <w:rFonts w:asciiTheme="majorHAnsi" w:eastAsiaTheme="majorEastAsia" w:hAnsiTheme="majorHAnsi" w:cstheme="majorBidi"/>
          <w:b/>
          <w:bCs/>
          <w:color w:val="365F91" w:themeColor="accent1" w:themeShade="BF"/>
          <w:sz w:val="28"/>
          <w:szCs w:val="28"/>
        </w:rPr>
      </w:pPr>
      <w:r>
        <w:br w:type="page"/>
      </w:r>
    </w:p>
    <w:p w14:paraId="6A6180AF" w14:textId="448FDB89" w:rsidR="003957AD" w:rsidRDefault="003957AD" w:rsidP="00546F15">
      <w:pPr>
        <w:pStyle w:val="Heading2"/>
      </w:pPr>
      <w:bookmarkStart w:id="38" w:name="_Toc384042868"/>
      <w:r>
        <w:lastRenderedPageBreak/>
        <w:t>Outcomes</w:t>
      </w:r>
      <w:bookmarkEnd w:id="38"/>
    </w:p>
    <w:p w14:paraId="3992AF83" w14:textId="77777777" w:rsidR="003957AD" w:rsidRPr="008A4267" w:rsidRDefault="003957AD" w:rsidP="00546F15">
      <w:pPr>
        <w:pStyle w:val="Heading4"/>
      </w:pPr>
      <w:r>
        <w:t>Table 11</w:t>
      </w:r>
      <w:r w:rsidRPr="008A4267">
        <w:t>: Participant Outcomes – All participants (current and exited)</w:t>
      </w:r>
    </w:p>
    <w:tbl>
      <w:tblPr>
        <w:tblStyle w:val="TableGrid"/>
        <w:tblW w:w="0" w:type="auto"/>
        <w:tblLook w:val="04A0" w:firstRow="1" w:lastRow="0" w:firstColumn="1" w:lastColumn="0" w:noHBand="0" w:noVBand="1"/>
        <w:tblDescription w:val="Table 11: Participant Outcomes – All participants (current and exited)"/>
      </w:tblPr>
      <w:tblGrid>
        <w:gridCol w:w="3794"/>
        <w:gridCol w:w="1480"/>
        <w:gridCol w:w="1480"/>
        <w:gridCol w:w="1480"/>
        <w:gridCol w:w="1480"/>
      </w:tblGrid>
      <w:tr w:rsidR="003957AD" w:rsidRPr="00DE704A" w14:paraId="3C610785" w14:textId="77777777" w:rsidTr="00DE0473">
        <w:trPr>
          <w:tblHeader/>
        </w:trPr>
        <w:tc>
          <w:tcPr>
            <w:tcW w:w="3794" w:type="dxa"/>
            <w:shd w:val="clear" w:color="auto" w:fill="C6D9F1" w:themeFill="text2" w:themeFillTint="33"/>
          </w:tcPr>
          <w:p w14:paraId="4B640AAF" w14:textId="77777777" w:rsidR="003957AD" w:rsidRPr="00DE704A" w:rsidRDefault="003957AD" w:rsidP="00DE0473">
            <w:pPr>
              <w:jc w:val="center"/>
              <w:rPr>
                <w:rFonts w:cs="Calibri"/>
                <w:b/>
                <w:bCs/>
                <w:color w:val="000000"/>
              </w:rPr>
            </w:pPr>
            <w:r>
              <w:rPr>
                <w:rFonts w:cs="Calibri"/>
                <w:b/>
                <w:bCs/>
                <w:color w:val="000000"/>
              </w:rPr>
              <w:t>Participant outcomes</w:t>
            </w:r>
          </w:p>
        </w:tc>
        <w:tc>
          <w:tcPr>
            <w:tcW w:w="1480" w:type="dxa"/>
            <w:shd w:val="clear" w:color="auto" w:fill="C6D9F1" w:themeFill="text2" w:themeFillTint="33"/>
            <w:vAlign w:val="bottom"/>
          </w:tcPr>
          <w:p w14:paraId="57FAAA19" w14:textId="77777777" w:rsidR="003957AD" w:rsidRDefault="003957AD" w:rsidP="00DE0473">
            <w:pPr>
              <w:jc w:val="center"/>
              <w:rPr>
                <w:rFonts w:cs="Calibri"/>
                <w:b/>
                <w:bCs/>
                <w:color w:val="000000"/>
              </w:rPr>
            </w:pPr>
            <w:r>
              <w:rPr>
                <w:rFonts w:cs="Calibri"/>
                <w:b/>
                <w:bCs/>
                <w:color w:val="000000"/>
              </w:rPr>
              <w:t>VIC</w:t>
            </w:r>
          </w:p>
        </w:tc>
        <w:tc>
          <w:tcPr>
            <w:tcW w:w="1480" w:type="dxa"/>
            <w:shd w:val="clear" w:color="auto" w:fill="C6D9F1" w:themeFill="text2" w:themeFillTint="33"/>
            <w:vAlign w:val="bottom"/>
          </w:tcPr>
          <w:p w14:paraId="465C68B5" w14:textId="77777777" w:rsidR="003957AD" w:rsidRDefault="003957AD" w:rsidP="00DE0473">
            <w:pPr>
              <w:jc w:val="center"/>
              <w:rPr>
                <w:rFonts w:cs="Calibri"/>
                <w:b/>
                <w:bCs/>
                <w:color w:val="000000"/>
              </w:rPr>
            </w:pPr>
            <w:r>
              <w:rPr>
                <w:rFonts w:cs="Calibri"/>
                <w:b/>
                <w:bCs/>
                <w:color w:val="000000"/>
              </w:rPr>
              <w:t>VIC %</w:t>
            </w:r>
          </w:p>
        </w:tc>
        <w:tc>
          <w:tcPr>
            <w:tcW w:w="1480" w:type="dxa"/>
            <w:shd w:val="clear" w:color="auto" w:fill="C6D9F1" w:themeFill="text2" w:themeFillTint="33"/>
            <w:vAlign w:val="bottom"/>
          </w:tcPr>
          <w:p w14:paraId="6229C99C" w14:textId="77777777" w:rsidR="003957AD" w:rsidRDefault="003957AD" w:rsidP="00DE0473">
            <w:pPr>
              <w:jc w:val="center"/>
              <w:rPr>
                <w:rFonts w:cs="Calibri"/>
                <w:b/>
                <w:bCs/>
                <w:color w:val="000000"/>
              </w:rPr>
            </w:pPr>
            <w:r>
              <w:rPr>
                <w:rFonts w:cs="Calibri"/>
                <w:b/>
                <w:bCs/>
                <w:color w:val="000000"/>
              </w:rPr>
              <w:t>National</w:t>
            </w:r>
          </w:p>
        </w:tc>
        <w:tc>
          <w:tcPr>
            <w:tcW w:w="1480" w:type="dxa"/>
            <w:shd w:val="clear" w:color="auto" w:fill="C6D9F1" w:themeFill="text2" w:themeFillTint="33"/>
            <w:vAlign w:val="bottom"/>
          </w:tcPr>
          <w:p w14:paraId="7828480D" w14:textId="77777777" w:rsidR="003957AD" w:rsidRDefault="003957AD" w:rsidP="00DE0473">
            <w:pPr>
              <w:jc w:val="center"/>
              <w:rPr>
                <w:rFonts w:cs="Calibri"/>
                <w:b/>
                <w:bCs/>
                <w:color w:val="000000"/>
              </w:rPr>
            </w:pPr>
            <w:r>
              <w:rPr>
                <w:rFonts w:cs="Calibri"/>
                <w:b/>
                <w:bCs/>
                <w:color w:val="000000"/>
              </w:rPr>
              <w:t>National %</w:t>
            </w:r>
          </w:p>
        </w:tc>
      </w:tr>
      <w:tr w:rsidR="003957AD" w14:paraId="4A51D163" w14:textId="77777777" w:rsidTr="00DE0473">
        <w:tc>
          <w:tcPr>
            <w:tcW w:w="3794" w:type="dxa"/>
          </w:tcPr>
          <w:p w14:paraId="716A4943" w14:textId="77777777" w:rsidR="003957AD" w:rsidRDefault="003957AD" w:rsidP="00DE0473">
            <w:r>
              <w:t>Young people enrolled in individual support services</w:t>
            </w:r>
          </w:p>
        </w:tc>
        <w:tc>
          <w:tcPr>
            <w:tcW w:w="1480" w:type="dxa"/>
            <w:vAlign w:val="center"/>
          </w:tcPr>
          <w:p w14:paraId="15898847" w14:textId="77777777" w:rsidR="003957AD" w:rsidRDefault="003957AD" w:rsidP="00DE0473">
            <w:pPr>
              <w:jc w:val="center"/>
              <w:rPr>
                <w:rFonts w:cs="Calibri"/>
                <w:color w:val="000000"/>
              </w:rPr>
            </w:pPr>
            <w:r>
              <w:rPr>
                <w:rFonts w:cs="Calibri"/>
                <w:color w:val="000000"/>
              </w:rPr>
              <w:t>13,068</w:t>
            </w:r>
          </w:p>
        </w:tc>
        <w:tc>
          <w:tcPr>
            <w:tcW w:w="1480" w:type="dxa"/>
            <w:vAlign w:val="center"/>
          </w:tcPr>
          <w:p w14:paraId="583DC5B6" w14:textId="77777777" w:rsidR="003957AD" w:rsidRDefault="003957AD" w:rsidP="00DE0473">
            <w:pPr>
              <w:jc w:val="center"/>
              <w:rPr>
                <w:rFonts w:cs="Calibri"/>
                <w:color w:val="000000"/>
              </w:rPr>
            </w:pPr>
            <w:r>
              <w:rPr>
                <w:rFonts w:cs="Calibri"/>
                <w:color w:val="000000"/>
              </w:rPr>
              <w:t>-</w:t>
            </w:r>
          </w:p>
        </w:tc>
        <w:tc>
          <w:tcPr>
            <w:tcW w:w="1480" w:type="dxa"/>
            <w:vAlign w:val="center"/>
          </w:tcPr>
          <w:p w14:paraId="54D6C09E" w14:textId="77777777" w:rsidR="003957AD" w:rsidRDefault="003957AD" w:rsidP="00DE0473">
            <w:pPr>
              <w:jc w:val="center"/>
              <w:rPr>
                <w:rFonts w:cs="Calibri"/>
                <w:color w:val="000000"/>
              </w:rPr>
            </w:pPr>
            <w:r>
              <w:rPr>
                <w:rFonts w:cs="Calibri"/>
                <w:color w:val="000000"/>
              </w:rPr>
              <w:t>58,408</w:t>
            </w:r>
          </w:p>
        </w:tc>
        <w:tc>
          <w:tcPr>
            <w:tcW w:w="1480" w:type="dxa"/>
            <w:vAlign w:val="center"/>
          </w:tcPr>
          <w:p w14:paraId="4DA83DA5" w14:textId="77777777" w:rsidR="003957AD" w:rsidRDefault="003957AD" w:rsidP="00DE0473">
            <w:pPr>
              <w:jc w:val="center"/>
              <w:rPr>
                <w:rFonts w:cs="Calibri"/>
                <w:color w:val="000000"/>
              </w:rPr>
            </w:pPr>
            <w:r>
              <w:rPr>
                <w:rFonts w:cs="Calibri"/>
                <w:color w:val="000000"/>
              </w:rPr>
              <w:t>-</w:t>
            </w:r>
          </w:p>
        </w:tc>
      </w:tr>
      <w:tr w:rsidR="003957AD" w14:paraId="02636242" w14:textId="77777777" w:rsidTr="00DE0473">
        <w:tc>
          <w:tcPr>
            <w:tcW w:w="3794" w:type="dxa"/>
          </w:tcPr>
          <w:p w14:paraId="3FDA92C4" w14:textId="77777777" w:rsidR="003957AD" w:rsidRDefault="003957AD" w:rsidP="00DE0473">
            <w:r>
              <w:t>Young people who have achieved a progressive outcome*</w:t>
            </w:r>
          </w:p>
        </w:tc>
        <w:tc>
          <w:tcPr>
            <w:tcW w:w="1480" w:type="dxa"/>
            <w:vAlign w:val="center"/>
          </w:tcPr>
          <w:p w14:paraId="3F3D2DD6" w14:textId="77777777" w:rsidR="003957AD" w:rsidRDefault="003957AD" w:rsidP="00DE0473">
            <w:pPr>
              <w:jc w:val="center"/>
              <w:rPr>
                <w:rFonts w:cs="Calibri"/>
                <w:color w:val="000000"/>
              </w:rPr>
            </w:pPr>
            <w:r>
              <w:rPr>
                <w:rFonts w:cs="Calibri"/>
                <w:color w:val="000000"/>
              </w:rPr>
              <w:t>9444</w:t>
            </w:r>
          </w:p>
        </w:tc>
        <w:tc>
          <w:tcPr>
            <w:tcW w:w="1480" w:type="dxa"/>
            <w:vAlign w:val="center"/>
          </w:tcPr>
          <w:p w14:paraId="29145345" w14:textId="77777777" w:rsidR="003957AD" w:rsidRDefault="003957AD" w:rsidP="00DE0473">
            <w:pPr>
              <w:jc w:val="center"/>
              <w:rPr>
                <w:rFonts w:cs="Calibri"/>
                <w:color w:val="000000"/>
              </w:rPr>
            </w:pPr>
            <w:r>
              <w:rPr>
                <w:rFonts w:cs="Calibri"/>
                <w:color w:val="000000"/>
              </w:rPr>
              <w:t>72%</w:t>
            </w:r>
          </w:p>
        </w:tc>
        <w:tc>
          <w:tcPr>
            <w:tcW w:w="1480" w:type="dxa"/>
            <w:vAlign w:val="center"/>
          </w:tcPr>
          <w:p w14:paraId="0BCB4075" w14:textId="77777777" w:rsidR="003957AD" w:rsidRDefault="003957AD" w:rsidP="00DE0473">
            <w:pPr>
              <w:jc w:val="center"/>
              <w:rPr>
                <w:rFonts w:cs="Calibri"/>
                <w:color w:val="000000"/>
              </w:rPr>
            </w:pPr>
            <w:r>
              <w:rPr>
                <w:rFonts w:cs="Calibri"/>
                <w:color w:val="000000"/>
              </w:rPr>
              <w:t>42,873</w:t>
            </w:r>
          </w:p>
        </w:tc>
        <w:tc>
          <w:tcPr>
            <w:tcW w:w="1480" w:type="dxa"/>
            <w:vAlign w:val="center"/>
          </w:tcPr>
          <w:p w14:paraId="0F74796F" w14:textId="77777777" w:rsidR="003957AD" w:rsidRDefault="003957AD" w:rsidP="00DE0473">
            <w:pPr>
              <w:jc w:val="center"/>
              <w:rPr>
                <w:rFonts w:cs="Calibri"/>
                <w:color w:val="000000"/>
              </w:rPr>
            </w:pPr>
            <w:r>
              <w:rPr>
                <w:rFonts w:cs="Calibri"/>
                <w:color w:val="000000"/>
              </w:rPr>
              <w:t>73%</w:t>
            </w:r>
          </w:p>
        </w:tc>
      </w:tr>
      <w:tr w:rsidR="003957AD" w14:paraId="3DB004DC" w14:textId="77777777" w:rsidTr="00DE0473">
        <w:tc>
          <w:tcPr>
            <w:tcW w:w="3794" w:type="dxa"/>
          </w:tcPr>
          <w:p w14:paraId="39BD23AB" w14:textId="77777777" w:rsidR="003957AD" w:rsidRDefault="003957AD" w:rsidP="00DE0473">
            <w:r>
              <w:t>Young people who have achieved a final outcome**</w:t>
            </w:r>
          </w:p>
        </w:tc>
        <w:tc>
          <w:tcPr>
            <w:tcW w:w="1480" w:type="dxa"/>
            <w:vAlign w:val="center"/>
          </w:tcPr>
          <w:p w14:paraId="280E189D" w14:textId="77777777" w:rsidR="003957AD" w:rsidRDefault="003957AD" w:rsidP="00DE0473">
            <w:pPr>
              <w:jc w:val="center"/>
              <w:rPr>
                <w:rFonts w:cs="Calibri"/>
                <w:color w:val="000000"/>
              </w:rPr>
            </w:pPr>
            <w:r>
              <w:rPr>
                <w:rFonts w:cs="Calibri"/>
                <w:color w:val="000000"/>
              </w:rPr>
              <w:t>7844</w:t>
            </w:r>
          </w:p>
        </w:tc>
        <w:tc>
          <w:tcPr>
            <w:tcW w:w="1480" w:type="dxa"/>
            <w:vAlign w:val="center"/>
          </w:tcPr>
          <w:p w14:paraId="3FD30013" w14:textId="77777777" w:rsidR="003957AD" w:rsidRDefault="003957AD" w:rsidP="00DE0473">
            <w:pPr>
              <w:jc w:val="center"/>
              <w:rPr>
                <w:rFonts w:cs="Calibri"/>
                <w:color w:val="000000"/>
              </w:rPr>
            </w:pPr>
            <w:r>
              <w:rPr>
                <w:rFonts w:cs="Calibri"/>
                <w:color w:val="000000"/>
              </w:rPr>
              <w:t>60%</w:t>
            </w:r>
          </w:p>
        </w:tc>
        <w:tc>
          <w:tcPr>
            <w:tcW w:w="1480" w:type="dxa"/>
            <w:vAlign w:val="center"/>
          </w:tcPr>
          <w:p w14:paraId="1CB6A5DB" w14:textId="77777777" w:rsidR="003957AD" w:rsidRDefault="003957AD" w:rsidP="00DE0473">
            <w:pPr>
              <w:jc w:val="center"/>
              <w:rPr>
                <w:rFonts w:cs="Calibri"/>
                <w:color w:val="000000"/>
              </w:rPr>
            </w:pPr>
            <w:r>
              <w:rPr>
                <w:rFonts w:cs="Calibri"/>
                <w:color w:val="000000"/>
              </w:rPr>
              <w:t>34,793</w:t>
            </w:r>
          </w:p>
        </w:tc>
        <w:tc>
          <w:tcPr>
            <w:tcW w:w="1480" w:type="dxa"/>
            <w:vAlign w:val="center"/>
          </w:tcPr>
          <w:p w14:paraId="26058AF1" w14:textId="77777777" w:rsidR="003957AD" w:rsidRDefault="003957AD" w:rsidP="00DE0473">
            <w:pPr>
              <w:jc w:val="center"/>
              <w:rPr>
                <w:rFonts w:cs="Calibri"/>
                <w:color w:val="000000"/>
              </w:rPr>
            </w:pPr>
            <w:r>
              <w:rPr>
                <w:rFonts w:cs="Calibri"/>
                <w:color w:val="000000"/>
              </w:rPr>
              <w:t>60%</w:t>
            </w:r>
          </w:p>
        </w:tc>
      </w:tr>
    </w:tbl>
    <w:p w14:paraId="0A6F2331" w14:textId="77777777" w:rsidR="002C1D61" w:rsidRDefault="002C1D61" w:rsidP="00546F15">
      <w:pPr>
        <w:pStyle w:val="Heading4"/>
      </w:pPr>
    </w:p>
    <w:p w14:paraId="2615FA5A" w14:textId="77777777" w:rsidR="003957AD" w:rsidRPr="008A4267" w:rsidRDefault="003957AD" w:rsidP="00546F15">
      <w:pPr>
        <w:pStyle w:val="Heading4"/>
      </w:pPr>
      <w:r>
        <w:t xml:space="preserve">Table 12: </w:t>
      </w:r>
      <w:r w:rsidRPr="008A4267">
        <w:t>Participant Outcomes – exited participants</w:t>
      </w:r>
    </w:p>
    <w:tbl>
      <w:tblPr>
        <w:tblStyle w:val="TableGrid"/>
        <w:tblW w:w="0" w:type="auto"/>
        <w:tblLook w:val="04A0" w:firstRow="1" w:lastRow="0" w:firstColumn="1" w:lastColumn="0" w:noHBand="0" w:noVBand="1"/>
        <w:tblDescription w:val="Table 12: Participant Outcomes – exited participants"/>
      </w:tblPr>
      <w:tblGrid>
        <w:gridCol w:w="3794"/>
        <w:gridCol w:w="1480"/>
        <w:gridCol w:w="1480"/>
        <w:gridCol w:w="1480"/>
        <w:gridCol w:w="1480"/>
      </w:tblGrid>
      <w:tr w:rsidR="003957AD" w:rsidRPr="00DE704A" w14:paraId="2B9007A8" w14:textId="77777777" w:rsidTr="00DE0473">
        <w:trPr>
          <w:tblHeader/>
        </w:trPr>
        <w:tc>
          <w:tcPr>
            <w:tcW w:w="3794" w:type="dxa"/>
            <w:shd w:val="clear" w:color="auto" w:fill="C6D9F1" w:themeFill="text2" w:themeFillTint="33"/>
          </w:tcPr>
          <w:p w14:paraId="343202FF" w14:textId="77777777" w:rsidR="003957AD" w:rsidRPr="00DE704A" w:rsidRDefault="003957AD" w:rsidP="00DE0473">
            <w:pPr>
              <w:jc w:val="center"/>
              <w:rPr>
                <w:rFonts w:cs="Calibri"/>
                <w:b/>
                <w:bCs/>
                <w:color w:val="000000"/>
              </w:rPr>
            </w:pPr>
            <w:r>
              <w:rPr>
                <w:rFonts w:cs="Calibri"/>
                <w:b/>
                <w:bCs/>
                <w:color w:val="000000"/>
              </w:rPr>
              <w:t>Participant outcomes</w:t>
            </w:r>
          </w:p>
        </w:tc>
        <w:tc>
          <w:tcPr>
            <w:tcW w:w="1480" w:type="dxa"/>
            <w:shd w:val="clear" w:color="auto" w:fill="C6D9F1" w:themeFill="text2" w:themeFillTint="33"/>
            <w:vAlign w:val="bottom"/>
          </w:tcPr>
          <w:p w14:paraId="7DA9C23B" w14:textId="77777777" w:rsidR="003957AD" w:rsidRDefault="003957AD" w:rsidP="00DE0473">
            <w:pPr>
              <w:jc w:val="center"/>
              <w:rPr>
                <w:rFonts w:cs="Calibri"/>
                <w:b/>
                <w:bCs/>
                <w:color w:val="000000"/>
              </w:rPr>
            </w:pPr>
            <w:r>
              <w:rPr>
                <w:rFonts w:cs="Calibri"/>
                <w:b/>
                <w:bCs/>
                <w:color w:val="000000"/>
              </w:rPr>
              <w:t>VIC</w:t>
            </w:r>
          </w:p>
        </w:tc>
        <w:tc>
          <w:tcPr>
            <w:tcW w:w="1480" w:type="dxa"/>
            <w:shd w:val="clear" w:color="auto" w:fill="C6D9F1" w:themeFill="text2" w:themeFillTint="33"/>
            <w:vAlign w:val="bottom"/>
          </w:tcPr>
          <w:p w14:paraId="748D4A37" w14:textId="77777777" w:rsidR="003957AD" w:rsidRDefault="003957AD" w:rsidP="00DE0473">
            <w:pPr>
              <w:jc w:val="center"/>
              <w:rPr>
                <w:rFonts w:cs="Calibri"/>
                <w:b/>
                <w:bCs/>
                <w:color w:val="000000"/>
              </w:rPr>
            </w:pPr>
            <w:r>
              <w:rPr>
                <w:rFonts w:cs="Calibri"/>
                <w:b/>
                <w:bCs/>
                <w:color w:val="000000"/>
              </w:rPr>
              <w:t>VIC %</w:t>
            </w:r>
          </w:p>
        </w:tc>
        <w:tc>
          <w:tcPr>
            <w:tcW w:w="1480" w:type="dxa"/>
            <w:shd w:val="clear" w:color="auto" w:fill="C6D9F1" w:themeFill="text2" w:themeFillTint="33"/>
            <w:vAlign w:val="bottom"/>
          </w:tcPr>
          <w:p w14:paraId="6B6518B0" w14:textId="77777777" w:rsidR="003957AD" w:rsidRDefault="003957AD" w:rsidP="00DE0473">
            <w:pPr>
              <w:jc w:val="center"/>
              <w:rPr>
                <w:rFonts w:cs="Calibri"/>
                <w:b/>
                <w:bCs/>
                <w:color w:val="000000"/>
              </w:rPr>
            </w:pPr>
            <w:r>
              <w:rPr>
                <w:rFonts w:cs="Calibri"/>
                <w:b/>
                <w:bCs/>
                <w:color w:val="000000"/>
              </w:rPr>
              <w:t>National</w:t>
            </w:r>
          </w:p>
        </w:tc>
        <w:tc>
          <w:tcPr>
            <w:tcW w:w="1480" w:type="dxa"/>
            <w:shd w:val="clear" w:color="auto" w:fill="C6D9F1" w:themeFill="text2" w:themeFillTint="33"/>
            <w:vAlign w:val="bottom"/>
          </w:tcPr>
          <w:p w14:paraId="207109C1" w14:textId="77777777" w:rsidR="003957AD" w:rsidRDefault="003957AD" w:rsidP="00DE0473">
            <w:pPr>
              <w:jc w:val="center"/>
              <w:rPr>
                <w:rFonts w:cs="Calibri"/>
                <w:b/>
                <w:bCs/>
                <w:color w:val="000000"/>
              </w:rPr>
            </w:pPr>
            <w:r>
              <w:rPr>
                <w:rFonts w:cs="Calibri"/>
                <w:b/>
                <w:bCs/>
                <w:color w:val="000000"/>
              </w:rPr>
              <w:t>National %</w:t>
            </w:r>
          </w:p>
        </w:tc>
      </w:tr>
      <w:tr w:rsidR="003957AD" w14:paraId="6EFD5346" w14:textId="77777777" w:rsidTr="00DE0473">
        <w:tc>
          <w:tcPr>
            <w:tcW w:w="3794" w:type="dxa"/>
          </w:tcPr>
          <w:p w14:paraId="4F828A01" w14:textId="77777777" w:rsidR="003957AD" w:rsidRDefault="003957AD" w:rsidP="00DE0473">
            <w:r>
              <w:t>Young people enrolled in individual support services</w:t>
            </w:r>
          </w:p>
        </w:tc>
        <w:tc>
          <w:tcPr>
            <w:tcW w:w="1480" w:type="dxa"/>
            <w:vAlign w:val="center"/>
          </w:tcPr>
          <w:p w14:paraId="5DF51743" w14:textId="77777777" w:rsidR="003957AD" w:rsidRDefault="003957AD" w:rsidP="00DE0473">
            <w:pPr>
              <w:jc w:val="center"/>
              <w:rPr>
                <w:rFonts w:cs="Calibri"/>
                <w:color w:val="000000"/>
              </w:rPr>
            </w:pPr>
            <w:r>
              <w:rPr>
                <w:rFonts w:cs="Calibri"/>
                <w:color w:val="000000"/>
              </w:rPr>
              <w:t>11,434</w:t>
            </w:r>
          </w:p>
        </w:tc>
        <w:tc>
          <w:tcPr>
            <w:tcW w:w="1480" w:type="dxa"/>
            <w:vAlign w:val="center"/>
          </w:tcPr>
          <w:p w14:paraId="1E8A4972" w14:textId="77777777" w:rsidR="003957AD" w:rsidRDefault="003957AD" w:rsidP="00DE0473">
            <w:pPr>
              <w:jc w:val="center"/>
              <w:rPr>
                <w:rFonts w:cs="Calibri"/>
                <w:color w:val="000000"/>
              </w:rPr>
            </w:pPr>
            <w:r>
              <w:rPr>
                <w:rFonts w:cs="Calibri"/>
                <w:color w:val="000000"/>
              </w:rPr>
              <w:t>-</w:t>
            </w:r>
          </w:p>
        </w:tc>
        <w:tc>
          <w:tcPr>
            <w:tcW w:w="1480" w:type="dxa"/>
            <w:vAlign w:val="center"/>
          </w:tcPr>
          <w:p w14:paraId="3A3067AA" w14:textId="77777777" w:rsidR="003957AD" w:rsidRDefault="003957AD" w:rsidP="00DE0473">
            <w:pPr>
              <w:jc w:val="center"/>
              <w:rPr>
                <w:rFonts w:cs="Calibri"/>
                <w:color w:val="000000"/>
              </w:rPr>
            </w:pPr>
            <w:r>
              <w:rPr>
                <w:rFonts w:cs="Calibri"/>
                <w:color w:val="000000"/>
              </w:rPr>
              <w:t>52,191</w:t>
            </w:r>
          </w:p>
        </w:tc>
        <w:tc>
          <w:tcPr>
            <w:tcW w:w="1480" w:type="dxa"/>
            <w:vAlign w:val="center"/>
          </w:tcPr>
          <w:p w14:paraId="6E05C902" w14:textId="77777777" w:rsidR="003957AD" w:rsidRDefault="003957AD" w:rsidP="00DE0473">
            <w:pPr>
              <w:jc w:val="center"/>
              <w:rPr>
                <w:rFonts w:cs="Calibri"/>
                <w:color w:val="000000"/>
              </w:rPr>
            </w:pPr>
            <w:r>
              <w:rPr>
                <w:rFonts w:cs="Calibri"/>
                <w:color w:val="000000"/>
              </w:rPr>
              <w:t>-</w:t>
            </w:r>
          </w:p>
        </w:tc>
      </w:tr>
      <w:tr w:rsidR="003957AD" w14:paraId="0444058C" w14:textId="77777777" w:rsidTr="00DE0473">
        <w:tc>
          <w:tcPr>
            <w:tcW w:w="3794" w:type="dxa"/>
          </w:tcPr>
          <w:p w14:paraId="0770A6E2" w14:textId="77777777" w:rsidR="003957AD" w:rsidRDefault="003957AD" w:rsidP="00DE0473">
            <w:r>
              <w:t>Young people who have achieved a progressive outcome</w:t>
            </w:r>
          </w:p>
        </w:tc>
        <w:tc>
          <w:tcPr>
            <w:tcW w:w="1480" w:type="dxa"/>
            <w:vAlign w:val="center"/>
          </w:tcPr>
          <w:p w14:paraId="07BEE8B9" w14:textId="77777777" w:rsidR="003957AD" w:rsidRDefault="003957AD" w:rsidP="00DE0473">
            <w:pPr>
              <w:jc w:val="center"/>
              <w:rPr>
                <w:rFonts w:cs="Calibri"/>
                <w:color w:val="000000"/>
              </w:rPr>
            </w:pPr>
            <w:r>
              <w:rPr>
                <w:rFonts w:cs="Calibri"/>
                <w:color w:val="000000"/>
              </w:rPr>
              <w:t>8451</w:t>
            </w:r>
          </w:p>
        </w:tc>
        <w:tc>
          <w:tcPr>
            <w:tcW w:w="1480" w:type="dxa"/>
            <w:vAlign w:val="center"/>
          </w:tcPr>
          <w:p w14:paraId="41F2B2A9" w14:textId="77777777" w:rsidR="003957AD" w:rsidRDefault="003957AD" w:rsidP="00DE0473">
            <w:pPr>
              <w:jc w:val="center"/>
              <w:rPr>
                <w:rFonts w:cs="Calibri"/>
                <w:color w:val="000000"/>
              </w:rPr>
            </w:pPr>
            <w:r>
              <w:rPr>
                <w:rFonts w:cs="Calibri"/>
                <w:color w:val="000000"/>
              </w:rPr>
              <w:t>74%</w:t>
            </w:r>
          </w:p>
        </w:tc>
        <w:tc>
          <w:tcPr>
            <w:tcW w:w="1480" w:type="dxa"/>
            <w:vAlign w:val="center"/>
          </w:tcPr>
          <w:p w14:paraId="16BCD2BE" w14:textId="77777777" w:rsidR="003957AD" w:rsidRDefault="003957AD" w:rsidP="00DE0473">
            <w:pPr>
              <w:jc w:val="center"/>
              <w:rPr>
                <w:rFonts w:cs="Calibri"/>
                <w:color w:val="000000"/>
              </w:rPr>
            </w:pPr>
            <w:r>
              <w:rPr>
                <w:rFonts w:cs="Calibri"/>
                <w:color w:val="000000"/>
              </w:rPr>
              <w:t>38,928</w:t>
            </w:r>
          </w:p>
        </w:tc>
        <w:tc>
          <w:tcPr>
            <w:tcW w:w="1480" w:type="dxa"/>
            <w:vAlign w:val="center"/>
          </w:tcPr>
          <w:p w14:paraId="64ED723A" w14:textId="77777777" w:rsidR="003957AD" w:rsidRDefault="003957AD" w:rsidP="00DE0473">
            <w:pPr>
              <w:jc w:val="center"/>
              <w:rPr>
                <w:rFonts w:cs="Calibri"/>
                <w:color w:val="000000"/>
              </w:rPr>
            </w:pPr>
            <w:r>
              <w:rPr>
                <w:rFonts w:cs="Calibri"/>
                <w:color w:val="000000"/>
              </w:rPr>
              <w:t>75%</w:t>
            </w:r>
          </w:p>
        </w:tc>
      </w:tr>
      <w:tr w:rsidR="003957AD" w14:paraId="727EE549" w14:textId="77777777" w:rsidTr="00DE0473">
        <w:tc>
          <w:tcPr>
            <w:tcW w:w="3794" w:type="dxa"/>
          </w:tcPr>
          <w:p w14:paraId="4095839B" w14:textId="77777777" w:rsidR="003957AD" w:rsidRDefault="003957AD" w:rsidP="00DE0473">
            <w:r>
              <w:t>Young people who have achieved a final outcome</w:t>
            </w:r>
          </w:p>
        </w:tc>
        <w:tc>
          <w:tcPr>
            <w:tcW w:w="1480" w:type="dxa"/>
            <w:vAlign w:val="center"/>
          </w:tcPr>
          <w:p w14:paraId="42E6B08B" w14:textId="77777777" w:rsidR="003957AD" w:rsidRDefault="003957AD" w:rsidP="00DE0473">
            <w:pPr>
              <w:jc w:val="center"/>
              <w:rPr>
                <w:rFonts w:cs="Calibri"/>
                <w:color w:val="000000"/>
              </w:rPr>
            </w:pPr>
            <w:r>
              <w:rPr>
                <w:rFonts w:cs="Calibri"/>
                <w:color w:val="000000"/>
              </w:rPr>
              <w:t>7195</w:t>
            </w:r>
          </w:p>
        </w:tc>
        <w:tc>
          <w:tcPr>
            <w:tcW w:w="1480" w:type="dxa"/>
            <w:vAlign w:val="center"/>
          </w:tcPr>
          <w:p w14:paraId="270F992B" w14:textId="77777777" w:rsidR="003957AD" w:rsidRDefault="003957AD" w:rsidP="00DE0473">
            <w:pPr>
              <w:jc w:val="center"/>
              <w:rPr>
                <w:rFonts w:cs="Calibri"/>
                <w:color w:val="000000"/>
              </w:rPr>
            </w:pPr>
            <w:r>
              <w:rPr>
                <w:rFonts w:cs="Calibri"/>
                <w:color w:val="000000"/>
              </w:rPr>
              <w:t>63%</w:t>
            </w:r>
          </w:p>
        </w:tc>
        <w:tc>
          <w:tcPr>
            <w:tcW w:w="1480" w:type="dxa"/>
            <w:vAlign w:val="center"/>
          </w:tcPr>
          <w:p w14:paraId="1C73C3D7" w14:textId="77777777" w:rsidR="003957AD" w:rsidRDefault="003957AD" w:rsidP="00DE0473">
            <w:pPr>
              <w:jc w:val="center"/>
              <w:rPr>
                <w:rFonts w:cs="Calibri"/>
                <w:color w:val="000000"/>
              </w:rPr>
            </w:pPr>
            <w:r>
              <w:rPr>
                <w:rFonts w:cs="Calibri"/>
                <w:color w:val="000000"/>
              </w:rPr>
              <w:t>32,136</w:t>
            </w:r>
          </w:p>
        </w:tc>
        <w:tc>
          <w:tcPr>
            <w:tcW w:w="1480" w:type="dxa"/>
            <w:vAlign w:val="center"/>
          </w:tcPr>
          <w:p w14:paraId="202CD1F2" w14:textId="77777777" w:rsidR="003957AD" w:rsidRDefault="003957AD" w:rsidP="00DE0473">
            <w:pPr>
              <w:jc w:val="center"/>
              <w:rPr>
                <w:rFonts w:cs="Calibri"/>
                <w:color w:val="000000"/>
              </w:rPr>
            </w:pPr>
            <w:r>
              <w:rPr>
                <w:rFonts w:cs="Calibri"/>
                <w:color w:val="000000"/>
              </w:rPr>
              <w:t>62%</w:t>
            </w:r>
          </w:p>
        </w:tc>
      </w:tr>
    </w:tbl>
    <w:p w14:paraId="092F2074" w14:textId="77777777" w:rsidR="003957AD" w:rsidRDefault="003957AD" w:rsidP="003957AD">
      <w:pPr>
        <w:ind w:right="-188"/>
      </w:pPr>
    </w:p>
    <w:p w14:paraId="6FFCAA13" w14:textId="77777777" w:rsidR="003957AD" w:rsidRDefault="003957AD" w:rsidP="003957AD">
      <w:pPr>
        <w:ind w:right="-188"/>
      </w:pPr>
      <w:r>
        <w:t>*A progressive outcome represents a young person making significant progress in addressing their barriers to full engagement in education.</w:t>
      </w:r>
    </w:p>
    <w:p w14:paraId="4B1593FC" w14:textId="77777777" w:rsidR="003957AD" w:rsidRDefault="003957AD" w:rsidP="003957AD"/>
    <w:p w14:paraId="15DB18C5" w14:textId="77777777" w:rsidR="003957AD" w:rsidRDefault="003957AD" w:rsidP="003957AD">
      <w:pPr>
        <w:ind w:right="-188"/>
      </w:pPr>
      <w:r>
        <w:t xml:space="preserve">**A final outcome represents re-engagement or a sustained improvement in a young person’s engagement with education, training or employment. </w:t>
      </w:r>
    </w:p>
    <w:p w14:paraId="4C640CA5" w14:textId="77777777" w:rsidR="002C1D61" w:rsidRDefault="002C1D61" w:rsidP="003957AD">
      <w:pPr>
        <w:ind w:right="-188"/>
      </w:pPr>
    </w:p>
    <w:p w14:paraId="10B597DE" w14:textId="77777777" w:rsidR="003957AD" w:rsidRDefault="003957AD" w:rsidP="00075C2D">
      <w:pPr>
        <w:pStyle w:val="Heading4"/>
      </w:pPr>
      <w:r>
        <w:t>Figure 9: VIC - Number of young people achieving outcomes</w:t>
      </w:r>
    </w:p>
    <w:p w14:paraId="218FE0B0" w14:textId="77777777" w:rsidR="003957AD" w:rsidRDefault="003957AD" w:rsidP="003957AD">
      <w:pPr>
        <w:ind w:right="-188"/>
        <w:rPr>
          <w:u w:val="single"/>
        </w:rPr>
      </w:pPr>
      <w:r>
        <w:rPr>
          <w:noProof/>
          <w:lang w:eastAsia="en-AU"/>
        </w:rPr>
        <w:drawing>
          <wp:inline distT="0" distB="0" distL="0" distR="0" wp14:anchorId="54337030" wp14:editId="5463C9D0">
            <wp:extent cx="6267450" cy="2495550"/>
            <wp:effectExtent l="0" t="0" r="19050" b="19050"/>
            <wp:docPr id="15" name="Chart 15" descr="VIC number of young people achieving outcomes, graphic representation of table 13 below."/>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27AB8CE4" w14:textId="77777777" w:rsidR="003957AD" w:rsidRDefault="003957AD" w:rsidP="003957AD">
      <w:pPr>
        <w:rPr>
          <w:rFonts w:cs="Calibri"/>
          <w:b/>
          <w:bCs/>
          <w:color w:val="000000"/>
        </w:rPr>
      </w:pPr>
    </w:p>
    <w:p w14:paraId="105AE77B" w14:textId="77777777" w:rsidR="002C1D61" w:rsidRDefault="002C1D61">
      <w:pPr>
        <w:spacing w:after="200"/>
        <w:rPr>
          <w:rFonts w:ascii="Calibri" w:eastAsiaTheme="majorEastAsia" w:hAnsi="Calibri" w:cstheme="majorBidi"/>
          <w:b/>
          <w:bCs/>
          <w:i/>
          <w:iCs/>
          <w:color w:val="000000" w:themeColor="text1"/>
        </w:rPr>
      </w:pPr>
      <w:r>
        <w:br w:type="page"/>
      </w:r>
    </w:p>
    <w:p w14:paraId="7B48CF35" w14:textId="55C20C33" w:rsidR="003957AD" w:rsidRPr="008A4267" w:rsidRDefault="003957AD" w:rsidP="00546F15">
      <w:pPr>
        <w:pStyle w:val="Heading4"/>
      </w:pPr>
      <w:r>
        <w:lastRenderedPageBreak/>
        <w:t>Table 13: VIC - Number of young people achieving outcomes</w:t>
      </w:r>
    </w:p>
    <w:tbl>
      <w:tblPr>
        <w:tblW w:w="10207" w:type="dxa"/>
        <w:tblInd w:w="108" w:type="dxa"/>
        <w:tblLook w:val="04A0" w:firstRow="1" w:lastRow="0" w:firstColumn="1" w:lastColumn="0" w:noHBand="0" w:noVBand="1"/>
      </w:tblPr>
      <w:tblGrid>
        <w:gridCol w:w="4388"/>
        <w:gridCol w:w="969"/>
        <w:gridCol w:w="970"/>
        <w:gridCol w:w="970"/>
        <w:gridCol w:w="970"/>
        <w:gridCol w:w="970"/>
        <w:gridCol w:w="970"/>
      </w:tblGrid>
      <w:tr w:rsidR="003957AD" w:rsidRPr="00C763A7" w14:paraId="237687B6" w14:textId="77777777" w:rsidTr="00DE0473">
        <w:trPr>
          <w:trHeight w:val="300"/>
          <w:tblHeader/>
        </w:trPr>
        <w:tc>
          <w:tcPr>
            <w:tcW w:w="438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tcPr>
          <w:p w14:paraId="33420FED" w14:textId="77777777" w:rsidR="003957AD" w:rsidRPr="00C763A7" w:rsidRDefault="003957AD" w:rsidP="00DE0473">
            <w:pPr>
              <w:rPr>
                <w:rFonts w:cs="Calibri"/>
                <w:b/>
                <w:bCs/>
                <w:color w:val="000000"/>
              </w:rPr>
            </w:pPr>
            <w:r>
              <w:rPr>
                <w:rFonts w:cs="Calibri"/>
                <w:b/>
                <w:bCs/>
                <w:color w:val="000000"/>
              </w:rPr>
              <w:t>VIC Participant outcome achievement</w:t>
            </w:r>
          </w:p>
        </w:tc>
        <w:tc>
          <w:tcPr>
            <w:tcW w:w="96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tcPr>
          <w:p w14:paraId="0869D1B1" w14:textId="77777777" w:rsidR="003957AD" w:rsidRDefault="003957AD" w:rsidP="00DE0473">
            <w:pPr>
              <w:jc w:val="center"/>
              <w:rPr>
                <w:rFonts w:cs="Calibri"/>
                <w:b/>
                <w:bCs/>
                <w:color w:val="000000"/>
              </w:rPr>
            </w:pPr>
            <w:r>
              <w:rPr>
                <w:rFonts w:cs="Calibri"/>
                <w:b/>
                <w:bCs/>
                <w:color w:val="000000"/>
              </w:rPr>
              <w:t>Level 1</w:t>
            </w:r>
          </w:p>
          <w:p w14:paraId="5E9E1791" w14:textId="77777777" w:rsidR="003957AD" w:rsidRPr="00C763A7" w:rsidRDefault="003957AD" w:rsidP="00DE0473">
            <w:pPr>
              <w:jc w:val="center"/>
              <w:rPr>
                <w:rFonts w:cs="Calibri"/>
                <w:b/>
                <w:bCs/>
                <w:color w:val="000000"/>
              </w:rPr>
            </w:pPr>
            <w:r>
              <w:rPr>
                <w:rFonts w:cs="Calibri"/>
                <w:b/>
                <w:bCs/>
                <w:color w:val="000000"/>
              </w:rPr>
              <w:t>No.</w:t>
            </w:r>
          </w:p>
        </w:tc>
        <w:tc>
          <w:tcPr>
            <w:tcW w:w="97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tcPr>
          <w:p w14:paraId="71FAEC37" w14:textId="77777777" w:rsidR="003957AD" w:rsidRDefault="003957AD" w:rsidP="00DE0473">
            <w:pPr>
              <w:jc w:val="center"/>
              <w:rPr>
                <w:rFonts w:cs="Calibri"/>
                <w:b/>
                <w:bCs/>
                <w:color w:val="000000"/>
              </w:rPr>
            </w:pPr>
            <w:r>
              <w:rPr>
                <w:rFonts w:cs="Calibri"/>
                <w:b/>
                <w:bCs/>
                <w:color w:val="000000"/>
              </w:rPr>
              <w:t>Level 1</w:t>
            </w:r>
          </w:p>
          <w:p w14:paraId="4244F251" w14:textId="77777777" w:rsidR="003957AD" w:rsidRPr="00C763A7" w:rsidRDefault="003957AD" w:rsidP="00DE0473">
            <w:pPr>
              <w:jc w:val="center"/>
              <w:rPr>
                <w:rFonts w:cs="Calibri"/>
                <w:b/>
                <w:bCs/>
                <w:color w:val="000000"/>
              </w:rPr>
            </w:pPr>
            <w:r>
              <w:rPr>
                <w:rFonts w:cs="Calibri"/>
                <w:b/>
                <w:bCs/>
                <w:color w:val="000000"/>
              </w:rPr>
              <w:t>%</w:t>
            </w:r>
          </w:p>
        </w:tc>
        <w:tc>
          <w:tcPr>
            <w:tcW w:w="97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tcPr>
          <w:p w14:paraId="6A10DC53" w14:textId="77777777" w:rsidR="003957AD" w:rsidRDefault="003957AD" w:rsidP="00DE0473">
            <w:pPr>
              <w:jc w:val="center"/>
              <w:rPr>
                <w:rFonts w:cs="Calibri"/>
                <w:b/>
                <w:bCs/>
                <w:color w:val="000000"/>
              </w:rPr>
            </w:pPr>
            <w:r>
              <w:rPr>
                <w:rFonts w:cs="Calibri"/>
                <w:b/>
                <w:bCs/>
                <w:color w:val="000000"/>
              </w:rPr>
              <w:t xml:space="preserve">Level </w:t>
            </w:r>
            <w:proofErr w:type="spellStart"/>
            <w:r>
              <w:rPr>
                <w:rFonts w:cs="Calibri"/>
                <w:b/>
                <w:bCs/>
                <w:color w:val="000000"/>
              </w:rPr>
              <w:t>2a</w:t>
            </w:r>
            <w:proofErr w:type="spellEnd"/>
          </w:p>
          <w:p w14:paraId="23E14042" w14:textId="77777777" w:rsidR="003957AD" w:rsidRPr="00C763A7" w:rsidRDefault="003957AD" w:rsidP="00DE0473">
            <w:pPr>
              <w:jc w:val="center"/>
              <w:rPr>
                <w:rFonts w:cs="Calibri"/>
                <w:b/>
                <w:bCs/>
                <w:color w:val="000000"/>
              </w:rPr>
            </w:pPr>
            <w:r>
              <w:rPr>
                <w:rFonts w:cs="Calibri"/>
                <w:b/>
                <w:bCs/>
                <w:color w:val="000000"/>
              </w:rPr>
              <w:t>No.</w:t>
            </w:r>
          </w:p>
        </w:tc>
        <w:tc>
          <w:tcPr>
            <w:tcW w:w="97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tcPr>
          <w:p w14:paraId="136AF13B" w14:textId="77777777" w:rsidR="003957AD" w:rsidRDefault="003957AD" w:rsidP="00DE0473">
            <w:pPr>
              <w:jc w:val="center"/>
              <w:rPr>
                <w:rFonts w:cs="Calibri"/>
                <w:b/>
                <w:bCs/>
                <w:color w:val="000000"/>
              </w:rPr>
            </w:pPr>
            <w:r>
              <w:rPr>
                <w:rFonts w:cs="Calibri"/>
                <w:b/>
                <w:bCs/>
                <w:color w:val="000000"/>
              </w:rPr>
              <w:t xml:space="preserve">Level </w:t>
            </w:r>
            <w:proofErr w:type="spellStart"/>
            <w:r>
              <w:rPr>
                <w:rFonts w:cs="Calibri"/>
                <w:b/>
                <w:bCs/>
                <w:color w:val="000000"/>
              </w:rPr>
              <w:t>2a</w:t>
            </w:r>
            <w:proofErr w:type="spellEnd"/>
          </w:p>
          <w:p w14:paraId="08B52254" w14:textId="77777777" w:rsidR="003957AD" w:rsidRPr="00C763A7" w:rsidRDefault="003957AD" w:rsidP="00DE0473">
            <w:pPr>
              <w:jc w:val="center"/>
              <w:rPr>
                <w:rFonts w:cs="Calibri"/>
                <w:b/>
                <w:bCs/>
                <w:color w:val="000000"/>
              </w:rPr>
            </w:pPr>
            <w:r>
              <w:rPr>
                <w:rFonts w:cs="Calibri"/>
                <w:b/>
                <w:bCs/>
                <w:color w:val="000000"/>
              </w:rPr>
              <w:t>%</w:t>
            </w:r>
          </w:p>
        </w:tc>
        <w:tc>
          <w:tcPr>
            <w:tcW w:w="97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tcPr>
          <w:p w14:paraId="27F2A558" w14:textId="77777777" w:rsidR="003957AD" w:rsidRDefault="003957AD" w:rsidP="00DE0473">
            <w:pPr>
              <w:jc w:val="center"/>
              <w:rPr>
                <w:rFonts w:cs="Calibri"/>
                <w:b/>
                <w:bCs/>
                <w:color w:val="000000"/>
              </w:rPr>
            </w:pPr>
            <w:r>
              <w:rPr>
                <w:rFonts w:cs="Calibri"/>
                <w:b/>
                <w:bCs/>
                <w:color w:val="000000"/>
              </w:rPr>
              <w:t xml:space="preserve">Level </w:t>
            </w:r>
            <w:proofErr w:type="spellStart"/>
            <w:r>
              <w:rPr>
                <w:rFonts w:cs="Calibri"/>
                <w:b/>
                <w:bCs/>
                <w:color w:val="000000"/>
              </w:rPr>
              <w:t>2b</w:t>
            </w:r>
            <w:proofErr w:type="spellEnd"/>
          </w:p>
          <w:p w14:paraId="22BDD69F" w14:textId="77777777" w:rsidR="003957AD" w:rsidRPr="00C763A7" w:rsidRDefault="003957AD" w:rsidP="00DE0473">
            <w:pPr>
              <w:jc w:val="center"/>
              <w:rPr>
                <w:rFonts w:cs="Calibri"/>
                <w:b/>
                <w:bCs/>
                <w:color w:val="000000"/>
              </w:rPr>
            </w:pPr>
            <w:r>
              <w:rPr>
                <w:rFonts w:cs="Calibri"/>
                <w:b/>
                <w:bCs/>
                <w:color w:val="000000"/>
              </w:rPr>
              <w:t>No.</w:t>
            </w:r>
          </w:p>
        </w:tc>
        <w:tc>
          <w:tcPr>
            <w:tcW w:w="97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tcPr>
          <w:p w14:paraId="67DF4755" w14:textId="77777777" w:rsidR="003957AD" w:rsidRDefault="003957AD" w:rsidP="00DE0473">
            <w:pPr>
              <w:jc w:val="center"/>
              <w:rPr>
                <w:rFonts w:cs="Calibri"/>
                <w:b/>
                <w:bCs/>
                <w:color w:val="000000"/>
              </w:rPr>
            </w:pPr>
            <w:r>
              <w:rPr>
                <w:rFonts w:cs="Calibri"/>
                <w:b/>
                <w:bCs/>
                <w:color w:val="000000"/>
              </w:rPr>
              <w:t xml:space="preserve">Level </w:t>
            </w:r>
            <w:proofErr w:type="spellStart"/>
            <w:r>
              <w:rPr>
                <w:rFonts w:cs="Calibri"/>
                <w:b/>
                <w:bCs/>
                <w:color w:val="000000"/>
              </w:rPr>
              <w:t>2b</w:t>
            </w:r>
            <w:proofErr w:type="spellEnd"/>
          </w:p>
          <w:p w14:paraId="7BC08335" w14:textId="77777777" w:rsidR="003957AD" w:rsidRPr="00C763A7" w:rsidRDefault="003957AD" w:rsidP="00DE0473">
            <w:pPr>
              <w:jc w:val="center"/>
              <w:rPr>
                <w:rFonts w:cs="Calibri"/>
                <w:b/>
                <w:bCs/>
                <w:color w:val="000000"/>
              </w:rPr>
            </w:pPr>
            <w:r>
              <w:rPr>
                <w:rFonts w:cs="Calibri"/>
                <w:b/>
                <w:bCs/>
                <w:color w:val="000000"/>
              </w:rPr>
              <w:t>%</w:t>
            </w:r>
          </w:p>
        </w:tc>
      </w:tr>
      <w:tr w:rsidR="003957AD" w14:paraId="3875D852" w14:textId="77777777" w:rsidTr="00DE0473">
        <w:trPr>
          <w:trHeight w:val="300"/>
        </w:trPr>
        <w:tc>
          <w:tcPr>
            <w:tcW w:w="4388" w:type="dxa"/>
            <w:tcBorders>
              <w:top w:val="single" w:sz="4" w:space="0" w:color="auto"/>
              <w:left w:val="single" w:sz="4" w:space="0" w:color="auto"/>
              <w:bottom w:val="single" w:sz="4" w:space="0" w:color="auto"/>
              <w:right w:val="single" w:sz="4" w:space="0" w:color="auto"/>
            </w:tcBorders>
            <w:vAlign w:val="bottom"/>
          </w:tcPr>
          <w:p w14:paraId="1541038C" w14:textId="77777777" w:rsidR="003957AD" w:rsidRPr="00C763A7" w:rsidRDefault="003957AD" w:rsidP="00DE0473">
            <w:pPr>
              <w:spacing w:before="40" w:after="40"/>
              <w:rPr>
                <w:rFonts w:cs="Calibri"/>
                <w:color w:val="000000"/>
              </w:rPr>
            </w:pPr>
            <w:r>
              <w:rPr>
                <w:rFonts w:cs="Calibri"/>
                <w:color w:val="000000"/>
              </w:rPr>
              <w:t>Achieved a final outcome</w:t>
            </w:r>
          </w:p>
        </w:tc>
        <w:tc>
          <w:tcPr>
            <w:tcW w:w="969" w:type="dxa"/>
            <w:tcBorders>
              <w:top w:val="single" w:sz="4" w:space="0" w:color="auto"/>
              <w:left w:val="single" w:sz="4" w:space="0" w:color="auto"/>
              <w:bottom w:val="single" w:sz="4" w:space="0" w:color="auto"/>
              <w:right w:val="single" w:sz="4" w:space="0" w:color="auto"/>
            </w:tcBorders>
            <w:vAlign w:val="center"/>
          </w:tcPr>
          <w:p w14:paraId="7A31CEB3" w14:textId="77777777" w:rsidR="003957AD" w:rsidRDefault="003957AD" w:rsidP="00DE0473">
            <w:pPr>
              <w:jc w:val="center"/>
              <w:rPr>
                <w:rFonts w:cs="Calibri"/>
                <w:color w:val="000000"/>
              </w:rPr>
            </w:pPr>
            <w:r>
              <w:rPr>
                <w:rFonts w:cs="Calibri"/>
                <w:color w:val="000000"/>
              </w:rPr>
              <w:t>2072</w:t>
            </w:r>
          </w:p>
        </w:tc>
        <w:tc>
          <w:tcPr>
            <w:tcW w:w="970" w:type="dxa"/>
            <w:tcBorders>
              <w:top w:val="single" w:sz="4" w:space="0" w:color="auto"/>
              <w:left w:val="single" w:sz="4" w:space="0" w:color="auto"/>
              <w:bottom w:val="single" w:sz="4" w:space="0" w:color="auto"/>
              <w:right w:val="single" w:sz="4" w:space="0" w:color="auto"/>
            </w:tcBorders>
            <w:vAlign w:val="center"/>
          </w:tcPr>
          <w:p w14:paraId="63D395BF" w14:textId="77777777" w:rsidR="003957AD" w:rsidRDefault="003957AD" w:rsidP="00DE0473">
            <w:pPr>
              <w:jc w:val="center"/>
              <w:rPr>
                <w:rFonts w:cs="Calibri"/>
                <w:color w:val="000000"/>
              </w:rPr>
            </w:pPr>
            <w:r>
              <w:rPr>
                <w:rFonts w:cs="Calibri"/>
                <w:color w:val="000000"/>
              </w:rPr>
              <w:t>69%</w:t>
            </w:r>
          </w:p>
        </w:tc>
        <w:tc>
          <w:tcPr>
            <w:tcW w:w="970" w:type="dxa"/>
            <w:tcBorders>
              <w:top w:val="single" w:sz="4" w:space="0" w:color="auto"/>
              <w:left w:val="single" w:sz="4" w:space="0" w:color="auto"/>
              <w:bottom w:val="single" w:sz="4" w:space="0" w:color="auto"/>
              <w:right w:val="single" w:sz="4" w:space="0" w:color="auto"/>
            </w:tcBorders>
            <w:vAlign w:val="center"/>
          </w:tcPr>
          <w:p w14:paraId="4724AFCE" w14:textId="77777777" w:rsidR="003957AD" w:rsidRDefault="003957AD" w:rsidP="00DE0473">
            <w:pPr>
              <w:jc w:val="center"/>
              <w:rPr>
                <w:rFonts w:cs="Calibri"/>
                <w:color w:val="000000"/>
              </w:rPr>
            </w:pPr>
            <w:r>
              <w:rPr>
                <w:rFonts w:cs="Calibri"/>
                <w:color w:val="000000"/>
              </w:rPr>
              <w:t>2765</w:t>
            </w:r>
          </w:p>
        </w:tc>
        <w:tc>
          <w:tcPr>
            <w:tcW w:w="9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794F7F" w14:textId="77777777" w:rsidR="003957AD" w:rsidRDefault="003957AD" w:rsidP="00DE0473">
            <w:pPr>
              <w:spacing w:before="40" w:after="40"/>
              <w:jc w:val="center"/>
              <w:rPr>
                <w:rFonts w:cs="Calibri"/>
                <w:color w:val="000000"/>
              </w:rPr>
            </w:pPr>
            <w:r>
              <w:rPr>
                <w:rFonts w:cs="Calibri"/>
                <w:color w:val="000000"/>
              </w:rPr>
              <w:t>62%</w:t>
            </w:r>
          </w:p>
        </w:tc>
        <w:tc>
          <w:tcPr>
            <w:tcW w:w="970" w:type="dxa"/>
            <w:tcBorders>
              <w:top w:val="single" w:sz="4" w:space="0" w:color="auto"/>
              <w:left w:val="single" w:sz="4" w:space="0" w:color="auto"/>
              <w:bottom w:val="single" w:sz="4" w:space="0" w:color="auto"/>
              <w:right w:val="single" w:sz="4" w:space="0" w:color="auto"/>
            </w:tcBorders>
            <w:vAlign w:val="center"/>
          </w:tcPr>
          <w:p w14:paraId="79EB96EC" w14:textId="77777777" w:rsidR="003957AD" w:rsidRDefault="003957AD" w:rsidP="00DE0473">
            <w:pPr>
              <w:ind w:right="-85"/>
              <w:jc w:val="center"/>
              <w:rPr>
                <w:rFonts w:cs="Calibri"/>
                <w:color w:val="000000"/>
              </w:rPr>
            </w:pPr>
            <w:r>
              <w:rPr>
                <w:rFonts w:cs="Calibri"/>
                <w:color w:val="000000"/>
              </w:rPr>
              <w:t>3514</w:t>
            </w:r>
          </w:p>
        </w:tc>
        <w:tc>
          <w:tcPr>
            <w:tcW w:w="970" w:type="dxa"/>
            <w:tcBorders>
              <w:top w:val="single" w:sz="4" w:space="0" w:color="auto"/>
              <w:left w:val="single" w:sz="4" w:space="0" w:color="auto"/>
              <w:bottom w:val="single" w:sz="4" w:space="0" w:color="auto"/>
              <w:right w:val="single" w:sz="4" w:space="0" w:color="auto"/>
            </w:tcBorders>
            <w:vAlign w:val="center"/>
          </w:tcPr>
          <w:p w14:paraId="5E09C921" w14:textId="77777777" w:rsidR="003957AD" w:rsidRDefault="003957AD" w:rsidP="00DE0473">
            <w:pPr>
              <w:jc w:val="center"/>
              <w:rPr>
                <w:rFonts w:cs="Calibri"/>
                <w:color w:val="000000"/>
              </w:rPr>
            </w:pPr>
            <w:r>
              <w:rPr>
                <w:rFonts w:cs="Calibri"/>
                <w:color w:val="000000"/>
              </w:rPr>
              <w:t>58%</w:t>
            </w:r>
          </w:p>
        </w:tc>
      </w:tr>
      <w:tr w:rsidR="003957AD" w14:paraId="2253BD8A" w14:textId="77777777" w:rsidTr="00DE0473">
        <w:trPr>
          <w:trHeight w:val="300"/>
        </w:trPr>
        <w:tc>
          <w:tcPr>
            <w:tcW w:w="4388" w:type="dxa"/>
            <w:tcBorders>
              <w:top w:val="single" w:sz="4" w:space="0" w:color="auto"/>
              <w:left w:val="single" w:sz="4" w:space="0" w:color="auto"/>
              <w:bottom w:val="single" w:sz="4" w:space="0" w:color="auto"/>
              <w:right w:val="single" w:sz="4" w:space="0" w:color="auto"/>
            </w:tcBorders>
            <w:vAlign w:val="bottom"/>
          </w:tcPr>
          <w:p w14:paraId="1BF899C2" w14:textId="77777777" w:rsidR="003957AD" w:rsidRPr="00C763A7" w:rsidRDefault="003957AD" w:rsidP="00DE0473">
            <w:pPr>
              <w:spacing w:before="40" w:after="40"/>
              <w:rPr>
                <w:rFonts w:cs="Calibri"/>
                <w:color w:val="000000"/>
              </w:rPr>
            </w:pPr>
            <w:r>
              <w:rPr>
                <w:rFonts w:cs="Calibri"/>
                <w:color w:val="000000"/>
              </w:rPr>
              <w:t>Achieved a progressive outcome</w:t>
            </w:r>
          </w:p>
        </w:tc>
        <w:tc>
          <w:tcPr>
            <w:tcW w:w="969" w:type="dxa"/>
            <w:tcBorders>
              <w:top w:val="single" w:sz="4" w:space="0" w:color="auto"/>
              <w:left w:val="single" w:sz="4" w:space="0" w:color="auto"/>
              <w:bottom w:val="single" w:sz="4" w:space="0" w:color="auto"/>
              <w:right w:val="single" w:sz="4" w:space="0" w:color="auto"/>
            </w:tcBorders>
            <w:vAlign w:val="center"/>
          </w:tcPr>
          <w:p w14:paraId="2B2F6465" w14:textId="77777777" w:rsidR="003957AD" w:rsidRDefault="003957AD" w:rsidP="00DE0473">
            <w:pPr>
              <w:jc w:val="center"/>
              <w:rPr>
                <w:rFonts w:cs="Calibri"/>
                <w:color w:val="000000"/>
              </w:rPr>
            </w:pPr>
            <w:r>
              <w:rPr>
                <w:rFonts w:cs="Calibri"/>
                <w:color w:val="000000"/>
              </w:rPr>
              <w:t>2301</w:t>
            </w:r>
          </w:p>
        </w:tc>
        <w:tc>
          <w:tcPr>
            <w:tcW w:w="970" w:type="dxa"/>
            <w:tcBorders>
              <w:top w:val="single" w:sz="4" w:space="0" w:color="auto"/>
              <w:left w:val="single" w:sz="4" w:space="0" w:color="auto"/>
              <w:bottom w:val="single" w:sz="4" w:space="0" w:color="auto"/>
              <w:right w:val="single" w:sz="4" w:space="0" w:color="auto"/>
            </w:tcBorders>
            <w:vAlign w:val="center"/>
          </w:tcPr>
          <w:p w14:paraId="542B4404" w14:textId="77777777" w:rsidR="003957AD" w:rsidRDefault="003957AD" w:rsidP="00DE0473">
            <w:pPr>
              <w:jc w:val="center"/>
              <w:rPr>
                <w:rFonts w:cs="Calibri"/>
                <w:color w:val="000000"/>
              </w:rPr>
            </w:pPr>
            <w:r>
              <w:rPr>
                <w:rFonts w:cs="Calibri"/>
                <w:color w:val="000000"/>
              </w:rPr>
              <w:t>77%</w:t>
            </w:r>
          </w:p>
        </w:tc>
        <w:tc>
          <w:tcPr>
            <w:tcW w:w="970" w:type="dxa"/>
            <w:tcBorders>
              <w:top w:val="single" w:sz="4" w:space="0" w:color="auto"/>
              <w:left w:val="single" w:sz="4" w:space="0" w:color="auto"/>
              <w:bottom w:val="single" w:sz="4" w:space="0" w:color="auto"/>
              <w:right w:val="single" w:sz="4" w:space="0" w:color="auto"/>
            </w:tcBorders>
            <w:vAlign w:val="center"/>
          </w:tcPr>
          <w:p w14:paraId="1ADD38AE" w14:textId="77777777" w:rsidR="003957AD" w:rsidRDefault="003957AD" w:rsidP="00DE0473">
            <w:pPr>
              <w:spacing w:before="40" w:after="40"/>
              <w:jc w:val="center"/>
              <w:rPr>
                <w:rFonts w:cs="Calibri"/>
                <w:color w:val="000000"/>
              </w:rPr>
            </w:pPr>
            <w:r>
              <w:rPr>
                <w:rFonts w:cs="Calibri"/>
                <w:color w:val="000000"/>
              </w:rPr>
              <w:t>3342</w:t>
            </w:r>
          </w:p>
        </w:tc>
        <w:tc>
          <w:tcPr>
            <w:tcW w:w="9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D41BEA" w14:textId="77777777" w:rsidR="003957AD" w:rsidRDefault="003957AD" w:rsidP="00DE0473">
            <w:pPr>
              <w:spacing w:before="40" w:after="40"/>
              <w:jc w:val="center"/>
              <w:rPr>
                <w:rFonts w:cs="Calibri"/>
                <w:color w:val="000000"/>
              </w:rPr>
            </w:pPr>
            <w:r>
              <w:rPr>
                <w:rFonts w:cs="Calibri"/>
                <w:color w:val="000000"/>
              </w:rPr>
              <w:t>75%</w:t>
            </w:r>
          </w:p>
        </w:tc>
        <w:tc>
          <w:tcPr>
            <w:tcW w:w="970" w:type="dxa"/>
            <w:tcBorders>
              <w:top w:val="single" w:sz="4" w:space="0" w:color="auto"/>
              <w:left w:val="single" w:sz="4" w:space="0" w:color="auto"/>
              <w:bottom w:val="single" w:sz="4" w:space="0" w:color="auto"/>
              <w:right w:val="single" w:sz="4" w:space="0" w:color="auto"/>
            </w:tcBorders>
            <w:vAlign w:val="center"/>
          </w:tcPr>
          <w:p w14:paraId="6B3FBC64" w14:textId="77777777" w:rsidR="003957AD" w:rsidRDefault="003957AD" w:rsidP="00DE0473">
            <w:pPr>
              <w:spacing w:before="40" w:after="40"/>
              <w:ind w:right="-85"/>
              <w:jc w:val="center"/>
              <w:rPr>
                <w:rFonts w:cs="Calibri"/>
                <w:color w:val="000000"/>
              </w:rPr>
            </w:pPr>
            <w:r>
              <w:rPr>
                <w:rFonts w:cs="Calibri"/>
                <w:color w:val="000000"/>
              </w:rPr>
              <w:t>4356</w:t>
            </w:r>
          </w:p>
        </w:tc>
        <w:tc>
          <w:tcPr>
            <w:tcW w:w="970" w:type="dxa"/>
            <w:tcBorders>
              <w:top w:val="single" w:sz="4" w:space="0" w:color="auto"/>
              <w:left w:val="single" w:sz="4" w:space="0" w:color="auto"/>
              <w:bottom w:val="single" w:sz="4" w:space="0" w:color="auto"/>
              <w:right w:val="single" w:sz="4" w:space="0" w:color="auto"/>
            </w:tcBorders>
            <w:vAlign w:val="center"/>
          </w:tcPr>
          <w:p w14:paraId="072B471C" w14:textId="77777777" w:rsidR="003957AD" w:rsidRDefault="003957AD" w:rsidP="00DE0473">
            <w:pPr>
              <w:spacing w:before="40" w:after="40"/>
              <w:jc w:val="center"/>
              <w:rPr>
                <w:rFonts w:cs="Calibri"/>
                <w:color w:val="000000"/>
              </w:rPr>
            </w:pPr>
            <w:r>
              <w:rPr>
                <w:rFonts w:cs="Calibri"/>
                <w:color w:val="000000"/>
              </w:rPr>
              <w:t>72%</w:t>
            </w:r>
          </w:p>
        </w:tc>
      </w:tr>
    </w:tbl>
    <w:p w14:paraId="019B0BBD" w14:textId="77777777" w:rsidR="003957AD" w:rsidRDefault="003957AD" w:rsidP="003957AD"/>
    <w:p w14:paraId="341DF268" w14:textId="77777777" w:rsidR="003957AD" w:rsidRDefault="003957AD" w:rsidP="00075C2D">
      <w:pPr>
        <w:pStyle w:val="Heading4"/>
      </w:pPr>
      <w:r>
        <w:t>Figure 10: National - Number of young people achieving outcomes</w:t>
      </w:r>
    </w:p>
    <w:p w14:paraId="7BE941B7" w14:textId="77777777" w:rsidR="003957AD" w:rsidRDefault="003957AD" w:rsidP="003957AD">
      <w:r>
        <w:rPr>
          <w:noProof/>
          <w:lang w:eastAsia="en-AU"/>
        </w:rPr>
        <w:drawing>
          <wp:inline distT="0" distB="0" distL="0" distR="0" wp14:anchorId="13420B61" wp14:editId="67BB4168">
            <wp:extent cx="6410325" cy="2743200"/>
            <wp:effectExtent l="0" t="0" r="9525" b="19050"/>
            <wp:docPr id="36" name="Chart 36" descr="National number of young people achieving outcomes, graphic representation of table 14 below."/>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14:paraId="64A5C98B" w14:textId="77777777" w:rsidR="002C1D61" w:rsidRDefault="002C1D61" w:rsidP="00546F15">
      <w:pPr>
        <w:pStyle w:val="Heading4"/>
      </w:pPr>
    </w:p>
    <w:p w14:paraId="3E8B0F31" w14:textId="77777777" w:rsidR="003957AD" w:rsidRPr="008A4267" w:rsidRDefault="003957AD" w:rsidP="00546F15">
      <w:pPr>
        <w:pStyle w:val="Heading4"/>
      </w:pPr>
      <w:r>
        <w:t>Table 14: National - Number of young people achieving outcomes</w:t>
      </w:r>
    </w:p>
    <w:tbl>
      <w:tblPr>
        <w:tblW w:w="102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88"/>
        <w:gridCol w:w="999"/>
        <w:gridCol w:w="940"/>
        <w:gridCol w:w="970"/>
        <w:gridCol w:w="970"/>
        <w:gridCol w:w="970"/>
        <w:gridCol w:w="970"/>
      </w:tblGrid>
      <w:tr w:rsidR="003957AD" w:rsidRPr="00C763A7" w14:paraId="3BBF9ECE" w14:textId="77777777" w:rsidTr="00DE0473">
        <w:trPr>
          <w:trHeight w:val="300"/>
        </w:trPr>
        <w:tc>
          <w:tcPr>
            <w:tcW w:w="4388" w:type="dxa"/>
            <w:shd w:val="clear" w:color="auto" w:fill="C6D9F1" w:themeFill="text2" w:themeFillTint="33"/>
            <w:vAlign w:val="bottom"/>
          </w:tcPr>
          <w:p w14:paraId="77D296B3" w14:textId="77777777" w:rsidR="003957AD" w:rsidRPr="00C763A7" w:rsidRDefault="003957AD" w:rsidP="00DE0473">
            <w:pPr>
              <w:rPr>
                <w:rFonts w:cs="Calibri"/>
                <w:b/>
                <w:bCs/>
                <w:color w:val="000000"/>
              </w:rPr>
            </w:pPr>
            <w:r>
              <w:rPr>
                <w:rFonts w:cs="Calibri"/>
                <w:b/>
                <w:bCs/>
                <w:color w:val="000000"/>
              </w:rPr>
              <w:t>National Participant outcome achievement</w:t>
            </w:r>
          </w:p>
        </w:tc>
        <w:tc>
          <w:tcPr>
            <w:tcW w:w="999" w:type="dxa"/>
            <w:shd w:val="clear" w:color="auto" w:fill="C6D9F1" w:themeFill="text2" w:themeFillTint="33"/>
            <w:vAlign w:val="bottom"/>
          </w:tcPr>
          <w:p w14:paraId="64EC514D" w14:textId="77777777" w:rsidR="003957AD" w:rsidRDefault="003957AD" w:rsidP="00DE0473">
            <w:pPr>
              <w:jc w:val="center"/>
              <w:rPr>
                <w:rFonts w:cs="Calibri"/>
                <w:b/>
                <w:bCs/>
                <w:color w:val="000000"/>
              </w:rPr>
            </w:pPr>
            <w:r>
              <w:rPr>
                <w:rFonts w:cs="Calibri"/>
                <w:b/>
                <w:bCs/>
                <w:color w:val="000000"/>
              </w:rPr>
              <w:t>Level 1</w:t>
            </w:r>
          </w:p>
          <w:p w14:paraId="58F7F5FA" w14:textId="77777777" w:rsidR="003957AD" w:rsidRPr="00C763A7" w:rsidRDefault="003957AD" w:rsidP="00DE0473">
            <w:pPr>
              <w:jc w:val="center"/>
              <w:rPr>
                <w:rFonts w:cs="Calibri"/>
                <w:b/>
                <w:bCs/>
                <w:color w:val="000000"/>
              </w:rPr>
            </w:pPr>
            <w:r>
              <w:rPr>
                <w:rFonts w:cs="Calibri"/>
                <w:b/>
                <w:bCs/>
                <w:color w:val="000000"/>
              </w:rPr>
              <w:t>No.</w:t>
            </w:r>
          </w:p>
        </w:tc>
        <w:tc>
          <w:tcPr>
            <w:tcW w:w="940" w:type="dxa"/>
            <w:shd w:val="clear" w:color="auto" w:fill="C6D9F1" w:themeFill="text2" w:themeFillTint="33"/>
            <w:vAlign w:val="bottom"/>
          </w:tcPr>
          <w:p w14:paraId="3BA44D17" w14:textId="77777777" w:rsidR="003957AD" w:rsidRDefault="003957AD" w:rsidP="00DE0473">
            <w:pPr>
              <w:jc w:val="center"/>
              <w:rPr>
                <w:rFonts w:cs="Calibri"/>
                <w:b/>
                <w:bCs/>
                <w:color w:val="000000"/>
              </w:rPr>
            </w:pPr>
            <w:r>
              <w:rPr>
                <w:rFonts w:cs="Calibri"/>
                <w:b/>
                <w:bCs/>
                <w:color w:val="000000"/>
              </w:rPr>
              <w:t>Level 1</w:t>
            </w:r>
          </w:p>
          <w:p w14:paraId="292E39F5" w14:textId="77777777" w:rsidR="003957AD" w:rsidRPr="00C763A7" w:rsidRDefault="003957AD" w:rsidP="00DE0473">
            <w:pPr>
              <w:jc w:val="center"/>
              <w:rPr>
                <w:rFonts w:cs="Calibri"/>
                <w:b/>
                <w:bCs/>
                <w:color w:val="000000"/>
              </w:rPr>
            </w:pPr>
            <w:r>
              <w:rPr>
                <w:rFonts w:cs="Calibri"/>
                <w:b/>
                <w:bCs/>
                <w:color w:val="000000"/>
              </w:rPr>
              <w:t>%</w:t>
            </w:r>
          </w:p>
        </w:tc>
        <w:tc>
          <w:tcPr>
            <w:tcW w:w="970" w:type="dxa"/>
            <w:shd w:val="clear" w:color="auto" w:fill="C6D9F1" w:themeFill="text2" w:themeFillTint="33"/>
            <w:vAlign w:val="bottom"/>
          </w:tcPr>
          <w:p w14:paraId="6D72343B" w14:textId="77777777" w:rsidR="003957AD" w:rsidRDefault="003957AD" w:rsidP="00DE0473">
            <w:pPr>
              <w:jc w:val="center"/>
              <w:rPr>
                <w:rFonts w:cs="Calibri"/>
                <w:b/>
                <w:bCs/>
                <w:color w:val="000000"/>
              </w:rPr>
            </w:pPr>
            <w:r>
              <w:rPr>
                <w:rFonts w:cs="Calibri"/>
                <w:b/>
                <w:bCs/>
                <w:color w:val="000000"/>
              </w:rPr>
              <w:t xml:space="preserve">Level </w:t>
            </w:r>
            <w:proofErr w:type="spellStart"/>
            <w:r>
              <w:rPr>
                <w:rFonts w:cs="Calibri"/>
                <w:b/>
                <w:bCs/>
                <w:color w:val="000000"/>
              </w:rPr>
              <w:t>2a</w:t>
            </w:r>
            <w:proofErr w:type="spellEnd"/>
          </w:p>
          <w:p w14:paraId="514ABF88" w14:textId="77777777" w:rsidR="003957AD" w:rsidRPr="00C763A7" w:rsidRDefault="003957AD" w:rsidP="00DE0473">
            <w:pPr>
              <w:jc w:val="center"/>
              <w:rPr>
                <w:rFonts w:cs="Calibri"/>
                <w:b/>
                <w:bCs/>
                <w:color w:val="000000"/>
              </w:rPr>
            </w:pPr>
            <w:r>
              <w:rPr>
                <w:rFonts w:cs="Calibri"/>
                <w:b/>
                <w:bCs/>
                <w:color w:val="000000"/>
              </w:rPr>
              <w:t>No.</w:t>
            </w:r>
          </w:p>
        </w:tc>
        <w:tc>
          <w:tcPr>
            <w:tcW w:w="970" w:type="dxa"/>
            <w:shd w:val="clear" w:color="auto" w:fill="C6D9F1" w:themeFill="text2" w:themeFillTint="33"/>
            <w:noWrap/>
            <w:vAlign w:val="bottom"/>
          </w:tcPr>
          <w:p w14:paraId="3BA2A73D" w14:textId="77777777" w:rsidR="003957AD" w:rsidRDefault="003957AD" w:rsidP="00DE0473">
            <w:pPr>
              <w:jc w:val="center"/>
              <w:rPr>
                <w:rFonts w:cs="Calibri"/>
                <w:b/>
                <w:bCs/>
                <w:color w:val="000000"/>
              </w:rPr>
            </w:pPr>
            <w:r>
              <w:rPr>
                <w:rFonts w:cs="Calibri"/>
                <w:b/>
                <w:bCs/>
                <w:color w:val="000000"/>
              </w:rPr>
              <w:t xml:space="preserve">Level </w:t>
            </w:r>
            <w:proofErr w:type="spellStart"/>
            <w:r>
              <w:rPr>
                <w:rFonts w:cs="Calibri"/>
                <w:b/>
                <w:bCs/>
                <w:color w:val="000000"/>
              </w:rPr>
              <w:t>2a</w:t>
            </w:r>
            <w:proofErr w:type="spellEnd"/>
          </w:p>
          <w:p w14:paraId="69F6990A" w14:textId="77777777" w:rsidR="003957AD" w:rsidRPr="00C763A7" w:rsidRDefault="003957AD" w:rsidP="00DE0473">
            <w:pPr>
              <w:jc w:val="center"/>
              <w:rPr>
                <w:rFonts w:cs="Calibri"/>
                <w:b/>
                <w:bCs/>
                <w:color w:val="000000"/>
              </w:rPr>
            </w:pPr>
            <w:r>
              <w:rPr>
                <w:rFonts w:cs="Calibri"/>
                <w:b/>
                <w:bCs/>
                <w:color w:val="000000"/>
              </w:rPr>
              <w:t>%</w:t>
            </w:r>
          </w:p>
        </w:tc>
        <w:tc>
          <w:tcPr>
            <w:tcW w:w="970" w:type="dxa"/>
            <w:shd w:val="clear" w:color="auto" w:fill="C6D9F1" w:themeFill="text2" w:themeFillTint="33"/>
            <w:vAlign w:val="bottom"/>
          </w:tcPr>
          <w:p w14:paraId="3459F238" w14:textId="77777777" w:rsidR="003957AD" w:rsidRDefault="003957AD" w:rsidP="00DE0473">
            <w:pPr>
              <w:jc w:val="center"/>
              <w:rPr>
                <w:rFonts w:cs="Calibri"/>
                <w:b/>
                <w:bCs/>
                <w:color w:val="000000"/>
              </w:rPr>
            </w:pPr>
            <w:r>
              <w:rPr>
                <w:rFonts w:cs="Calibri"/>
                <w:b/>
                <w:bCs/>
                <w:color w:val="000000"/>
              </w:rPr>
              <w:t xml:space="preserve">Level </w:t>
            </w:r>
            <w:proofErr w:type="spellStart"/>
            <w:r>
              <w:rPr>
                <w:rFonts w:cs="Calibri"/>
                <w:b/>
                <w:bCs/>
                <w:color w:val="000000"/>
              </w:rPr>
              <w:t>2b</w:t>
            </w:r>
            <w:proofErr w:type="spellEnd"/>
          </w:p>
          <w:p w14:paraId="79AE2329" w14:textId="77777777" w:rsidR="003957AD" w:rsidRPr="00C763A7" w:rsidRDefault="003957AD" w:rsidP="00DE0473">
            <w:pPr>
              <w:jc w:val="center"/>
              <w:rPr>
                <w:rFonts w:cs="Calibri"/>
                <w:b/>
                <w:bCs/>
                <w:color w:val="000000"/>
              </w:rPr>
            </w:pPr>
            <w:r>
              <w:rPr>
                <w:rFonts w:cs="Calibri"/>
                <w:b/>
                <w:bCs/>
                <w:color w:val="000000"/>
              </w:rPr>
              <w:t>No.</w:t>
            </w:r>
          </w:p>
        </w:tc>
        <w:tc>
          <w:tcPr>
            <w:tcW w:w="970" w:type="dxa"/>
            <w:shd w:val="clear" w:color="auto" w:fill="C6D9F1" w:themeFill="text2" w:themeFillTint="33"/>
            <w:vAlign w:val="bottom"/>
          </w:tcPr>
          <w:p w14:paraId="2887CD6A" w14:textId="77777777" w:rsidR="003957AD" w:rsidRDefault="003957AD" w:rsidP="00DE0473">
            <w:pPr>
              <w:jc w:val="center"/>
              <w:rPr>
                <w:rFonts w:cs="Calibri"/>
                <w:b/>
                <w:bCs/>
                <w:color w:val="000000"/>
              </w:rPr>
            </w:pPr>
            <w:r>
              <w:rPr>
                <w:rFonts w:cs="Calibri"/>
                <w:b/>
                <w:bCs/>
                <w:color w:val="000000"/>
              </w:rPr>
              <w:t xml:space="preserve">Level </w:t>
            </w:r>
            <w:proofErr w:type="spellStart"/>
            <w:r>
              <w:rPr>
                <w:rFonts w:cs="Calibri"/>
                <w:b/>
                <w:bCs/>
                <w:color w:val="000000"/>
              </w:rPr>
              <w:t>2b</w:t>
            </w:r>
            <w:proofErr w:type="spellEnd"/>
          </w:p>
          <w:p w14:paraId="7CE0162C" w14:textId="77777777" w:rsidR="003957AD" w:rsidRPr="00C763A7" w:rsidRDefault="003957AD" w:rsidP="00DE0473">
            <w:pPr>
              <w:jc w:val="center"/>
              <w:rPr>
                <w:rFonts w:cs="Calibri"/>
                <w:b/>
                <w:bCs/>
                <w:color w:val="000000"/>
              </w:rPr>
            </w:pPr>
            <w:r>
              <w:rPr>
                <w:rFonts w:cs="Calibri"/>
                <w:b/>
                <w:bCs/>
                <w:color w:val="000000"/>
              </w:rPr>
              <w:t>%</w:t>
            </w:r>
          </w:p>
        </w:tc>
      </w:tr>
      <w:tr w:rsidR="003957AD" w:rsidRPr="00C763A7" w14:paraId="20ABF35D" w14:textId="77777777" w:rsidTr="00DE0473">
        <w:trPr>
          <w:trHeight w:val="300"/>
        </w:trPr>
        <w:tc>
          <w:tcPr>
            <w:tcW w:w="4388" w:type="dxa"/>
            <w:vAlign w:val="bottom"/>
          </w:tcPr>
          <w:p w14:paraId="413C123D" w14:textId="77777777" w:rsidR="003957AD" w:rsidRPr="00C763A7" w:rsidRDefault="003957AD" w:rsidP="00DE0473">
            <w:pPr>
              <w:spacing w:before="40" w:after="40"/>
              <w:rPr>
                <w:rFonts w:cs="Calibri"/>
                <w:color w:val="000000"/>
              </w:rPr>
            </w:pPr>
            <w:r>
              <w:rPr>
                <w:rFonts w:cs="Calibri"/>
                <w:color w:val="000000"/>
              </w:rPr>
              <w:t>Achieved a final outcome</w:t>
            </w:r>
          </w:p>
        </w:tc>
        <w:tc>
          <w:tcPr>
            <w:tcW w:w="999" w:type="dxa"/>
            <w:vAlign w:val="bottom"/>
          </w:tcPr>
          <w:p w14:paraId="389479FD" w14:textId="77777777" w:rsidR="003957AD" w:rsidRDefault="003957AD" w:rsidP="00DE0473">
            <w:pPr>
              <w:spacing w:before="40" w:after="40"/>
              <w:jc w:val="center"/>
              <w:rPr>
                <w:rFonts w:cs="Calibri"/>
                <w:color w:val="000000"/>
              </w:rPr>
            </w:pPr>
            <w:r>
              <w:rPr>
                <w:rFonts w:cs="Calibri"/>
                <w:color w:val="000000"/>
              </w:rPr>
              <w:t>10,833</w:t>
            </w:r>
          </w:p>
        </w:tc>
        <w:tc>
          <w:tcPr>
            <w:tcW w:w="940" w:type="dxa"/>
            <w:vAlign w:val="bottom"/>
          </w:tcPr>
          <w:p w14:paraId="3318B1DB" w14:textId="77777777" w:rsidR="003957AD" w:rsidRDefault="003957AD" w:rsidP="00DE0473">
            <w:pPr>
              <w:spacing w:before="40" w:after="40"/>
              <w:jc w:val="center"/>
              <w:rPr>
                <w:rFonts w:cs="Calibri"/>
                <w:color w:val="000000"/>
              </w:rPr>
            </w:pPr>
            <w:r>
              <w:rPr>
                <w:rFonts w:cs="Calibri"/>
                <w:color w:val="000000"/>
              </w:rPr>
              <w:t>68%</w:t>
            </w:r>
          </w:p>
        </w:tc>
        <w:tc>
          <w:tcPr>
            <w:tcW w:w="970" w:type="dxa"/>
            <w:vAlign w:val="bottom"/>
          </w:tcPr>
          <w:p w14:paraId="556BFB52" w14:textId="77777777" w:rsidR="003957AD" w:rsidRDefault="003957AD" w:rsidP="00DE0473">
            <w:pPr>
              <w:spacing w:before="40" w:after="40"/>
              <w:jc w:val="center"/>
              <w:rPr>
                <w:rFonts w:cs="Calibri"/>
                <w:color w:val="000000"/>
              </w:rPr>
            </w:pPr>
            <w:r>
              <w:rPr>
                <w:rFonts w:cs="Calibri"/>
                <w:color w:val="000000"/>
              </w:rPr>
              <w:t>13,377</w:t>
            </w:r>
          </w:p>
        </w:tc>
        <w:tc>
          <w:tcPr>
            <w:tcW w:w="970" w:type="dxa"/>
            <w:shd w:val="clear" w:color="auto" w:fill="auto"/>
            <w:noWrap/>
            <w:vAlign w:val="bottom"/>
          </w:tcPr>
          <w:p w14:paraId="2A954DAF" w14:textId="77777777" w:rsidR="003957AD" w:rsidRDefault="003957AD" w:rsidP="00DE0473">
            <w:pPr>
              <w:spacing w:before="40" w:after="40"/>
              <w:jc w:val="center"/>
              <w:rPr>
                <w:rFonts w:cs="Calibri"/>
                <w:color w:val="000000"/>
              </w:rPr>
            </w:pPr>
            <w:r>
              <w:rPr>
                <w:rFonts w:cs="Calibri"/>
                <w:color w:val="000000"/>
              </w:rPr>
              <w:t>63%</w:t>
            </w:r>
          </w:p>
        </w:tc>
        <w:tc>
          <w:tcPr>
            <w:tcW w:w="970" w:type="dxa"/>
            <w:vAlign w:val="bottom"/>
          </w:tcPr>
          <w:p w14:paraId="3CD204B2" w14:textId="77777777" w:rsidR="003957AD" w:rsidRDefault="003957AD" w:rsidP="00DE0473">
            <w:pPr>
              <w:spacing w:before="40" w:after="40"/>
              <w:jc w:val="center"/>
              <w:rPr>
                <w:rFonts w:cs="Calibri"/>
                <w:color w:val="000000"/>
              </w:rPr>
            </w:pPr>
            <w:r>
              <w:rPr>
                <w:rFonts w:cs="Calibri"/>
                <w:color w:val="000000"/>
              </w:rPr>
              <w:t>12,753</w:t>
            </w:r>
          </w:p>
        </w:tc>
        <w:tc>
          <w:tcPr>
            <w:tcW w:w="970" w:type="dxa"/>
            <w:vAlign w:val="bottom"/>
          </w:tcPr>
          <w:p w14:paraId="600AFD80" w14:textId="77777777" w:rsidR="003957AD" w:rsidRDefault="003957AD" w:rsidP="00DE0473">
            <w:pPr>
              <w:spacing w:before="40" w:after="40"/>
              <w:jc w:val="center"/>
              <w:rPr>
                <w:rFonts w:cs="Calibri"/>
                <w:color w:val="000000"/>
              </w:rPr>
            </w:pPr>
            <w:r>
              <w:rPr>
                <w:rFonts w:cs="Calibri"/>
                <w:color w:val="000000"/>
              </w:rPr>
              <w:t>54%</w:t>
            </w:r>
          </w:p>
        </w:tc>
      </w:tr>
      <w:tr w:rsidR="003957AD" w:rsidRPr="00C763A7" w14:paraId="0FDA30AF" w14:textId="77777777" w:rsidTr="00DE0473">
        <w:trPr>
          <w:trHeight w:val="111"/>
        </w:trPr>
        <w:tc>
          <w:tcPr>
            <w:tcW w:w="4388" w:type="dxa"/>
            <w:vAlign w:val="bottom"/>
          </w:tcPr>
          <w:p w14:paraId="7FA404C8" w14:textId="77777777" w:rsidR="003957AD" w:rsidRPr="00C763A7" w:rsidRDefault="003957AD" w:rsidP="00DE0473">
            <w:pPr>
              <w:spacing w:before="40" w:after="40"/>
              <w:rPr>
                <w:rFonts w:cs="Calibri"/>
                <w:color w:val="000000"/>
              </w:rPr>
            </w:pPr>
            <w:r>
              <w:rPr>
                <w:rFonts w:cs="Calibri"/>
                <w:color w:val="000000"/>
              </w:rPr>
              <w:t>Achieved a progressive outcome</w:t>
            </w:r>
          </w:p>
        </w:tc>
        <w:tc>
          <w:tcPr>
            <w:tcW w:w="999" w:type="dxa"/>
            <w:vAlign w:val="bottom"/>
          </w:tcPr>
          <w:p w14:paraId="5258703B" w14:textId="77777777" w:rsidR="003957AD" w:rsidRDefault="003957AD" w:rsidP="00DE0473">
            <w:pPr>
              <w:spacing w:before="40" w:after="40"/>
              <w:jc w:val="center"/>
              <w:rPr>
                <w:rFonts w:cs="Calibri"/>
                <w:color w:val="000000"/>
              </w:rPr>
            </w:pPr>
            <w:r>
              <w:rPr>
                <w:rFonts w:cs="Calibri"/>
                <w:color w:val="000000"/>
              </w:rPr>
              <w:t>12,587</w:t>
            </w:r>
          </w:p>
        </w:tc>
        <w:tc>
          <w:tcPr>
            <w:tcW w:w="940" w:type="dxa"/>
            <w:vAlign w:val="bottom"/>
          </w:tcPr>
          <w:p w14:paraId="25D65FC7" w14:textId="77777777" w:rsidR="003957AD" w:rsidRDefault="003957AD" w:rsidP="00DE0473">
            <w:pPr>
              <w:spacing w:before="40" w:after="40"/>
              <w:jc w:val="center"/>
              <w:rPr>
                <w:rFonts w:cs="Calibri"/>
                <w:color w:val="000000"/>
              </w:rPr>
            </w:pPr>
            <w:r>
              <w:rPr>
                <w:rFonts w:cs="Calibri"/>
                <w:color w:val="000000"/>
              </w:rPr>
              <w:t>80%</w:t>
            </w:r>
          </w:p>
        </w:tc>
        <w:tc>
          <w:tcPr>
            <w:tcW w:w="970" w:type="dxa"/>
            <w:vAlign w:val="bottom"/>
          </w:tcPr>
          <w:p w14:paraId="2C250EB1" w14:textId="77777777" w:rsidR="003957AD" w:rsidRDefault="003957AD" w:rsidP="00DE0473">
            <w:pPr>
              <w:spacing w:before="40" w:after="40"/>
              <w:jc w:val="center"/>
              <w:rPr>
                <w:rFonts w:cs="Calibri"/>
                <w:color w:val="000000"/>
              </w:rPr>
            </w:pPr>
            <w:r>
              <w:rPr>
                <w:rFonts w:cs="Calibri"/>
                <w:color w:val="000000"/>
              </w:rPr>
              <w:t>16,242</w:t>
            </w:r>
          </w:p>
        </w:tc>
        <w:tc>
          <w:tcPr>
            <w:tcW w:w="970" w:type="dxa"/>
            <w:shd w:val="clear" w:color="auto" w:fill="auto"/>
            <w:noWrap/>
            <w:vAlign w:val="bottom"/>
            <w:hideMark/>
          </w:tcPr>
          <w:p w14:paraId="24B15506" w14:textId="77777777" w:rsidR="003957AD" w:rsidRDefault="003957AD" w:rsidP="00DE0473">
            <w:pPr>
              <w:spacing w:before="40" w:after="40"/>
              <w:jc w:val="center"/>
              <w:rPr>
                <w:rFonts w:cs="Calibri"/>
                <w:color w:val="000000"/>
              </w:rPr>
            </w:pPr>
            <w:r>
              <w:rPr>
                <w:rFonts w:cs="Calibri"/>
                <w:color w:val="000000"/>
              </w:rPr>
              <w:t>77%</w:t>
            </w:r>
          </w:p>
        </w:tc>
        <w:tc>
          <w:tcPr>
            <w:tcW w:w="970" w:type="dxa"/>
            <w:vAlign w:val="bottom"/>
          </w:tcPr>
          <w:p w14:paraId="42178DEA" w14:textId="77777777" w:rsidR="003957AD" w:rsidRDefault="003957AD" w:rsidP="00DE0473">
            <w:pPr>
              <w:spacing w:before="40" w:after="40"/>
              <w:jc w:val="center"/>
              <w:rPr>
                <w:rFonts w:cs="Calibri"/>
                <w:color w:val="000000"/>
              </w:rPr>
            </w:pPr>
            <w:r>
              <w:rPr>
                <w:rFonts w:cs="Calibri"/>
                <w:color w:val="000000"/>
              </w:rPr>
              <w:t>16,449</w:t>
            </w:r>
          </w:p>
        </w:tc>
        <w:tc>
          <w:tcPr>
            <w:tcW w:w="970" w:type="dxa"/>
            <w:vAlign w:val="bottom"/>
          </w:tcPr>
          <w:p w14:paraId="1CAC0F78" w14:textId="77777777" w:rsidR="003957AD" w:rsidRDefault="003957AD" w:rsidP="00DE0473">
            <w:pPr>
              <w:spacing w:before="40" w:after="40"/>
              <w:jc w:val="center"/>
              <w:rPr>
                <w:rFonts w:cs="Calibri"/>
                <w:color w:val="000000"/>
              </w:rPr>
            </w:pPr>
            <w:r>
              <w:rPr>
                <w:rFonts w:cs="Calibri"/>
                <w:color w:val="000000"/>
              </w:rPr>
              <w:t>70%</w:t>
            </w:r>
          </w:p>
        </w:tc>
      </w:tr>
    </w:tbl>
    <w:p w14:paraId="408A64FE" w14:textId="77777777" w:rsidR="003957AD" w:rsidRDefault="003957AD" w:rsidP="003957AD">
      <w:r>
        <w:br w:type="page"/>
      </w:r>
    </w:p>
    <w:p w14:paraId="18513FB0" w14:textId="77777777" w:rsidR="003957AD" w:rsidRPr="002E35EC" w:rsidRDefault="003957AD" w:rsidP="00075C2D">
      <w:pPr>
        <w:pStyle w:val="Heading4"/>
      </w:pPr>
      <w:r w:rsidRPr="002E35EC">
        <w:lastRenderedPageBreak/>
        <w:t>Figure 11: % Achieving an outcomes (progressive or final) by characteristic</w:t>
      </w:r>
    </w:p>
    <w:p w14:paraId="00050D7F" w14:textId="77777777" w:rsidR="003957AD" w:rsidRDefault="003957AD" w:rsidP="003957AD">
      <w:pPr>
        <w:jc w:val="center"/>
      </w:pPr>
      <w:r>
        <w:rPr>
          <w:noProof/>
          <w:lang w:eastAsia="en-AU"/>
        </w:rPr>
        <w:drawing>
          <wp:inline distT="0" distB="0" distL="0" distR="0" wp14:anchorId="15C92354" wp14:editId="605CFA3F">
            <wp:extent cx="6067425" cy="3095625"/>
            <wp:effectExtent l="0" t="0" r="9525" b="9525"/>
            <wp:docPr id="38" name="Chart 38" descr="VIC and National percentage achieving an outcome (progressive or final) by characteristic, graphic representation of tables 15 and 16 below."/>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14:paraId="5DE5DF00" w14:textId="77777777" w:rsidR="00546F15" w:rsidRDefault="00546F15" w:rsidP="003957AD">
      <w:pPr>
        <w:rPr>
          <w:b/>
          <w:bCs/>
          <w:color w:val="4F81BD" w:themeColor="accent1"/>
          <w:sz w:val="18"/>
          <w:szCs w:val="18"/>
        </w:rPr>
      </w:pPr>
    </w:p>
    <w:p w14:paraId="5CE36A59" w14:textId="77777777" w:rsidR="003957AD" w:rsidRPr="002E35EC" w:rsidRDefault="003957AD" w:rsidP="00075C2D">
      <w:pPr>
        <w:pStyle w:val="Heading4"/>
      </w:pPr>
      <w:r w:rsidRPr="002E35EC">
        <w:t xml:space="preserve">Figure 12: % </w:t>
      </w:r>
      <w:proofErr w:type="gramStart"/>
      <w:r w:rsidRPr="002E35EC">
        <w:t>Achieving</w:t>
      </w:r>
      <w:proofErr w:type="gramEnd"/>
      <w:r w:rsidRPr="002E35EC">
        <w:t xml:space="preserve"> a final outcome by characteristic</w:t>
      </w:r>
    </w:p>
    <w:p w14:paraId="1B73AE6E" w14:textId="77777777" w:rsidR="003957AD" w:rsidRDefault="003957AD" w:rsidP="003957AD">
      <w:pPr>
        <w:ind w:right="-567"/>
      </w:pPr>
      <w:r>
        <w:rPr>
          <w:noProof/>
          <w:lang w:eastAsia="en-AU"/>
        </w:rPr>
        <w:drawing>
          <wp:inline distT="0" distB="0" distL="0" distR="0" wp14:anchorId="69F92D95" wp14:editId="1756A026">
            <wp:extent cx="6124575" cy="3276600"/>
            <wp:effectExtent l="0" t="0" r="9525" b="19050"/>
            <wp:docPr id="16" name="Chart 16" descr="VIC and National percentage achieving a final outcome by characteristic, graphic representation of tables 15 and 16 below."/>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14:paraId="3FF767FC" w14:textId="77777777" w:rsidR="003957AD" w:rsidRDefault="003957AD" w:rsidP="003957AD">
      <w:r>
        <w:br w:type="page"/>
      </w:r>
    </w:p>
    <w:p w14:paraId="115D06F7" w14:textId="77777777" w:rsidR="003957AD" w:rsidRPr="002E35EC" w:rsidRDefault="003957AD" w:rsidP="00546F15">
      <w:pPr>
        <w:pStyle w:val="Heading4"/>
      </w:pPr>
      <w:r>
        <w:lastRenderedPageBreak/>
        <w:t>Table 15: VIC- Participant outcome achievement by characteristic</w:t>
      </w:r>
    </w:p>
    <w:tbl>
      <w:tblPr>
        <w:tblW w:w="10207" w:type="dxa"/>
        <w:tblInd w:w="108" w:type="dxa"/>
        <w:tblLook w:val="04A0" w:firstRow="1" w:lastRow="0" w:firstColumn="1" w:lastColumn="0" w:noHBand="0" w:noVBand="1"/>
      </w:tblPr>
      <w:tblGrid>
        <w:gridCol w:w="2835"/>
        <w:gridCol w:w="1228"/>
        <w:gridCol w:w="1229"/>
        <w:gridCol w:w="1229"/>
        <w:gridCol w:w="1228"/>
        <w:gridCol w:w="1229"/>
        <w:gridCol w:w="1229"/>
      </w:tblGrid>
      <w:tr w:rsidR="003957AD" w:rsidRPr="00C763A7" w14:paraId="71268486" w14:textId="77777777" w:rsidTr="00DE0473">
        <w:trPr>
          <w:trHeight w:val="300"/>
        </w:trPr>
        <w:tc>
          <w:tcPr>
            <w:tcW w:w="2835"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8E0F218" w14:textId="77777777" w:rsidR="003957AD" w:rsidRPr="00C763A7" w:rsidRDefault="003957AD" w:rsidP="00DE0473">
            <w:pPr>
              <w:jc w:val="center"/>
              <w:rPr>
                <w:rFonts w:cs="Calibri"/>
                <w:b/>
                <w:bCs/>
                <w:color w:val="000000"/>
              </w:rPr>
            </w:pPr>
            <w:r>
              <w:rPr>
                <w:rFonts w:cs="Calibri"/>
                <w:b/>
                <w:bCs/>
                <w:color w:val="000000"/>
              </w:rPr>
              <w:t>VIC</w:t>
            </w:r>
          </w:p>
        </w:tc>
        <w:tc>
          <w:tcPr>
            <w:tcW w:w="122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8B45DAF" w14:textId="77777777" w:rsidR="003957AD" w:rsidRPr="00C763A7" w:rsidRDefault="003957AD" w:rsidP="00DE0473">
            <w:pPr>
              <w:jc w:val="center"/>
              <w:rPr>
                <w:rFonts w:cs="Calibri"/>
                <w:b/>
                <w:bCs/>
                <w:color w:val="000000"/>
              </w:rPr>
            </w:pPr>
            <w:r>
              <w:rPr>
                <w:rFonts w:cs="Calibri"/>
                <w:b/>
                <w:bCs/>
                <w:color w:val="000000"/>
              </w:rPr>
              <w:t>Achieved an Outcome</w:t>
            </w:r>
          </w:p>
        </w:tc>
        <w:tc>
          <w:tcPr>
            <w:tcW w:w="1229"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A7AC9AF" w14:textId="77777777" w:rsidR="003957AD" w:rsidRPr="00C763A7" w:rsidRDefault="003957AD" w:rsidP="00DE0473">
            <w:pPr>
              <w:jc w:val="center"/>
              <w:rPr>
                <w:rFonts w:cs="Calibri"/>
                <w:b/>
                <w:bCs/>
                <w:color w:val="000000"/>
              </w:rPr>
            </w:pPr>
            <w:r>
              <w:rPr>
                <w:rFonts w:cs="Calibri"/>
                <w:b/>
                <w:bCs/>
                <w:color w:val="000000"/>
              </w:rPr>
              <w:t>Achieved a Final Outcome</w:t>
            </w:r>
          </w:p>
        </w:tc>
        <w:tc>
          <w:tcPr>
            <w:tcW w:w="1229"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3980083" w14:textId="77777777" w:rsidR="003957AD" w:rsidRPr="00C763A7" w:rsidRDefault="003957AD" w:rsidP="00DE0473">
            <w:pPr>
              <w:jc w:val="center"/>
              <w:rPr>
                <w:rFonts w:cs="Calibri"/>
                <w:b/>
                <w:bCs/>
                <w:color w:val="000000"/>
              </w:rPr>
            </w:pPr>
            <w:r>
              <w:rPr>
                <w:rFonts w:cs="Calibri"/>
                <w:b/>
                <w:bCs/>
                <w:color w:val="000000"/>
              </w:rPr>
              <w:t>Not yet achieved</w:t>
            </w:r>
          </w:p>
        </w:tc>
        <w:tc>
          <w:tcPr>
            <w:tcW w:w="1228"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center"/>
            <w:hideMark/>
          </w:tcPr>
          <w:p w14:paraId="3958756F" w14:textId="77777777" w:rsidR="003957AD" w:rsidRPr="00C763A7" w:rsidRDefault="003957AD" w:rsidP="00DE0473">
            <w:pPr>
              <w:jc w:val="center"/>
              <w:rPr>
                <w:rFonts w:cs="Calibri"/>
                <w:b/>
                <w:bCs/>
                <w:color w:val="000000"/>
              </w:rPr>
            </w:pPr>
            <w:r>
              <w:rPr>
                <w:rFonts w:cs="Calibri"/>
                <w:b/>
                <w:bCs/>
                <w:color w:val="000000"/>
              </w:rPr>
              <w:t>Grand Total</w:t>
            </w:r>
          </w:p>
        </w:tc>
        <w:tc>
          <w:tcPr>
            <w:tcW w:w="1229"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119E06FB" w14:textId="77777777" w:rsidR="003957AD" w:rsidRPr="00C763A7" w:rsidRDefault="003957AD" w:rsidP="00DE0473">
            <w:pPr>
              <w:jc w:val="center"/>
              <w:rPr>
                <w:rFonts w:cs="Calibri"/>
                <w:b/>
                <w:bCs/>
                <w:color w:val="000000"/>
              </w:rPr>
            </w:pPr>
            <w:r>
              <w:rPr>
                <w:rFonts w:cs="Calibri"/>
                <w:b/>
                <w:bCs/>
                <w:color w:val="000000"/>
              </w:rPr>
              <w:t>% of total achieving an outcome</w:t>
            </w:r>
          </w:p>
        </w:tc>
        <w:tc>
          <w:tcPr>
            <w:tcW w:w="1229"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767E94FC" w14:textId="77777777" w:rsidR="003957AD" w:rsidRPr="00C763A7" w:rsidRDefault="003957AD" w:rsidP="00DE0473">
            <w:pPr>
              <w:jc w:val="center"/>
              <w:rPr>
                <w:rFonts w:cs="Calibri"/>
                <w:b/>
                <w:bCs/>
                <w:color w:val="000000"/>
              </w:rPr>
            </w:pPr>
            <w:r>
              <w:rPr>
                <w:rFonts w:cs="Calibri"/>
                <w:b/>
                <w:bCs/>
                <w:color w:val="000000"/>
              </w:rPr>
              <w:t>% of total achieving a final outcome</w:t>
            </w:r>
          </w:p>
        </w:tc>
      </w:tr>
      <w:tr w:rsidR="003957AD" w:rsidRPr="00C763A7" w14:paraId="37708E01" w14:textId="77777777" w:rsidTr="00DE0473">
        <w:trPr>
          <w:trHeight w:val="300"/>
        </w:trPr>
        <w:tc>
          <w:tcPr>
            <w:tcW w:w="2835" w:type="dxa"/>
            <w:tcBorders>
              <w:top w:val="single" w:sz="4" w:space="0" w:color="auto"/>
              <w:left w:val="single" w:sz="4" w:space="0" w:color="auto"/>
              <w:bottom w:val="single" w:sz="4" w:space="0" w:color="auto"/>
              <w:right w:val="single" w:sz="4" w:space="0" w:color="auto"/>
            </w:tcBorders>
            <w:vAlign w:val="bottom"/>
          </w:tcPr>
          <w:p w14:paraId="6DB707FB" w14:textId="77777777" w:rsidR="003957AD" w:rsidRDefault="003957AD" w:rsidP="00DE0473">
            <w:pPr>
              <w:rPr>
                <w:rFonts w:cs="Calibri"/>
                <w:color w:val="000000"/>
              </w:rPr>
            </w:pPr>
            <w:r>
              <w:rPr>
                <w:rFonts w:cs="Calibri"/>
                <w:color w:val="000000"/>
              </w:rPr>
              <w:t>Culturally and linguistically diverse</w:t>
            </w:r>
          </w:p>
        </w:tc>
        <w:tc>
          <w:tcPr>
            <w:tcW w:w="1228" w:type="dxa"/>
            <w:tcBorders>
              <w:top w:val="single" w:sz="4" w:space="0" w:color="auto"/>
              <w:left w:val="single" w:sz="4" w:space="0" w:color="auto"/>
              <w:bottom w:val="single" w:sz="4" w:space="0" w:color="auto"/>
              <w:right w:val="single" w:sz="4" w:space="0" w:color="auto"/>
            </w:tcBorders>
            <w:vAlign w:val="bottom"/>
          </w:tcPr>
          <w:p w14:paraId="21BA1967" w14:textId="77777777" w:rsidR="003957AD" w:rsidRDefault="003957AD" w:rsidP="00DE0473">
            <w:pPr>
              <w:jc w:val="right"/>
              <w:rPr>
                <w:rFonts w:cs="Calibri"/>
                <w:color w:val="000000"/>
              </w:rPr>
            </w:pPr>
            <w:r>
              <w:rPr>
                <w:rFonts w:cs="Calibri"/>
                <w:color w:val="000000"/>
              </w:rPr>
              <w:t>771</w:t>
            </w:r>
          </w:p>
        </w:tc>
        <w:tc>
          <w:tcPr>
            <w:tcW w:w="1229" w:type="dxa"/>
            <w:tcBorders>
              <w:top w:val="single" w:sz="4" w:space="0" w:color="auto"/>
              <w:left w:val="single" w:sz="4" w:space="0" w:color="auto"/>
              <w:bottom w:val="single" w:sz="4" w:space="0" w:color="auto"/>
              <w:right w:val="single" w:sz="4" w:space="0" w:color="auto"/>
            </w:tcBorders>
            <w:vAlign w:val="bottom"/>
          </w:tcPr>
          <w:p w14:paraId="7B6D4993" w14:textId="77777777" w:rsidR="003957AD" w:rsidRDefault="003957AD" w:rsidP="00DE0473">
            <w:pPr>
              <w:jc w:val="right"/>
              <w:rPr>
                <w:rFonts w:cs="Calibri"/>
                <w:color w:val="000000"/>
              </w:rPr>
            </w:pPr>
            <w:r>
              <w:rPr>
                <w:rFonts w:cs="Calibri"/>
                <w:color w:val="000000"/>
              </w:rPr>
              <w:t>611</w:t>
            </w:r>
          </w:p>
        </w:tc>
        <w:tc>
          <w:tcPr>
            <w:tcW w:w="1229" w:type="dxa"/>
            <w:tcBorders>
              <w:top w:val="single" w:sz="4" w:space="0" w:color="auto"/>
              <w:left w:val="single" w:sz="4" w:space="0" w:color="auto"/>
              <w:bottom w:val="single" w:sz="4" w:space="0" w:color="auto"/>
              <w:right w:val="single" w:sz="4" w:space="0" w:color="auto"/>
            </w:tcBorders>
            <w:vAlign w:val="bottom"/>
          </w:tcPr>
          <w:p w14:paraId="2AAC7F58" w14:textId="77777777" w:rsidR="003957AD" w:rsidRDefault="003957AD" w:rsidP="00DE0473">
            <w:pPr>
              <w:jc w:val="right"/>
              <w:rPr>
                <w:rFonts w:cs="Calibri"/>
                <w:color w:val="000000"/>
              </w:rPr>
            </w:pPr>
            <w:r>
              <w:rPr>
                <w:rFonts w:cs="Calibri"/>
                <w:color w:val="000000"/>
              </w:rPr>
              <w:t>200</w:t>
            </w:r>
          </w:p>
        </w:tc>
        <w:tc>
          <w:tcPr>
            <w:tcW w:w="12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9E1EDF" w14:textId="77777777" w:rsidR="003957AD" w:rsidRDefault="003957AD" w:rsidP="00DE0473">
            <w:pPr>
              <w:jc w:val="right"/>
              <w:rPr>
                <w:rFonts w:cs="Calibri"/>
                <w:color w:val="000000"/>
              </w:rPr>
            </w:pPr>
            <w:r>
              <w:rPr>
                <w:rFonts w:cs="Calibri"/>
                <w:color w:val="000000"/>
              </w:rPr>
              <w:t>971</w:t>
            </w:r>
          </w:p>
        </w:tc>
        <w:tc>
          <w:tcPr>
            <w:tcW w:w="1229" w:type="dxa"/>
            <w:tcBorders>
              <w:top w:val="single" w:sz="4" w:space="0" w:color="auto"/>
              <w:left w:val="single" w:sz="4" w:space="0" w:color="auto"/>
              <w:bottom w:val="single" w:sz="4" w:space="0" w:color="auto"/>
              <w:right w:val="single" w:sz="4" w:space="0" w:color="auto"/>
            </w:tcBorders>
            <w:vAlign w:val="bottom"/>
          </w:tcPr>
          <w:p w14:paraId="6B132AEC" w14:textId="77777777" w:rsidR="003957AD" w:rsidRDefault="003957AD" w:rsidP="00DE0473">
            <w:pPr>
              <w:jc w:val="right"/>
              <w:rPr>
                <w:rFonts w:cs="Calibri"/>
                <w:color w:val="000000"/>
              </w:rPr>
            </w:pPr>
            <w:r>
              <w:rPr>
                <w:rFonts w:cs="Calibri"/>
                <w:color w:val="000000"/>
              </w:rPr>
              <w:t>79%</w:t>
            </w:r>
          </w:p>
        </w:tc>
        <w:tc>
          <w:tcPr>
            <w:tcW w:w="1229" w:type="dxa"/>
            <w:tcBorders>
              <w:top w:val="single" w:sz="4" w:space="0" w:color="auto"/>
              <w:left w:val="single" w:sz="4" w:space="0" w:color="auto"/>
              <w:bottom w:val="single" w:sz="4" w:space="0" w:color="auto"/>
              <w:right w:val="single" w:sz="4" w:space="0" w:color="auto"/>
            </w:tcBorders>
            <w:vAlign w:val="bottom"/>
          </w:tcPr>
          <w:p w14:paraId="59629EBD" w14:textId="77777777" w:rsidR="003957AD" w:rsidRDefault="003957AD" w:rsidP="00DE0473">
            <w:pPr>
              <w:jc w:val="right"/>
              <w:rPr>
                <w:rFonts w:cs="Calibri"/>
                <w:color w:val="000000"/>
              </w:rPr>
            </w:pPr>
            <w:r>
              <w:rPr>
                <w:rFonts w:cs="Calibri"/>
                <w:color w:val="000000"/>
              </w:rPr>
              <w:t>63%</w:t>
            </w:r>
          </w:p>
        </w:tc>
      </w:tr>
      <w:tr w:rsidR="003957AD" w:rsidRPr="00C763A7" w14:paraId="4F342554" w14:textId="77777777" w:rsidTr="00DE0473">
        <w:trPr>
          <w:trHeight w:val="300"/>
        </w:trPr>
        <w:tc>
          <w:tcPr>
            <w:tcW w:w="2835" w:type="dxa"/>
            <w:tcBorders>
              <w:top w:val="single" w:sz="4" w:space="0" w:color="auto"/>
              <w:left w:val="single" w:sz="4" w:space="0" w:color="auto"/>
              <w:bottom w:val="single" w:sz="4" w:space="0" w:color="auto"/>
              <w:right w:val="single" w:sz="4" w:space="0" w:color="auto"/>
            </w:tcBorders>
            <w:vAlign w:val="bottom"/>
          </w:tcPr>
          <w:p w14:paraId="740491EE" w14:textId="77777777" w:rsidR="003957AD" w:rsidRDefault="003957AD" w:rsidP="00DE0473">
            <w:pPr>
              <w:rPr>
                <w:rFonts w:cs="Calibri"/>
                <w:color w:val="000000"/>
              </w:rPr>
            </w:pPr>
            <w:r>
              <w:rPr>
                <w:rFonts w:cs="Calibri"/>
                <w:color w:val="000000"/>
              </w:rPr>
              <w:t>Disability</w:t>
            </w:r>
          </w:p>
        </w:tc>
        <w:tc>
          <w:tcPr>
            <w:tcW w:w="1228" w:type="dxa"/>
            <w:tcBorders>
              <w:top w:val="single" w:sz="4" w:space="0" w:color="auto"/>
              <w:left w:val="single" w:sz="4" w:space="0" w:color="auto"/>
              <w:bottom w:val="single" w:sz="4" w:space="0" w:color="auto"/>
              <w:right w:val="single" w:sz="4" w:space="0" w:color="auto"/>
            </w:tcBorders>
            <w:vAlign w:val="bottom"/>
          </w:tcPr>
          <w:p w14:paraId="6E5F41EE" w14:textId="77777777" w:rsidR="003957AD" w:rsidRDefault="003957AD" w:rsidP="00DE0473">
            <w:pPr>
              <w:jc w:val="right"/>
              <w:rPr>
                <w:rFonts w:cs="Calibri"/>
                <w:color w:val="000000"/>
              </w:rPr>
            </w:pPr>
            <w:r>
              <w:rPr>
                <w:rFonts w:cs="Calibri"/>
                <w:color w:val="000000"/>
              </w:rPr>
              <w:t>556</w:t>
            </w:r>
          </w:p>
        </w:tc>
        <w:tc>
          <w:tcPr>
            <w:tcW w:w="1229" w:type="dxa"/>
            <w:tcBorders>
              <w:top w:val="single" w:sz="4" w:space="0" w:color="auto"/>
              <w:left w:val="single" w:sz="4" w:space="0" w:color="auto"/>
              <w:bottom w:val="single" w:sz="4" w:space="0" w:color="auto"/>
              <w:right w:val="single" w:sz="4" w:space="0" w:color="auto"/>
            </w:tcBorders>
            <w:vAlign w:val="bottom"/>
          </w:tcPr>
          <w:p w14:paraId="57714C02" w14:textId="77777777" w:rsidR="003957AD" w:rsidRDefault="003957AD" w:rsidP="00DE0473">
            <w:pPr>
              <w:jc w:val="right"/>
              <w:rPr>
                <w:rFonts w:cs="Calibri"/>
                <w:color w:val="000000"/>
              </w:rPr>
            </w:pPr>
            <w:r>
              <w:rPr>
                <w:rFonts w:cs="Calibri"/>
                <w:color w:val="000000"/>
              </w:rPr>
              <w:t>425</w:t>
            </w:r>
          </w:p>
        </w:tc>
        <w:tc>
          <w:tcPr>
            <w:tcW w:w="1229" w:type="dxa"/>
            <w:tcBorders>
              <w:top w:val="single" w:sz="4" w:space="0" w:color="auto"/>
              <w:left w:val="single" w:sz="4" w:space="0" w:color="auto"/>
              <w:bottom w:val="single" w:sz="4" w:space="0" w:color="auto"/>
              <w:right w:val="single" w:sz="4" w:space="0" w:color="auto"/>
            </w:tcBorders>
            <w:vAlign w:val="bottom"/>
          </w:tcPr>
          <w:p w14:paraId="307DCF01" w14:textId="77777777" w:rsidR="003957AD" w:rsidRDefault="003957AD" w:rsidP="00DE0473">
            <w:pPr>
              <w:jc w:val="right"/>
              <w:rPr>
                <w:rFonts w:cs="Calibri"/>
                <w:color w:val="000000"/>
              </w:rPr>
            </w:pPr>
            <w:r>
              <w:rPr>
                <w:rFonts w:cs="Calibri"/>
                <w:color w:val="000000"/>
              </w:rPr>
              <w:t>139</w:t>
            </w:r>
          </w:p>
        </w:tc>
        <w:tc>
          <w:tcPr>
            <w:tcW w:w="12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7B30E1" w14:textId="77777777" w:rsidR="003957AD" w:rsidRDefault="003957AD" w:rsidP="00DE0473">
            <w:pPr>
              <w:jc w:val="right"/>
              <w:rPr>
                <w:rFonts w:cs="Calibri"/>
                <w:color w:val="000000"/>
              </w:rPr>
            </w:pPr>
            <w:r>
              <w:rPr>
                <w:rFonts w:cs="Calibri"/>
                <w:color w:val="000000"/>
              </w:rPr>
              <w:t>695</w:t>
            </w:r>
          </w:p>
        </w:tc>
        <w:tc>
          <w:tcPr>
            <w:tcW w:w="1229" w:type="dxa"/>
            <w:tcBorders>
              <w:top w:val="single" w:sz="4" w:space="0" w:color="auto"/>
              <w:left w:val="single" w:sz="4" w:space="0" w:color="auto"/>
              <w:bottom w:val="single" w:sz="4" w:space="0" w:color="auto"/>
              <w:right w:val="single" w:sz="4" w:space="0" w:color="auto"/>
            </w:tcBorders>
            <w:vAlign w:val="bottom"/>
          </w:tcPr>
          <w:p w14:paraId="420F0792" w14:textId="77777777" w:rsidR="003957AD" w:rsidRDefault="003957AD" w:rsidP="00DE0473">
            <w:pPr>
              <w:jc w:val="right"/>
              <w:rPr>
                <w:rFonts w:cs="Calibri"/>
                <w:color w:val="000000"/>
              </w:rPr>
            </w:pPr>
            <w:r>
              <w:rPr>
                <w:rFonts w:cs="Calibri"/>
                <w:color w:val="000000"/>
              </w:rPr>
              <w:t>80%</w:t>
            </w:r>
          </w:p>
        </w:tc>
        <w:tc>
          <w:tcPr>
            <w:tcW w:w="1229" w:type="dxa"/>
            <w:tcBorders>
              <w:top w:val="single" w:sz="4" w:space="0" w:color="auto"/>
              <w:left w:val="single" w:sz="4" w:space="0" w:color="auto"/>
              <w:bottom w:val="single" w:sz="4" w:space="0" w:color="auto"/>
              <w:right w:val="single" w:sz="4" w:space="0" w:color="auto"/>
            </w:tcBorders>
            <w:vAlign w:val="bottom"/>
          </w:tcPr>
          <w:p w14:paraId="55A25217" w14:textId="77777777" w:rsidR="003957AD" w:rsidRDefault="003957AD" w:rsidP="00DE0473">
            <w:pPr>
              <w:jc w:val="right"/>
              <w:rPr>
                <w:rFonts w:cs="Calibri"/>
                <w:color w:val="000000"/>
              </w:rPr>
            </w:pPr>
            <w:r>
              <w:rPr>
                <w:rFonts w:cs="Calibri"/>
                <w:color w:val="000000"/>
              </w:rPr>
              <w:t>61%</w:t>
            </w:r>
          </w:p>
        </w:tc>
      </w:tr>
      <w:tr w:rsidR="003957AD" w:rsidRPr="00C763A7" w14:paraId="2F363D08" w14:textId="77777777" w:rsidTr="00DE0473">
        <w:trPr>
          <w:trHeight w:val="300"/>
        </w:trPr>
        <w:tc>
          <w:tcPr>
            <w:tcW w:w="2835" w:type="dxa"/>
            <w:tcBorders>
              <w:top w:val="single" w:sz="4" w:space="0" w:color="auto"/>
              <w:left w:val="single" w:sz="4" w:space="0" w:color="auto"/>
              <w:bottom w:val="single" w:sz="4" w:space="0" w:color="auto"/>
              <w:right w:val="single" w:sz="4" w:space="0" w:color="auto"/>
            </w:tcBorders>
            <w:vAlign w:val="bottom"/>
          </w:tcPr>
          <w:p w14:paraId="1E88F3B7" w14:textId="77777777" w:rsidR="003957AD" w:rsidRDefault="003957AD" w:rsidP="00DE0473">
            <w:pPr>
              <w:rPr>
                <w:rFonts w:cs="Calibri"/>
                <w:color w:val="000000"/>
              </w:rPr>
            </w:pPr>
            <w:r>
              <w:rPr>
                <w:rFonts w:cs="Calibri"/>
                <w:color w:val="000000"/>
              </w:rPr>
              <w:t>Humanitarian Refugee</w:t>
            </w:r>
          </w:p>
        </w:tc>
        <w:tc>
          <w:tcPr>
            <w:tcW w:w="1228" w:type="dxa"/>
            <w:tcBorders>
              <w:top w:val="single" w:sz="4" w:space="0" w:color="auto"/>
              <w:left w:val="single" w:sz="4" w:space="0" w:color="auto"/>
              <w:bottom w:val="single" w:sz="4" w:space="0" w:color="auto"/>
              <w:right w:val="single" w:sz="4" w:space="0" w:color="auto"/>
            </w:tcBorders>
            <w:vAlign w:val="bottom"/>
          </w:tcPr>
          <w:p w14:paraId="06FA720D" w14:textId="77777777" w:rsidR="003957AD" w:rsidRDefault="003957AD" w:rsidP="00DE0473">
            <w:pPr>
              <w:jc w:val="right"/>
              <w:rPr>
                <w:rFonts w:cs="Calibri"/>
                <w:color w:val="000000"/>
              </w:rPr>
            </w:pPr>
            <w:r>
              <w:rPr>
                <w:rFonts w:cs="Calibri"/>
                <w:color w:val="000000"/>
              </w:rPr>
              <w:t>305</w:t>
            </w:r>
          </w:p>
        </w:tc>
        <w:tc>
          <w:tcPr>
            <w:tcW w:w="1229" w:type="dxa"/>
            <w:tcBorders>
              <w:top w:val="single" w:sz="4" w:space="0" w:color="auto"/>
              <w:left w:val="single" w:sz="4" w:space="0" w:color="auto"/>
              <w:bottom w:val="single" w:sz="4" w:space="0" w:color="auto"/>
              <w:right w:val="single" w:sz="4" w:space="0" w:color="auto"/>
            </w:tcBorders>
            <w:vAlign w:val="bottom"/>
          </w:tcPr>
          <w:p w14:paraId="50F60389" w14:textId="77777777" w:rsidR="003957AD" w:rsidRDefault="003957AD" w:rsidP="00DE0473">
            <w:pPr>
              <w:jc w:val="right"/>
              <w:rPr>
                <w:rFonts w:cs="Calibri"/>
                <w:color w:val="000000"/>
              </w:rPr>
            </w:pPr>
            <w:r>
              <w:rPr>
                <w:rFonts w:cs="Calibri"/>
                <w:color w:val="000000"/>
              </w:rPr>
              <w:t>257</w:t>
            </w:r>
          </w:p>
        </w:tc>
        <w:tc>
          <w:tcPr>
            <w:tcW w:w="1229" w:type="dxa"/>
            <w:tcBorders>
              <w:top w:val="single" w:sz="4" w:space="0" w:color="auto"/>
              <w:left w:val="single" w:sz="4" w:space="0" w:color="auto"/>
              <w:bottom w:val="single" w:sz="4" w:space="0" w:color="auto"/>
              <w:right w:val="single" w:sz="4" w:space="0" w:color="auto"/>
            </w:tcBorders>
            <w:vAlign w:val="bottom"/>
          </w:tcPr>
          <w:p w14:paraId="08F27C0F" w14:textId="77777777" w:rsidR="003957AD" w:rsidRDefault="003957AD" w:rsidP="00DE0473">
            <w:pPr>
              <w:jc w:val="right"/>
              <w:rPr>
                <w:rFonts w:cs="Calibri"/>
                <w:color w:val="000000"/>
              </w:rPr>
            </w:pPr>
            <w:r>
              <w:rPr>
                <w:rFonts w:cs="Calibri"/>
                <w:color w:val="000000"/>
              </w:rPr>
              <w:t>77</w:t>
            </w:r>
          </w:p>
        </w:tc>
        <w:tc>
          <w:tcPr>
            <w:tcW w:w="12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8E0465" w14:textId="77777777" w:rsidR="003957AD" w:rsidRDefault="003957AD" w:rsidP="00DE0473">
            <w:pPr>
              <w:jc w:val="right"/>
              <w:rPr>
                <w:rFonts w:cs="Calibri"/>
                <w:color w:val="000000"/>
              </w:rPr>
            </w:pPr>
            <w:r>
              <w:rPr>
                <w:rFonts w:cs="Calibri"/>
                <w:color w:val="000000"/>
              </w:rPr>
              <w:t>382</w:t>
            </w:r>
          </w:p>
        </w:tc>
        <w:tc>
          <w:tcPr>
            <w:tcW w:w="1229" w:type="dxa"/>
            <w:tcBorders>
              <w:top w:val="single" w:sz="4" w:space="0" w:color="auto"/>
              <w:left w:val="single" w:sz="4" w:space="0" w:color="auto"/>
              <w:bottom w:val="single" w:sz="4" w:space="0" w:color="auto"/>
              <w:right w:val="single" w:sz="4" w:space="0" w:color="auto"/>
            </w:tcBorders>
            <w:vAlign w:val="bottom"/>
          </w:tcPr>
          <w:p w14:paraId="384B7254" w14:textId="77777777" w:rsidR="003957AD" w:rsidRDefault="003957AD" w:rsidP="00DE0473">
            <w:pPr>
              <w:jc w:val="right"/>
              <w:rPr>
                <w:rFonts w:cs="Calibri"/>
                <w:color w:val="000000"/>
              </w:rPr>
            </w:pPr>
            <w:r>
              <w:rPr>
                <w:rFonts w:cs="Calibri"/>
                <w:color w:val="000000"/>
              </w:rPr>
              <w:t>80%</w:t>
            </w:r>
          </w:p>
        </w:tc>
        <w:tc>
          <w:tcPr>
            <w:tcW w:w="1229" w:type="dxa"/>
            <w:tcBorders>
              <w:top w:val="single" w:sz="4" w:space="0" w:color="auto"/>
              <w:left w:val="single" w:sz="4" w:space="0" w:color="auto"/>
              <w:bottom w:val="single" w:sz="4" w:space="0" w:color="auto"/>
              <w:right w:val="single" w:sz="4" w:space="0" w:color="auto"/>
            </w:tcBorders>
            <w:vAlign w:val="bottom"/>
          </w:tcPr>
          <w:p w14:paraId="416DDFF9" w14:textId="77777777" w:rsidR="003957AD" w:rsidRDefault="003957AD" w:rsidP="00DE0473">
            <w:pPr>
              <w:jc w:val="right"/>
              <w:rPr>
                <w:rFonts w:cs="Calibri"/>
                <w:color w:val="000000"/>
              </w:rPr>
            </w:pPr>
            <w:r>
              <w:rPr>
                <w:rFonts w:cs="Calibri"/>
                <w:color w:val="000000"/>
              </w:rPr>
              <w:t>67%</w:t>
            </w:r>
          </w:p>
        </w:tc>
      </w:tr>
      <w:tr w:rsidR="003957AD" w:rsidRPr="00C763A7" w14:paraId="44F5E2C4" w14:textId="77777777" w:rsidTr="00DE0473">
        <w:trPr>
          <w:trHeight w:val="300"/>
        </w:trPr>
        <w:tc>
          <w:tcPr>
            <w:tcW w:w="2835" w:type="dxa"/>
            <w:tcBorders>
              <w:top w:val="single" w:sz="4" w:space="0" w:color="auto"/>
              <w:left w:val="single" w:sz="4" w:space="0" w:color="auto"/>
              <w:bottom w:val="single" w:sz="4" w:space="0" w:color="auto"/>
              <w:right w:val="single" w:sz="4" w:space="0" w:color="auto"/>
            </w:tcBorders>
            <w:vAlign w:val="bottom"/>
          </w:tcPr>
          <w:p w14:paraId="4ED0331F" w14:textId="77777777" w:rsidR="003957AD" w:rsidRDefault="003957AD" w:rsidP="00DE0473">
            <w:pPr>
              <w:rPr>
                <w:rFonts w:cs="Calibri"/>
                <w:color w:val="000000"/>
              </w:rPr>
            </w:pPr>
            <w:r>
              <w:rPr>
                <w:rFonts w:cs="Calibri"/>
                <w:color w:val="000000"/>
              </w:rPr>
              <w:t>Indigenous Australian</w:t>
            </w:r>
          </w:p>
        </w:tc>
        <w:tc>
          <w:tcPr>
            <w:tcW w:w="1228" w:type="dxa"/>
            <w:tcBorders>
              <w:top w:val="single" w:sz="4" w:space="0" w:color="auto"/>
              <w:left w:val="single" w:sz="4" w:space="0" w:color="auto"/>
              <w:bottom w:val="single" w:sz="4" w:space="0" w:color="auto"/>
              <w:right w:val="single" w:sz="4" w:space="0" w:color="auto"/>
            </w:tcBorders>
            <w:vAlign w:val="bottom"/>
          </w:tcPr>
          <w:p w14:paraId="24461696" w14:textId="77777777" w:rsidR="003957AD" w:rsidRDefault="003957AD" w:rsidP="00DE0473">
            <w:pPr>
              <w:jc w:val="right"/>
              <w:rPr>
                <w:rFonts w:cs="Calibri"/>
                <w:color w:val="000000"/>
              </w:rPr>
            </w:pPr>
            <w:r>
              <w:rPr>
                <w:rFonts w:cs="Calibri"/>
                <w:color w:val="000000"/>
              </w:rPr>
              <w:t>512</w:t>
            </w:r>
          </w:p>
        </w:tc>
        <w:tc>
          <w:tcPr>
            <w:tcW w:w="1229" w:type="dxa"/>
            <w:tcBorders>
              <w:top w:val="single" w:sz="4" w:space="0" w:color="auto"/>
              <w:left w:val="single" w:sz="4" w:space="0" w:color="auto"/>
              <w:bottom w:val="single" w:sz="4" w:space="0" w:color="auto"/>
              <w:right w:val="single" w:sz="4" w:space="0" w:color="auto"/>
            </w:tcBorders>
            <w:vAlign w:val="bottom"/>
          </w:tcPr>
          <w:p w14:paraId="2FDD48AB" w14:textId="77777777" w:rsidR="003957AD" w:rsidRDefault="003957AD" w:rsidP="00DE0473">
            <w:pPr>
              <w:jc w:val="right"/>
              <w:rPr>
                <w:rFonts w:cs="Calibri"/>
                <w:color w:val="000000"/>
              </w:rPr>
            </w:pPr>
            <w:r>
              <w:rPr>
                <w:rFonts w:cs="Calibri"/>
                <w:color w:val="000000"/>
              </w:rPr>
              <w:t>368</w:t>
            </w:r>
          </w:p>
        </w:tc>
        <w:tc>
          <w:tcPr>
            <w:tcW w:w="1229" w:type="dxa"/>
            <w:tcBorders>
              <w:top w:val="single" w:sz="4" w:space="0" w:color="auto"/>
              <w:left w:val="single" w:sz="4" w:space="0" w:color="auto"/>
              <w:bottom w:val="single" w:sz="4" w:space="0" w:color="auto"/>
              <w:right w:val="single" w:sz="4" w:space="0" w:color="auto"/>
            </w:tcBorders>
            <w:vAlign w:val="bottom"/>
          </w:tcPr>
          <w:p w14:paraId="5739893C" w14:textId="77777777" w:rsidR="003957AD" w:rsidRDefault="003957AD" w:rsidP="00DE0473">
            <w:pPr>
              <w:jc w:val="right"/>
              <w:rPr>
                <w:rFonts w:cs="Calibri"/>
                <w:color w:val="000000"/>
              </w:rPr>
            </w:pPr>
            <w:r>
              <w:rPr>
                <w:rFonts w:cs="Calibri"/>
                <w:color w:val="000000"/>
              </w:rPr>
              <w:t>233</w:t>
            </w:r>
          </w:p>
        </w:tc>
        <w:tc>
          <w:tcPr>
            <w:tcW w:w="12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5296B7" w14:textId="77777777" w:rsidR="003957AD" w:rsidRDefault="003957AD" w:rsidP="00DE0473">
            <w:pPr>
              <w:jc w:val="right"/>
              <w:rPr>
                <w:rFonts w:cs="Calibri"/>
                <w:color w:val="000000"/>
              </w:rPr>
            </w:pPr>
            <w:r>
              <w:rPr>
                <w:rFonts w:cs="Calibri"/>
                <w:color w:val="000000"/>
              </w:rPr>
              <w:t>745</w:t>
            </w:r>
          </w:p>
        </w:tc>
        <w:tc>
          <w:tcPr>
            <w:tcW w:w="1229" w:type="dxa"/>
            <w:tcBorders>
              <w:top w:val="single" w:sz="4" w:space="0" w:color="auto"/>
              <w:left w:val="single" w:sz="4" w:space="0" w:color="auto"/>
              <w:bottom w:val="single" w:sz="4" w:space="0" w:color="auto"/>
              <w:right w:val="single" w:sz="4" w:space="0" w:color="auto"/>
            </w:tcBorders>
            <w:vAlign w:val="bottom"/>
          </w:tcPr>
          <w:p w14:paraId="5C6CD51A" w14:textId="77777777" w:rsidR="003957AD" w:rsidRDefault="003957AD" w:rsidP="00DE0473">
            <w:pPr>
              <w:jc w:val="right"/>
              <w:rPr>
                <w:rFonts w:cs="Calibri"/>
                <w:color w:val="000000"/>
              </w:rPr>
            </w:pPr>
            <w:r>
              <w:rPr>
                <w:rFonts w:cs="Calibri"/>
                <w:color w:val="000000"/>
              </w:rPr>
              <w:t>69%</w:t>
            </w:r>
          </w:p>
        </w:tc>
        <w:tc>
          <w:tcPr>
            <w:tcW w:w="1229" w:type="dxa"/>
            <w:tcBorders>
              <w:top w:val="single" w:sz="4" w:space="0" w:color="auto"/>
              <w:left w:val="single" w:sz="4" w:space="0" w:color="auto"/>
              <w:bottom w:val="single" w:sz="4" w:space="0" w:color="auto"/>
              <w:right w:val="single" w:sz="4" w:space="0" w:color="auto"/>
            </w:tcBorders>
            <w:vAlign w:val="bottom"/>
          </w:tcPr>
          <w:p w14:paraId="5638327E" w14:textId="77777777" w:rsidR="003957AD" w:rsidRDefault="003957AD" w:rsidP="00DE0473">
            <w:pPr>
              <w:jc w:val="right"/>
              <w:rPr>
                <w:rFonts w:cs="Calibri"/>
                <w:color w:val="000000"/>
              </w:rPr>
            </w:pPr>
            <w:r>
              <w:rPr>
                <w:rFonts w:cs="Calibri"/>
                <w:color w:val="000000"/>
              </w:rPr>
              <w:t>49%</w:t>
            </w:r>
          </w:p>
        </w:tc>
      </w:tr>
      <w:tr w:rsidR="003957AD" w:rsidRPr="00C763A7" w14:paraId="7F3A67B6" w14:textId="77777777" w:rsidTr="00DE0473">
        <w:trPr>
          <w:trHeight w:val="300"/>
        </w:trPr>
        <w:tc>
          <w:tcPr>
            <w:tcW w:w="2835" w:type="dxa"/>
            <w:tcBorders>
              <w:top w:val="single" w:sz="4" w:space="0" w:color="auto"/>
              <w:left w:val="single" w:sz="4" w:space="0" w:color="auto"/>
              <w:bottom w:val="single" w:sz="4" w:space="0" w:color="auto"/>
              <w:right w:val="single" w:sz="4" w:space="0" w:color="auto"/>
            </w:tcBorders>
            <w:vAlign w:val="bottom"/>
          </w:tcPr>
          <w:p w14:paraId="28094EA0" w14:textId="77777777" w:rsidR="003957AD" w:rsidRDefault="003957AD" w:rsidP="00DE0473">
            <w:pPr>
              <w:rPr>
                <w:rFonts w:cs="Calibri"/>
                <w:color w:val="000000"/>
              </w:rPr>
            </w:pPr>
            <w:r>
              <w:rPr>
                <w:rFonts w:cs="Calibri"/>
                <w:color w:val="000000"/>
              </w:rPr>
              <w:t>Parent</w:t>
            </w:r>
          </w:p>
        </w:tc>
        <w:tc>
          <w:tcPr>
            <w:tcW w:w="1228" w:type="dxa"/>
            <w:tcBorders>
              <w:top w:val="single" w:sz="4" w:space="0" w:color="auto"/>
              <w:left w:val="single" w:sz="4" w:space="0" w:color="auto"/>
              <w:bottom w:val="single" w:sz="4" w:space="0" w:color="auto"/>
              <w:right w:val="single" w:sz="4" w:space="0" w:color="auto"/>
            </w:tcBorders>
            <w:vAlign w:val="bottom"/>
          </w:tcPr>
          <w:p w14:paraId="081A064D" w14:textId="77777777" w:rsidR="003957AD" w:rsidRDefault="003957AD" w:rsidP="00DE0473">
            <w:pPr>
              <w:jc w:val="right"/>
              <w:rPr>
                <w:rFonts w:cs="Calibri"/>
                <w:color w:val="000000"/>
              </w:rPr>
            </w:pPr>
            <w:r>
              <w:rPr>
                <w:rFonts w:cs="Calibri"/>
                <w:color w:val="000000"/>
              </w:rPr>
              <w:t>214</w:t>
            </w:r>
          </w:p>
        </w:tc>
        <w:tc>
          <w:tcPr>
            <w:tcW w:w="1229" w:type="dxa"/>
            <w:tcBorders>
              <w:top w:val="single" w:sz="4" w:space="0" w:color="auto"/>
              <w:left w:val="single" w:sz="4" w:space="0" w:color="auto"/>
              <w:bottom w:val="single" w:sz="4" w:space="0" w:color="auto"/>
              <w:right w:val="single" w:sz="4" w:space="0" w:color="auto"/>
            </w:tcBorders>
            <w:vAlign w:val="bottom"/>
          </w:tcPr>
          <w:p w14:paraId="697077F6" w14:textId="77777777" w:rsidR="003957AD" w:rsidRDefault="003957AD" w:rsidP="00DE0473">
            <w:pPr>
              <w:jc w:val="right"/>
              <w:rPr>
                <w:rFonts w:cs="Calibri"/>
                <w:color w:val="000000"/>
              </w:rPr>
            </w:pPr>
            <w:r>
              <w:rPr>
                <w:rFonts w:cs="Calibri"/>
                <w:color w:val="000000"/>
              </w:rPr>
              <w:t>144</w:t>
            </w:r>
          </w:p>
        </w:tc>
        <w:tc>
          <w:tcPr>
            <w:tcW w:w="1229" w:type="dxa"/>
            <w:tcBorders>
              <w:top w:val="single" w:sz="4" w:space="0" w:color="auto"/>
              <w:left w:val="single" w:sz="4" w:space="0" w:color="auto"/>
              <w:bottom w:val="single" w:sz="4" w:space="0" w:color="auto"/>
              <w:right w:val="single" w:sz="4" w:space="0" w:color="auto"/>
            </w:tcBorders>
            <w:vAlign w:val="bottom"/>
          </w:tcPr>
          <w:p w14:paraId="1AB6F6DB" w14:textId="77777777" w:rsidR="003957AD" w:rsidRDefault="003957AD" w:rsidP="00DE0473">
            <w:pPr>
              <w:jc w:val="right"/>
              <w:rPr>
                <w:rFonts w:cs="Calibri"/>
                <w:color w:val="000000"/>
              </w:rPr>
            </w:pPr>
            <w:r>
              <w:rPr>
                <w:rFonts w:cs="Calibri"/>
                <w:color w:val="000000"/>
              </w:rPr>
              <w:t>79</w:t>
            </w:r>
          </w:p>
        </w:tc>
        <w:tc>
          <w:tcPr>
            <w:tcW w:w="12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28E4E8" w14:textId="77777777" w:rsidR="003957AD" w:rsidRDefault="003957AD" w:rsidP="00DE0473">
            <w:pPr>
              <w:jc w:val="right"/>
              <w:rPr>
                <w:rFonts w:cs="Calibri"/>
                <w:color w:val="000000"/>
              </w:rPr>
            </w:pPr>
            <w:r>
              <w:rPr>
                <w:rFonts w:cs="Calibri"/>
                <w:color w:val="000000"/>
              </w:rPr>
              <w:t>293</w:t>
            </w:r>
          </w:p>
        </w:tc>
        <w:tc>
          <w:tcPr>
            <w:tcW w:w="1229" w:type="dxa"/>
            <w:tcBorders>
              <w:top w:val="single" w:sz="4" w:space="0" w:color="auto"/>
              <w:left w:val="single" w:sz="4" w:space="0" w:color="auto"/>
              <w:bottom w:val="single" w:sz="4" w:space="0" w:color="auto"/>
              <w:right w:val="single" w:sz="4" w:space="0" w:color="auto"/>
            </w:tcBorders>
            <w:vAlign w:val="bottom"/>
          </w:tcPr>
          <w:p w14:paraId="53E27EB5" w14:textId="77777777" w:rsidR="003957AD" w:rsidRDefault="003957AD" w:rsidP="00DE0473">
            <w:pPr>
              <w:jc w:val="right"/>
              <w:rPr>
                <w:rFonts w:cs="Calibri"/>
                <w:color w:val="000000"/>
              </w:rPr>
            </w:pPr>
            <w:r>
              <w:rPr>
                <w:rFonts w:cs="Calibri"/>
                <w:color w:val="000000"/>
              </w:rPr>
              <w:t>73%</w:t>
            </w:r>
          </w:p>
        </w:tc>
        <w:tc>
          <w:tcPr>
            <w:tcW w:w="1229" w:type="dxa"/>
            <w:tcBorders>
              <w:top w:val="single" w:sz="4" w:space="0" w:color="auto"/>
              <w:left w:val="single" w:sz="4" w:space="0" w:color="auto"/>
              <w:bottom w:val="single" w:sz="4" w:space="0" w:color="auto"/>
              <w:right w:val="single" w:sz="4" w:space="0" w:color="auto"/>
            </w:tcBorders>
            <w:vAlign w:val="bottom"/>
          </w:tcPr>
          <w:p w14:paraId="3323CB48" w14:textId="77777777" w:rsidR="003957AD" w:rsidRDefault="003957AD" w:rsidP="00DE0473">
            <w:pPr>
              <w:jc w:val="right"/>
              <w:rPr>
                <w:rFonts w:cs="Calibri"/>
                <w:color w:val="000000"/>
              </w:rPr>
            </w:pPr>
            <w:r>
              <w:rPr>
                <w:rFonts w:cs="Calibri"/>
                <w:color w:val="000000"/>
              </w:rPr>
              <w:t>49%</w:t>
            </w:r>
          </w:p>
        </w:tc>
      </w:tr>
      <w:tr w:rsidR="003957AD" w:rsidRPr="00C763A7" w14:paraId="4348BF32" w14:textId="77777777" w:rsidTr="00DE0473">
        <w:trPr>
          <w:trHeight w:val="300"/>
        </w:trPr>
        <w:tc>
          <w:tcPr>
            <w:tcW w:w="2835" w:type="dxa"/>
            <w:tcBorders>
              <w:top w:val="single" w:sz="4" w:space="0" w:color="auto"/>
              <w:left w:val="single" w:sz="4" w:space="0" w:color="auto"/>
              <w:bottom w:val="single" w:sz="4" w:space="0" w:color="auto"/>
              <w:right w:val="single" w:sz="4" w:space="0" w:color="auto"/>
            </w:tcBorders>
            <w:vAlign w:val="bottom"/>
          </w:tcPr>
          <w:p w14:paraId="7EA9BA28" w14:textId="77777777" w:rsidR="003957AD" w:rsidRDefault="003957AD" w:rsidP="00DE0473">
            <w:pPr>
              <w:rPr>
                <w:rFonts w:cs="Calibri"/>
                <w:color w:val="000000"/>
              </w:rPr>
            </w:pPr>
            <w:r>
              <w:rPr>
                <w:rFonts w:cs="Calibri"/>
                <w:color w:val="000000"/>
              </w:rPr>
              <w:t>Receiving Centrelink Income Support</w:t>
            </w:r>
          </w:p>
        </w:tc>
        <w:tc>
          <w:tcPr>
            <w:tcW w:w="1228" w:type="dxa"/>
            <w:tcBorders>
              <w:top w:val="single" w:sz="4" w:space="0" w:color="auto"/>
              <w:left w:val="single" w:sz="4" w:space="0" w:color="auto"/>
              <w:bottom w:val="single" w:sz="4" w:space="0" w:color="auto"/>
              <w:right w:val="single" w:sz="4" w:space="0" w:color="auto"/>
            </w:tcBorders>
            <w:vAlign w:val="bottom"/>
          </w:tcPr>
          <w:p w14:paraId="50579946" w14:textId="77777777" w:rsidR="003957AD" w:rsidRDefault="003957AD" w:rsidP="00DE0473">
            <w:pPr>
              <w:jc w:val="right"/>
              <w:rPr>
                <w:rFonts w:cs="Calibri"/>
                <w:color w:val="000000"/>
              </w:rPr>
            </w:pPr>
            <w:r>
              <w:rPr>
                <w:rFonts w:cs="Calibri"/>
                <w:color w:val="000000"/>
              </w:rPr>
              <w:t>3661</w:t>
            </w:r>
          </w:p>
        </w:tc>
        <w:tc>
          <w:tcPr>
            <w:tcW w:w="1229" w:type="dxa"/>
            <w:tcBorders>
              <w:top w:val="single" w:sz="4" w:space="0" w:color="auto"/>
              <w:left w:val="single" w:sz="4" w:space="0" w:color="auto"/>
              <w:bottom w:val="single" w:sz="4" w:space="0" w:color="auto"/>
              <w:right w:val="single" w:sz="4" w:space="0" w:color="auto"/>
            </w:tcBorders>
            <w:vAlign w:val="bottom"/>
          </w:tcPr>
          <w:p w14:paraId="4B9FFF4D" w14:textId="77777777" w:rsidR="003957AD" w:rsidRDefault="003957AD" w:rsidP="00DE0473">
            <w:pPr>
              <w:jc w:val="right"/>
              <w:rPr>
                <w:rFonts w:cs="Calibri"/>
                <w:color w:val="000000"/>
              </w:rPr>
            </w:pPr>
            <w:r>
              <w:rPr>
                <w:rFonts w:cs="Calibri"/>
                <w:color w:val="000000"/>
              </w:rPr>
              <w:t>2721</w:t>
            </w:r>
          </w:p>
        </w:tc>
        <w:tc>
          <w:tcPr>
            <w:tcW w:w="1229" w:type="dxa"/>
            <w:tcBorders>
              <w:top w:val="single" w:sz="4" w:space="0" w:color="auto"/>
              <w:left w:val="single" w:sz="4" w:space="0" w:color="auto"/>
              <w:bottom w:val="single" w:sz="4" w:space="0" w:color="auto"/>
              <w:right w:val="single" w:sz="4" w:space="0" w:color="auto"/>
            </w:tcBorders>
            <w:vAlign w:val="bottom"/>
          </w:tcPr>
          <w:p w14:paraId="541203E3" w14:textId="77777777" w:rsidR="003957AD" w:rsidRDefault="003957AD" w:rsidP="00DE0473">
            <w:pPr>
              <w:jc w:val="right"/>
              <w:rPr>
                <w:rFonts w:cs="Calibri"/>
                <w:color w:val="000000"/>
              </w:rPr>
            </w:pPr>
            <w:r>
              <w:rPr>
                <w:rFonts w:cs="Calibri"/>
                <w:color w:val="000000"/>
              </w:rPr>
              <w:t>1315</w:t>
            </w:r>
          </w:p>
        </w:tc>
        <w:tc>
          <w:tcPr>
            <w:tcW w:w="12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2C1047" w14:textId="77777777" w:rsidR="003957AD" w:rsidRDefault="003957AD" w:rsidP="00DE0473">
            <w:pPr>
              <w:jc w:val="right"/>
              <w:rPr>
                <w:rFonts w:cs="Calibri"/>
                <w:color w:val="000000"/>
              </w:rPr>
            </w:pPr>
            <w:r>
              <w:rPr>
                <w:rFonts w:cs="Calibri"/>
                <w:color w:val="000000"/>
              </w:rPr>
              <w:t>4976</w:t>
            </w:r>
          </w:p>
        </w:tc>
        <w:tc>
          <w:tcPr>
            <w:tcW w:w="1229" w:type="dxa"/>
            <w:tcBorders>
              <w:top w:val="single" w:sz="4" w:space="0" w:color="auto"/>
              <w:left w:val="single" w:sz="4" w:space="0" w:color="auto"/>
              <w:bottom w:val="single" w:sz="4" w:space="0" w:color="auto"/>
              <w:right w:val="single" w:sz="4" w:space="0" w:color="auto"/>
            </w:tcBorders>
            <w:vAlign w:val="bottom"/>
          </w:tcPr>
          <w:p w14:paraId="7F795472" w14:textId="77777777" w:rsidR="003957AD" w:rsidRDefault="003957AD" w:rsidP="00DE0473">
            <w:pPr>
              <w:jc w:val="right"/>
              <w:rPr>
                <w:rFonts w:cs="Calibri"/>
                <w:color w:val="000000"/>
              </w:rPr>
            </w:pPr>
            <w:r>
              <w:rPr>
                <w:rFonts w:cs="Calibri"/>
                <w:color w:val="000000"/>
              </w:rPr>
              <w:t>74%</w:t>
            </w:r>
          </w:p>
        </w:tc>
        <w:tc>
          <w:tcPr>
            <w:tcW w:w="1229" w:type="dxa"/>
            <w:tcBorders>
              <w:top w:val="single" w:sz="4" w:space="0" w:color="auto"/>
              <w:left w:val="single" w:sz="4" w:space="0" w:color="auto"/>
              <w:bottom w:val="single" w:sz="4" w:space="0" w:color="auto"/>
              <w:right w:val="single" w:sz="4" w:space="0" w:color="auto"/>
            </w:tcBorders>
            <w:vAlign w:val="bottom"/>
          </w:tcPr>
          <w:p w14:paraId="6CA9A5C1" w14:textId="77777777" w:rsidR="003957AD" w:rsidRDefault="003957AD" w:rsidP="00DE0473">
            <w:pPr>
              <w:jc w:val="right"/>
              <w:rPr>
                <w:rFonts w:cs="Calibri"/>
                <w:color w:val="000000"/>
              </w:rPr>
            </w:pPr>
            <w:r>
              <w:rPr>
                <w:rFonts w:cs="Calibri"/>
                <w:color w:val="000000"/>
              </w:rPr>
              <w:t>55%</w:t>
            </w:r>
          </w:p>
        </w:tc>
      </w:tr>
      <w:tr w:rsidR="003957AD" w:rsidRPr="00C763A7" w14:paraId="0995D5CE" w14:textId="77777777" w:rsidTr="00DE0473">
        <w:trPr>
          <w:trHeight w:val="300"/>
        </w:trPr>
        <w:tc>
          <w:tcPr>
            <w:tcW w:w="2835" w:type="dxa"/>
            <w:tcBorders>
              <w:top w:val="single" w:sz="4" w:space="0" w:color="auto"/>
              <w:left w:val="single" w:sz="4" w:space="0" w:color="auto"/>
              <w:bottom w:val="single" w:sz="4" w:space="0" w:color="auto"/>
              <w:right w:val="single" w:sz="4" w:space="0" w:color="auto"/>
            </w:tcBorders>
            <w:vAlign w:val="bottom"/>
          </w:tcPr>
          <w:p w14:paraId="58DBB229" w14:textId="77777777" w:rsidR="003957AD" w:rsidRDefault="003957AD" w:rsidP="00DE0473">
            <w:pPr>
              <w:rPr>
                <w:rFonts w:cs="Calibri"/>
                <w:color w:val="000000"/>
              </w:rPr>
            </w:pPr>
            <w:r>
              <w:rPr>
                <w:rFonts w:cs="Calibri"/>
                <w:color w:val="000000"/>
              </w:rPr>
              <w:t>Refugee background</w:t>
            </w:r>
          </w:p>
        </w:tc>
        <w:tc>
          <w:tcPr>
            <w:tcW w:w="1228" w:type="dxa"/>
            <w:tcBorders>
              <w:top w:val="single" w:sz="4" w:space="0" w:color="auto"/>
              <w:left w:val="single" w:sz="4" w:space="0" w:color="auto"/>
              <w:bottom w:val="single" w:sz="4" w:space="0" w:color="auto"/>
              <w:right w:val="single" w:sz="4" w:space="0" w:color="auto"/>
            </w:tcBorders>
            <w:vAlign w:val="bottom"/>
          </w:tcPr>
          <w:p w14:paraId="7F4EB64B" w14:textId="77777777" w:rsidR="003957AD" w:rsidRDefault="003957AD" w:rsidP="00DE0473">
            <w:pPr>
              <w:jc w:val="right"/>
              <w:rPr>
                <w:rFonts w:cs="Calibri"/>
                <w:color w:val="000000"/>
              </w:rPr>
            </w:pPr>
            <w:r>
              <w:rPr>
                <w:rFonts w:cs="Calibri"/>
                <w:color w:val="000000"/>
              </w:rPr>
              <w:t>152</w:t>
            </w:r>
          </w:p>
        </w:tc>
        <w:tc>
          <w:tcPr>
            <w:tcW w:w="1229" w:type="dxa"/>
            <w:tcBorders>
              <w:top w:val="single" w:sz="4" w:space="0" w:color="auto"/>
              <w:left w:val="single" w:sz="4" w:space="0" w:color="auto"/>
              <w:bottom w:val="single" w:sz="4" w:space="0" w:color="auto"/>
              <w:right w:val="single" w:sz="4" w:space="0" w:color="auto"/>
            </w:tcBorders>
            <w:vAlign w:val="bottom"/>
          </w:tcPr>
          <w:p w14:paraId="09B44E90" w14:textId="77777777" w:rsidR="003957AD" w:rsidRDefault="003957AD" w:rsidP="00DE0473">
            <w:pPr>
              <w:jc w:val="right"/>
              <w:rPr>
                <w:rFonts w:cs="Calibri"/>
                <w:color w:val="000000"/>
              </w:rPr>
            </w:pPr>
            <w:r>
              <w:rPr>
                <w:rFonts w:cs="Calibri"/>
                <w:color w:val="000000"/>
              </w:rPr>
              <w:t>122</w:t>
            </w:r>
          </w:p>
        </w:tc>
        <w:tc>
          <w:tcPr>
            <w:tcW w:w="1229" w:type="dxa"/>
            <w:tcBorders>
              <w:top w:val="single" w:sz="4" w:space="0" w:color="auto"/>
              <w:left w:val="single" w:sz="4" w:space="0" w:color="auto"/>
              <w:bottom w:val="single" w:sz="4" w:space="0" w:color="auto"/>
              <w:right w:val="single" w:sz="4" w:space="0" w:color="auto"/>
            </w:tcBorders>
            <w:vAlign w:val="bottom"/>
          </w:tcPr>
          <w:p w14:paraId="6536B2C4" w14:textId="77777777" w:rsidR="003957AD" w:rsidRDefault="003957AD" w:rsidP="00DE0473">
            <w:pPr>
              <w:jc w:val="right"/>
              <w:rPr>
                <w:rFonts w:cs="Calibri"/>
                <w:color w:val="000000"/>
              </w:rPr>
            </w:pPr>
            <w:r>
              <w:rPr>
                <w:rFonts w:cs="Calibri"/>
                <w:color w:val="000000"/>
              </w:rPr>
              <w:t>35</w:t>
            </w:r>
          </w:p>
        </w:tc>
        <w:tc>
          <w:tcPr>
            <w:tcW w:w="12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74FBD7" w14:textId="77777777" w:rsidR="003957AD" w:rsidRDefault="003957AD" w:rsidP="00DE0473">
            <w:pPr>
              <w:jc w:val="right"/>
              <w:rPr>
                <w:rFonts w:cs="Calibri"/>
                <w:color w:val="000000"/>
              </w:rPr>
            </w:pPr>
            <w:r>
              <w:rPr>
                <w:rFonts w:cs="Calibri"/>
                <w:color w:val="000000"/>
              </w:rPr>
              <w:t>187</w:t>
            </w:r>
          </w:p>
        </w:tc>
        <w:tc>
          <w:tcPr>
            <w:tcW w:w="1229" w:type="dxa"/>
            <w:tcBorders>
              <w:top w:val="single" w:sz="4" w:space="0" w:color="auto"/>
              <w:left w:val="single" w:sz="4" w:space="0" w:color="auto"/>
              <w:bottom w:val="single" w:sz="4" w:space="0" w:color="auto"/>
              <w:right w:val="single" w:sz="4" w:space="0" w:color="auto"/>
            </w:tcBorders>
            <w:vAlign w:val="bottom"/>
          </w:tcPr>
          <w:p w14:paraId="68EE63DC" w14:textId="77777777" w:rsidR="003957AD" w:rsidRDefault="003957AD" w:rsidP="00DE0473">
            <w:pPr>
              <w:jc w:val="right"/>
              <w:rPr>
                <w:rFonts w:cs="Calibri"/>
                <w:color w:val="000000"/>
              </w:rPr>
            </w:pPr>
            <w:r>
              <w:rPr>
                <w:rFonts w:cs="Calibri"/>
                <w:color w:val="000000"/>
              </w:rPr>
              <w:t>81%</w:t>
            </w:r>
          </w:p>
        </w:tc>
        <w:tc>
          <w:tcPr>
            <w:tcW w:w="1229" w:type="dxa"/>
            <w:tcBorders>
              <w:top w:val="single" w:sz="4" w:space="0" w:color="auto"/>
              <w:left w:val="single" w:sz="4" w:space="0" w:color="auto"/>
              <w:bottom w:val="single" w:sz="4" w:space="0" w:color="auto"/>
              <w:right w:val="single" w:sz="4" w:space="0" w:color="auto"/>
            </w:tcBorders>
            <w:vAlign w:val="bottom"/>
          </w:tcPr>
          <w:p w14:paraId="1C79D966" w14:textId="77777777" w:rsidR="003957AD" w:rsidRDefault="003957AD" w:rsidP="00DE0473">
            <w:pPr>
              <w:jc w:val="right"/>
              <w:rPr>
                <w:rFonts w:cs="Calibri"/>
                <w:color w:val="000000"/>
              </w:rPr>
            </w:pPr>
            <w:r>
              <w:rPr>
                <w:rFonts w:cs="Calibri"/>
                <w:color w:val="000000"/>
              </w:rPr>
              <w:t>65%</w:t>
            </w:r>
          </w:p>
        </w:tc>
      </w:tr>
      <w:tr w:rsidR="003957AD" w:rsidRPr="00C763A7" w14:paraId="0F89A3AF" w14:textId="77777777" w:rsidTr="00DE0473">
        <w:trPr>
          <w:trHeight w:val="300"/>
        </w:trPr>
        <w:tc>
          <w:tcPr>
            <w:tcW w:w="2835" w:type="dxa"/>
            <w:tcBorders>
              <w:top w:val="single" w:sz="4" w:space="0" w:color="auto"/>
              <w:left w:val="single" w:sz="4" w:space="0" w:color="auto"/>
              <w:bottom w:val="single" w:sz="4" w:space="0" w:color="auto"/>
              <w:right w:val="single" w:sz="4" w:space="0" w:color="auto"/>
            </w:tcBorders>
            <w:vAlign w:val="bottom"/>
          </w:tcPr>
          <w:p w14:paraId="5437F8B5" w14:textId="77777777" w:rsidR="003957AD" w:rsidRDefault="003957AD" w:rsidP="00DE0473">
            <w:pPr>
              <w:rPr>
                <w:rFonts w:cs="Calibri"/>
                <w:color w:val="000000"/>
              </w:rPr>
            </w:pPr>
            <w:r>
              <w:rPr>
                <w:rFonts w:cs="Calibri"/>
                <w:color w:val="000000"/>
              </w:rPr>
              <w:t>Suspected or diagnosed mental health issue</w:t>
            </w:r>
          </w:p>
        </w:tc>
        <w:tc>
          <w:tcPr>
            <w:tcW w:w="1228" w:type="dxa"/>
            <w:tcBorders>
              <w:top w:val="single" w:sz="4" w:space="0" w:color="auto"/>
              <w:left w:val="single" w:sz="4" w:space="0" w:color="auto"/>
              <w:bottom w:val="single" w:sz="4" w:space="0" w:color="auto"/>
              <w:right w:val="single" w:sz="4" w:space="0" w:color="auto"/>
            </w:tcBorders>
            <w:vAlign w:val="bottom"/>
          </w:tcPr>
          <w:p w14:paraId="024D0C6D" w14:textId="77777777" w:rsidR="003957AD" w:rsidRDefault="003957AD" w:rsidP="00DE0473">
            <w:pPr>
              <w:jc w:val="right"/>
              <w:rPr>
                <w:rFonts w:cs="Calibri"/>
                <w:color w:val="000000"/>
              </w:rPr>
            </w:pPr>
            <w:r>
              <w:rPr>
                <w:rFonts w:cs="Calibri"/>
                <w:color w:val="000000"/>
              </w:rPr>
              <w:t>3000</w:t>
            </w:r>
          </w:p>
        </w:tc>
        <w:tc>
          <w:tcPr>
            <w:tcW w:w="1229" w:type="dxa"/>
            <w:tcBorders>
              <w:top w:val="single" w:sz="4" w:space="0" w:color="auto"/>
              <w:left w:val="single" w:sz="4" w:space="0" w:color="auto"/>
              <w:bottom w:val="single" w:sz="4" w:space="0" w:color="auto"/>
              <w:right w:val="single" w:sz="4" w:space="0" w:color="auto"/>
            </w:tcBorders>
            <w:vAlign w:val="bottom"/>
          </w:tcPr>
          <w:p w14:paraId="60E26ED0" w14:textId="77777777" w:rsidR="003957AD" w:rsidRDefault="003957AD" w:rsidP="00DE0473">
            <w:pPr>
              <w:jc w:val="right"/>
              <w:rPr>
                <w:rFonts w:cs="Calibri"/>
                <w:color w:val="000000"/>
              </w:rPr>
            </w:pPr>
            <w:r>
              <w:rPr>
                <w:rFonts w:cs="Calibri"/>
                <w:color w:val="000000"/>
              </w:rPr>
              <w:t>2249</w:t>
            </w:r>
          </w:p>
        </w:tc>
        <w:tc>
          <w:tcPr>
            <w:tcW w:w="1229" w:type="dxa"/>
            <w:tcBorders>
              <w:top w:val="single" w:sz="4" w:space="0" w:color="auto"/>
              <w:left w:val="single" w:sz="4" w:space="0" w:color="auto"/>
              <w:bottom w:val="single" w:sz="4" w:space="0" w:color="auto"/>
              <w:right w:val="single" w:sz="4" w:space="0" w:color="auto"/>
            </w:tcBorders>
            <w:vAlign w:val="bottom"/>
          </w:tcPr>
          <w:p w14:paraId="69C20AC3" w14:textId="77777777" w:rsidR="003957AD" w:rsidRDefault="003957AD" w:rsidP="00DE0473">
            <w:pPr>
              <w:jc w:val="right"/>
              <w:rPr>
                <w:rFonts w:cs="Calibri"/>
                <w:color w:val="000000"/>
              </w:rPr>
            </w:pPr>
            <w:r>
              <w:rPr>
                <w:rFonts w:cs="Calibri"/>
                <w:color w:val="000000"/>
              </w:rPr>
              <w:t>841</w:t>
            </w:r>
          </w:p>
        </w:tc>
        <w:tc>
          <w:tcPr>
            <w:tcW w:w="12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23CC95" w14:textId="77777777" w:rsidR="003957AD" w:rsidRDefault="003957AD" w:rsidP="00DE0473">
            <w:pPr>
              <w:jc w:val="right"/>
              <w:rPr>
                <w:rFonts w:cs="Calibri"/>
                <w:color w:val="000000"/>
              </w:rPr>
            </w:pPr>
            <w:r>
              <w:rPr>
                <w:rFonts w:cs="Calibri"/>
                <w:color w:val="000000"/>
              </w:rPr>
              <w:t>3841</w:t>
            </w:r>
          </w:p>
        </w:tc>
        <w:tc>
          <w:tcPr>
            <w:tcW w:w="1229" w:type="dxa"/>
            <w:tcBorders>
              <w:top w:val="single" w:sz="4" w:space="0" w:color="auto"/>
              <w:left w:val="single" w:sz="4" w:space="0" w:color="auto"/>
              <w:bottom w:val="single" w:sz="4" w:space="0" w:color="auto"/>
              <w:right w:val="single" w:sz="4" w:space="0" w:color="auto"/>
            </w:tcBorders>
            <w:vAlign w:val="bottom"/>
          </w:tcPr>
          <w:p w14:paraId="7C6C3FA0" w14:textId="77777777" w:rsidR="003957AD" w:rsidRDefault="003957AD" w:rsidP="00DE0473">
            <w:pPr>
              <w:jc w:val="right"/>
              <w:rPr>
                <w:rFonts w:cs="Calibri"/>
                <w:color w:val="000000"/>
              </w:rPr>
            </w:pPr>
            <w:r>
              <w:rPr>
                <w:rFonts w:cs="Calibri"/>
                <w:color w:val="000000"/>
              </w:rPr>
              <w:t>78%</w:t>
            </w:r>
          </w:p>
        </w:tc>
        <w:tc>
          <w:tcPr>
            <w:tcW w:w="1229" w:type="dxa"/>
            <w:tcBorders>
              <w:top w:val="single" w:sz="4" w:space="0" w:color="auto"/>
              <w:left w:val="single" w:sz="4" w:space="0" w:color="auto"/>
              <w:bottom w:val="single" w:sz="4" w:space="0" w:color="auto"/>
              <w:right w:val="single" w:sz="4" w:space="0" w:color="auto"/>
            </w:tcBorders>
            <w:vAlign w:val="bottom"/>
          </w:tcPr>
          <w:p w14:paraId="5FD1D29C" w14:textId="77777777" w:rsidR="003957AD" w:rsidRDefault="003957AD" w:rsidP="00DE0473">
            <w:pPr>
              <w:jc w:val="right"/>
              <w:rPr>
                <w:rFonts w:cs="Calibri"/>
                <w:color w:val="000000"/>
              </w:rPr>
            </w:pPr>
            <w:r>
              <w:rPr>
                <w:rFonts w:cs="Calibri"/>
                <w:color w:val="000000"/>
              </w:rPr>
              <w:t>59%</w:t>
            </w:r>
          </w:p>
        </w:tc>
      </w:tr>
      <w:tr w:rsidR="003957AD" w:rsidRPr="00C763A7" w14:paraId="44488701" w14:textId="77777777" w:rsidTr="00DE0473">
        <w:trPr>
          <w:trHeight w:val="300"/>
        </w:trPr>
        <w:tc>
          <w:tcPr>
            <w:tcW w:w="2835" w:type="dxa"/>
            <w:tcBorders>
              <w:top w:val="single" w:sz="4" w:space="0" w:color="auto"/>
              <w:left w:val="single" w:sz="4" w:space="0" w:color="auto"/>
              <w:bottom w:val="single" w:sz="4" w:space="0" w:color="auto"/>
              <w:right w:val="single" w:sz="4" w:space="0" w:color="auto"/>
            </w:tcBorders>
            <w:vAlign w:val="bottom"/>
          </w:tcPr>
          <w:p w14:paraId="2E593177" w14:textId="77777777" w:rsidR="003957AD" w:rsidRDefault="003957AD" w:rsidP="00DE0473">
            <w:pPr>
              <w:rPr>
                <w:rFonts w:cs="Calibri"/>
                <w:color w:val="000000"/>
              </w:rPr>
            </w:pPr>
            <w:r>
              <w:rPr>
                <w:rFonts w:cs="Calibri"/>
                <w:color w:val="000000"/>
              </w:rPr>
              <w:t>Young Carer</w:t>
            </w:r>
          </w:p>
        </w:tc>
        <w:tc>
          <w:tcPr>
            <w:tcW w:w="1228" w:type="dxa"/>
            <w:tcBorders>
              <w:top w:val="single" w:sz="4" w:space="0" w:color="auto"/>
              <w:left w:val="single" w:sz="4" w:space="0" w:color="auto"/>
              <w:bottom w:val="single" w:sz="4" w:space="0" w:color="auto"/>
              <w:right w:val="single" w:sz="4" w:space="0" w:color="auto"/>
            </w:tcBorders>
            <w:vAlign w:val="bottom"/>
          </w:tcPr>
          <w:p w14:paraId="2ECB613F" w14:textId="77777777" w:rsidR="003957AD" w:rsidRDefault="003957AD" w:rsidP="00DE0473">
            <w:pPr>
              <w:jc w:val="right"/>
              <w:rPr>
                <w:rFonts w:cs="Calibri"/>
                <w:color w:val="000000"/>
              </w:rPr>
            </w:pPr>
            <w:r>
              <w:rPr>
                <w:rFonts w:cs="Calibri"/>
                <w:color w:val="000000"/>
              </w:rPr>
              <w:t>251</w:t>
            </w:r>
          </w:p>
        </w:tc>
        <w:tc>
          <w:tcPr>
            <w:tcW w:w="1229" w:type="dxa"/>
            <w:tcBorders>
              <w:top w:val="single" w:sz="4" w:space="0" w:color="auto"/>
              <w:left w:val="single" w:sz="4" w:space="0" w:color="auto"/>
              <w:bottom w:val="single" w:sz="4" w:space="0" w:color="auto"/>
              <w:right w:val="single" w:sz="4" w:space="0" w:color="auto"/>
            </w:tcBorders>
            <w:vAlign w:val="bottom"/>
          </w:tcPr>
          <w:p w14:paraId="4B5E7E82" w14:textId="77777777" w:rsidR="003957AD" w:rsidRDefault="003957AD" w:rsidP="00DE0473">
            <w:pPr>
              <w:jc w:val="right"/>
              <w:rPr>
                <w:rFonts w:cs="Calibri"/>
                <w:color w:val="000000"/>
              </w:rPr>
            </w:pPr>
            <w:r>
              <w:rPr>
                <w:rFonts w:cs="Calibri"/>
                <w:color w:val="000000"/>
              </w:rPr>
              <w:t>188</w:t>
            </w:r>
          </w:p>
        </w:tc>
        <w:tc>
          <w:tcPr>
            <w:tcW w:w="1229" w:type="dxa"/>
            <w:tcBorders>
              <w:top w:val="single" w:sz="4" w:space="0" w:color="auto"/>
              <w:left w:val="single" w:sz="4" w:space="0" w:color="auto"/>
              <w:bottom w:val="single" w:sz="4" w:space="0" w:color="auto"/>
              <w:right w:val="single" w:sz="4" w:space="0" w:color="auto"/>
            </w:tcBorders>
            <w:vAlign w:val="bottom"/>
          </w:tcPr>
          <w:p w14:paraId="03282C27" w14:textId="77777777" w:rsidR="003957AD" w:rsidRDefault="003957AD" w:rsidP="00DE0473">
            <w:pPr>
              <w:jc w:val="right"/>
              <w:rPr>
                <w:rFonts w:cs="Calibri"/>
                <w:color w:val="000000"/>
              </w:rPr>
            </w:pPr>
            <w:r>
              <w:rPr>
                <w:rFonts w:cs="Calibri"/>
                <w:color w:val="000000"/>
              </w:rPr>
              <w:t>80</w:t>
            </w:r>
          </w:p>
        </w:tc>
        <w:tc>
          <w:tcPr>
            <w:tcW w:w="12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328F5D" w14:textId="77777777" w:rsidR="003957AD" w:rsidRDefault="003957AD" w:rsidP="00DE0473">
            <w:pPr>
              <w:jc w:val="right"/>
              <w:rPr>
                <w:rFonts w:cs="Calibri"/>
                <w:color w:val="000000"/>
              </w:rPr>
            </w:pPr>
            <w:r>
              <w:rPr>
                <w:rFonts w:cs="Calibri"/>
                <w:color w:val="000000"/>
              </w:rPr>
              <w:t>331</w:t>
            </w:r>
          </w:p>
        </w:tc>
        <w:tc>
          <w:tcPr>
            <w:tcW w:w="1229" w:type="dxa"/>
            <w:tcBorders>
              <w:top w:val="single" w:sz="4" w:space="0" w:color="auto"/>
              <w:left w:val="single" w:sz="4" w:space="0" w:color="auto"/>
              <w:bottom w:val="single" w:sz="4" w:space="0" w:color="auto"/>
              <w:right w:val="single" w:sz="4" w:space="0" w:color="auto"/>
            </w:tcBorders>
            <w:vAlign w:val="bottom"/>
          </w:tcPr>
          <w:p w14:paraId="29B2A94C" w14:textId="77777777" w:rsidR="003957AD" w:rsidRDefault="003957AD" w:rsidP="00DE0473">
            <w:pPr>
              <w:jc w:val="right"/>
              <w:rPr>
                <w:rFonts w:cs="Calibri"/>
                <w:color w:val="000000"/>
              </w:rPr>
            </w:pPr>
            <w:r>
              <w:rPr>
                <w:rFonts w:cs="Calibri"/>
                <w:color w:val="000000"/>
              </w:rPr>
              <w:t>76%</w:t>
            </w:r>
          </w:p>
        </w:tc>
        <w:tc>
          <w:tcPr>
            <w:tcW w:w="1229" w:type="dxa"/>
            <w:tcBorders>
              <w:top w:val="single" w:sz="4" w:space="0" w:color="auto"/>
              <w:left w:val="single" w:sz="4" w:space="0" w:color="auto"/>
              <w:bottom w:val="single" w:sz="4" w:space="0" w:color="auto"/>
              <w:right w:val="single" w:sz="4" w:space="0" w:color="auto"/>
            </w:tcBorders>
            <w:vAlign w:val="bottom"/>
          </w:tcPr>
          <w:p w14:paraId="4615902A" w14:textId="77777777" w:rsidR="003957AD" w:rsidRDefault="003957AD" w:rsidP="00DE0473">
            <w:pPr>
              <w:jc w:val="right"/>
              <w:rPr>
                <w:rFonts w:cs="Calibri"/>
                <w:color w:val="000000"/>
              </w:rPr>
            </w:pPr>
            <w:r>
              <w:rPr>
                <w:rFonts w:cs="Calibri"/>
                <w:color w:val="000000"/>
              </w:rPr>
              <w:t>57%</w:t>
            </w:r>
          </w:p>
        </w:tc>
      </w:tr>
    </w:tbl>
    <w:p w14:paraId="2D7012D9" w14:textId="77777777" w:rsidR="003957AD" w:rsidRDefault="003957AD" w:rsidP="003957AD">
      <w:pPr>
        <w:ind w:right="-567" w:hanging="426"/>
      </w:pPr>
    </w:p>
    <w:p w14:paraId="3F8FCE5F" w14:textId="77777777" w:rsidR="003957AD" w:rsidRPr="002E35EC" w:rsidRDefault="003957AD" w:rsidP="00546F15">
      <w:pPr>
        <w:pStyle w:val="Heading4"/>
      </w:pPr>
      <w:r>
        <w:t>Table 16: National- Participant outcome achievement by characteristic</w:t>
      </w:r>
    </w:p>
    <w:tbl>
      <w:tblPr>
        <w:tblW w:w="10207" w:type="dxa"/>
        <w:tblInd w:w="108" w:type="dxa"/>
        <w:tblLook w:val="04A0" w:firstRow="1" w:lastRow="0" w:firstColumn="1" w:lastColumn="0" w:noHBand="0" w:noVBand="1"/>
      </w:tblPr>
      <w:tblGrid>
        <w:gridCol w:w="2807"/>
        <w:gridCol w:w="1269"/>
        <w:gridCol w:w="1226"/>
        <w:gridCol w:w="1225"/>
        <w:gridCol w:w="1228"/>
        <w:gridCol w:w="1226"/>
        <w:gridCol w:w="1226"/>
      </w:tblGrid>
      <w:tr w:rsidR="003957AD" w:rsidRPr="00C763A7" w14:paraId="244A25A3" w14:textId="77777777" w:rsidTr="00DE0473">
        <w:trPr>
          <w:trHeight w:val="300"/>
        </w:trPr>
        <w:tc>
          <w:tcPr>
            <w:tcW w:w="2807"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AECED8E" w14:textId="77777777" w:rsidR="003957AD" w:rsidRPr="00C763A7" w:rsidRDefault="003957AD" w:rsidP="00DE0473">
            <w:pPr>
              <w:jc w:val="center"/>
              <w:rPr>
                <w:rFonts w:cs="Calibri"/>
                <w:b/>
                <w:bCs/>
                <w:color w:val="000000"/>
              </w:rPr>
            </w:pPr>
            <w:r>
              <w:rPr>
                <w:rFonts w:cs="Calibri"/>
                <w:b/>
                <w:bCs/>
                <w:color w:val="000000"/>
              </w:rPr>
              <w:t>National</w:t>
            </w:r>
          </w:p>
        </w:tc>
        <w:tc>
          <w:tcPr>
            <w:tcW w:w="1269"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E62084C" w14:textId="77777777" w:rsidR="003957AD" w:rsidRPr="00C763A7" w:rsidRDefault="003957AD" w:rsidP="00DE0473">
            <w:pPr>
              <w:jc w:val="center"/>
              <w:rPr>
                <w:rFonts w:cs="Calibri"/>
                <w:b/>
                <w:bCs/>
                <w:color w:val="000000"/>
              </w:rPr>
            </w:pPr>
            <w:r>
              <w:rPr>
                <w:rFonts w:cs="Calibri"/>
                <w:b/>
                <w:bCs/>
                <w:color w:val="000000"/>
              </w:rPr>
              <w:t>Achieved an Outcome</w:t>
            </w:r>
          </w:p>
        </w:tc>
        <w:tc>
          <w:tcPr>
            <w:tcW w:w="1226"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1E52FCA" w14:textId="77777777" w:rsidR="003957AD" w:rsidRPr="00C763A7" w:rsidRDefault="003957AD" w:rsidP="00DE0473">
            <w:pPr>
              <w:jc w:val="center"/>
              <w:rPr>
                <w:rFonts w:cs="Calibri"/>
                <w:b/>
                <w:bCs/>
                <w:color w:val="000000"/>
              </w:rPr>
            </w:pPr>
            <w:r>
              <w:rPr>
                <w:rFonts w:cs="Calibri"/>
                <w:b/>
                <w:bCs/>
                <w:color w:val="000000"/>
              </w:rPr>
              <w:t>Achieved a Final Outcome</w:t>
            </w:r>
          </w:p>
        </w:tc>
        <w:tc>
          <w:tcPr>
            <w:tcW w:w="1225"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0672C9A" w14:textId="77777777" w:rsidR="003957AD" w:rsidRPr="00C763A7" w:rsidRDefault="003957AD" w:rsidP="00DE0473">
            <w:pPr>
              <w:jc w:val="center"/>
              <w:rPr>
                <w:rFonts w:cs="Calibri"/>
                <w:b/>
                <w:bCs/>
                <w:color w:val="000000"/>
              </w:rPr>
            </w:pPr>
            <w:r>
              <w:rPr>
                <w:rFonts w:cs="Calibri"/>
                <w:b/>
                <w:bCs/>
                <w:color w:val="000000"/>
              </w:rPr>
              <w:t>Not yet achieved</w:t>
            </w:r>
          </w:p>
        </w:tc>
        <w:tc>
          <w:tcPr>
            <w:tcW w:w="1228"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center"/>
            <w:hideMark/>
          </w:tcPr>
          <w:p w14:paraId="7126F013" w14:textId="77777777" w:rsidR="003957AD" w:rsidRPr="00C763A7" w:rsidRDefault="003957AD" w:rsidP="00DE0473">
            <w:pPr>
              <w:jc w:val="center"/>
              <w:rPr>
                <w:rFonts w:cs="Calibri"/>
                <w:b/>
                <w:bCs/>
                <w:color w:val="000000"/>
              </w:rPr>
            </w:pPr>
            <w:r>
              <w:rPr>
                <w:rFonts w:cs="Calibri"/>
                <w:b/>
                <w:bCs/>
                <w:color w:val="000000"/>
              </w:rPr>
              <w:t>Grand Total</w:t>
            </w:r>
          </w:p>
        </w:tc>
        <w:tc>
          <w:tcPr>
            <w:tcW w:w="1226"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7DD50AD3" w14:textId="77777777" w:rsidR="003957AD" w:rsidRPr="00C763A7" w:rsidRDefault="003957AD" w:rsidP="00DE0473">
            <w:pPr>
              <w:jc w:val="center"/>
              <w:rPr>
                <w:rFonts w:cs="Calibri"/>
                <w:b/>
                <w:bCs/>
                <w:color w:val="000000"/>
              </w:rPr>
            </w:pPr>
            <w:r>
              <w:rPr>
                <w:rFonts w:cs="Calibri"/>
                <w:b/>
                <w:bCs/>
                <w:color w:val="000000"/>
              </w:rPr>
              <w:t>% of total achieving an outcome</w:t>
            </w:r>
          </w:p>
        </w:tc>
        <w:tc>
          <w:tcPr>
            <w:tcW w:w="1226"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710D3F81" w14:textId="77777777" w:rsidR="003957AD" w:rsidRPr="00C763A7" w:rsidRDefault="003957AD" w:rsidP="00DE0473">
            <w:pPr>
              <w:jc w:val="center"/>
              <w:rPr>
                <w:rFonts w:cs="Calibri"/>
                <w:b/>
                <w:bCs/>
                <w:color w:val="000000"/>
              </w:rPr>
            </w:pPr>
            <w:r>
              <w:rPr>
                <w:rFonts w:cs="Calibri"/>
                <w:b/>
                <w:bCs/>
                <w:color w:val="000000"/>
              </w:rPr>
              <w:t>% of total achieving a final outcome</w:t>
            </w:r>
          </w:p>
        </w:tc>
      </w:tr>
      <w:tr w:rsidR="003957AD" w:rsidRPr="00C763A7" w14:paraId="4EBA39C6" w14:textId="77777777" w:rsidTr="00DE0473">
        <w:trPr>
          <w:trHeight w:val="300"/>
        </w:trPr>
        <w:tc>
          <w:tcPr>
            <w:tcW w:w="2807" w:type="dxa"/>
            <w:tcBorders>
              <w:top w:val="single" w:sz="4" w:space="0" w:color="auto"/>
              <w:left w:val="single" w:sz="4" w:space="0" w:color="auto"/>
              <w:bottom w:val="single" w:sz="4" w:space="0" w:color="auto"/>
              <w:right w:val="single" w:sz="4" w:space="0" w:color="auto"/>
            </w:tcBorders>
            <w:vAlign w:val="bottom"/>
          </w:tcPr>
          <w:p w14:paraId="4B9295BD" w14:textId="77777777" w:rsidR="003957AD" w:rsidRDefault="003957AD" w:rsidP="00DE0473">
            <w:pPr>
              <w:rPr>
                <w:rFonts w:cs="Calibri"/>
                <w:color w:val="000000"/>
              </w:rPr>
            </w:pPr>
            <w:r>
              <w:rPr>
                <w:rFonts w:cs="Calibri"/>
                <w:color w:val="000000"/>
              </w:rPr>
              <w:t>Culturally and linguistically diverse</w:t>
            </w:r>
          </w:p>
        </w:tc>
        <w:tc>
          <w:tcPr>
            <w:tcW w:w="1269" w:type="dxa"/>
            <w:tcBorders>
              <w:top w:val="single" w:sz="4" w:space="0" w:color="auto"/>
              <w:left w:val="single" w:sz="4" w:space="0" w:color="auto"/>
              <w:bottom w:val="single" w:sz="4" w:space="0" w:color="auto"/>
              <w:right w:val="single" w:sz="4" w:space="0" w:color="auto"/>
            </w:tcBorders>
            <w:vAlign w:val="bottom"/>
          </w:tcPr>
          <w:p w14:paraId="51873DFD" w14:textId="77777777" w:rsidR="003957AD" w:rsidRDefault="003957AD" w:rsidP="00DE0473">
            <w:pPr>
              <w:jc w:val="right"/>
              <w:rPr>
                <w:rFonts w:cs="Calibri"/>
                <w:color w:val="000000"/>
              </w:rPr>
            </w:pPr>
            <w:r>
              <w:rPr>
                <w:rFonts w:cs="Calibri"/>
                <w:color w:val="000000"/>
              </w:rPr>
              <w:t>3223</w:t>
            </w:r>
          </w:p>
        </w:tc>
        <w:tc>
          <w:tcPr>
            <w:tcW w:w="1226" w:type="dxa"/>
            <w:tcBorders>
              <w:top w:val="single" w:sz="4" w:space="0" w:color="auto"/>
              <w:left w:val="single" w:sz="4" w:space="0" w:color="auto"/>
              <w:bottom w:val="single" w:sz="4" w:space="0" w:color="auto"/>
              <w:right w:val="single" w:sz="4" w:space="0" w:color="auto"/>
            </w:tcBorders>
            <w:vAlign w:val="bottom"/>
          </w:tcPr>
          <w:p w14:paraId="4C61F3F1" w14:textId="77777777" w:rsidR="003957AD" w:rsidRDefault="003957AD" w:rsidP="00DE0473">
            <w:pPr>
              <w:jc w:val="right"/>
              <w:rPr>
                <w:rFonts w:cs="Calibri"/>
                <w:color w:val="000000"/>
              </w:rPr>
            </w:pPr>
            <w:r>
              <w:rPr>
                <w:rFonts w:cs="Calibri"/>
                <w:color w:val="000000"/>
              </w:rPr>
              <w:t>2634</w:t>
            </w:r>
          </w:p>
        </w:tc>
        <w:tc>
          <w:tcPr>
            <w:tcW w:w="1225" w:type="dxa"/>
            <w:tcBorders>
              <w:top w:val="single" w:sz="4" w:space="0" w:color="auto"/>
              <w:left w:val="single" w:sz="4" w:space="0" w:color="auto"/>
              <w:bottom w:val="single" w:sz="4" w:space="0" w:color="auto"/>
              <w:right w:val="single" w:sz="4" w:space="0" w:color="auto"/>
            </w:tcBorders>
            <w:vAlign w:val="bottom"/>
          </w:tcPr>
          <w:p w14:paraId="64D84701" w14:textId="77777777" w:rsidR="003957AD" w:rsidRDefault="003957AD" w:rsidP="00DE0473">
            <w:pPr>
              <w:jc w:val="right"/>
              <w:rPr>
                <w:rFonts w:cs="Calibri"/>
                <w:color w:val="000000"/>
              </w:rPr>
            </w:pPr>
            <w:r>
              <w:rPr>
                <w:rFonts w:cs="Calibri"/>
                <w:color w:val="000000"/>
              </w:rPr>
              <w:t>725</w:t>
            </w:r>
          </w:p>
        </w:tc>
        <w:tc>
          <w:tcPr>
            <w:tcW w:w="12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28E520" w14:textId="77777777" w:rsidR="003957AD" w:rsidRDefault="003957AD" w:rsidP="00DE0473">
            <w:pPr>
              <w:jc w:val="right"/>
              <w:rPr>
                <w:rFonts w:cs="Calibri"/>
                <w:color w:val="000000"/>
              </w:rPr>
            </w:pPr>
            <w:r>
              <w:rPr>
                <w:rFonts w:cs="Calibri"/>
                <w:color w:val="000000"/>
              </w:rPr>
              <w:t>3948</w:t>
            </w:r>
          </w:p>
        </w:tc>
        <w:tc>
          <w:tcPr>
            <w:tcW w:w="1226" w:type="dxa"/>
            <w:tcBorders>
              <w:top w:val="single" w:sz="4" w:space="0" w:color="auto"/>
              <w:left w:val="single" w:sz="4" w:space="0" w:color="auto"/>
              <w:bottom w:val="single" w:sz="4" w:space="0" w:color="auto"/>
              <w:right w:val="single" w:sz="4" w:space="0" w:color="auto"/>
            </w:tcBorders>
            <w:vAlign w:val="bottom"/>
          </w:tcPr>
          <w:p w14:paraId="33EAEED1" w14:textId="77777777" w:rsidR="003957AD" w:rsidRDefault="003957AD" w:rsidP="00DE0473">
            <w:pPr>
              <w:jc w:val="right"/>
              <w:rPr>
                <w:rFonts w:cs="Calibri"/>
                <w:color w:val="000000"/>
              </w:rPr>
            </w:pPr>
            <w:r>
              <w:rPr>
                <w:rFonts w:cs="Calibri"/>
                <w:color w:val="000000"/>
              </w:rPr>
              <w:t>82%</w:t>
            </w:r>
          </w:p>
        </w:tc>
        <w:tc>
          <w:tcPr>
            <w:tcW w:w="1226" w:type="dxa"/>
            <w:tcBorders>
              <w:top w:val="single" w:sz="4" w:space="0" w:color="auto"/>
              <w:left w:val="single" w:sz="4" w:space="0" w:color="auto"/>
              <w:bottom w:val="single" w:sz="4" w:space="0" w:color="auto"/>
              <w:right w:val="single" w:sz="4" w:space="0" w:color="auto"/>
            </w:tcBorders>
            <w:vAlign w:val="bottom"/>
          </w:tcPr>
          <w:p w14:paraId="56D89ADF" w14:textId="77777777" w:rsidR="003957AD" w:rsidRDefault="003957AD" w:rsidP="00DE0473">
            <w:pPr>
              <w:jc w:val="right"/>
              <w:rPr>
                <w:rFonts w:cs="Calibri"/>
                <w:color w:val="000000"/>
              </w:rPr>
            </w:pPr>
            <w:r>
              <w:rPr>
                <w:rFonts w:cs="Calibri"/>
                <w:color w:val="000000"/>
              </w:rPr>
              <w:t>67%</w:t>
            </w:r>
          </w:p>
        </w:tc>
      </w:tr>
      <w:tr w:rsidR="003957AD" w:rsidRPr="00C763A7" w14:paraId="3D6035A4" w14:textId="77777777" w:rsidTr="00DE0473">
        <w:trPr>
          <w:trHeight w:val="300"/>
        </w:trPr>
        <w:tc>
          <w:tcPr>
            <w:tcW w:w="2807" w:type="dxa"/>
            <w:tcBorders>
              <w:top w:val="single" w:sz="4" w:space="0" w:color="auto"/>
              <w:left w:val="single" w:sz="4" w:space="0" w:color="auto"/>
              <w:bottom w:val="single" w:sz="4" w:space="0" w:color="auto"/>
              <w:right w:val="single" w:sz="4" w:space="0" w:color="auto"/>
            </w:tcBorders>
            <w:vAlign w:val="bottom"/>
          </w:tcPr>
          <w:p w14:paraId="594735D2" w14:textId="77777777" w:rsidR="003957AD" w:rsidRDefault="003957AD" w:rsidP="00DE0473">
            <w:pPr>
              <w:rPr>
                <w:rFonts w:cs="Calibri"/>
                <w:color w:val="000000"/>
              </w:rPr>
            </w:pPr>
            <w:r>
              <w:rPr>
                <w:rFonts w:cs="Calibri"/>
                <w:color w:val="000000"/>
              </w:rPr>
              <w:t>Disability</w:t>
            </w:r>
          </w:p>
        </w:tc>
        <w:tc>
          <w:tcPr>
            <w:tcW w:w="1269" w:type="dxa"/>
            <w:tcBorders>
              <w:top w:val="single" w:sz="4" w:space="0" w:color="auto"/>
              <w:left w:val="single" w:sz="4" w:space="0" w:color="auto"/>
              <w:bottom w:val="single" w:sz="4" w:space="0" w:color="auto"/>
              <w:right w:val="single" w:sz="4" w:space="0" w:color="auto"/>
            </w:tcBorders>
            <w:vAlign w:val="bottom"/>
          </w:tcPr>
          <w:p w14:paraId="1BE8B1C7" w14:textId="77777777" w:rsidR="003957AD" w:rsidRDefault="003957AD" w:rsidP="00DE0473">
            <w:pPr>
              <w:jc w:val="right"/>
              <w:rPr>
                <w:rFonts w:cs="Calibri"/>
                <w:color w:val="000000"/>
              </w:rPr>
            </w:pPr>
            <w:r>
              <w:rPr>
                <w:rFonts w:cs="Calibri"/>
                <w:color w:val="000000"/>
              </w:rPr>
              <w:t>2061</w:t>
            </w:r>
          </w:p>
        </w:tc>
        <w:tc>
          <w:tcPr>
            <w:tcW w:w="1226" w:type="dxa"/>
            <w:tcBorders>
              <w:top w:val="single" w:sz="4" w:space="0" w:color="auto"/>
              <w:left w:val="single" w:sz="4" w:space="0" w:color="auto"/>
              <w:bottom w:val="single" w:sz="4" w:space="0" w:color="auto"/>
              <w:right w:val="single" w:sz="4" w:space="0" w:color="auto"/>
            </w:tcBorders>
            <w:vAlign w:val="bottom"/>
          </w:tcPr>
          <w:p w14:paraId="48F8D5C4" w14:textId="77777777" w:rsidR="003957AD" w:rsidRDefault="003957AD" w:rsidP="00DE0473">
            <w:pPr>
              <w:jc w:val="right"/>
              <w:rPr>
                <w:rFonts w:cs="Calibri"/>
                <w:color w:val="000000"/>
              </w:rPr>
            </w:pPr>
            <w:r>
              <w:rPr>
                <w:rFonts w:cs="Calibri"/>
                <w:color w:val="000000"/>
              </w:rPr>
              <w:t>1586</w:t>
            </w:r>
          </w:p>
        </w:tc>
        <w:tc>
          <w:tcPr>
            <w:tcW w:w="1225" w:type="dxa"/>
            <w:tcBorders>
              <w:top w:val="single" w:sz="4" w:space="0" w:color="auto"/>
              <w:left w:val="single" w:sz="4" w:space="0" w:color="auto"/>
              <w:bottom w:val="single" w:sz="4" w:space="0" w:color="auto"/>
              <w:right w:val="single" w:sz="4" w:space="0" w:color="auto"/>
            </w:tcBorders>
            <w:vAlign w:val="bottom"/>
          </w:tcPr>
          <w:p w14:paraId="0D2D9C12" w14:textId="77777777" w:rsidR="003957AD" w:rsidRDefault="003957AD" w:rsidP="00DE0473">
            <w:pPr>
              <w:jc w:val="right"/>
              <w:rPr>
                <w:rFonts w:cs="Calibri"/>
                <w:color w:val="000000"/>
              </w:rPr>
            </w:pPr>
            <w:r>
              <w:rPr>
                <w:rFonts w:cs="Calibri"/>
                <w:color w:val="000000"/>
              </w:rPr>
              <w:t>502</w:t>
            </w:r>
          </w:p>
        </w:tc>
        <w:tc>
          <w:tcPr>
            <w:tcW w:w="12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C9062E" w14:textId="77777777" w:rsidR="003957AD" w:rsidRDefault="003957AD" w:rsidP="00DE0473">
            <w:pPr>
              <w:jc w:val="right"/>
              <w:rPr>
                <w:rFonts w:cs="Calibri"/>
                <w:color w:val="000000"/>
              </w:rPr>
            </w:pPr>
            <w:r>
              <w:rPr>
                <w:rFonts w:cs="Calibri"/>
                <w:color w:val="000000"/>
              </w:rPr>
              <w:t>2563</w:t>
            </w:r>
          </w:p>
        </w:tc>
        <w:tc>
          <w:tcPr>
            <w:tcW w:w="1226" w:type="dxa"/>
            <w:tcBorders>
              <w:top w:val="single" w:sz="4" w:space="0" w:color="auto"/>
              <w:left w:val="single" w:sz="4" w:space="0" w:color="auto"/>
              <w:bottom w:val="single" w:sz="4" w:space="0" w:color="auto"/>
              <w:right w:val="single" w:sz="4" w:space="0" w:color="auto"/>
            </w:tcBorders>
            <w:vAlign w:val="bottom"/>
          </w:tcPr>
          <w:p w14:paraId="1FFEC990" w14:textId="77777777" w:rsidR="003957AD" w:rsidRDefault="003957AD" w:rsidP="00DE0473">
            <w:pPr>
              <w:jc w:val="right"/>
              <w:rPr>
                <w:rFonts w:cs="Calibri"/>
                <w:color w:val="000000"/>
              </w:rPr>
            </w:pPr>
            <w:r>
              <w:rPr>
                <w:rFonts w:cs="Calibri"/>
                <w:color w:val="000000"/>
              </w:rPr>
              <w:t>80%</w:t>
            </w:r>
          </w:p>
        </w:tc>
        <w:tc>
          <w:tcPr>
            <w:tcW w:w="1226" w:type="dxa"/>
            <w:tcBorders>
              <w:top w:val="single" w:sz="4" w:space="0" w:color="auto"/>
              <w:left w:val="single" w:sz="4" w:space="0" w:color="auto"/>
              <w:bottom w:val="single" w:sz="4" w:space="0" w:color="auto"/>
              <w:right w:val="single" w:sz="4" w:space="0" w:color="auto"/>
            </w:tcBorders>
            <w:vAlign w:val="bottom"/>
          </w:tcPr>
          <w:p w14:paraId="0C874B4B" w14:textId="77777777" w:rsidR="003957AD" w:rsidRDefault="003957AD" w:rsidP="00DE0473">
            <w:pPr>
              <w:jc w:val="right"/>
              <w:rPr>
                <w:rFonts w:cs="Calibri"/>
                <w:color w:val="000000"/>
              </w:rPr>
            </w:pPr>
            <w:r>
              <w:rPr>
                <w:rFonts w:cs="Calibri"/>
                <w:color w:val="000000"/>
              </w:rPr>
              <w:t>62%</w:t>
            </w:r>
          </w:p>
        </w:tc>
      </w:tr>
      <w:tr w:rsidR="003957AD" w:rsidRPr="00C763A7" w14:paraId="32C8C9CD" w14:textId="77777777" w:rsidTr="00DE0473">
        <w:trPr>
          <w:trHeight w:val="300"/>
        </w:trPr>
        <w:tc>
          <w:tcPr>
            <w:tcW w:w="2807" w:type="dxa"/>
            <w:tcBorders>
              <w:top w:val="single" w:sz="4" w:space="0" w:color="auto"/>
              <w:left w:val="single" w:sz="4" w:space="0" w:color="auto"/>
              <w:bottom w:val="single" w:sz="4" w:space="0" w:color="auto"/>
              <w:right w:val="single" w:sz="4" w:space="0" w:color="auto"/>
            </w:tcBorders>
            <w:vAlign w:val="bottom"/>
          </w:tcPr>
          <w:p w14:paraId="2EF6B3AA" w14:textId="77777777" w:rsidR="003957AD" w:rsidRDefault="003957AD" w:rsidP="00DE0473">
            <w:pPr>
              <w:rPr>
                <w:rFonts w:cs="Calibri"/>
                <w:color w:val="000000"/>
              </w:rPr>
            </w:pPr>
            <w:r>
              <w:rPr>
                <w:rFonts w:cs="Calibri"/>
                <w:color w:val="000000"/>
              </w:rPr>
              <w:t>Humanitarian Refugee</w:t>
            </w:r>
          </w:p>
        </w:tc>
        <w:tc>
          <w:tcPr>
            <w:tcW w:w="1269" w:type="dxa"/>
            <w:tcBorders>
              <w:top w:val="single" w:sz="4" w:space="0" w:color="auto"/>
              <w:left w:val="single" w:sz="4" w:space="0" w:color="auto"/>
              <w:bottom w:val="single" w:sz="4" w:space="0" w:color="auto"/>
              <w:right w:val="single" w:sz="4" w:space="0" w:color="auto"/>
            </w:tcBorders>
            <w:vAlign w:val="bottom"/>
          </w:tcPr>
          <w:p w14:paraId="4957477D" w14:textId="77777777" w:rsidR="003957AD" w:rsidRDefault="003957AD" w:rsidP="00DE0473">
            <w:pPr>
              <w:jc w:val="right"/>
              <w:rPr>
                <w:rFonts w:cs="Calibri"/>
                <w:color w:val="000000"/>
              </w:rPr>
            </w:pPr>
            <w:r>
              <w:rPr>
                <w:rFonts w:cs="Calibri"/>
                <w:color w:val="000000"/>
              </w:rPr>
              <w:t>764</w:t>
            </w:r>
          </w:p>
        </w:tc>
        <w:tc>
          <w:tcPr>
            <w:tcW w:w="1226" w:type="dxa"/>
            <w:tcBorders>
              <w:top w:val="single" w:sz="4" w:space="0" w:color="auto"/>
              <w:left w:val="single" w:sz="4" w:space="0" w:color="auto"/>
              <w:bottom w:val="single" w:sz="4" w:space="0" w:color="auto"/>
              <w:right w:val="single" w:sz="4" w:space="0" w:color="auto"/>
            </w:tcBorders>
            <w:vAlign w:val="bottom"/>
          </w:tcPr>
          <w:p w14:paraId="345E723C" w14:textId="77777777" w:rsidR="003957AD" w:rsidRDefault="003957AD" w:rsidP="00DE0473">
            <w:pPr>
              <w:jc w:val="right"/>
              <w:rPr>
                <w:rFonts w:cs="Calibri"/>
                <w:color w:val="000000"/>
              </w:rPr>
            </w:pPr>
            <w:r>
              <w:rPr>
                <w:rFonts w:cs="Calibri"/>
                <w:color w:val="000000"/>
              </w:rPr>
              <w:t>622</w:t>
            </w:r>
          </w:p>
        </w:tc>
        <w:tc>
          <w:tcPr>
            <w:tcW w:w="1225" w:type="dxa"/>
            <w:tcBorders>
              <w:top w:val="single" w:sz="4" w:space="0" w:color="auto"/>
              <w:left w:val="single" w:sz="4" w:space="0" w:color="auto"/>
              <w:bottom w:val="single" w:sz="4" w:space="0" w:color="auto"/>
              <w:right w:val="single" w:sz="4" w:space="0" w:color="auto"/>
            </w:tcBorders>
            <w:vAlign w:val="bottom"/>
          </w:tcPr>
          <w:p w14:paraId="265129E3" w14:textId="77777777" w:rsidR="003957AD" w:rsidRDefault="003957AD" w:rsidP="00DE0473">
            <w:pPr>
              <w:jc w:val="right"/>
              <w:rPr>
                <w:rFonts w:cs="Calibri"/>
                <w:color w:val="000000"/>
              </w:rPr>
            </w:pPr>
            <w:r>
              <w:rPr>
                <w:rFonts w:cs="Calibri"/>
                <w:color w:val="000000"/>
              </w:rPr>
              <w:t>128</w:t>
            </w:r>
          </w:p>
        </w:tc>
        <w:tc>
          <w:tcPr>
            <w:tcW w:w="12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C0A4E3" w14:textId="77777777" w:rsidR="003957AD" w:rsidRDefault="003957AD" w:rsidP="00DE0473">
            <w:pPr>
              <w:jc w:val="right"/>
              <w:rPr>
                <w:rFonts w:cs="Calibri"/>
                <w:color w:val="000000"/>
              </w:rPr>
            </w:pPr>
            <w:r>
              <w:rPr>
                <w:rFonts w:cs="Calibri"/>
                <w:color w:val="000000"/>
              </w:rPr>
              <w:t>892</w:t>
            </w:r>
          </w:p>
        </w:tc>
        <w:tc>
          <w:tcPr>
            <w:tcW w:w="1226" w:type="dxa"/>
            <w:tcBorders>
              <w:top w:val="single" w:sz="4" w:space="0" w:color="auto"/>
              <w:left w:val="single" w:sz="4" w:space="0" w:color="auto"/>
              <w:bottom w:val="single" w:sz="4" w:space="0" w:color="auto"/>
              <w:right w:val="single" w:sz="4" w:space="0" w:color="auto"/>
            </w:tcBorders>
            <w:vAlign w:val="bottom"/>
          </w:tcPr>
          <w:p w14:paraId="03824D85" w14:textId="77777777" w:rsidR="003957AD" w:rsidRDefault="003957AD" w:rsidP="00DE0473">
            <w:pPr>
              <w:jc w:val="right"/>
              <w:rPr>
                <w:rFonts w:cs="Calibri"/>
                <w:color w:val="000000"/>
              </w:rPr>
            </w:pPr>
            <w:r>
              <w:rPr>
                <w:rFonts w:cs="Calibri"/>
                <w:color w:val="000000"/>
              </w:rPr>
              <w:t>86%</w:t>
            </w:r>
          </w:p>
        </w:tc>
        <w:tc>
          <w:tcPr>
            <w:tcW w:w="1226" w:type="dxa"/>
            <w:tcBorders>
              <w:top w:val="single" w:sz="4" w:space="0" w:color="auto"/>
              <w:left w:val="single" w:sz="4" w:space="0" w:color="auto"/>
              <w:bottom w:val="single" w:sz="4" w:space="0" w:color="auto"/>
              <w:right w:val="single" w:sz="4" w:space="0" w:color="auto"/>
            </w:tcBorders>
            <w:vAlign w:val="bottom"/>
          </w:tcPr>
          <w:p w14:paraId="38E48B82" w14:textId="77777777" w:rsidR="003957AD" w:rsidRDefault="003957AD" w:rsidP="00DE0473">
            <w:pPr>
              <w:jc w:val="right"/>
              <w:rPr>
                <w:rFonts w:cs="Calibri"/>
                <w:color w:val="000000"/>
              </w:rPr>
            </w:pPr>
            <w:r>
              <w:rPr>
                <w:rFonts w:cs="Calibri"/>
                <w:color w:val="000000"/>
              </w:rPr>
              <w:t>70%</w:t>
            </w:r>
          </w:p>
        </w:tc>
      </w:tr>
      <w:tr w:rsidR="003957AD" w:rsidRPr="00C763A7" w14:paraId="7EBEEAB3" w14:textId="77777777" w:rsidTr="00DE0473">
        <w:trPr>
          <w:trHeight w:val="300"/>
        </w:trPr>
        <w:tc>
          <w:tcPr>
            <w:tcW w:w="2807" w:type="dxa"/>
            <w:tcBorders>
              <w:top w:val="single" w:sz="4" w:space="0" w:color="auto"/>
              <w:left w:val="single" w:sz="4" w:space="0" w:color="auto"/>
              <w:bottom w:val="single" w:sz="4" w:space="0" w:color="auto"/>
              <w:right w:val="single" w:sz="4" w:space="0" w:color="auto"/>
            </w:tcBorders>
            <w:vAlign w:val="bottom"/>
          </w:tcPr>
          <w:p w14:paraId="5BF29390" w14:textId="77777777" w:rsidR="003957AD" w:rsidRDefault="003957AD" w:rsidP="00DE0473">
            <w:pPr>
              <w:rPr>
                <w:rFonts w:cs="Calibri"/>
                <w:color w:val="000000"/>
              </w:rPr>
            </w:pPr>
            <w:r>
              <w:rPr>
                <w:rFonts w:cs="Calibri"/>
                <w:color w:val="000000"/>
              </w:rPr>
              <w:t>Indigenous Australian</w:t>
            </w:r>
          </w:p>
        </w:tc>
        <w:tc>
          <w:tcPr>
            <w:tcW w:w="1269" w:type="dxa"/>
            <w:tcBorders>
              <w:top w:val="single" w:sz="4" w:space="0" w:color="auto"/>
              <w:left w:val="single" w:sz="4" w:space="0" w:color="auto"/>
              <w:bottom w:val="single" w:sz="4" w:space="0" w:color="auto"/>
              <w:right w:val="single" w:sz="4" w:space="0" w:color="auto"/>
            </w:tcBorders>
            <w:vAlign w:val="bottom"/>
          </w:tcPr>
          <w:p w14:paraId="0413F034" w14:textId="77777777" w:rsidR="003957AD" w:rsidRDefault="003957AD" w:rsidP="00DE0473">
            <w:pPr>
              <w:jc w:val="right"/>
              <w:rPr>
                <w:rFonts w:cs="Calibri"/>
                <w:color w:val="000000"/>
              </w:rPr>
            </w:pPr>
            <w:r>
              <w:rPr>
                <w:rFonts w:cs="Calibri"/>
                <w:color w:val="000000"/>
              </w:rPr>
              <w:t>7803</w:t>
            </w:r>
          </w:p>
        </w:tc>
        <w:tc>
          <w:tcPr>
            <w:tcW w:w="1226" w:type="dxa"/>
            <w:tcBorders>
              <w:top w:val="single" w:sz="4" w:space="0" w:color="auto"/>
              <w:left w:val="single" w:sz="4" w:space="0" w:color="auto"/>
              <w:bottom w:val="single" w:sz="4" w:space="0" w:color="auto"/>
              <w:right w:val="single" w:sz="4" w:space="0" w:color="auto"/>
            </w:tcBorders>
            <w:vAlign w:val="bottom"/>
          </w:tcPr>
          <w:p w14:paraId="0BF2BC28" w14:textId="77777777" w:rsidR="003957AD" w:rsidRDefault="003957AD" w:rsidP="00DE0473">
            <w:pPr>
              <w:jc w:val="right"/>
              <w:rPr>
                <w:rFonts w:cs="Calibri"/>
                <w:color w:val="000000"/>
              </w:rPr>
            </w:pPr>
            <w:r>
              <w:rPr>
                <w:rFonts w:cs="Calibri"/>
                <w:color w:val="000000"/>
              </w:rPr>
              <w:t>5436</w:t>
            </w:r>
          </w:p>
        </w:tc>
        <w:tc>
          <w:tcPr>
            <w:tcW w:w="1225" w:type="dxa"/>
            <w:tcBorders>
              <w:top w:val="single" w:sz="4" w:space="0" w:color="auto"/>
              <w:left w:val="single" w:sz="4" w:space="0" w:color="auto"/>
              <w:bottom w:val="single" w:sz="4" w:space="0" w:color="auto"/>
              <w:right w:val="single" w:sz="4" w:space="0" w:color="auto"/>
            </w:tcBorders>
            <w:vAlign w:val="bottom"/>
          </w:tcPr>
          <w:p w14:paraId="7A290605" w14:textId="77777777" w:rsidR="003957AD" w:rsidRDefault="003957AD" w:rsidP="00DE0473">
            <w:pPr>
              <w:jc w:val="right"/>
              <w:rPr>
                <w:rFonts w:cs="Calibri"/>
                <w:color w:val="000000"/>
              </w:rPr>
            </w:pPr>
            <w:r>
              <w:rPr>
                <w:rFonts w:cs="Calibri"/>
                <w:color w:val="000000"/>
              </w:rPr>
              <w:t>3152</w:t>
            </w:r>
          </w:p>
        </w:tc>
        <w:tc>
          <w:tcPr>
            <w:tcW w:w="12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D8F690" w14:textId="77777777" w:rsidR="003957AD" w:rsidRDefault="003957AD" w:rsidP="00DE0473">
            <w:pPr>
              <w:jc w:val="right"/>
              <w:rPr>
                <w:rFonts w:cs="Calibri"/>
                <w:color w:val="000000"/>
              </w:rPr>
            </w:pPr>
            <w:r>
              <w:rPr>
                <w:rFonts w:cs="Calibri"/>
                <w:color w:val="000000"/>
              </w:rPr>
              <w:t>10,955</w:t>
            </w:r>
          </w:p>
        </w:tc>
        <w:tc>
          <w:tcPr>
            <w:tcW w:w="1226" w:type="dxa"/>
            <w:tcBorders>
              <w:top w:val="single" w:sz="4" w:space="0" w:color="auto"/>
              <w:left w:val="single" w:sz="4" w:space="0" w:color="auto"/>
              <w:bottom w:val="single" w:sz="4" w:space="0" w:color="auto"/>
              <w:right w:val="single" w:sz="4" w:space="0" w:color="auto"/>
            </w:tcBorders>
            <w:vAlign w:val="bottom"/>
          </w:tcPr>
          <w:p w14:paraId="2877B8D2" w14:textId="77777777" w:rsidR="003957AD" w:rsidRDefault="003957AD" w:rsidP="00DE0473">
            <w:pPr>
              <w:jc w:val="right"/>
              <w:rPr>
                <w:rFonts w:cs="Calibri"/>
                <w:color w:val="000000"/>
              </w:rPr>
            </w:pPr>
            <w:r>
              <w:rPr>
                <w:rFonts w:cs="Calibri"/>
                <w:color w:val="000000"/>
              </w:rPr>
              <w:t>71%</w:t>
            </w:r>
          </w:p>
        </w:tc>
        <w:tc>
          <w:tcPr>
            <w:tcW w:w="1226" w:type="dxa"/>
            <w:tcBorders>
              <w:top w:val="single" w:sz="4" w:space="0" w:color="auto"/>
              <w:left w:val="single" w:sz="4" w:space="0" w:color="auto"/>
              <w:bottom w:val="single" w:sz="4" w:space="0" w:color="auto"/>
              <w:right w:val="single" w:sz="4" w:space="0" w:color="auto"/>
            </w:tcBorders>
            <w:vAlign w:val="bottom"/>
          </w:tcPr>
          <w:p w14:paraId="13FA2735" w14:textId="77777777" w:rsidR="003957AD" w:rsidRDefault="003957AD" w:rsidP="00DE0473">
            <w:pPr>
              <w:jc w:val="right"/>
              <w:rPr>
                <w:rFonts w:cs="Calibri"/>
                <w:color w:val="000000"/>
              </w:rPr>
            </w:pPr>
            <w:r>
              <w:rPr>
                <w:rFonts w:cs="Calibri"/>
                <w:color w:val="000000"/>
              </w:rPr>
              <w:t>50%</w:t>
            </w:r>
          </w:p>
        </w:tc>
      </w:tr>
      <w:tr w:rsidR="003957AD" w:rsidRPr="00C763A7" w14:paraId="313860AD" w14:textId="77777777" w:rsidTr="00DE0473">
        <w:trPr>
          <w:trHeight w:val="300"/>
        </w:trPr>
        <w:tc>
          <w:tcPr>
            <w:tcW w:w="2807" w:type="dxa"/>
            <w:tcBorders>
              <w:top w:val="single" w:sz="4" w:space="0" w:color="auto"/>
              <w:left w:val="single" w:sz="4" w:space="0" w:color="auto"/>
              <w:bottom w:val="single" w:sz="4" w:space="0" w:color="auto"/>
              <w:right w:val="single" w:sz="4" w:space="0" w:color="auto"/>
            </w:tcBorders>
            <w:vAlign w:val="bottom"/>
          </w:tcPr>
          <w:p w14:paraId="7D3EDC0B" w14:textId="77777777" w:rsidR="003957AD" w:rsidRDefault="003957AD" w:rsidP="00DE0473">
            <w:pPr>
              <w:rPr>
                <w:rFonts w:cs="Calibri"/>
                <w:color w:val="000000"/>
              </w:rPr>
            </w:pPr>
            <w:r>
              <w:rPr>
                <w:rFonts w:cs="Calibri"/>
                <w:color w:val="000000"/>
              </w:rPr>
              <w:t>Parent</w:t>
            </w:r>
          </w:p>
        </w:tc>
        <w:tc>
          <w:tcPr>
            <w:tcW w:w="1269" w:type="dxa"/>
            <w:tcBorders>
              <w:top w:val="single" w:sz="4" w:space="0" w:color="auto"/>
              <w:left w:val="single" w:sz="4" w:space="0" w:color="auto"/>
              <w:bottom w:val="single" w:sz="4" w:space="0" w:color="auto"/>
              <w:right w:val="single" w:sz="4" w:space="0" w:color="auto"/>
            </w:tcBorders>
            <w:vAlign w:val="bottom"/>
          </w:tcPr>
          <w:p w14:paraId="6F8C9E56" w14:textId="77777777" w:rsidR="003957AD" w:rsidRDefault="003957AD" w:rsidP="00DE0473">
            <w:pPr>
              <w:jc w:val="right"/>
              <w:rPr>
                <w:rFonts w:cs="Calibri"/>
                <w:color w:val="000000"/>
              </w:rPr>
            </w:pPr>
            <w:r>
              <w:rPr>
                <w:rFonts w:cs="Calibri"/>
                <w:color w:val="000000"/>
              </w:rPr>
              <w:t>898</w:t>
            </w:r>
          </w:p>
        </w:tc>
        <w:tc>
          <w:tcPr>
            <w:tcW w:w="1226" w:type="dxa"/>
            <w:tcBorders>
              <w:top w:val="single" w:sz="4" w:space="0" w:color="auto"/>
              <w:left w:val="single" w:sz="4" w:space="0" w:color="auto"/>
              <w:bottom w:val="single" w:sz="4" w:space="0" w:color="auto"/>
              <w:right w:val="single" w:sz="4" w:space="0" w:color="auto"/>
            </w:tcBorders>
            <w:vAlign w:val="bottom"/>
          </w:tcPr>
          <w:p w14:paraId="00A32B54" w14:textId="77777777" w:rsidR="003957AD" w:rsidRDefault="003957AD" w:rsidP="00DE0473">
            <w:pPr>
              <w:jc w:val="right"/>
              <w:rPr>
                <w:rFonts w:cs="Calibri"/>
                <w:color w:val="000000"/>
              </w:rPr>
            </w:pPr>
            <w:r>
              <w:rPr>
                <w:rFonts w:cs="Calibri"/>
                <w:color w:val="000000"/>
              </w:rPr>
              <w:t>583</w:t>
            </w:r>
          </w:p>
        </w:tc>
        <w:tc>
          <w:tcPr>
            <w:tcW w:w="1225" w:type="dxa"/>
            <w:tcBorders>
              <w:top w:val="single" w:sz="4" w:space="0" w:color="auto"/>
              <w:left w:val="single" w:sz="4" w:space="0" w:color="auto"/>
              <w:bottom w:val="single" w:sz="4" w:space="0" w:color="auto"/>
              <w:right w:val="single" w:sz="4" w:space="0" w:color="auto"/>
            </w:tcBorders>
            <w:vAlign w:val="bottom"/>
          </w:tcPr>
          <w:p w14:paraId="0EC1E027" w14:textId="77777777" w:rsidR="003957AD" w:rsidRDefault="003957AD" w:rsidP="00DE0473">
            <w:pPr>
              <w:jc w:val="right"/>
              <w:rPr>
                <w:rFonts w:cs="Calibri"/>
                <w:color w:val="000000"/>
              </w:rPr>
            </w:pPr>
            <w:r>
              <w:rPr>
                <w:rFonts w:cs="Calibri"/>
                <w:color w:val="000000"/>
              </w:rPr>
              <w:t>347</w:t>
            </w:r>
          </w:p>
        </w:tc>
        <w:tc>
          <w:tcPr>
            <w:tcW w:w="12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C0F935" w14:textId="77777777" w:rsidR="003957AD" w:rsidRDefault="003957AD" w:rsidP="00DE0473">
            <w:pPr>
              <w:jc w:val="right"/>
              <w:rPr>
                <w:rFonts w:cs="Calibri"/>
                <w:color w:val="000000"/>
              </w:rPr>
            </w:pPr>
            <w:r>
              <w:rPr>
                <w:rFonts w:cs="Calibri"/>
                <w:color w:val="000000"/>
              </w:rPr>
              <w:t>1245</w:t>
            </w:r>
          </w:p>
        </w:tc>
        <w:tc>
          <w:tcPr>
            <w:tcW w:w="1226" w:type="dxa"/>
            <w:tcBorders>
              <w:top w:val="single" w:sz="4" w:space="0" w:color="auto"/>
              <w:left w:val="single" w:sz="4" w:space="0" w:color="auto"/>
              <w:bottom w:val="single" w:sz="4" w:space="0" w:color="auto"/>
              <w:right w:val="single" w:sz="4" w:space="0" w:color="auto"/>
            </w:tcBorders>
            <w:vAlign w:val="bottom"/>
          </w:tcPr>
          <w:p w14:paraId="0C253EB6" w14:textId="77777777" w:rsidR="003957AD" w:rsidRDefault="003957AD" w:rsidP="00DE0473">
            <w:pPr>
              <w:jc w:val="right"/>
              <w:rPr>
                <w:rFonts w:cs="Calibri"/>
                <w:color w:val="000000"/>
              </w:rPr>
            </w:pPr>
            <w:r>
              <w:rPr>
                <w:rFonts w:cs="Calibri"/>
                <w:color w:val="000000"/>
              </w:rPr>
              <w:t>72%</w:t>
            </w:r>
          </w:p>
        </w:tc>
        <w:tc>
          <w:tcPr>
            <w:tcW w:w="1226" w:type="dxa"/>
            <w:tcBorders>
              <w:top w:val="single" w:sz="4" w:space="0" w:color="auto"/>
              <w:left w:val="single" w:sz="4" w:space="0" w:color="auto"/>
              <w:bottom w:val="single" w:sz="4" w:space="0" w:color="auto"/>
              <w:right w:val="single" w:sz="4" w:space="0" w:color="auto"/>
            </w:tcBorders>
            <w:vAlign w:val="bottom"/>
          </w:tcPr>
          <w:p w14:paraId="0BE37CD3" w14:textId="77777777" w:rsidR="003957AD" w:rsidRDefault="003957AD" w:rsidP="00DE0473">
            <w:pPr>
              <w:jc w:val="right"/>
              <w:rPr>
                <w:rFonts w:cs="Calibri"/>
                <w:color w:val="000000"/>
              </w:rPr>
            </w:pPr>
            <w:r>
              <w:rPr>
                <w:rFonts w:cs="Calibri"/>
                <w:color w:val="000000"/>
              </w:rPr>
              <w:t>47%</w:t>
            </w:r>
          </w:p>
        </w:tc>
      </w:tr>
      <w:tr w:rsidR="003957AD" w:rsidRPr="00C763A7" w14:paraId="66B9544D" w14:textId="77777777" w:rsidTr="00DE0473">
        <w:trPr>
          <w:trHeight w:val="300"/>
        </w:trPr>
        <w:tc>
          <w:tcPr>
            <w:tcW w:w="2807" w:type="dxa"/>
            <w:tcBorders>
              <w:top w:val="single" w:sz="4" w:space="0" w:color="auto"/>
              <w:left w:val="single" w:sz="4" w:space="0" w:color="auto"/>
              <w:bottom w:val="single" w:sz="4" w:space="0" w:color="auto"/>
              <w:right w:val="single" w:sz="4" w:space="0" w:color="auto"/>
            </w:tcBorders>
            <w:vAlign w:val="bottom"/>
          </w:tcPr>
          <w:p w14:paraId="5AE1A543" w14:textId="77777777" w:rsidR="003957AD" w:rsidRDefault="003957AD" w:rsidP="00DE0473">
            <w:pPr>
              <w:rPr>
                <w:rFonts w:cs="Calibri"/>
                <w:color w:val="000000"/>
              </w:rPr>
            </w:pPr>
            <w:r>
              <w:rPr>
                <w:rFonts w:cs="Calibri"/>
                <w:color w:val="000000"/>
              </w:rPr>
              <w:t>Receiving Centrelink Income Support</w:t>
            </w:r>
          </w:p>
        </w:tc>
        <w:tc>
          <w:tcPr>
            <w:tcW w:w="1269" w:type="dxa"/>
            <w:tcBorders>
              <w:top w:val="single" w:sz="4" w:space="0" w:color="auto"/>
              <w:left w:val="single" w:sz="4" w:space="0" w:color="auto"/>
              <w:bottom w:val="single" w:sz="4" w:space="0" w:color="auto"/>
              <w:right w:val="single" w:sz="4" w:space="0" w:color="auto"/>
            </w:tcBorders>
            <w:vAlign w:val="bottom"/>
          </w:tcPr>
          <w:p w14:paraId="1D8DE212" w14:textId="77777777" w:rsidR="003957AD" w:rsidRDefault="003957AD" w:rsidP="00DE0473">
            <w:pPr>
              <w:jc w:val="right"/>
              <w:rPr>
                <w:rFonts w:cs="Calibri"/>
                <w:color w:val="000000"/>
              </w:rPr>
            </w:pPr>
            <w:r>
              <w:rPr>
                <w:rFonts w:cs="Calibri"/>
                <w:color w:val="000000"/>
              </w:rPr>
              <w:t>12,884</w:t>
            </w:r>
          </w:p>
        </w:tc>
        <w:tc>
          <w:tcPr>
            <w:tcW w:w="1226" w:type="dxa"/>
            <w:tcBorders>
              <w:top w:val="single" w:sz="4" w:space="0" w:color="auto"/>
              <w:left w:val="single" w:sz="4" w:space="0" w:color="auto"/>
              <w:bottom w:val="single" w:sz="4" w:space="0" w:color="auto"/>
              <w:right w:val="single" w:sz="4" w:space="0" w:color="auto"/>
            </w:tcBorders>
            <w:vAlign w:val="bottom"/>
          </w:tcPr>
          <w:p w14:paraId="67268123" w14:textId="77777777" w:rsidR="003957AD" w:rsidRDefault="003957AD" w:rsidP="00DE0473">
            <w:pPr>
              <w:jc w:val="right"/>
              <w:rPr>
                <w:rFonts w:cs="Calibri"/>
                <w:color w:val="000000"/>
              </w:rPr>
            </w:pPr>
            <w:r>
              <w:rPr>
                <w:rFonts w:cs="Calibri"/>
                <w:color w:val="000000"/>
              </w:rPr>
              <w:t>9197</w:t>
            </w:r>
          </w:p>
        </w:tc>
        <w:tc>
          <w:tcPr>
            <w:tcW w:w="1225" w:type="dxa"/>
            <w:tcBorders>
              <w:top w:val="single" w:sz="4" w:space="0" w:color="auto"/>
              <w:left w:val="single" w:sz="4" w:space="0" w:color="auto"/>
              <w:bottom w:val="single" w:sz="4" w:space="0" w:color="auto"/>
              <w:right w:val="single" w:sz="4" w:space="0" w:color="auto"/>
            </w:tcBorders>
            <w:vAlign w:val="bottom"/>
          </w:tcPr>
          <w:p w14:paraId="4B35092F" w14:textId="77777777" w:rsidR="003957AD" w:rsidRDefault="003957AD" w:rsidP="00DE0473">
            <w:pPr>
              <w:jc w:val="right"/>
              <w:rPr>
                <w:rFonts w:cs="Calibri"/>
                <w:color w:val="000000"/>
              </w:rPr>
            </w:pPr>
            <w:r>
              <w:rPr>
                <w:rFonts w:cs="Calibri"/>
                <w:color w:val="000000"/>
              </w:rPr>
              <w:t>5525</w:t>
            </w:r>
          </w:p>
        </w:tc>
        <w:tc>
          <w:tcPr>
            <w:tcW w:w="12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AE3860" w14:textId="77777777" w:rsidR="003957AD" w:rsidRDefault="003957AD" w:rsidP="00DE0473">
            <w:pPr>
              <w:jc w:val="right"/>
              <w:rPr>
                <w:rFonts w:cs="Calibri"/>
                <w:color w:val="000000"/>
              </w:rPr>
            </w:pPr>
            <w:r>
              <w:rPr>
                <w:rFonts w:cs="Calibri"/>
                <w:color w:val="000000"/>
              </w:rPr>
              <w:t>18,409</w:t>
            </w:r>
          </w:p>
        </w:tc>
        <w:tc>
          <w:tcPr>
            <w:tcW w:w="1226" w:type="dxa"/>
            <w:tcBorders>
              <w:top w:val="single" w:sz="4" w:space="0" w:color="auto"/>
              <w:left w:val="single" w:sz="4" w:space="0" w:color="auto"/>
              <w:bottom w:val="single" w:sz="4" w:space="0" w:color="auto"/>
              <w:right w:val="single" w:sz="4" w:space="0" w:color="auto"/>
            </w:tcBorders>
            <w:vAlign w:val="bottom"/>
          </w:tcPr>
          <w:p w14:paraId="52B58EB8" w14:textId="77777777" w:rsidR="003957AD" w:rsidRDefault="003957AD" w:rsidP="00DE0473">
            <w:pPr>
              <w:jc w:val="right"/>
              <w:rPr>
                <w:rFonts w:cs="Calibri"/>
                <w:color w:val="000000"/>
              </w:rPr>
            </w:pPr>
            <w:r>
              <w:rPr>
                <w:rFonts w:cs="Calibri"/>
                <w:color w:val="000000"/>
              </w:rPr>
              <w:t>70%</w:t>
            </w:r>
          </w:p>
        </w:tc>
        <w:tc>
          <w:tcPr>
            <w:tcW w:w="1226" w:type="dxa"/>
            <w:tcBorders>
              <w:top w:val="single" w:sz="4" w:space="0" w:color="auto"/>
              <w:left w:val="single" w:sz="4" w:space="0" w:color="auto"/>
              <w:bottom w:val="single" w:sz="4" w:space="0" w:color="auto"/>
              <w:right w:val="single" w:sz="4" w:space="0" w:color="auto"/>
            </w:tcBorders>
            <w:vAlign w:val="bottom"/>
          </w:tcPr>
          <w:p w14:paraId="1A310C80" w14:textId="77777777" w:rsidR="003957AD" w:rsidRDefault="003957AD" w:rsidP="00DE0473">
            <w:pPr>
              <w:jc w:val="right"/>
              <w:rPr>
                <w:rFonts w:cs="Calibri"/>
                <w:color w:val="000000"/>
              </w:rPr>
            </w:pPr>
            <w:r>
              <w:rPr>
                <w:rFonts w:cs="Calibri"/>
                <w:color w:val="000000"/>
              </w:rPr>
              <w:t>50%</w:t>
            </w:r>
          </w:p>
        </w:tc>
      </w:tr>
      <w:tr w:rsidR="003957AD" w:rsidRPr="00C763A7" w14:paraId="4B49714F" w14:textId="77777777" w:rsidTr="00DE0473">
        <w:trPr>
          <w:trHeight w:val="300"/>
        </w:trPr>
        <w:tc>
          <w:tcPr>
            <w:tcW w:w="2807" w:type="dxa"/>
            <w:tcBorders>
              <w:top w:val="single" w:sz="4" w:space="0" w:color="auto"/>
              <w:left w:val="single" w:sz="4" w:space="0" w:color="auto"/>
              <w:bottom w:val="single" w:sz="4" w:space="0" w:color="auto"/>
              <w:right w:val="single" w:sz="4" w:space="0" w:color="auto"/>
            </w:tcBorders>
            <w:vAlign w:val="bottom"/>
          </w:tcPr>
          <w:p w14:paraId="6EE40AF3" w14:textId="77777777" w:rsidR="003957AD" w:rsidRDefault="003957AD" w:rsidP="00DE0473">
            <w:pPr>
              <w:rPr>
                <w:rFonts w:cs="Calibri"/>
                <w:color w:val="000000"/>
              </w:rPr>
            </w:pPr>
            <w:r>
              <w:rPr>
                <w:rFonts w:cs="Calibri"/>
                <w:color w:val="000000"/>
              </w:rPr>
              <w:t>Refugee background</w:t>
            </w:r>
          </w:p>
        </w:tc>
        <w:tc>
          <w:tcPr>
            <w:tcW w:w="1269" w:type="dxa"/>
            <w:tcBorders>
              <w:top w:val="single" w:sz="4" w:space="0" w:color="auto"/>
              <w:left w:val="single" w:sz="4" w:space="0" w:color="auto"/>
              <w:bottom w:val="single" w:sz="4" w:space="0" w:color="auto"/>
              <w:right w:val="single" w:sz="4" w:space="0" w:color="auto"/>
            </w:tcBorders>
            <w:vAlign w:val="bottom"/>
          </w:tcPr>
          <w:p w14:paraId="3D850B95" w14:textId="77777777" w:rsidR="003957AD" w:rsidRDefault="003957AD" w:rsidP="00DE0473">
            <w:pPr>
              <w:jc w:val="right"/>
              <w:rPr>
                <w:rFonts w:cs="Calibri"/>
                <w:color w:val="000000"/>
              </w:rPr>
            </w:pPr>
            <w:r>
              <w:rPr>
                <w:rFonts w:cs="Calibri"/>
                <w:color w:val="000000"/>
              </w:rPr>
              <w:t>296</w:t>
            </w:r>
          </w:p>
        </w:tc>
        <w:tc>
          <w:tcPr>
            <w:tcW w:w="1226" w:type="dxa"/>
            <w:tcBorders>
              <w:top w:val="single" w:sz="4" w:space="0" w:color="auto"/>
              <w:left w:val="single" w:sz="4" w:space="0" w:color="auto"/>
              <w:bottom w:val="single" w:sz="4" w:space="0" w:color="auto"/>
              <w:right w:val="single" w:sz="4" w:space="0" w:color="auto"/>
            </w:tcBorders>
            <w:vAlign w:val="bottom"/>
          </w:tcPr>
          <w:p w14:paraId="341A1DFC" w14:textId="77777777" w:rsidR="003957AD" w:rsidRDefault="003957AD" w:rsidP="00DE0473">
            <w:pPr>
              <w:jc w:val="right"/>
              <w:rPr>
                <w:rFonts w:cs="Calibri"/>
                <w:color w:val="000000"/>
              </w:rPr>
            </w:pPr>
            <w:r>
              <w:rPr>
                <w:rFonts w:cs="Calibri"/>
                <w:color w:val="000000"/>
              </w:rPr>
              <w:t>212</w:t>
            </w:r>
          </w:p>
        </w:tc>
        <w:tc>
          <w:tcPr>
            <w:tcW w:w="1225" w:type="dxa"/>
            <w:tcBorders>
              <w:top w:val="single" w:sz="4" w:space="0" w:color="auto"/>
              <w:left w:val="single" w:sz="4" w:space="0" w:color="auto"/>
              <w:bottom w:val="single" w:sz="4" w:space="0" w:color="auto"/>
              <w:right w:val="single" w:sz="4" w:space="0" w:color="auto"/>
            </w:tcBorders>
            <w:vAlign w:val="bottom"/>
          </w:tcPr>
          <w:p w14:paraId="68FD11A1" w14:textId="77777777" w:rsidR="003957AD" w:rsidRDefault="003957AD" w:rsidP="00DE0473">
            <w:pPr>
              <w:jc w:val="right"/>
              <w:rPr>
                <w:rFonts w:cs="Calibri"/>
                <w:color w:val="000000"/>
              </w:rPr>
            </w:pPr>
            <w:r>
              <w:rPr>
                <w:rFonts w:cs="Calibri"/>
                <w:color w:val="000000"/>
              </w:rPr>
              <w:t>58</w:t>
            </w:r>
          </w:p>
        </w:tc>
        <w:tc>
          <w:tcPr>
            <w:tcW w:w="12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9A3976" w14:textId="77777777" w:rsidR="003957AD" w:rsidRDefault="003957AD" w:rsidP="00DE0473">
            <w:pPr>
              <w:jc w:val="right"/>
              <w:rPr>
                <w:rFonts w:cs="Calibri"/>
                <w:color w:val="000000"/>
              </w:rPr>
            </w:pPr>
            <w:r>
              <w:rPr>
                <w:rFonts w:cs="Calibri"/>
                <w:color w:val="000000"/>
              </w:rPr>
              <w:t>354</w:t>
            </w:r>
          </w:p>
        </w:tc>
        <w:tc>
          <w:tcPr>
            <w:tcW w:w="1226" w:type="dxa"/>
            <w:tcBorders>
              <w:top w:val="single" w:sz="4" w:space="0" w:color="auto"/>
              <w:left w:val="single" w:sz="4" w:space="0" w:color="auto"/>
              <w:bottom w:val="single" w:sz="4" w:space="0" w:color="auto"/>
              <w:right w:val="single" w:sz="4" w:space="0" w:color="auto"/>
            </w:tcBorders>
            <w:vAlign w:val="bottom"/>
          </w:tcPr>
          <w:p w14:paraId="6A9B33E3" w14:textId="77777777" w:rsidR="003957AD" w:rsidRDefault="003957AD" w:rsidP="00DE0473">
            <w:pPr>
              <w:jc w:val="right"/>
              <w:rPr>
                <w:rFonts w:cs="Calibri"/>
                <w:color w:val="000000"/>
              </w:rPr>
            </w:pPr>
            <w:r>
              <w:rPr>
                <w:rFonts w:cs="Calibri"/>
                <w:color w:val="000000"/>
              </w:rPr>
              <w:t>84%</w:t>
            </w:r>
          </w:p>
        </w:tc>
        <w:tc>
          <w:tcPr>
            <w:tcW w:w="1226" w:type="dxa"/>
            <w:tcBorders>
              <w:top w:val="single" w:sz="4" w:space="0" w:color="auto"/>
              <w:left w:val="single" w:sz="4" w:space="0" w:color="auto"/>
              <w:bottom w:val="single" w:sz="4" w:space="0" w:color="auto"/>
              <w:right w:val="single" w:sz="4" w:space="0" w:color="auto"/>
            </w:tcBorders>
            <w:vAlign w:val="bottom"/>
          </w:tcPr>
          <w:p w14:paraId="5F228B5E" w14:textId="77777777" w:rsidR="003957AD" w:rsidRDefault="003957AD" w:rsidP="00DE0473">
            <w:pPr>
              <w:jc w:val="right"/>
              <w:rPr>
                <w:rFonts w:cs="Calibri"/>
                <w:color w:val="000000"/>
              </w:rPr>
            </w:pPr>
            <w:r>
              <w:rPr>
                <w:rFonts w:cs="Calibri"/>
                <w:color w:val="000000"/>
              </w:rPr>
              <w:t>60%</w:t>
            </w:r>
          </w:p>
        </w:tc>
      </w:tr>
      <w:tr w:rsidR="003957AD" w:rsidRPr="00C763A7" w14:paraId="6913DD45" w14:textId="77777777" w:rsidTr="00DE0473">
        <w:trPr>
          <w:trHeight w:val="300"/>
        </w:trPr>
        <w:tc>
          <w:tcPr>
            <w:tcW w:w="2807" w:type="dxa"/>
            <w:tcBorders>
              <w:top w:val="single" w:sz="4" w:space="0" w:color="auto"/>
              <w:left w:val="single" w:sz="4" w:space="0" w:color="auto"/>
              <w:bottom w:val="single" w:sz="4" w:space="0" w:color="auto"/>
              <w:right w:val="single" w:sz="4" w:space="0" w:color="auto"/>
            </w:tcBorders>
            <w:vAlign w:val="bottom"/>
          </w:tcPr>
          <w:p w14:paraId="5B8CCD92" w14:textId="77777777" w:rsidR="003957AD" w:rsidRDefault="003957AD" w:rsidP="00DE0473">
            <w:pPr>
              <w:rPr>
                <w:rFonts w:cs="Calibri"/>
                <w:color w:val="000000"/>
              </w:rPr>
            </w:pPr>
            <w:r>
              <w:rPr>
                <w:rFonts w:cs="Calibri"/>
                <w:color w:val="000000"/>
              </w:rPr>
              <w:t>Suspected or diagnosed mental health issue</w:t>
            </w:r>
          </w:p>
        </w:tc>
        <w:tc>
          <w:tcPr>
            <w:tcW w:w="1269" w:type="dxa"/>
            <w:tcBorders>
              <w:top w:val="single" w:sz="4" w:space="0" w:color="auto"/>
              <w:left w:val="single" w:sz="4" w:space="0" w:color="auto"/>
              <w:bottom w:val="single" w:sz="4" w:space="0" w:color="auto"/>
              <w:right w:val="single" w:sz="4" w:space="0" w:color="auto"/>
            </w:tcBorders>
            <w:vAlign w:val="bottom"/>
          </w:tcPr>
          <w:p w14:paraId="43B74D21" w14:textId="77777777" w:rsidR="003957AD" w:rsidRDefault="003957AD" w:rsidP="00DE0473">
            <w:pPr>
              <w:jc w:val="right"/>
              <w:rPr>
                <w:rFonts w:cs="Calibri"/>
                <w:color w:val="000000"/>
              </w:rPr>
            </w:pPr>
            <w:r>
              <w:rPr>
                <w:rFonts w:cs="Calibri"/>
                <w:color w:val="000000"/>
              </w:rPr>
              <w:t>9949</w:t>
            </w:r>
          </w:p>
        </w:tc>
        <w:tc>
          <w:tcPr>
            <w:tcW w:w="1226" w:type="dxa"/>
            <w:tcBorders>
              <w:top w:val="single" w:sz="4" w:space="0" w:color="auto"/>
              <w:left w:val="single" w:sz="4" w:space="0" w:color="auto"/>
              <w:bottom w:val="single" w:sz="4" w:space="0" w:color="auto"/>
              <w:right w:val="single" w:sz="4" w:space="0" w:color="auto"/>
            </w:tcBorders>
            <w:vAlign w:val="bottom"/>
          </w:tcPr>
          <w:p w14:paraId="6A16C4D3" w14:textId="77777777" w:rsidR="003957AD" w:rsidRDefault="003957AD" w:rsidP="00DE0473">
            <w:pPr>
              <w:jc w:val="right"/>
              <w:rPr>
                <w:rFonts w:cs="Calibri"/>
                <w:color w:val="000000"/>
              </w:rPr>
            </w:pPr>
            <w:r>
              <w:rPr>
                <w:rFonts w:cs="Calibri"/>
                <w:color w:val="000000"/>
              </w:rPr>
              <w:t>7521</w:t>
            </w:r>
          </w:p>
        </w:tc>
        <w:tc>
          <w:tcPr>
            <w:tcW w:w="1225" w:type="dxa"/>
            <w:tcBorders>
              <w:top w:val="single" w:sz="4" w:space="0" w:color="auto"/>
              <w:left w:val="single" w:sz="4" w:space="0" w:color="auto"/>
              <w:bottom w:val="single" w:sz="4" w:space="0" w:color="auto"/>
              <w:right w:val="single" w:sz="4" w:space="0" w:color="auto"/>
            </w:tcBorders>
            <w:vAlign w:val="bottom"/>
          </w:tcPr>
          <w:p w14:paraId="0689CAB1" w14:textId="77777777" w:rsidR="003957AD" w:rsidRDefault="003957AD" w:rsidP="00DE0473">
            <w:pPr>
              <w:jc w:val="right"/>
              <w:rPr>
                <w:rFonts w:cs="Calibri"/>
                <w:color w:val="000000"/>
              </w:rPr>
            </w:pPr>
            <w:r>
              <w:rPr>
                <w:rFonts w:cs="Calibri"/>
                <w:color w:val="000000"/>
              </w:rPr>
              <w:t>2763</w:t>
            </w:r>
          </w:p>
        </w:tc>
        <w:tc>
          <w:tcPr>
            <w:tcW w:w="12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319B53" w14:textId="77777777" w:rsidR="003957AD" w:rsidRDefault="003957AD" w:rsidP="00DE0473">
            <w:pPr>
              <w:jc w:val="right"/>
              <w:rPr>
                <w:rFonts w:cs="Calibri"/>
                <w:color w:val="000000"/>
              </w:rPr>
            </w:pPr>
            <w:r>
              <w:rPr>
                <w:rFonts w:cs="Calibri"/>
                <w:color w:val="000000"/>
              </w:rPr>
              <w:t>12,712</w:t>
            </w:r>
          </w:p>
        </w:tc>
        <w:tc>
          <w:tcPr>
            <w:tcW w:w="1226" w:type="dxa"/>
            <w:tcBorders>
              <w:top w:val="single" w:sz="4" w:space="0" w:color="auto"/>
              <w:left w:val="single" w:sz="4" w:space="0" w:color="auto"/>
              <w:bottom w:val="single" w:sz="4" w:space="0" w:color="auto"/>
              <w:right w:val="single" w:sz="4" w:space="0" w:color="auto"/>
            </w:tcBorders>
            <w:vAlign w:val="bottom"/>
          </w:tcPr>
          <w:p w14:paraId="5D20B3BD" w14:textId="77777777" w:rsidR="003957AD" w:rsidRDefault="003957AD" w:rsidP="00DE0473">
            <w:pPr>
              <w:jc w:val="right"/>
              <w:rPr>
                <w:rFonts w:cs="Calibri"/>
                <w:color w:val="000000"/>
              </w:rPr>
            </w:pPr>
            <w:r>
              <w:rPr>
                <w:rFonts w:cs="Calibri"/>
                <w:color w:val="000000"/>
              </w:rPr>
              <w:t>78%</w:t>
            </w:r>
          </w:p>
        </w:tc>
        <w:tc>
          <w:tcPr>
            <w:tcW w:w="1226" w:type="dxa"/>
            <w:tcBorders>
              <w:top w:val="single" w:sz="4" w:space="0" w:color="auto"/>
              <w:left w:val="single" w:sz="4" w:space="0" w:color="auto"/>
              <w:bottom w:val="single" w:sz="4" w:space="0" w:color="auto"/>
              <w:right w:val="single" w:sz="4" w:space="0" w:color="auto"/>
            </w:tcBorders>
            <w:vAlign w:val="bottom"/>
          </w:tcPr>
          <w:p w14:paraId="4A9C4BC7" w14:textId="77777777" w:rsidR="003957AD" w:rsidRDefault="003957AD" w:rsidP="00DE0473">
            <w:pPr>
              <w:jc w:val="right"/>
              <w:rPr>
                <w:rFonts w:cs="Calibri"/>
                <w:color w:val="000000"/>
              </w:rPr>
            </w:pPr>
            <w:r>
              <w:rPr>
                <w:rFonts w:cs="Calibri"/>
                <w:color w:val="000000"/>
              </w:rPr>
              <w:t>59%</w:t>
            </w:r>
          </w:p>
        </w:tc>
      </w:tr>
      <w:tr w:rsidR="003957AD" w:rsidRPr="00C763A7" w14:paraId="1D936BC8" w14:textId="77777777" w:rsidTr="00DE0473">
        <w:trPr>
          <w:trHeight w:val="300"/>
        </w:trPr>
        <w:tc>
          <w:tcPr>
            <w:tcW w:w="2807" w:type="dxa"/>
            <w:tcBorders>
              <w:top w:val="single" w:sz="4" w:space="0" w:color="auto"/>
              <w:left w:val="single" w:sz="4" w:space="0" w:color="auto"/>
              <w:bottom w:val="single" w:sz="4" w:space="0" w:color="auto"/>
              <w:right w:val="single" w:sz="4" w:space="0" w:color="auto"/>
            </w:tcBorders>
            <w:vAlign w:val="bottom"/>
          </w:tcPr>
          <w:p w14:paraId="3A1C80F3" w14:textId="77777777" w:rsidR="003957AD" w:rsidRDefault="003957AD" w:rsidP="00DE0473">
            <w:pPr>
              <w:rPr>
                <w:rFonts w:cs="Calibri"/>
                <w:color w:val="000000"/>
              </w:rPr>
            </w:pPr>
            <w:r>
              <w:rPr>
                <w:rFonts w:cs="Calibri"/>
                <w:color w:val="000000"/>
              </w:rPr>
              <w:t>Young Carer</w:t>
            </w:r>
          </w:p>
        </w:tc>
        <w:tc>
          <w:tcPr>
            <w:tcW w:w="1269" w:type="dxa"/>
            <w:tcBorders>
              <w:top w:val="single" w:sz="4" w:space="0" w:color="auto"/>
              <w:left w:val="single" w:sz="4" w:space="0" w:color="auto"/>
              <w:bottom w:val="single" w:sz="4" w:space="0" w:color="auto"/>
              <w:right w:val="single" w:sz="4" w:space="0" w:color="auto"/>
            </w:tcBorders>
            <w:vAlign w:val="bottom"/>
          </w:tcPr>
          <w:p w14:paraId="728BBECB" w14:textId="77777777" w:rsidR="003957AD" w:rsidRDefault="003957AD" w:rsidP="00DE0473">
            <w:pPr>
              <w:jc w:val="right"/>
              <w:rPr>
                <w:rFonts w:cs="Calibri"/>
                <w:color w:val="000000"/>
              </w:rPr>
            </w:pPr>
            <w:r>
              <w:rPr>
                <w:rFonts w:cs="Calibri"/>
                <w:color w:val="000000"/>
              </w:rPr>
              <w:t>957</w:t>
            </w:r>
          </w:p>
        </w:tc>
        <w:tc>
          <w:tcPr>
            <w:tcW w:w="1226" w:type="dxa"/>
            <w:tcBorders>
              <w:top w:val="single" w:sz="4" w:space="0" w:color="auto"/>
              <w:left w:val="single" w:sz="4" w:space="0" w:color="auto"/>
              <w:bottom w:val="single" w:sz="4" w:space="0" w:color="auto"/>
              <w:right w:val="single" w:sz="4" w:space="0" w:color="auto"/>
            </w:tcBorders>
            <w:vAlign w:val="bottom"/>
          </w:tcPr>
          <w:p w14:paraId="76236DC0" w14:textId="77777777" w:rsidR="003957AD" w:rsidRDefault="003957AD" w:rsidP="00DE0473">
            <w:pPr>
              <w:jc w:val="right"/>
              <w:rPr>
                <w:rFonts w:cs="Calibri"/>
                <w:color w:val="000000"/>
              </w:rPr>
            </w:pPr>
            <w:r>
              <w:rPr>
                <w:rFonts w:cs="Calibri"/>
                <w:color w:val="000000"/>
              </w:rPr>
              <w:t>733</w:t>
            </w:r>
          </w:p>
        </w:tc>
        <w:tc>
          <w:tcPr>
            <w:tcW w:w="1225" w:type="dxa"/>
            <w:tcBorders>
              <w:top w:val="single" w:sz="4" w:space="0" w:color="auto"/>
              <w:left w:val="single" w:sz="4" w:space="0" w:color="auto"/>
              <w:bottom w:val="single" w:sz="4" w:space="0" w:color="auto"/>
              <w:right w:val="single" w:sz="4" w:space="0" w:color="auto"/>
            </w:tcBorders>
            <w:vAlign w:val="bottom"/>
          </w:tcPr>
          <w:p w14:paraId="48365044" w14:textId="77777777" w:rsidR="003957AD" w:rsidRDefault="003957AD" w:rsidP="00DE0473">
            <w:pPr>
              <w:jc w:val="right"/>
              <w:rPr>
                <w:rFonts w:cs="Calibri"/>
                <w:color w:val="000000"/>
              </w:rPr>
            </w:pPr>
            <w:r>
              <w:rPr>
                <w:rFonts w:cs="Calibri"/>
                <w:color w:val="000000"/>
              </w:rPr>
              <w:t>275</w:t>
            </w:r>
          </w:p>
        </w:tc>
        <w:tc>
          <w:tcPr>
            <w:tcW w:w="12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B221BC" w14:textId="77777777" w:rsidR="003957AD" w:rsidRDefault="003957AD" w:rsidP="00DE0473">
            <w:pPr>
              <w:jc w:val="right"/>
              <w:rPr>
                <w:rFonts w:cs="Calibri"/>
                <w:color w:val="000000"/>
              </w:rPr>
            </w:pPr>
            <w:r>
              <w:rPr>
                <w:rFonts w:cs="Calibri"/>
                <w:color w:val="000000"/>
              </w:rPr>
              <w:t>1232</w:t>
            </w:r>
          </w:p>
        </w:tc>
        <w:tc>
          <w:tcPr>
            <w:tcW w:w="1226" w:type="dxa"/>
            <w:tcBorders>
              <w:top w:val="single" w:sz="4" w:space="0" w:color="auto"/>
              <w:left w:val="single" w:sz="4" w:space="0" w:color="auto"/>
              <w:bottom w:val="single" w:sz="4" w:space="0" w:color="auto"/>
              <w:right w:val="single" w:sz="4" w:space="0" w:color="auto"/>
            </w:tcBorders>
            <w:vAlign w:val="bottom"/>
          </w:tcPr>
          <w:p w14:paraId="5AC50BC0" w14:textId="77777777" w:rsidR="003957AD" w:rsidRDefault="003957AD" w:rsidP="00DE0473">
            <w:pPr>
              <w:jc w:val="right"/>
              <w:rPr>
                <w:rFonts w:cs="Calibri"/>
                <w:color w:val="000000"/>
              </w:rPr>
            </w:pPr>
            <w:r>
              <w:rPr>
                <w:rFonts w:cs="Calibri"/>
                <w:color w:val="000000"/>
              </w:rPr>
              <w:t>78%</w:t>
            </w:r>
          </w:p>
        </w:tc>
        <w:tc>
          <w:tcPr>
            <w:tcW w:w="1226" w:type="dxa"/>
            <w:tcBorders>
              <w:top w:val="single" w:sz="4" w:space="0" w:color="auto"/>
              <w:left w:val="single" w:sz="4" w:space="0" w:color="auto"/>
              <w:bottom w:val="single" w:sz="4" w:space="0" w:color="auto"/>
              <w:right w:val="single" w:sz="4" w:space="0" w:color="auto"/>
            </w:tcBorders>
            <w:vAlign w:val="bottom"/>
          </w:tcPr>
          <w:p w14:paraId="5460B883" w14:textId="77777777" w:rsidR="003957AD" w:rsidRDefault="003957AD" w:rsidP="00DE0473">
            <w:pPr>
              <w:jc w:val="right"/>
              <w:rPr>
                <w:rFonts w:cs="Calibri"/>
                <w:color w:val="000000"/>
              </w:rPr>
            </w:pPr>
            <w:r>
              <w:rPr>
                <w:rFonts w:cs="Calibri"/>
                <w:color w:val="000000"/>
              </w:rPr>
              <w:t>59%</w:t>
            </w:r>
          </w:p>
        </w:tc>
      </w:tr>
    </w:tbl>
    <w:p w14:paraId="3B9AAA9A" w14:textId="77777777" w:rsidR="003957AD" w:rsidRDefault="003957AD" w:rsidP="003957AD">
      <w:pPr>
        <w:ind w:right="-567" w:hanging="426"/>
      </w:pPr>
    </w:p>
    <w:p w14:paraId="71F626DA" w14:textId="77777777" w:rsidR="003957AD" w:rsidRDefault="003957AD" w:rsidP="003957AD">
      <w:pPr>
        <w:ind w:right="-567" w:hanging="426"/>
      </w:pPr>
    </w:p>
    <w:p w14:paraId="0B3D5C1B" w14:textId="77777777" w:rsidR="003957AD" w:rsidRDefault="003957AD" w:rsidP="003957AD">
      <w:pPr>
        <w:ind w:right="-567"/>
        <w:sectPr w:rsidR="003957AD" w:rsidSect="00DE0473">
          <w:pgSz w:w="11906" w:h="16838"/>
          <w:pgMar w:top="1276" w:right="1077" w:bottom="1276" w:left="1077" w:header="709" w:footer="709" w:gutter="0"/>
          <w:cols w:space="708"/>
          <w:docGrid w:linePitch="360"/>
        </w:sectPr>
      </w:pPr>
    </w:p>
    <w:p w14:paraId="4C03224B" w14:textId="77777777" w:rsidR="003957AD" w:rsidRPr="002E35EC" w:rsidRDefault="003957AD" w:rsidP="00075C2D">
      <w:pPr>
        <w:pStyle w:val="Heading4"/>
      </w:pPr>
      <w:r w:rsidRPr="002E35EC">
        <w:lastRenderedPageBreak/>
        <w:t>Figure 13: VIC – Final outcomes achieved</w:t>
      </w:r>
    </w:p>
    <w:p w14:paraId="2F4770B6" w14:textId="77777777" w:rsidR="003957AD" w:rsidRDefault="003957AD" w:rsidP="003957AD">
      <w:pPr>
        <w:ind w:right="-567"/>
      </w:pPr>
      <w:r>
        <w:rPr>
          <w:noProof/>
          <w:lang w:eastAsia="en-AU"/>
        </w:rPr>
        <w:drawing>
          <wp:inline distT="0" distB="0" distL="0" distR="0" wp14:anchorId="714A7E4F" wp14:editId="51DC98DB">
            <wp:extent cx="9096375" cy="2276475"/>
            <wp:effectExtent l="0" t="0" r="9525" b="9525"/>
            <wp:docPr id="17" name="Chart 17" descr="VIC final outcomes achieved, graphic representation of table 17 below."/>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14:paraId="62BBCB4F" w14:textId="77777777" w:rsidR="003957AD" w:rsidRDefault="003957AD" w:rsidP="003957AD">
      <w:pPr>
        <w:ind w:right="-567"/>
        <w:rPr>
          <w:b/>
          <w:bCs/>
          <w:color w:val="4F81BD" w:themeColor="accent1"/>
          <w:sz w:val="18"/>
          <w:szCs w:val="18"/>
        </w:rPr>
      </w:pPr>
    </w:p>
    <w:p w14:paraId="597383B1" w14:textId="77777777" w:rsidR="003957AD" w:rsidRDefault="003957AD" w:rsidP="00075C2D">
      <w:pPr>
        <w:pStyle w:val="Heading4"/>
      </w:pPr>
      <w:r w:rsidRPr="002E35EC">
        <w:t>Figure 14: National – Final outcomes achieved</w:t>
      </w:r>
      <w:r>
        <w:rPr>
          <w:noProof/>
        </w:rPr>
        <w:t xml:space="preserve"> </w:t>
      </w:r>
      <w:r>
        <w:rPr>
          <w:noProof/>
          <w:lang w:eastAsia="en-AU"/>
        </w:rPr>
        <w:drawing>
          <wp:inline distT="0" distB="0" distL="0" distR="0" wp14:anchorId="16E0E2A7" wp14:editId="4C63D305">
            <wp:extent cx="9096375" cy="2686050"/>
            <wp:effectExtent l="0" t="0" r="9525" b="19050"/>
            <wp:docPr id="18" name="Chart 18" descr="National Final outcomes achieved, graphic representation of table 18 below"/>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14:paraId="3F901004" w14:textId="77777777" w:rsidR="003957AD" w:rsidRDefault="003957AD" w:rsidP="003957AD">
      <w:pPr>
        <w:ind w:right="-567" w:hanging="426"/>
      </w:pPr>
    </w:p>
    <w:p w14:paraId="6063DD98" w14:textId="77777777" w:rsidR="003957AD" w:rsidRDefault="003957AD" w:rsidP="00075C2D">
      <w:pPr>
        <w:pStyle w:val="Heading4"/>
      </w:pPr>
      <w:r w:rsidRPr="003C349B">
        <w:lastRenderedPageBreak/>
        <w:t xml:space="preserve">Figure 15: </w:t>
      </w:r>
      <w:r>
        <w:t>VIC</w:t>
      </w:r>
      <w:r w:rsidRPr="003C349B">
        <w:t xml:space="preserve"> – Final Outcomes Achieved by Connection Level</w:t>
      </w:r>
    </w:p>
    <w:p w14:paraId="7238F645" w14:textId="77777777" w:rsidR="003957AD" w:rsidRDefault="003957AD" w:rsidP="003957AD">
      <w:pPr>
        <w:tabs>
          <w:tab w:val="left" w:pos="-567"/>
        </w:tabs>
        <w:ind w:left="-567" w:right="-567"/>
      </w:pPr>
      <w:r>
        <w:rPr>
          <w:noProof/>
          <w:lang w:eastAsia="en-AU"/>
        </w:rPr>
        <w:drawing>
          <wp:inline distT="0" distB="0" distL="0" distR="0" wp14:anchorId="2CA3430E" wp14:editId="237BD1A4">
            <wp:extent cx="9923227" cy="2711395"/>
            <wp:effectExtent l="0" t="0" r="20955" b="13335"/>
            <wp:docPr id="19" name="Chart 19" descr="VIC final outcomes achieved by connection level, graphic representation of table 17 below."/>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14:paraId="0E4C9E0B" w14:textId="77777777" w:rsidR="003957AD" w:rsidRPr="002E35EC" w:rsidRDefault="003957AD" w:rsidP="00075C2D">
      <w:pPr>
        <w:pStyle w:val="Heading4"/>
      </w:pPr>
      <w:r w:rsidRPr="002E35EC">
        <w:t>Figure 16: National – Final Outcomes Achieved by Connection Level</w:t>
      </w:r>
    </w:p>
    <w:p w14:paraId="2C57D1E8" w14:textId="77777777" w:rsidR="003957AD" w:rsidRDefault="003957AD" w:rsidP="003957AD">
      <w:pPr>
        <w:tabs>
          <w:tab w:val="left" w:pos="-567"/>
        </w:tabs>
        <w:ind w:left="-567" w:right="-567"/>
        <w:sectPr w:rsidR="003957AD" w:rsidSect="00DE0473">
          <w:pgSz w:w="16838" w:h="11906" w:orient="landscape"/>
          <w:pgMar w:top="851" w:right="1134" w:bottom="851" w:left="1440" w:header="708" w:footer="708" w:gutter="0"/>
          <w:cols w:space="708"/>
          <w:docGrid w:linePitch="360"/>
        </w:sectPr>
      </w:pPr>
      <w:r>
        <w:rPr>
          <w:noProof/>
          <w:lang w:eastAsia="en-AU"/>
        </w:rPr>
        <w:drawing>
          <wp:inline distT="0" distB="0" distL="0" distR="0" wp14:anchorId="36E39548" wp14:editId="01A0E2A9">
            <wp:extent cx="9894498" cy="2829464"/>
            <wp:effectExtent l="0" t="0" r="12065" b="9525"/>
            <wp:docPr id="20" name="Chart 20" descr="National Final outcomes achieved by connection level, graphic representation of table18 below"/>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tbl>
      <w:tblPr>
        <w:tblpPr w:leftFromText="180" w:rightFromText="180" w:horzAnchor="margin" w:tblpY="540"/>
        <w:tblW w:w="10206" w:type="dxa"/>
        <w:tblBorders>
          <w:top w:val="single" w:sz="18" w:space="0" w:color="auto"/>
          <w:left w:val="single" w:sz="18" w:space="0" w:color="auto"/>
          <w:right w:val="single" w:sz="18" w:space="0" w:color="auto"/>
          <w:insideH w:val="single" w:sz="4" w:space="0" w:color="auto"/>
          <w:insideV w:val="single" w:sz="4" w:space="0" w:color="auto"/>
        </w:tblBorders>
        <w:tblLayout w:type="fixed"/>
        <w:tblLook w:val="04A0" w:firstRow="1" w:lastRow="0" w:firstColumn="1" w:lastColumn="0" w:noHBand="0" w:noVBand="1"/>
      </w:tblPr>
      <w:tblGrid>
        <w:gridCol w:w="5954"/>
        <w:gridCol w:w="1063"/>
        <w:gridCol w:w="1063"/>
        <w:gridCol w:w="1063"/>
        <w:gridCol w:w="1063"/>
      </w:tblGrid>
      <w:tr w:rsidR="003957AD" w:rsidRPr="00C763A7" w14:paraId="77C4B10E" w14:textId="77777777" w:rsidTr="00DE0473">
        <w:trPr>
          <w:trHeight w:val="674"/>
        </w:trPr>
        <w:tc>
          <w:tcPr>
            <w:tcW w:w="5954" w:type="dxa"/>
            <w:shd w:val="clear" w:color="auto" w:fill="C6D9F1" w:themeFill="text2" w:themeFillTint="33"/>
            <w:vAlign w:val="center"/>
          </w:tcPr>
          <w:p w14:paraId="401C76D1" w14:textId="77777777" w:rsidR="003957AD" w:rsidRPr="00C763A7" w:rsidRDefault="003957AD" w:rsidP="00DE0473">
            <w:pPr>
              <w:jc w:val="center"/>
              <w:rPr>
                <w:rFonts w:cs="Calibri"/>
                <w:b/>
                <w:bCs/>
                <w:color w:val="000000"/>
              </w:rPr>
            </w:pPr>
            <w:r>
              <w:rPr>
                <w:rFonts w:cs="Calibri"/>
                <w:b/>
                <w:bCs/>
                <w:color w:val="000000"/>
              </w:rPr>
              <w:lastRenderedPageBreak/>
              <w:t>Final Outcomes Achieved</w:t>
            </w:r>
          </w:p>
        </w:tc>
        <w:tc>
          <w:tcPr>
            <w:tcW w:w="1063" w:type="dxa"/>
            <w:shd w:val="clear" w:color="auto" w:fill="C6D9F1" w:themeFill="text2" w:themeFillTint="33"/>
            <w:vAlign w:val="center"/>
          </w:tcPr>
          <w:p w14:paraId="1F06F8FC" w14:textId="77777777" w:rsidR="003957AD" w:rsidRPr="00C763A7" w:rsidRDefault="003957AD" w:rsidP="00DE0473">
            <w:pPr>
              <w:jc w:val="center"/>
              <w:rPr>
                <w:rFonts w:cs="Calibri"/>
                <w:b/>
                <w:bCs/>
                <w:color w:val="000000"/>
              </w:rPr>
            </w:pPr>
            <w:r>
              <w:rPr>
                <w:rFonts w:cs="Calibri"/>
                <w:b/>
                <w:bCs/>
                <w:color w:val="000000"/>
              </w:rPr>
              <w:t>Level 1</w:t>
            </w:r>
          </w:p>
        </w:tc>
        <w:tc>
          <w:tcPr>
            <w:tcW w:w="1063" w:type="dxa"/>
            <w:shd w:val="clear" w:color="auto" w:fill="C6D9F1" w:themeFill="text2" w:themeFillTint="33"/>
            <w:vAlign w:val="center"/>
          </w:tcPr>
          <w:p w14:paraId="698A92D7" w14:textId="77777777" w:rsidR="003957AD" w:rsidRPr="00C763A7" w:rsidRDefault="003957AD" w:rsidP="00DE0473">
            <w:pPr>
              <w:jc w:val="center"/>
              <w:rPr>
                <w:rFonts w:cs="Calibri"/>
                <w:b/>
                <w:bCs/>
                <w:color w:val="000000"/>
              </w:rPr>
            </w:pPr>
            <w:r>
              <w:rPr>
                <w:rFonts w:cs="Calibri"/>
                <w:b/>
                <w:bCs/>
                <w:color w:val="000000"/>
              </w:rPr>
              <w:t xml:space="preserve">Level </w:t>
            </w:r>
            <w:proofErr w:type="spellStart"/>
            <w:r>
              <w:rPr>
                <w:rFonts w:cs="Calibri"/>
                <w:b/>
                <w:bCs/>
                <w:color w:val="000000"/>
              </w:rPr>
              <w:t>2a</w:t>
            </w:r>
            <w:proofErr w:type="spellEnd"/>
          </w:p>
        </w:tc>
        <w:tc>
          <w:tcPr>
            <w:tcW w:w="1063" w:type="dxa"/>
            <w:shd w:val="clear" w:color="auto" w:fill="C6D9F1" w:themeFill="text2" w:themeFillTint="33"/>
            <w:vAlign w:val="center"/>
          </w:tcPr>
          <w:p w14:paraId="04304443" w14:textId="77777777" w:rsidR="003957AD" w:rsidRPr="00C763A7" w:rsidRDefault="003957AD" w:rsidP="00DE0473">
            <w:pPr>
              <w:jc w:val="center"/>
              <w:rPr>
                <w:rFonts w:cs="Calibri"/>
                <w:b/>
                <w:bCs/>
                <w:color w:val="000000"/>
              </w:rPr>
            </w:pPr>
            <w:r>
              <w:rPr>
                <w:rFonts w:cs="Calibri"/>
                <w:b/>
                <w:bCs/>
                <w:color w:val="000000"/>
              </w:rPr>
              <w:t xml:space="preserve">Level </w:t>
            </w:r>
            <w:proofErr w:type="spellStart"/>
            <w:r>
              <w:rPr>
                <w:rFonts w:cs="Calibri"/>
                <w:b/>
                <w:bCs/>
                <w:color w:val="000000"/>
              </w:rPr>
              <w:t>2b</w:t>
            </w:r>
            <w:proofErr w:type="spellEnd"/>
          </w:p>
        </w:tc>
        <w:tc>
          <w:tcPr>
            <w:tcW w:w="1063" w:type="dxa"/>
            <w:shd w:val="clear" w:color="auto" w:fill="C6D9F1" w:themeFill="text2" w:themeFillTint="33"/>
            <w:noWrap/>
            <w:vAlign w:val="center"/>
            <w:hideMark/>
          </w:tcPr>
          <w:p w14:paraId="4AB75F02" w14:textId="77777777" w:rsidR="003957AD" w:rsidRPr="00C763A7" w:rsidRDefault="003957AD" w:rsidP="00DE0473">
            <w:pPr>
              <w:jc w:val="center"/>
              <w:rPr>
                <w:rFonts w:cs="Calibri"/>
                <w:b/>
                <w:bCs/>
                <w:color w:val="000000"/>
              </w:rPr>
            </w:pPr>
            <w:r>
              <w:rPr>
                <w:rFonts w:cs="Calibri"/>
                <w:b/>
                <w:bCs/>
                <w:color w:val="000000"/>
              </w:rPr>
              <w:t>Total</w:t>
            </w:r>
          </w:p>
        </w:tc>
      </w:tr>
      <w:tr w:rsidR="003957AD" w:rsidRPr="00C763A7" w14:paraId="603D76DA" w14:textId="77777777" w:rsidTr="00DE0473">
        <w:trPr>
          <w:trHeight w:val="300"/>
        </w:trPr>
        <w:tc>
          <w:tcPr>
            <w:tcW w:w="5954" w:type="dxa"/>
            <w:vAlign w:val="bottom"/>
          </w:tcPr>
          <w:p w14:paraId="4FC9646A" w14:textId="77777777" w:rsidR="003957AD" w:rsidRDefault="003957AD" w:rsidP="00DE0473">
            <w:pPr>
              <w:rPr>
                <w:rFonts w:cs="Calibri"/>
                <w:color w:val="000000"/>
              </w:rPr>
            </w:pPr>
            <w:r>
              <w:rPr>
                <w:rFonts w:cs="Calibri"/>
                <w:color w:val="000000"/>
              </w:rPr>
              <w:t>Attendance: The participant’s attendance at school or education setting improved consistently over the whole school term, or for 13 weeks.</w:t>
            </w:r>
          </w:p>
        </w:tc>
        <w:tc>
          <w:tcPr>
            <w:tcW w:w="1063" w:type="dxa"/>
            <w:vAlign w:val="center"/>
          </w:tcPr>
          <w:p w14:paraId="7C1E19C9" w14:textId="77777777" w:rsidR="003957AD" w:rsidRDefault="003957AD" w:rsidP="00DE0473">
            <w:pPr>
              <w:jc w:val="center"/>
              <w:rPr>
                <w:rFonts w:cs="Calibri"/>
                <w:color w:val="000000"/>
              </w:rPr>
            </w:pPr>
            <w:r>
              <w:rPr>
                <w:rFonts w:cs="Calibri"/>
                <w:color w:val="000000"/>
              </w:rPr>
              <w:t>828</w:t>
            </w:r>
          </w:p>
        </w:tc>
        <w:tc>
          <w:tcPr>
            <w:tcW w:w="1063" w:type="dxa"/>
            <w:vAlign w:val="center"/>
          </w:tcPr>
          <w:p w14:paraId="29D027B6" w14:textId="77777777" w:rsidR="003957AD" w:rsidRDefault="003957AD" w:rsidP="00DE0473">
            <w:pPr>
              <w:jc w:val="center"/>
              <w:rPr>
                <w:rFonts w:cs="Calibri"/>
                <w:color w:val="000000"/>
              </w:rPr>
            </w:pPr>
            <w:r>
              <w:rPr>
                <w:rFonts w:cs="Calibri"/>
                <w:color w:val="000000"/>
              </w:rPr>
              <w:t>839</w:t>
            </w:r>
          </w:p>
        </w:tc>
        <w:tc>
          <w:tcPr>
            <w:tcW w:w="1063" w:type="dxa"/>
            <w:vAlign w:val="center"/>
          </w:tcPr>
          <w:p w14:paraId="319035FA" w14:textId="77777777" w:rsidR="003957AD" w:rsidRDefault="003957AD" w:rsidP="00DE0473">
            <w:pPr>
              <w:jc w:val="center"/>
              <w:rPr>
                <w:rFonts w:cs="Calibri"/>
                <w:color w:val="000000"/>
              </w:rPr>
            </w:pPr>
            <w:r>
              <w:rPr>
                <w:rFonts w:cs="Calibri"/>
                <w:color w:val="000000"/>
              </w:rPr>
              <w:t>136</w:t>
            </w:r>
          </w:p>
        </w:tc>
        <w:tc>
          <w:tcPr>
            <w:tcW w:w="1063" w:type="dxa"/>
            <w:shd w:val="clear" w:color="auto" w:fill="auto"/>
            <w:noWrap/>
            <w:vAlign w:val="center"/>
            <w:hideMark/>
          </w:tcPr>
          <w:p w14:paraId="04738EE4" w14:textId="77777777" w:rsidR="003957AD" w:rsidRDefault="003957AD" w:rsidP="00DE0473">
            <w:pPr>
              <w:jc w:val="center"/>
              <w:rPr>
                <w:rFonts w:cs="Calibri"/>
                <w:color w:val="000000"/>
              </w:rPr>
            </w:pPr>
            <w:r>
              <w:rPr>
                <w:rFonts w:cs="Calibri"/>
                <w:color w:val="000000"/>
              </w:rPr>
              <w:t>1736</w:t>
            </w:r>
          </w:p>
        </w:tc>
      </w:tr>
      <w:tr w:rsidR="003957AD" w:rsidRPr="00C763A7" w14:paraId="6D9A491D" w14:textId="77777777" w:rsidTr="00DE0473">
        <w:trPr>
          <w:trHeight w:val="300"/>
        </w:trPr>
        <w:tc>
          <w:tcPr>
            <w:tcW w:w="5954" w:type="dxa"/>
            <w:vAlign w:val="bottom"/>
          </w:tcPr>
          <w:p w14:paraId="3105619D" w14:textId="77777777" w:rsidR="003957AD" w:rsidRDefault="003957AD" w:rsidP="00DE0473">
            <w:pPr>
              <w:rPr>
                <w:rFonts w:cs="Calibri"/>
                <w:color w:val="000000"/>
              </w:rPr>
            </w:pPr>
            <w:r>
              <w:rPr>
                <w:rFonts w:cs="Calibri"/>
                <w:color w:val="000000"/>
              </w:rPr>
              <w:t>Behaviour: The participant’s behaviour at school or educational setting improved consistently over the whole school term, or for 13 weeks.</w:t>
            </w:r>
          </w:p>
        </w:tc>
        <w:tc>
          <w:tcPr>
            <w:tcW w:w="1063" w:type="dxa"/>
            <w:vAlign w:val="center"/>
          </w:tcPr>
          <w:p w14:paraId="367E8466" w14:textId="77777777" w:rsidR="003957AD" w:rsidRDefault="003957AD" w:rsidP="00DE0473">
            <w:pPr>
              <w:jc w:val="center"/>
              <w:rPr>
                <w:rFonts w:cs="Calibri"/>
                <w:color w:val="000000"/>
              </w:rPr>
            </w:pPr>
            <w:r>
              <w:rPr>
                <w:rFonts w:cs="Calibri"/>
                <w:color w:val="000000"/>
              </w:rPr>
              <w:t>765</w:t>
            </w:r>
          </w:p>
        </w:tc>
        <w:tc>
          <w:tcPr>
            <w:tcW w:w="1063" w:type="dxa"/>
            <w:vAlign w:val="center"/>
          </w:tcPr>
          <w:p w14:paraId="2EAA1805" w14:textId="77777777" w:rsidR="003957AD" w:rsidRDefault="003957AD" w:rsidP="00DE0473">
            <w:pPr>
              <w:jc w:val="center"/>
              <w:rPr>
                <w:rFonts w:cs="Calibri"/>
                <w:color w:val="000000"/>
              </w:rPr>
            </w:pPr>
            <w:r>
              <w:rPr>
                <w:rFonts w:cs="Calibri"/>
                <w:color w:val="000000"/>
              </w:rPr>
              <w:t>534</w:t>
            </w:r>
          </w:p>
        </w:tc>
        <w:tc>
          <w:tcPr>
            <w:tcW w:w="1063" w:type="dxa"/>
            <w:vAlign w:val="center"/>
          </w:tcPr>
          <w:p w14:paraId="4E683EEC" w14:textId="77777777" w:rsidR="003957AD" w:rsidRDefault="003957AD" w:rsidP="00DE0473">
            <w:pPr>
              <w:jc w:val="center"/>
              <w:rPr>
                <w:rFonts w:cs="Calibri"/>
                <w:color w:val="000000"/>
              </w:rPr>
            </w:pPr>
            <w:r>
              <w:rPr>
                <w:rFonts w:cs="Calibri"/>
                <w:color w:val="000000"/>
              </w:rPr>
              <w:t>67</w:t>
            </w:r>
          </w:p>
        </w:tc>
        <w:tc>
          <w:tcPr>
            <w:tcW w:w="1063" w:type="dxa"/>
            <w:shd w:val="clear" w:color="auto" w:fill="auto"/>
            <w:noWrap/>
            <w:vAlign w:val="center"/>
            <w:hideMark/>
          </w:tcPr>
          <w:p w14:paraId="1042CC0A" w14:textId="77777777" w:rsidR="003957AD" w:rsidRDefault="003957AD" w:rsidP="00DE0473">
            <w:pPr>
              <w:jc w:val="center"/>
              <w:rPr>
                <w:rFonts w:cs="Calibri"/>
                <w:color w:val="000000"/>
              </w:rPr>
            </w:pPr>
            <w:r>
              <w:rPr>
                <w:rFonts w:cs="Calibri"/>
                <w:color w:val="000000"/>
              </w:rPr>
              <w:t>1328</w:t>
            </w:r>
          </w:p>
        </w:tc>
      </w:tr>
      <w:tr w:rsidR="003957AD" w:rsidRPr="00C763A7" w14:paraId="333B75A0" w14:textId="77777777" w:rsidTr="00DE0473">
        <w:trPr>
          <w:trHeight w:val="300"/>
        </w:trPr>
        <w:tc>
          <w:tcPr>
            <w:tcW w:w="5954" w:type="dxa"/>
            <w:vAlign w:val="bottom"/>
          </w:tcPr>
          <w:p w14:paraId="52F3C130" w14:textId="77777777" w:rsidR="003957AD" w:rsidRDefault="003957AD" w:rsidP="00DE0473">
            <w:pPr>
              <w:rPr>
                <w:rFonts w:cs="Calibri"/>
                <w:color w:val="000000"/>
              </w:rPr>
            </w:pPr>
            <w:r>
              <w:rPr>
                <w:rFonts w:cs="Calibri"/>
                <w:color w:val="000000"/>
              </w:rPr>
              <w:t>Educational performance: The participant’s educational performance improved consistently over the whole school term, or for 13 weeks.</w:t>
            </w:r>
          </w:p>
        </w:tc>
        <w:tc>
          <w:tcPr>
            <w:tcW w:w="1063" w:type="dxa"/>
            <w:vAlign w:val="center"/>
          </w:tcPr>
          <w:p w14:paraId="6C473E9A" w14:textId="77777777" w:rsidR="003957AD" w:rsidRDefault="003957AD" w:rsidP="00DE0473">
            <w:pPr>
              <w:jc w:val="center"/>
              <w:rPr>
                <w:rFonts w:cs="Calibri"/>
                <w:color w:val="000000"/>
              </w:rPr>
            </w:pPr>
            <w:r>
              <w:rPr>
                <w:rFonts w:cs="Calibri"/>
                <w:color w:val="000000"/>
              </w:rPr>
              <w:t>878</w:t>
            </w:r>
          </w:p>
        </w:tc>
        <w:tc>
          <w:tcPr>
            <w:tcW w:w="1063" w:type="dxa"/>
            <w:vAlign w:val="center"/>
          </w:tcPr>
          <w:p w14:paraId="043996EE" w14:textId="77777777" w:rsidR="003957AD" w:rsidRDefault="003957AD" w:rsidP="00DE0473">
            <w:pPr>
              <w:jc w:val="center"/>
              <w:rPr>
                <w:rFonts w:cs="Calibri"/>
                <w:color w:val="000000"/>
              </w:rPr>
            </w:pPr>
            <w:r>
              <w:rPr>
                <w:rFonts w:cs="Calibri"/>
                <w:color w:val="000000"/>
              </w:rPr>
              <w:t>574</w:t>
            </w:r>
          </w:p>
        </w:tc>
        <w:tc>
          <w:tcPr>
            <w:tcW w:w="1063" w:type="dxa"/>
            <w:vAlign w:val="center"/>
          </w:tcPr>
          <w:p w14:paraId="305FDB0A" w14:textId="77777777" w:rsidR="003957AD" w:rsidRDefault="003957AD" w:rsidP="00DE0473">
            <w:pPr>
              <w:jc w:val="center"/>
              <w:rPr>
                <w:rFonts w:cs="Calibri"/>
                <w:color w:val="000000"/>
              </w:rPr>
            </w:pPr>
            <w:r>
              <w:rPr>
                <w:rFonts w:cs="Calibri"/>
                <w:color w:val="000000"/>
              </w:rPr>
              <w:t>68</w:t>
            </w:r>
          </w:p>
        </w:tc>
        <w:tc>
          <w:tcPr>
            <w:tcW w:w="1063" w:type="dxa"/>
            <w:shd w:val="clear" w:color="auto" w:fill="auto"/>
            <w:noWrap/>
            <w:vAlign w:val="center"/>
            <w:hideMark/>
          </w:tcPr>
          <w:p w14:paraId="6862D969" w14:textId="77777777" w:rsidR="003957AD" w:rsidRDefault="003957AD" w:rsidP="00DE0473">
            <w:pPr>
              <w:jc w:val="center"/>
              <w:rPr>
                <w:rFonts w:cs="Calibri"/>
                <w:color w:val="000000"/>
              </w:rPr>
            </w:pPr>
            <w:r>
              <w:rPr>
                <w:rFonts w:cs="Calibri"/>
                <w:color w:val="000000"/>
              </w:rPr>
              <w:t>1464</w:t>
            </w:r>
          </w:p>
        </w:tc>
      </w:tr>
      <w:tr w:rsidR="003957AD" w:rsidRPr="00C763A7" w14:paraId="1DFBD0CA" w14:textId="77777777" w:rsidTr="00DE0473">
        <w:trPr>
          <w:trHeight w:val="300"/>
        </w:trPr>
        <w:tc>
          <w:tcPr>
            <w:tcW w:w="5954" w:type="dxa"/>
            <w:vAlign w:val="bottom"/>
          </w:tcPr>
          <w:p w14:paraId="0B1C44DC" w14:textId="77777777" w:rsidR="003957AD" w:rsidRDefault="003957AD" w:rsidP="00DE0473">
            <w:pPr>
              <w:rPr>
                <w:rFonts w:cs="Calibri"/>
                <w:color w:val="000000"/>
              </w:rPr>
            </w:pPr>
            <w:r>
              <w:rPr>
                <w:rFonts w:cs="Calibri"/>
                <w:color w:val="000000"/>
              </w:rPr>
              <w:t>Strengthened engagement: The participant’s engagement was strengthened and they remained engaged in education over the whole school term, or for 13 weeks.</w:t>
            </w:r>
          </w:p>
        </w:tc>
        <w:tc>
          <w:tcPr>
            <w:tcW w:w="1063" w:type="dxa"/>
            <w:vAlign w:val="center"/>
          </w:tcPr>
          <w:p w14:paraId="568A5535" w14:textId="77777777" w:rsidR="003957AD" w:rsidRDefault="003957AD" w:rsidP="00DE0473">
            <w:pPr>
              <w:jc w:val="center"/>
              <w:rPr>
                <w:rFonts w:cs="Calibri"/>
                <w:color w:val="000000"/>
              </w:rPr>
            </w:pPr>
            <w:r>
              <w:rPr>
                <w:rFonts w:cs="Calibri"/>
                <w:color w:val="000000"/>
              </w:rPr>
              <w:t>615</w:t>
            </w:r>
          </w:p>
        </w:tc>
        <w:tc>
          <w:tcPr>
            <w:tcW w:w="1063" w:type="dxa"/>
            <w:vAlign w:val="center"/>
          </w:tcPr>
          <w:p w14:paraId="13F3AF51" w14:textId="77777777" w:rsidR="003957AD" w:rsidRDefault="003957AD" w:rsidP="00DE0473">
            <w:pPr>
              <w:jc w:val="center"/>
              <w:rPr>
                <w:rFonts w:cs="Calibri"/>
                <w:color w:val="000000"/>
              </w:rPr>
            </w:pPr>
            <w:r>
              <w:rPr>
                <w:rFonts w:cs="Calibri"/>
                <w:color w:val="000000"/>
              </w:rPr>
              <w:t>861</w:t>
            </w:r>
          </w:p>
        </w:tc>
        <w:tc>
          <w:tcPr>
            <w:tcW w:w="1063" w:type="dxa"/>
            <w:vAlign w:val="center"/>
          </w:tcPr>
          <w:p w14:paraId="069980D5" w14:textId="77777777" w:rsidR="003957AD" w:rsidRDefault="003957AD" w:rsidP="00DE0473">
            <w:pPr>
              <w:jc w:val="center"/>
              <w:rPr>
                <w:rFonts w:cs="Calibri"/>
                <w:color w:val="000000"/>
              </w:rPr>
            </w:pPr>
            <w:r>
              <w:rPr>
                <w:rFonts w:cs="Calibri"/>
                <w:color w:val="000000"/>
              </w:rPr>
              <w:t>154</w:t>
            </w:r>
          </w:p>
        </w:tc>
        <w:tc>
          <w:tcPr>
            <w:tcW w:w="1063" w:type="dxa"/>
            <w:shd w:val="clear" w:color="auto" w:fill="auto"/>
            <w:noWrap/>
            <w:vAlign w:val="center"/>
            <w:hideMark/>
          </w:tcPr>
          <w:p w14:paraId="49F02D04" w14:textId="77777777" w:rsidR="003957AD" w:rsidRDefault="003957AD" w:rsidP="00DE0473">
            <w:pPr>
              <w:jc w:val="center"/>
              <w:rPr>
                <w:rFonts w:cs="Calibri"/>
                <w:color w:val="000000"/>
              </w:rPr>
            </w:pPr>
            <w:r>
              <w:rPr>
                <w:rFonts w:cs="Calibri"/>
                <w:color w:val="000000"/>
              </w:rPr>
              <w:t>1560</w:t>
            </w:r>
          </w:p>
        </w:tc>
      </w:tr>
      <w:tr w:rsidR="003957AD" w:rsidRPr="00C763A7" w14:paraId="72AD6D22" w14:textId="77777777" w:rsidTr="00DE0473">
        <w:trPr>
          <w:trHeight w:val="300"/>
        </w:trPr>
        <w:tc>
          <w:tcPr>
            <w:tcW w:w="5954" w:type="dxa"/>
            <w:vAlign w:val="bottom"/>
          </w:tcPr>
          <w:p w14:paraId="6085A328" w14:textId="77777777" w:rsidR="003957AD" w:rsidRDefault="003957AD" w:rsidP="00DE0473">
            <w:pPr>
              <w:rPr>
                <w:rFonts w:cs="Calibri"/>
                <w:color w:val="000000"/>
              </w:rPr>
            </w:pPr>
            <w:r>
              <w:rPr>
                <w:rFonts w:cs="Calibri"/>
                <w:color w:val="000000"/>
              </w:rPr>
              <w:t>Engaged in employment: The participant started employment and has remained in that employment for 13 weeks.</w:t>
            </w:r>
          </w:p>
        </w:tc>
        <w:tc>
          <w:tcPr>
            <w:tcW w:w="1063" w:type="dxa"/>
            <w:vAlign w:val="center"/>
          </w:tcPr>
          <w:p w14:paraId="01D12434" w14:textId="77777777" w:rsidR="003957AD" w:rsidRDefault="003957AD" w:rsidP="00DE0473">
            <w:pPr>
              <w:jc w:val="center"/>
              <w:rPr>
                <w:rFonts w:cs="Calibri"/>
                <w:color w:val="000000"/>
              </w:rPr>
            </w:pPr>
            <w:r>
              <w:rPr>
                <w:rFonts w:cs="Calibri"/>
                <w:color w:val="000000"/>
              </w:rPr>
              <w:t>15</w:t>
            </w:r>
          </w:p>
        </w:tc>
        <w:tc>
          <w:tcPr>
            <w:tcW w:w="1063" w:type="dxa"/>
            <w:vAlign w:val="center"/>
          </w:tcPr>
          <w:p w14:paraId="4F669D3B" w14:textId="77777777" w:rsidR="003957AD" w:rsidRDefault="003957AD" w:rsidP="00DE0473">
            <w:pPr>
              <w:jc w:val="center"/>
              <w:rPr>
                <w:rFonts w:cs="Calibri"/>
                <w:color w:val="000000"/>
              </w:rPr>
            </w:pPr>
            <w:r>
              <w:rPr>
                <w:rFonts w:cs="Calibri"/>
                <w:color w:val="000000"/>
              </w:rPr>
              <w:t>228</w:t>
            </w:r>
          </w:p>
        </w:tc>
        <w:tc>
          <w:tcPr>
            <w:tcW w:w="1063" w:type="dxa"/>
            <w:vAlign w:val="center"/>
          </w:tcPr>
          <w:p w14:paraId="2EAABF12" w14:textId="77777777" w:rsidR="003957AD" w:rsidRDefault="003957AD" w:rsidP="00DE0473">
            <w:pPr>
              <w:jc w:val="center"/>
              <w:rPr>
                <w:rFonts w:cs="Calibri"/>
                <w:color w:val="000000"/>
              </w:rPr>
            </w:pPr>
            <w:r>
              <w:rPr>
                <w:rFonts w:cs="Calibri"/>
                <w:color w:val="000000"/>
              </w:rPr>
              <w:t>487</w:t>
            </w:r>
          </w:p>
        </w:tc>
        <w:tc>
          <w:tcPr>
            <w:tcW w:w="1063" w:type="dxa"/>
            <w:shd w:val="clear" w:color="auto" w:fill="auto"/>
            <w:noWrap/>
            <w:vAlign w:val="center"/>
            <w:hideMark/>
          </w:tcPr>
          <w:p w14:paraId="6770EFD3" w14:textId="77777777" w:rsidR="003957AD" w:rsidRDefault="003957AD" w:rsidP="00DE0473">
            <w:pPr>
              <w:jc w:val="center"/>
              <w:rPr>
                <w:rFonts w:cs="Calibri"/>
                <w:color w:val="000000"/>
              </w:rPr>
            </w:pPr>
            <w:r>
              <w:rPr>
                <w:rFonts w:cs="Calibri"/>
                <w:color w:val="000000"/>
              </w:rPr>
              <w:t>707</w:t>
            </w:r>
          </w:p>
        </w:tc>
      </w:tr>
      <w:tr w:rsidR="003957AD" w:rsidRPr="00C763A7" w14:paraId="6A1DB01C" w14:textId="77777777" w:rsidTr="00DE0473">
        <w:trPr>
          <w:trHeight w:val="300"/>
        </w:trPr>
        <w:tc>
          <w:tcPr>
            <w:tcW w:w="5954" w:type="dxa"/>
            <w:vAlign w:val="bottom"/>
          </w:tcPr>
          <w:p w14:paraId="02409862" w14:textId="77777777" w:rsidR="003957AD" w:rsidRDefault="003957AD" w:rsidP="00DE0473">
            <w:pPr>
              <w:rPr>
                <w:rFonts w:cs="Calibri"/>
                <w:color w:val="000000"/>
              </w:rPr>
            </w:pPr>
            <w:r>
              <w:rPr>
                <w:rFonts w:cs="Calibri"/>
                <w:color w:val="000000"/>
              </w:rPr>
              <w:t>Re-engaged in education: The participant re-engaged in education and sustained that engagement for 13 weeks.</w:t>
            </w:r>
          </w:p>
        </w:tc>
        <w:tc>
          <w:tcPr>
            <w:tcW w:w="1063" w:type="dxa"/>
            <w:vAlign w:val="center"/>
          </w:tcPr>
          <w:p w14:paraId="032291CA" w14:textId="77777777" w:rsidR="003957AD" w:rsidRDefault="003957AD" w:rsidP="00DE0473">
            <w:pPr>
              <w:jc w:val="center"/>
              <w:rPr>
                <w:rFonts w:cs="Calibri"/>
                <w:color w:val="000000"/>
              </w:rPr>
            </w:pPr>
            <w:r>
              <w:rPr>
                <w:rFonts w:cs="Calibri"/>
                <w:color w:val="000000"/>
              </w:rPr>
              <w:t>167</w:t>
            </w:r>
          </w:p>
        </w:tc>
        <w:tc>
          <w:tcPr>
            <w:tcW w:w="1063" w:type="dxa"/>
            <w:vAlign w:val="center"/>
          </w:tcPr>
          <w:p w14:paraId="603FAFF9" w14:textId="77777777" w:rsidR="003957AD" w:rsidRDefault="003957AD" w:rsidP="00DE0473">
            <w:pPr>
              <w:jc w:val="center"/>
              <w:rPr>
                <w:rFonts w:cs="Calibri"/>
                <w:color w:val="000000"/>
              </w:rPr>
            </w:pPr>
            <w:r>
              <w:rPr>
                <w:rFonts w:cs="Calibri"/>
                <w:color w:val="000000"/>
              </w:rPr>
              <w:t>959</w:t>
            </w:r>
          </w:p>
        </w:tc>
        <w:tc>
          <w:tcPr>
            <w:tcW w:w="1063" w:type="dxa"/>
            <w:vAlign w:val="center"/>
          </w:tcPr>
          <w:p w14:paraId="064EE023" w14:textId="77777777" w:rsidR="003957AD" w:rsidRDefault="003957AD" w:rsidP="00DE0473">
            <w:pPr>
              <w:jc w:val="center"/>
              <w:rPr>
                <w:rFonts w:cs="Calibri"/>
                <w:color w:val="000000"/>
              </w:rPr>
            </w:pPr>
            <w:r>
              <w:rPr>
                <w:rFonts w:cs="Calibri"/>
                <w:color w:val="000000"/>
              </w:rPr>
              <w:t>1187</w:t>
            </w:r>
          </w:p>
        </w:tc>
        <w:tc>
          <w:tcPr>
            <w:tcW w:w="1063" w:type="dxa"/>
            <w:shd w:val="clear" w:color="auto" w:fill="auto"/>
            <w:noWrap/>
            <w:vAlign w:val="center"/>
            <w:hideMark/>
          </w:tcPr>
          <w:p w14:paraId="1AF95424" w14:textId="77777777" w:rsidR="003957AD" w:rsidRDefault="003957AD" w:rsidP="00DE0473">
            <w:pPr>
              <w:jc w:val="center"/>
              <w:rPr>
                <w:rFonts w:cs="Calibri"/>
                <w:color w:val="000000"/>
              </w:rPr>
            </w:pPr>
            <w:r>
              <w:rPr>
                <w:rFonts w:cs="Calibri"/>
                <w:color w:val="000000"/>
              </w:rPr>
              <w:t>2219</w:t>
            </w:r>
          </w:p>
        </w:tc>
      </w:tr>
      <w:tr w:rsidR="003957AD" w:rsidRPr="00C763A7" w14:paraId="11D89A6E" w14:textId="77777777" w:rsidTr="00DE0473">
        <w:trPr>
          <w:trHeight w:val="300"/>
        </w:trPr>
        <w:tc>
          <w:tcPr>
            <w:tcW w:w="5954" w:type="dxa"/>
            <w:tcBorders>
              <w:bottom w:val="single" w:sz="18" w:space="0" w:color="auto"/>
            </w:tcBorders>
            <w:vAlign w:val="bottom"/>
          </w:tcPr>
          <w:p w14:paraId="0FFA0382" w14:textId="77777777" w:rsidR="003957AD" w:rsidRDefault="003957AD" w:rsidP="00DE0473">
            <w:pPr>
              <w:rPr>
                <w:rFonts w:cs="Calibri"/>
                <w:color w:val="000000"/>
              </w:rPr>
            </w:pPr>
            <w:r>
              <w:rPr>
                <w:rFonts w:cs="Calibri"/>
                <w:color w:val="000000"/>
              </w:rPr>
              <w:t>Commenced in education: The participant commenced in education.</w:t>
            </w:r>
          </w:p>
        </w:tc>
        <w:tc>
          <w:tcPr>
            <w:tcW w:w="1063" w:type="dxa"/>
            <w:tcBorders>
              <w:bottom w:val="single" w:sz="18" w:space="0" w:color="auto"/>
            </w:tcBorders>
            <w:vAlign w:val="center"/>
          </w:tcPr>
          <w:p w14:paraId="056543D5" w14:textId="77777777" w:rsidR="003957AD" w:rsidRDefault="003957AD" w:rsidP="00DE0473">
            <w:pPr>
              <w:jc w:val="center"/>
              <w:rPr>
                <w:rFonts w:cs="Calibri"/>
                <w:color w:val="000000"/>
              </w:rPr>
            </w:pPr>
            <w:r>
              <w:rPr>
                <w:rFonts w:cs="Calibri"/>
                <w:color w:val="000000"/>
              </w:rPr>
              <w:t>27</w:t>
            </w:r>
          </w:p>
        </w:tc>
        <w:tc>
          <w:tcPr>
            <w:tcW w:w="1063" w:type="dxa"/>
            <w:tcBorders>
              <w:bottom w:val="single" w:sz="18" w:space="0" w:color="auto"/>
            </w:tcBorders>
            <w:vAlign w:val="center"/>
          </w:tcPr>
          <w:p w14:paraId="18E7FF4C" w14:textId="77777777" w:rsidR="003957AD" w:rsidRDefault="003957AD" w:rsidP="00DE0473">
            <w:pPr>
              <w:jc w:val="center"/>
              <w:rPr>
                <w:rFonts w:cs="Calibri"/>
                <w:color w:val="000000"/>
              </w:rPr>
            </w:pPr>
            <w:r>
              <w:rPr>
                <w:rFonts w:cs="Calibri"/>
                <w:color w:val="000000"/>
              </w:rPr>
              <w:t>569</w:t>
            </w:r>
          </w:p>
        </w:tc>
        <w:tc>
          <w:tcPr>
            <w:tcW w:w="1063" w:type="dxa"/>
            <w:tcBorders>
              <w:bottom w:val="single" w:sz="18" w:space="0" w:color="auto"/>
            </w:tcBorders>
            <w:vAlign w:val="center"/>
          </w:tcPr>
          <w:p w14:paraId="1739D3F0" w14:textId="77777777" w:rsidR="003957AD" w:rsidRDefault="003957AD" w:rsidP="00DE0473">
            <w:pPr>
              <w:jc w:val="center"/>
              <w:rPr>
                <w:rFonts w:cs="Calibri"/>
                <w:color w:val="000000"/>
              </w:rPr>
            </w:pPr>
            <w:r>
              <w:rPr>
                <w:rFonts w:cs="Calibri"/>
                <w:color w:val="000000"/>
              </w:rPr>
              <w:t>2656</w:t>
            </w:r>
          </w:p>
        </w:tc>
        <w:tc>
          <w:tcPr>
            <w:tcW w:w="1063" w:type="dxa"/>
            <w:tcBorders>
              <w:bottom w:val="single" w:sz="18" w:space="0" w:color="auto"/>
            </w:tcBorders>
            <w:shd w:val="clear" w:color="auto" w:fill="auto"/>
            <w:noWrap/>
            <w:vAlign w:val="center"/>
            <w:hideMark/>
          </w:tcPr>
          <w:p w14:paraId="2084630D" w14:textId="77777777" w:rsidR="003957AD" w:rsidRDefault="003957AD" w:rsidP="00DE0473">
            <w:pPr>
              <w:jc w:val="center"/>
              <w:rPr>
                <w:rFonts w:cs="Calibri"/>
                <w:color w:val="000000"/>
              </w:rPr>
            </w:pPr>
            <w:r>
              <w:rPr>
                <w:rFonts w:cs="Calibri"/>
                <w:color w:val="000000"/>
              </w:rPr>
              <w:t>3144</w:t>
            </w:r>
          </w:p>
        </w:tc>
      </w:tr>
    </w:tbl>
    <w:p w14:paraId="3DA923FC" w14:textId="77777777" w:rsidR="003957AD" w:rsidRPr="009E54E2" w:rsidRDefault="003957AD" w:rsidP="002C1D61">
      <w:pPr>
        <w:pStyle w:val="Heading4"/>
        <w:spacing w:before="0"/>
      </w:pPr>
      <w:r w:rsidRPr="009E54E2">
        <w:t>Table 17: VIC- Final Outcomes achieved by Connection Level</w:t>
      </w:r>
    </w:p>
    <w:p w14:paraId="6C0D09AE" w14:textId="56A8E0BC" w:rsidR="003957AD" w:rsidRDefault="003957AD" w:rsidP="002C1D61">
      <w:pPr>
        <w:pStyle w:val="Heading4"/>
        <w:spacing w:before="120"/>
      </w:pPr>
      <w:r>
        <w:t>Table 18: National- Final Outcomes achieved by Connection Level</w:t>
      </w:r>
    </w:p>
    <w:tbl>
      <w:tblPr>
        <w:tblW w:w="10206" w:type="dxa"/>
        <w:tblInd w:w="-34" w:type="dxa"/>
        <w:tblBorders>
          <w:top w:val="single" w:sz="18" w:space="0" w:color="auto"/>
          <w:left w:val="single" w:sz="18" w:space="0" w:color="auto"/>
          <w:right w:val="single" w:sz="18" w:space="0" w:color="auto"/>
          <w:insideH w:val="single" w:sz="4" w:space="0" w:color="auto"/>
          <w:insideV w:val="single" w:sz="4" w:space="0" w:color="auto"/>
        </w:tblBorders>
        <w:tblLayout w:type="fixed"/>
        <w:tblLook w:val="04A0" w:firstRow="1" w:lastRow="0" w:firstColumn="1" w:lastColumn="0" w:noHBand="0" w:noVBand="1"/>
      </w:tblPr>
      <w:tblGrid>
        <w:gridCol w:w="5954"/>
        <w:gridCol w:w="1063"/>
        <w:gridCol w:w="1063"/>
        <w:gridCol w:w="1063"/>
        <w:gridCol w:w="1063"/>
      </w:tblGrid>
      <w:tr w:rsidR="003957AD" w:rsidRPr="00C763A7" w14:paraId="733027E5" w14:textId="77777777" w:rsidTr="00671A6D">
        <w:trPr>
          <w:trHeight w:val="674"/>
        </w:trPr>
        <w:tc>
          <w:tcPr>
            <w:tcW w:w="5954" w:type="dxa"/>
            <w:shd w:val="clear" w:color="auto" w:fill="C6D9F1" w:themeFill="text2" w:themeFillTint="33"/>
            <w:vAlign w:val="center"/>
          </w:tcPr>
          <w:p w14:paraId="4B3945AE" w14:textId="77777777" w:rsidR="003957AD" w:rsidRPr="00C763A7" w:rsidRDefault="003957AD" w:rsidP="00DE0473">
            <w:pPr>
              <w:jc w:val="center"/>
              <w:rPr>
                <w:rFonts w:cs="Calibri"/>
                <w:b/>
                <w:bCs/>
                <w:color w:val="000000"/>
              </w:rPr>
            </w:pPr>
            <w:r>
              <w:rPr>
                <w:rFonts w:cs="Calibri"/>
                <w:b/>
                <w:bCs/>
                <w:color w:val="000000"/>
              </w:rPr>
              <w:t>Final Outcomes Achieved</w:t>
            </w:r>
          </w:p>
        </w:tc>
        <w:tc>
          <w:tcPr>
            <w:tcW w:w="1063" w:type="dxa"/>
            <w:shd w:val="clear" w:color="auto" w:fill="C6D9F1" w:themeFill="text2" w:themeFillTint="33"/>
            <w:vAlign w:val="center"/>
          </w:tcPr>
          <w:p w14:paraId="6F330C95" w14:textId="77777777" w:rsidR="003957AD" w:rsidRPr="00C763A7" w:rsidRDefault="003957AD" w:rsidP="00DE0473">
            <w:pPr>
              <w:jc w:val="center"/>
              <w:rPr>
                <w:rFonts w:cs="Calibri"/>
                <w:b/>
                <w:bCs/>
                <w:color w:val="000000"/>
              </w:rPr>
            </w:pPr>
            <w:r>
              <w:rPr>
                <w:rFonts w:cs="Calibri"/>
                <w:b/>
                <w:bCs/>
                <w:color w:val="000000"/>
              </w:rPr>
              <w:t>Level 1</w:t>
            </w:r>
          </w:p>
        </w:tc>
        <w:tc>
          <w:tcPr>
            <w:tcW w:w="1063" w:type="dxa"/>
            <w:shd w:val="clear" w:color="auto" w:fill="C6D9F1" w:themeFill="text2" w:themeFillTint="33"/>
            <w:vAlign w:val="center"/>
          </w:tcPr>
          <w:p w14:paraId="1476B14F" w14:textId="77777777" w:rsidR="003957AD" w:rsidRPr="00C763A7" w:rsidRDefault="003957AD" w:rsidP="00DE0473">
            <w:pPr>
              <w:jc w:val="center"/>
              <w:rPr>
                <w:rFonts w:cs="Calibri"/>
                <w:b/>
                <w:bCs/>
                <w:color w:val="000000"/>
              </w:rPr>
            </w:pPr>
            <w:r>
              <w:rPr>
                <w:rFonts w:cs="Calibri"/>
                <w:b/>
                <w:bCs/>
                <w:color w:val="000000"/>
              </w:rPr>
              <w:t xml:space="preserve">Level </w:t>
            </w:r>
            <w:proofErr w:type="spellStart"/>
            <w:r>
              <w:rPr>
                <w:rFonts w:cs="Calibri"/>
                <w:b/>
                <w:bCs/>
                <w:color w:val="000000"/>
              </w:rPr>
              <w:t>2a</w:t>
            </w:r>
            <w:proofErr w:type="spellEnd"/>
          </w:p>
        </w:tc>
        <w:tc>
          <w:tcPr>
            <w:tcW w:w="1063" w:type="dxa"/>
            <w:shd w:val="clear" w:color="auto" w:fill="C6D9F1" w:themeFill="text2" w:themeFillTint="33"/>
            <w:vAlign w:val="center"/>
          </w:tcPr>
          <w:p w14:paraId="287CDCDF" w14:textId="77777777" w:rsidR="003957AD" w:rsidRPr="00C763A7" w:rsidRDefault="003957AD" w:rsidP="00DE0473">
            <w:pPr>
              <w:jc w:val="center"/>
              <w:rPr>
                <w:rFonts w:cs="Calibri"/>
                <w:b/>
                <w:bCs/>
                <w:color w:val="000000"/>
              </w:rPr>
            </w:pPr>
            <w:r>
              <w:rPr>
                <w:rFonts w:cs="Calibri"/>
                <w:b/>
                <w:bCs/>
                <w:color w:val="000000"/>
              </w:rPr>
              <w:t xml:space="preserve">Level </w:t>
            </w:r>
            <w:proofErr w:type="spellStart"/>
            <w:r>
              <w:rPr>
                <w:rFonts w:cs="Calibri"/>
                <w:b/>
                <w:bCs/>
                <w:color w:val="000000"/>
              </w:rPr>
              <w:t>2b</w:t>
            </w:r>
            <w:proofErr w:type="spellEnd"/>
          </w:p>
        </w:tc>
        <w:tc>
          <w:tcPr>
            <w:tcW w:w="1063" w:type="dxa"/>
            <w:shd w:val="clear" w:color="auto" w:fill="C6D9F1" w:themeFill="text2" w:themeFillTint="33"/>
            <w:noWrap/>
            <w:vAlign w:val="center"/>
            <w:hideMark/>
          </w:tcPr>
          <w:p w14:paraId="59322131" w14:textId="77777777" w:rsidR="003957AD" w:rsidRPr="00C763A7" w:rsidRDefault="003957AD" w:rsidP="00DE0473">
            <w:pPr>
              <w:jc w:val="center"/>
              <w:rPr>
                <w:rFonts w:cs="Calibri"/>
                <w:b/>
                <w:bCs/>
                <w:color w:val="000000"/>
              </w:rPr>
            </w:pPr>
            <w:r>
              <w:rPr>
                <w:rFonts w:cs="Calibri"/>
                <w:b/>
                <w:bCs/>
                <w:color w:val="000000"/>
              </w:rPr>
              <w:t>Total</w:t>
            </w:r>
          </w:p>
        </w:tc>
      </w:tr>
      <w:tr w:rsidR="003957AD" w:rsidRPr="00C763A7" w14:paraId="3755485C" w14:textId="77777777" w:rsidTr="00671A6D">
        <w:trPr>
          <w:trHeight w:val="300"/>
        </w:trPr>
        <w:tc>
          <w:tcPr>
            <w:tcW w:w="5954" w:type="dxa"/>
            <w:vAlign w:val="bottom"/>
          </w:tcPr>
          <w:p w14:paraId="197766E4" w14:textId="77777777" w:rsidR="003957AD" w:rsidRDefault="003957AD" w:rsidP="00DE0473">
            <w:pPr>
              <w:rPr>
                <w:rFonts w:cs="Calibri"/>
                <w:color w:val="000000"/>
              </w:rPr>
            </w:pPr>
            <w:r>
              <w:rPr>
                <w:rFonts w:cs="Calibri"/>
                <w:color w:val="000000"/>
              </w:rPr>
              <w:t>Attendance: The participant’s attendance at school or education setting improved consistently over the whole school term, or for 13 weeks.</w:t>
            </w:r>
          </w:p>
        </w:tc>
        <w:tc>
          <w:tcPr>
            <w:tcW w:w="1063" w:type="dxa"/>
            <w:vAlign w:val="center"/>
          </w:tcPr>
          <w:p w14:paraId="14B3057C" w14:textId="77777777" w:rsidR="003957AD" w:rsidRDefault="003957AD" w:rsidP="00DE0473">
            <w:pPr>
              <w:jc w:val="center"/>
              <w:rPr>
                <w:rFonts w:cs="Calibri"/>
                <w:color w:val="000000"/>
              </w:rPr>
            </w:pPr>
            <w:r>
              <w:rPr>
                <w:rFonts w:cs="Calibri"/>
                <w:color w:val="000000"/>
              </w:rPr>
              <w:t>3730</w:t>
            </w:r>
          </w:p>
        </w:tc>
        <w:tc>
          <w:tcPr>
            <w:tcW w:w="1063" w:type="dxa"/>
            <w:vAlign w:val="center"/>
          </w:tcPr>
          <w:p w14:paraId="32E6128E" w14:textId="77777777" w:rsidR="003957AD" w:rsidRDefault="003957AD" w:rsidP="00DE0473">
            <w:pPr>
              <w:jc w:val="center"/>
              <w:rPr>
                <w:rFonts w:cs="Calibri"/>
                <w:color w:val="000000"/>
              </w:rPr>
            </w:pPr>
            <w:r>
              <w:rPr>
                <w:rFonts w:cs="Calibri"/>
                <w:color w:val="000000"/>
              </w:rPr>
              <w:t>4412</w:t>
            </w:r>
          </w:p>
        </w:tc>
        <w:tc>
          <w:tcPr>
            <w:tcW w:w="1063" w:type="dxa"/>
            <w:vAlign w:val="center"/>
          </w:tcPr>
          <w:p w14:paraId="3F62A761" w14:textId="77777777" w:rsidR="003957AD" w:rsidRDefault="003957AD" w:rsidP="00DE0473">
            <w:pPr>
              <w:jc w:val="center"/>
              <w:rPr>
                <w:rFonts w:cs="Calibri"/>
                <w:color w:val="000000"/>
              </w:rPr>
            </w:pPr>
            <w:r>
              <w:rPr>
                <w:rFonts w:cs="Calibri"/>
                <w:color w:val="000000"/>
              </w:rPr>
              <w:t>611</w:t>
            </w:r>
          </w:p>
        </w:tc>
        <w:tc>
          <w:tcPr>
            <w:tcW w:w="1063" w:type="dxa"/>
            <w:shd w:val="clear" w:color="auto" w:fill="auto"/>
            <w:noWrap/>
            <w:vAlign w:val="center"/>
            <w:hideMark/>
          </w:tcPr>
          <w:p w14:paraId="46BC0D41" w14:textId="77777777" w:rsidR="003957AD" w:rsidRDefault="003957AD" w:rsidP="00DE0473">
            <w:pPr>
              <w:jc w:val="center"/>
              <w:rPr>
                <w:rFonts w:cs="Calibri"/>
                <w:color w:val="000000"/>
              </w:rPr>
            </w:pPr>
            <w:r>
              <w:rPr>
                <w:rFonts w:cs="Calibri"/>
                <w:color w:val="000000"/>
              </w:rPr>
              <w:t>8484</w:t>
            </w:r>
          </w:p>
        </w:tc>
      </w:tr>
      <w:tr w:rsidR="003957AD" w:rsidRPr="00C763A7" w14:paraId="340BF2D7" w14:textId="77777777" w:rsidTr="00671A6D">
        <w:trPr>
          <w:trHeight w:val="300"/>
        </w:trPr>
        <w:tc>
          <w:tcPr>
            <w:tcW w:w="5954" w:type="dxa"/>
            <w:vAlign w:val="bottom"/>
          </w:tcPr>
          <w:p w14:paraId="5DC5D1C7" w14:textId="77777777" w:rsidR="003957AD" w:rsidRDefault="003957AD" w:rsidP="00DE0473">
            <w:pPr>
              <w:rPr>
                <w:rFonts w:cs="Calibri"/>
                <w:color w:val="000000"/>
              </w:rPr>
            </w:pPr>
            <w:r>
              <w:rPr>
                <w:rFonts w:cs="Calibri"/>
                <w:color w:val="000000"/>
              </w:rPr>
              <w:t>Behaviour: The participant’s behaviour at school or educational setting improved consistently over the whole school term, or for 13 weeks.</w:t>
            </w:r>
          </w:p>
        </w:tc>
        <w:tc>
          <w:tcPr>
            <w:tcW w:w="1063" w:type="dxa"/>
            <w:vAlign w:val="center"/>
          </w:tcPr>
          <w:p w14:paraId="090DAFC4" w14:textId="77777777" w:rsidR="003957AD" w:rsidRDefault="003957AD" w:rsidP="00DE0473">
            <w:pPr>
              <w:jc w:val="center"/>
              <w:rPr>
                <w:rFonts w:cs="Calibri"/>
                <w:color w:val="000000"/>
              </w:rPr>
            </w:pPr>
            <w:r>
              <w:rPr>
                <w:rFonts w:cs="Calibri"/>
                <w:color w:val="000000"/>
              </w:rPr>
              <w:t>5352</w:t>
            </w:r>
          </w:p>
        </w:tc>
        <w:tc>
          <w:tcPr>
            <w:tcW w:w="1063" w:type="dxa"/>
            <w:vAlign w:val="center"/>
          </w:tcPr>
          <w:p w14:paraId="6D1C97F7" w14:textId="77777777" w:rsidR="003957AD" w:rsidRDefault="003957AD" w:rsidP="00DE0473">
            <w:pPr>
              <w:jc w:val="center"/>
              <w:rPr>
                <w:rFonts w:cs="Calibri"/>
                <w:color w:val="000000"/>
              </w:rPr>
            </w:pPr>
            <w:r>
              <w:rPr>
                <w:rFonts w:cs="Calibri"/>
                <w:color w:val="000000"/>
              </w:rPr>
              <w:t>4123</w:t>
            </w:r>
          </w:p>
        </w:tc>
        <w:tc>
          <w:tcPr>
            <w:tcW w:w="1063" w:type="dxa"/>
            <w:vAlign w:val="center"/>
          </w:tcPr>
          <w:p w14:paraId="7CFECD8C" w14:textId="77777777" w:rsidR="003957AD" w:rsidRDefault="003957AD" w:rsidP="00DE0473">
            <w:pPr>
              <w:jc w:val="center"/>
              <w:rPr>
                <w:rFonts w:cs="Calibri"/>
                <w:color w:val="000000"/>
              </w:rPr>
            </w:pPr>
            <w:r>
              <w:rPr>
                <w:rFonts w:cs="Calibri"/>
                <w:color w:val="000000"/>
              </w:rPr>
              <w:t>392</w:t>
            </w:r>
          </w:p>
        </w:tc>
        <w:tc>
          <w:tcPr>
            <w:tcW w:w="1063" w:type="dxa"/>
            <w:shd w:val="clear" w:color="auto" w:fill="auto"/>
            <w:noWrap/>
            <w:vAlign w:val="center"/>
            <w:hideMark/>
          </w:tcPr>
          <w:p w14:paraId="56206693" w14:textId="77777777" w:rsidR="003957AD" w:rsidRDefault="003957AD" w:rsidP="00DE0473">
            <w:pPr>
              <w:jc w:val="center"/>
              <w:rPr>
                <w:rFonts w:cs="Calibri"/>
                <w:color w:val="000000"/>
              </w:rPr>
            </w:pPr>
            <w:r>
              <w:rPr>
                <w:rFonts w:cs="Calibri"/>
                <w:color w:val="000000"/>
              </w:rPr>
              <w:t>9604</w:t>
            </w:r>
          </w:p>
        </w:tc>
      </w:tr>
      <w:tr w:rsidR="003957AD" w:rsidRPr="00C763A7" w14:paraId="3A79CCB7" w14:textId="77777777" w:rsidTr="00671A6D">
        <w:trPr>
          <w:trHeight w:val="300"/>
        </w:trPr>
        <w:tc>
          <w:tcPr>
            <w:tcW w:w="5954" w:type="dxa"/>
            <w:vAlign w:val="bottom"/>
          </w:tcPr>
          <w:p w14:paraId="496FE8FD" w14:textId="77777777" w:rsidR="003957AD" w:rsidRDefault="003957AD" w:rsidP="00DE0473">
            <w:pPr>
              <w:rPr>
                <w:rFonts w:cs="Calibri"/>
                <w:color w:val="000000"/>
              </w:rPr>
            </w:pPr>
            <w:r>
              <w:rPr>
                <w:rFonts w:cs="Calibri"/>
                <w:color w:val="000000"/>
              </w:rPr>
              <w:t>Educational performance: The participant’s educational performance improved consistently over the whole school term, or for 13 weeks.</w:t>
            </w:r>
          </w:p>
        </w:tc>
        <w:tc>
          <w:tcPr>
            <w:tcW w:w="1063" w:type="dxa"/>
            <w:vAlign w:val="center"/>
          </w:tcPr>
          <w:p w14:paraId="654A054E" w14:textId="77777777" w:rsidR="003957AD" w:rsidRDefault="003957AD" w:rsidP="00DE0473">
            <w:pPr>
              <w:jc w:val="center"/>
              <w:rPr>
                <w:rFonts w:cs="Calibri"/>
                <w:color w:val="000000"/>
              </w:rPr>
            </w:pPr>
            <w:r>
              <w:rPr>
                <w:rFonts w:cs="Calibri"/>
                <w:color w:val="000000"/>
              </w:rPr>
              <w:t>4335</w:t>
            </w:r>
          </w:p>
        </w:tc>
        <w:tc>
          <w:tcPr>
            <w:tcW w:w="1063" w:type="dxa"/>
            <w:vAlign w:val="center"/>
          </w:tcPr>
          <w:p w14:paraId="63BA618B" w14:textId="77777777" w:rsidR="003957AD" w:rsidRDefault="003957AD" w:rsidP="00DE0473">
            <w:pPr>
              <w:jc w:val="center"/>
              <w:rPr>
                <w:rFonts w:cs="Calibri"/>
                <w:color w:val="000000"/>
              </w:rPr>
            </w:pPr>
            <w:r>
              <w:rPr>
                <w:rFonts w:cs="Calibri"/>
                <w:color w:val="000000"/>
              </w:rPr>
              <w:t>3153</w:t>
            </w:r>
          </w:p>
        </w:tc>
        <w:tc>
          <w:tcPr>
            <w:tcW w:w="1063" w:type="dxa"/>
            <w:vAlign w:val="center"/>
          </w:tcPr>
          <w:p w14:paraId="003CF408" w14:textId="77777777" w:rsidR="003957AD" w:rsidRDefault="003957AD" w:rsidP="00DE0473">
            <w:pPr>
              <w:jc w:val="center"/>
              <w:rPr>
                <w:rFonts w:cs="Calibri"/>
                <w:color w:val="000000"/>
              </w:rPr>
            </w:pPr>
            <w:r>
              <w:rPr>
                <w:rFonts w:cs="Calibri"/>
                <w:color w:val="000000"/>
              </w:rPr>
              <w:t>405</w:t>
            </w:r>
          </w:p>
        </w:tc>
        <w:tc>
          <w:tcPr>
            <w:tcW w:w="1063" w:type="dxa"/>
            <w:shd w:val="clear" w:color="auto" w:fill="auto"/>
            <w:noWrap/>
            <w:vAlign w:val="center"/>
            <w:hideMark/>
          </w:tcPr>
          <w:p w14:paraId="3D6A84EA" w14:textId="77777777" w:rsidR="003957AD" w:rsidRDefault="003957AD" w:rsidP="00DE0473">
            <w:pPr>
              <w:jc w:val="center"/>
              <w:rPr>
                <w:rFonts w:cs="Calibri"/>
                <w:color w:val="000000"/>
              </w:rPr>
            </w:pPr>
            <w:r>
              <w:rPr>
                <w:rFonts w:cs="Calibri"/>
                <w:color w:val="000000"/>
              </w:rPr>
              <w:t>7648</w:t>
            </w:r>
          </w:p>
        </w:tc>
      </w:tr>
      <w:tr w:rsidR="003957AD" w:rsidRPr="00C763A7" w14:paraId="7E2E5E2F" w14:textId="77777777" w:rsidTr="00671A6D">
        <w:trPr>
          <w:trHeight w:val="300"/>
        </w:trPr>
        <w:tc>
          <w:tcPr>
            <w:tcW w:w="5954" w:type="dxa"/>
            <w:vAlign w:val="bottom"/>
          </w:tcPr>
          <w:p w14:paraId="6DAF6A2F" w14:textId="77777777" w:rsidR="003957AD" w:rsidRDefault="003957AD" w:rsidP="00DE0473">
            <w:pPr>
              <w:rPr>
                <w:rFonts w:cs="Calibri"/>
                <w:color w:val="000000"/>
              </w:rPr>
            </w:pPr>
            <w:r>
              <w:rPr>
                <w:rFonts w:cs="Calibri"/>
                <w:color w:val="000000"/>
              </w:rPr>
              <w:t>Strengthened engagement: The participant’s engagement was strengthened and they remained engaged in education over the whole school term, or for 13 weeks.</w:t>
            </w:r>
          </w:p>
        </w:tc>
        <w:tc>
          <w:tcPr>
            <w:tcW w:w="1063" w:type="dxa"/>
            <w:vAlign w:val="center"/>
          </w:tcPr>
          <w:p w14:paraId="7D8987E1" w14:textId="77777777" w:rsidR="003957AD" w:rsidRDefault="003957AD" w:rsidP="00DE0473">
            <w:pPr>
              <w:jc w:val="center"/>
              <w:rPr>
                <w:rFonts w:cs="Calibri"/>
                <w:color w:val="000000"/>
              </w:rPr>
            </w:pPr>
            <w:r>
              <w:rPr>
                <w:rFonts w:cs="Calibri"/>
                <w:color w:val="000000"/>
              </w:rPr>
              <w:t>3180</w:t>
            </w:r>
          </w:p>
        </w:tc>
        <w:tc>
          <w:tcPr>
            <w:tcW w:w="1063" w:type="dxa"/>
            <w:vAlign w:val="center"/>
          </w:tcPr>
          <w:p w14:paraId="202EB7DA" w14:textId="77777777" w:rsidR="003957AD" w:rsidRDefault="003957AD" w:rsidP="00DE0473">
            <w:pPr>
              <w:jc w:val="center"/>
              <w:rPr>
                <w:rFonts w:cs="Calibri"/>
                <w:color w:val="000000"/>
              </w:rPr>
            </w:pPr>
            <w:r>
              <w:rPr>
                <w:rFonts w:cs="Calibri"/>
                <w:color w:val="000000"/>
              </w:rPr>
              <w:t>5817</w:t>
            </w:r>
          </w:p>
        </w:tc>
        <w:tc>
          <w:tcPr>
            <w:tcW w:w="1063" w:type="dxa"/>
            <w:vAlign w:val="center"/>
          </w:tcPr>
          <w:p w14:paraId="3B4FFC70" w14:textId="77777777" w:rsidR="003957AD" w:rsidRDefault="003957AD" w:rsidP="00DE0473">
            <w:pPr>
              <w:jc w:val="center"/>
              <w:rPr>
                <w:rFonts w:cs="Calibri"/>
                <w:color w:val="000000"/>
              </w:rPr>
            </w:pPr>
            <w:r>
              <w:rPr>
                <w:rFonts w:cs="Calibri"/>
                <w:color w:val="000000"/>
              </w:rPr>
              <w:t>687</w:t>
            </w:r>
          </w:p>
        </w:tc>
        <w:tc>
          <w:tcPr>
            <w:tcW w:w="1063" w:type="dxa"/>
            <w:shd w:val="clear" w:color="auto" w:fill="auto"/>
            <w:noWrap/>
            <w:vAlign w:val="center"/>
            <w:hideMark/>
          </w:tcPr>
          <w:p w14:paraId="06943127" w14:textId="77777777" w:rsidR="003957AD" w:rsidRDefault="003957AD" w:rsidP="00DE0473">
            <w:pPr>
              <w:jc w:val="center"/>
              <w:rPr>
                <w:rFonts w:cs="Calibri"/>
                <w:color w:val="000000"/>
              </w:rPr>
            </w:pPr>
            <w:r>
              <w:rPr>
                <w:rFonts w:cs="Calibri"/>
                <w:color w:val="000000"/>
              </w:rPr>
              <w:t>9380</w:t>
            </w:r>
          </w:p>
        </w:tc>
      </w:tr>
      <w:tr w:rsidR="003957AD" w:rsidRPr="00C763A7" w14:paraId="44184BCA" w14:textId="77777777" w:rsidTr="00671A6D">
        <w:trPr>
          <w:trHeight w:val="300"/>
        </w:trPr>
        <w:tc>
          <w:tcPr>
            <w:tcW w:w="5954" w:type="dxa"/>
            <w:vAlign w:val="bottom"/>
          </w:tcPr>
          <w:p w14:paraId="53E03A0B" w14:textId="77777777" w:rsidR="003957AD" w:rsidRDefault="003957AD" w:rsidP="00DE0473">
            <w:pPr>
              <w:rPr>
                <w:rFonts w:cs="Calibri"/>
                <w:color w:val="000000"/>
              </w:rPr>
            </w:pPr>
            <w:r>
              <w:rPr>
                <w:rFonts w:cs="Calibri"/>
                <w:color w:val="000000"/>
              </w:rPr>
              <w:t>Engaged in employment: The participant started employment and has remained in that employment for 13 weeks.</w:t>
            </w:r>
          </w:p>
        </w:tc>
        <w:tc>
          <w:tcPr>
            <w:tcW w:w="1063" w:type="dxa"/>
            <w:vAlign w:val="center"/>
          </w:tcPr>
          <w:p w14:paraId="5C1F9355" w14:textId="77777777" w:rsidR="003957AD" w:rsidRDefault="003957AD" w:rsidP="00DE0473">
            <w:pPr>
              <w:jc w:val="center"/>
              <w:rPr>
                <w:rFonts w:cs="Calibri"/>
                <w:color w:val="000000"/>
              </w:rPr>
            </w:pPr>
            <w:r>
              <w:rPr>
                <w:rFonts w:cs="Calibri"/>
                <w:color w:val="000000"/>
              </w:rPr>
              <w:t>54</w:t>
            </w:r>
          </w:p>
        </w:tc>
        <w:tc>
          <w:tcPr>
            <w:tcW w:w="1063" w:type="dxa"/>
            <w:vAlign w:val="center"/>
          </w:tcPr>
          <w:p w14:paraId="42640DD4" w14:textId="77777777" w:rsidR="003957AD" w:rsidRDefault="003957AD" w:rsidP="00DE0473">
            <w:pPr>
              <w:jc w:val="center"/>
              <w:rPr>
                <w:rFonts w:cs="Calibri"/>
                <w:color w:val="000000"/>
              </w:rPr>
            </w:pPr>
            <w:r>
              <w:rPr>
                <w:rFonts w:cs="Calibri"/>
                <w:color w:val="000000"/>
              </w:rPr>
              <w:t>1031</w:t>
            </w:r>
          </w:p>
        </w:tc>
        <w:tc>
          <w:tcPr>
            <w:tcW w:w="1063" w:type="dxa"/>
            <w:vAlign w:val="center"/>
          </w:tcPr>
          <w:p w14:paraId="137351B7" w14:textId="77777777" w:rsidR="003957AD" w:rsidRDefault="003957AD" w:rsidP="00DE0473">
            <w:pPr>
              <w:jc w:val="center"/>
              <w:rPr>
                <w:rFonts w:cs="Calibri"/>
                <w:color w:val="000000"/>
              </w:rPr>
            </w:pPr>
            <w:r>
              <w:rPr>
                <w:rFonts w:cs="Calibri"/>
                <w:color w:val="000000"/>
              </w:rPr>
              <w:t>1903</w:t>
            </w:r>
          </w:p>
        </w:tc>
        <w:tc>
          <w:tcPr>
            <w:tcW w:w="1063" w:type="dxa"/>
            <w:shd w:val="clear" w:color="auto" w:fill="auto"/>
            <w:noWrap/>
            <w:vAlign w:val="center"/>
            <w:hideMark/>
          </w:tcPr>
          <w:p w14:paraId="4A1288D6" w14:textId="77777777" w:rsidR="003957AD" w:rsidRDefault="003957AD" w:rsidP="00DE0473">
            <w:pPr>
              <w:jc w:val="center"/>
              <w:rPr>
                <w:rFonts w:cs="Calibri"/>
                <w:color w:val="000000"/>
              </w:rPr>
            </w:pPr>
            <w:r>
              <w:rPr>
                <w:rFonts w:cs="Calibri"/>
                <w:color w:val="000000"/>
              </w:rPr>
              <w:t>2888</w:t>
            </w:r>
          </w:p>
        </w:tc>
      </w:tr>
      <w:tr w:rsidR="003957AD" w:rsidRPr="00C763A7" w14:paraId="416381F0" w14:textId="77777777" w:rsidTr="00671A6D">
        <w:trPr>
          <w:trHeight w:val="300"/>
        </w:trPr>
        <w:tc>
          <w:tcPr>
            <w:tcW w:w="5954" w:type="dxa"/>
            <w:vAlign w:val="bottom"/>
          </w:tcPr>
          <w:p w14:paraId="73205A3F" w14:textId="77777777" w:rsidR="003957AD" w:rsidRDefault="003957AD" w:rsidP="00DE0473">
            <w:pPr>
              <w:rPr>
                <w:rFonts w:cs="Calibri"/>
                <w:color w:val="000000"/>
              </w:rPr>
            </w:pPr>
            <w:r>
              <w:rPr>
                <w:rFonts w:cs="Calibri"/>
                <w:color w:val="000000"/>
              </w:rPr>
              <w:t>Re-engaged in education: The participant re-engaged in education and sustained that engagement for 13 weeks.</w:t>
            </w:r>
          </w:p>
        </w:tc>
        <w:tc>
          <w:tcPr>
            <w:tcW w:w="1063" w:type="dxa"/>
            <w:vAlign w:val="center"/>
          </w:tcPr>
          <w:p w14:paraId="3B33293C" w14:textId="77777777" w:rsidR="003957AD" w:rsidRDefault="003957AD" w:rsidP="00DE0473">
            <w:pPr>
              <w:jc w:val="center"/>
              <w:rPr>
                <w:rFonts w:cs="Calibri"/>
                <w:color w:val="000000"/>
              </w:rPr>
            </w:pPr>
            <w:r>
              <w:rPr>
                <w:rFonts w:cs="Calibri"/>
                <w:color w:val="000000"/>
              </w:rPr>
              <w:t>576</w:t>
            </w:r>
          </w:p>
        </w:tc>
        <w:tc>
          <w:tcPr>
            <w:tcW w:w="1063" w:type="dxa"/>
            <w:vAlign w:val="center"/>
          </w:tcPr>
          <w:p w14:paraId="34C1B080" w14:textId="77777777" w:rsidR="003957AD" w:rsidRDefault="003957AD" w:rsidP="00DE0473">
            <w:pPr>
              <w:jc w:val="center"/>
              <w:rPr>
                <w:rFonts w:cs="Calibri"/>
                <w:color w:val="000000"/>
              </w:rPr>
            </w:pPr>
            <w:r>
              <w:rPr>
                <w:rFonts w:cs="Calibri"/>
                <w:color w:val="000000"/>
              </w:rPr>
              <w:t>3566</w:t>
            </w:r>
          </w:p>
        </w:tc>
        <w:tc>
          <w:tcPr>
            <w:tcW w:w="1063" w:type="dxa"/>
            <w:vAlign w:val="center"/>
          </w:tcPr>
          <w:p w14:paraId="059CDFD7" w14:textId="77777777" w:rsidR="003957AD" w:rsidRDefault="003957AD" w:rsidP="00DE0473">
            <w:pPr>
              <w:jc w:val="center"/>
              <w:rPr>
                <w:rFonts w:cs="Calibri"/>
                <w:color w:val="000000"/>
              </w:rPr>
            </w:pPr>
            <w:r>
              <w:rPr>
                <w:rFonts w:cs="Calibri"/>
                <w:color w:val="000000"/>
              </w:rPr>
              <w:t>4298</w:t>
            </w:r>
          </w:p>
        </w:tc>
        <w:tc>
          <w:tcPr>
            <w:tcW w:w="1063" w:type="dxa"/>
            <w:shd w:val="clear" w:color="auto" w:fill="auto"/>
            <w:noWrap/>
            <w:vAlign w:val="center"/>
            <w:hideMark/>
          </w:tcPr>
          <w:p w14:paraId="6E43FD90" w14:textId="77777777" w:rsidR="003957AD" w:rsidRDefault="003957AD" w:rsidP="00DE0473">
            <w:pPr>
              <w:jc w:val="center"/>
              <w:rPr>
                <w:rFonts w:cs="Calibri"/>
                <w:color w:val="000000"/>
              </w:rPr>
            </w:pPr>
            <w:r>
              <w:rPr>
                <w:rFonts w:cs="Calibri"/>
                <w:color w:val="000000"/>
              </w:rPr>
              <w:t>8143</w:t>
            </w:r>
          </w:p>
        </w:tc>
      </w:tr>
      <w:tr w:rsidR="003957AD" w:rsidRPr="00C763A7" w14:paraId="27E1D340" w14:textId="77777777" w:rsidTr="00671A6D">
        <w:trPr>
          <w:trHeight w:val="300"/>
        </w:trPr>
        <w:tc>
          <w:tcPr>
            <w:tcW w:w="5954" w:type="dxa"/>
            <w:tcBorders>
              <w:bottom w:val="single" w:sz="18" w:space="0" w:color="auto"/>
            </w:tcBorders>
            <w:vAlign w:val="bottom"/>
          </w:tcPr>
          <w:p w14:paraId="217C9AFF" w14:textId="77777777" w:rsidR="003957AD" w:rsidRDefault="003957AD" w:rsidP="00DE0473">
            <w:pPr>
              <w:rPr>
                <w:rFonts w:cs="Calibri"/>
                <w:color w:val="000000"/>
              </w:rPr>
            </w:pPr>
            <w:r>
              <w:rPr>
                <w:rFonts w:cs="Calibri"/>
                <w:color w:val="000000"/>
              </w:rPr>
              <w:t>Commenced in education: The participant commenced in education.</w:t>
            </w:r>
          </w:p>
        </w:tc>
        <w:tc>
          <w:tcPr>
            <w:tcW w:w="1063" w:type="dxa"/>
            <w:tcBorders>
              <w:bottom w:val="single" w:sz="18" w:space="0" w:color="auto"/>
            </w:tcBorders>
            <w:vAlign w:val="center"/>
          </w:tcPr>
          <w:p w14:paraId="4452F510" w14:textId="77777777" w:rsidR="003957AD" w:rsidRDefault="003957AD" w:rsidP="00DE0473">
            <w:pPr>
              <w:jc w:val="center"/>
              <w:rPr>
                <w:rFonts w:cs="Calibri"/>
                <w:color w:val="000000"/>
              </w:rPr>
            </w:pPr>
            <w:r>
              <w:rPr>
                <w:rFonts w:cs="Calibri"/>
                <w:color w:val="000000"/>
              </w:rPr>
              <w:t>69</w:t>
            </w:r>
          </w:p>
        </w:tc>
        <w:tc>
          <w:tcPr>
            <w:tcW w:w="1063" w:type="dxa"/>
            <w:tcBorders>
              <w:bottom w:val="single" w:sz="18" w:space="0" w:color="auto"/>
            </w:tcBorders>
            <w:vAlign w:val="center"/>
          </w:tcPr>
          <w:p w14:paraId="3D904B24" w14:textId="77777777" w:rsidR="003957AD" w:rsidRDefault="003957AD" w:rsidP="00DE0473">
            <w:pPr>
              <w:jc w:val="center"/>
              <w:rPr>
                <w:rFonts w:cs="Calibri"/>
                <w:color w:val="000000"/>
              </w:rPr>
            </w:pPr>
            <w:r>
              <w:rPr>
                <w:rFonts w:cs="Calibri"/>
                <w:color w:val="000000"/>
              </w:rPr>
              <w:t>2201</w:t>
            </w:r>
          </w:p>
        </w:tc>
        <w:tc>
          <w:tcPr>
            <w:tcW w:w="1063" w:type="dxa"/>
            <w:tcBorders>
              <w:bottom w:val="single" w:sz="18" w:space="0" w:color="auto"/>
            </w:tcBorders>
            <w:vAlign w:val="center"/>
          </w:tcPr>
          <w:p w14:paraId="639F863B" w14:textId="77777777" w:rsidR="003957AD" w:rsidRDefault="003957AD" w:rsidP="00DE0473">
            <w:pPr>
              <w:jc w:val="center"/>
              <w:rPr>
                <w:rFonts w:cs="Calibri"/>
                <w:color w:val="000000"/>
              </w:rPr>
            </w:pPr>
            <w:r>
              <w:rPr>
                <w:rFonts w:cs="Calibri"/>
                <w:color w:val="000000"/>
              </w:rPr>
              <w:t>9554</w:t>
            </w:r>
          </w:p>
        </w:tc>
        <w:tc>
          <w:tcPr>
            <w:tcW w:w="1063" w:type="dxa"/>
            <w:tcBorders>
              <w:bottom w:val="single" w:sz="18" w:space="0" w:color="auto"/>
            </w:tcBorders>
            <w:shd w:val="clear" w:color="auto" w:fill="auto"/>
            <w:noWrap/>
            <w:vAlign w:val="center"/>
            <w:hideMark/>
          </w:tcPr>
          <w:p w14:paraId="79ED83AF" w14:textId="77777777" w:rsidR="003957AD" w:rsidRDefault="003957AD" w:rsidP="00DE0473">
            <w:pPr>
              <w:jc w:val="center"/>
              <w:rPr>
                <w:rFonts w:cs="Calibri"/>
                <w:color w:val="000000"/>
              </w:rPr>
            </w:pPr>
            <w:r>
              <w:rPr>
                <w:rFonts w:cs="Calibri"/>
                <w:color w:val="000000"/>
              </w:rPr>
              <w:t>11,460</w:t>
            </w:r>
          </w:p>
        </w:tc>
      </w:tr>
    </w:tbl>
    <w:p w14:paraId="5D8D1E2D" w14:textId="77777777" w:rsidR="003957AD" w:rsidRDefault="003957AD" w:rsidP="00546F15">
      <w:pPr>
        <w:pStyle w:val="Heading2"/>
      </w:pPr>
      <w:bookmarkStart w:id="39" w:name="_Toc384042869"/>
      <w:r>
        <w:lastRenderedPageBreak/>
        <w:t>Indigenous</w:t>
      </w:r>
      <w:bookmarkEnd w:id="39"/>
    </w:p>
    <w:p w14:paraId="09CB9558" w14:textId="77777777" w:rsidR="003957AD" w:rsidRDefault="003957AD" w:rsidP="003F2C80">
      <w:pPr>
        <w:pStyle w:val="Heading4"/>
      </w:pPr>
      <w:r>
        <w:t>Figure 17: % of Total Indigenous participants by State</w:t>
      </w:r>
    </w:p>
    <w:p w14:paraId="622D0125" w14:textId="77777777" w:rsidR="003957AD" w:rsidRDefault="003957AD" w:rsidP="003957AD">
      <w:r>
        <w:rPr>
          <w:noProof/>
          <w:lang w:eastAsia="en-AU"/>
        </w:rPr>
        <w:drawing>
          <wp:inline distT="0" distB="0" distL="0" distR="0" wp14:anchorId="3DBA9BAA" wp14:editId="3AF28D8B">
            <wp:extent cx="6067425" cy="2705100"/>
            <wp:effectExtent l="0" t="0" r="9525" b="19050"/>
            <wp:docPr id="45" name="Chart 45" descr="Percentage of total Indigenous Participants by state, as shown in Table 19 Below"/>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14:paraId="7391E0C6" w14:textId="77777777" w:rsidR="003957AD" w:rsidRPr="0056510B" w:rsidRDefault="003957AD" w:rsidP="00546F15">
      <w:pPr>
        <w:pStyle w:val="Heading4"/>
      </w:pPr>
      <w:r>
        <w:t>Table 19</w:t>
      </w:r>
      <w:r w:rsidRPr="0056510B">
        <w:t>: % of Total Indigenous participants by State</w:t>
      </w:r>
    </w:p>
    <w:tbl>
      <w:tblPr>
        <w:tblStyle w:val="TableGrid"/>
        <w:tblW w:w="0" w:type="auto"/>
        <w:tblLook w:val="04A0" w:firstRow="1" w:lastRow="0" w:firstColumn="1" w:lastColumn="0" w:noHBand="0" w:noVBand="1"/>
        <w:tblDescription w:val="Table 19: % of Total Indigenous participants by State"/>
      </w:tblPr>
      <w:tblGrid>
        <w:gridCol w:w="1278"/>
        <w:gridCol w:w="999"/>
        <w:gridCol w:w="1022"/>
        <w:gridCol w:w="976"/>
        <w:gridCol w:w="1005"/>
        <w:gridCol w:w="976"/>
        <w:gridCol w:w="996"/>
        <w:gridCol w:w="986"/>
        <w:gridCol w:w="1004"/>
      </w:tblGrid>
      <w:tr w:rsidR="003957AD" w14:paraId="5C95B9AA" w14:textId="77777777" w:rsidTr="00793CB6">
        <w:trPr>
          <w:tblHeader/>
        </w:trPr>
        <w:tc>
          <w:tcPr>
            <w:tcW w:w="1142" w:type="dxa"/>
            <w:shd w:val="clear" w:color="auto" w:fill="DBE5F1" w:themeFill="accent1" w:themeFillTint="33"/>
          </w:tcPr>
          <w:p w14:paraId="3E690131" w14:textId="77777777" w:rsidR="003957AD" w:rsidRPr="00B44F04" w:rsidRDefault="003957AD" w:rsidP="00DE0473">
            <w:pPr>
              <w:rPr>
                <w:rFonts w:cs="Calibri"/>
                <w:b/>
                <w:color w:val="000000"/>
              </w:rPr>
            </w:pPr>
          </w:p>
        </w:tc>
        <w:tc>
          <w:tcPr>
            <w:tcW w:w="1142" w:type="dxa"/>
            <w:shd w:val="clear" w:color="auto" w:fill="DBE5F1" w:themeFill="accent1" w:themeFillTint="33"/>
          </w:tcPr>
          <w:p w14:paraId="5D5F98FA" w14:textId="77777777" w:rsidR="003957AD" w:rsidRPr="00B44F04" w:rsidRDefault="003957AD" w:rsidP="00DE0473">
            <w:pPr>
              <w:jc w:val="center"/>
              <w:rPr>
                <w:rFonts w:cs="Calibri"/>
                <w:b/>
                <w:color w:val="000000"/>
              </w:rPr>
            </w:pPr>
            <w:r w:rsidRPr="00B44F04">
              <w:rPr>
                <w:rFonts w:cs="Calibri"/>
                <w:b/>
                <w:color w:val="000000"/>
              </w:rPr>
              <w:t>ACT</w:t>
            </w:r>
          </w:p>
        </w:tc>
        <w:tc>
          <w:tcPr>
            <w:tcW w:w="1142" w:type="dxa"/>
            <w:shd w:val="clear" w:color="auto" w:fill="DBE5F1" w:themeFill="accent1" w:themeFillTint="33"/>
          </w:tcPr>
          <w:p w14:paraId="377CA967" w14:textId="77777777" w:rsidR="003957AD" w:rsidRPr="00B44F04" w:rsidRDefault="003957AD" w:rsidP="00DE0473">
            <w:pPr>
              <w:jc w:val="center"/>
              <w:rPr>
                <w:rFonts w:cs="Calibri"/>
                <w:b/>
                <w:color w:val="000000"/>
              </w:rPr>
            </w:pPr>
            <w:r>
              <w:rPr>
                <w:rFonts w:cs="Calibri"/>
                <w:b/>
                <w:color w:val="000000"/>
              </w:rPr>
              <w:t>NSW</w:t>
            </w:r>
          </w:p>
        </w:tc>
        <w:tc>
          <w:tcPr>
            <w:tcW w:w="1142" w:type="dxa"/>
            <w:shd w:val="clear" w:color="auto" w:fill="DBE5F1" w:themeFill="accent1" w:themeFillTint="33"/>
          </w:tcPr>
          <w:p w14:paraId="447BB48D" w14:textId="77777777" w:rsidR="003957AD" w:rsidRPr="00B44F04" w:rsidRDefault="003957AD" w:rsidP="00DE0473">
            <w:pPr>
              <w:jc w:val="center"/>
              <w:rPr>
                <w:rFonts w:cs="Calibri"/>
                <w:b/>
                <w:color w:val="000000"/>
              </w:rPr>
            </w:pPr>
            <w:r>
              <w:rPr>
                <w:rFonts w:cs="Calibri"/>
                <w:b/>
                <w:color w:val="000000"/>
              </w:rPr>
              <w:t>NT</w:t>
            </w:r>
          </w:p>
        </w:tc>
        <w:tc>
          <w:tcPr>
            <w:tcW w:w="1142" w:type="dxa"/>
            <w:shd w:val="clear" w:color="auto" w:fill="DBE5F1" w:themeFill="accent1" w:themeFillTint="33"/>
          </w:tcPr>
          <w:p w14:paraId="58CA60C9" w14:textId="77777777" w:rsidR="003957AD" w:rsidRPr="00B44F04" w:rsidRDefault="003957AD" w:rsidP="00DE0473">
            <w:pPr>
              <w:jc w:val="center"/>
              <w:rPr>
                <w:rFonts w:cs="Calibri"/>
                <w:b/>
                <w:color w:val="000000"/>
              </w:rPr>
            </w:pPr>
            <w:r>
              <w:rPr>
                <w:rFonts w:cs="Calibri"/>
                <w:b/>
                <w:color w:val="000000"/>
              </w:rPr>
              <w:t>QLD</w:t>
            </w:r>
          </w:p>
        </w:tc>
        <w:tc>
          <w:tcPr>
            <w:tcW w:w="1142" w:type="dxa"/>
            <w:shd w:val="clear" w:color="auto" w:fill="DBE5F1" w:themeFill="accent1" w:themeFillTint="33"/>
          </w:tcPr>
          <w:p w14:paraId="66EFD782" w14:textId="77777777" w:rsidR="003957AD" w:rsidRPr="00B44F04" w:rsidRDefault="003957AD" w:rsidP="00DE0473">
            <w:pPr>
              <w:jc w:val="center"/>
              <w:rPr>
                <w:rFonts w:cs="Calibri"/>
                <w:b/>
                <w:color w:val="000000"/>
              </w:rPr>
            </w:pPr>
            <w:r>
              <w:rPr>
                <w:rFonts w:cs="Calibri"/>
                <w:b/>
                <w:color w:val="000000"/>
              </w:rPr>
              <w:t>SA</w:t>
            </w:r>
          </w:p>
        </w:tc>
        <w:tc>
          <w:tcPr>
            <w:tcW w:w="1142" w:type="dxa"/>
            <w:shd w:val="clear" w:color="auto" w:fill="DBE5F1" w:themeFill="accent1" w:themeFillTint="33"/>
          </w:tcPr>
          <w:p w14:paraId="1A2B83ED" w14:textId="77777777" w:rsidR="003957AD" w:rsidRPr="00B44F04" w:rsidRDefault="003957AD" w:rsidP="00DE0473">
            <w:pPr>
              <w:jc w:val="center"/>
              <w:rPr>
                <w:rFonts w:cs="Calibri"/>
                <w:b/>
                <w:color w:val="000000"/>
              </w:rPr>
            </w:pPr>
            <w:r>
              <w:rPr>
                <w:rFonts w:cs="Calibri"/>
                <w:b/>
                <w:color w:val="000000"/>
              </w:rPr>
              <w:t>TAS</w:t>
            </w:r>
          </w:p>
        </w:tc>
        <w:tc>
          <w:tcPr>
            <w:tcW w:w="1142" w:type="dxa"/>
            <w:shd w:val="clear" w:color="auto" w:fill="DBE5F1" w:themeFill="accent1" w:themeFillTint="33"/>
          </w:tcPr>
          <w:p w14:paraId="1270CB94" w14:textId="77777777" w:rsidR="003957AD" w:rsidRPr="00B44F04" w:rsidRDefault="003957AD" w:rsidP="00DE0473">
            <w:pPr>
              <w:jc w:val="center"/>
              <w:rPr>
                <w:rFonts w:cs="Calibri"/>
                <w:b/>
                <w:color w:val="000000"/>
              </w:rPr>
            </w:pPr>
            <w:r>
              <w:rPr>
                <w:rFonts w:cs="Calibri"/>
                <w:b/>
                <w:color w:val="000000"/>
              </w:rPr>
              <w:t>VIC</w:t>
            </w:r>
          </w:p>
        </w:tc>
        <w:tc>
          <w:tcPr>
            <w:tcW w:w="1142" w:type="dxa"/>
            <w:shd w:val="clear" w:color="auto" w:fill="DBE5F1" w:themeFill="accent1" w:themeFillTint="33"/>
          </w:tcPr>
          <w:p w14:paraId="0C3EB440" w14:textId="77777777" w:rsidR="003957AD" w:rsidRPr="00B44F04" w:rsidRDefault="003957AD" w:rsidP="00DE0473">
            <w:pPr>
              <w:jc w:val="center"/>
              <w:rPr>
                <w:rFonts w:cs="Calibri"/>
                <w:b/>
                <w:color w:val="000000"/>
              </w:rPr>
            </w:pPr>
            <w:r>
              <w:rPr>
                <w:rFonts w:cs="Calibri"/>
                <w:b/>
                <w:color w:val="000000"/>
              </w:rPr>
              <w:t>WA</w:t>
            </w:r>
          </w:p>
        </w:tc>
      </w:tr>
      <w:tr w:rsidR="003957AD" w14:paraId="40BFB31A" w14:textId="77777777" w:rsidTr="00DE0473">
        <w:tc>
          <w:tcPr>
            <w:tcW w:w="1142" w:type="dxa"/>
          </w:tcPr>
          <w:p w14:paraId="7700945C" w14:textId="77777777" w:rsidR="003957AD" w:rsidRDefault="003957AD" w:rsidP="00DE0473">
            <w:r>
              <w:t xml:space="preserve">% of total indigenous </w:t>
            </w:r>
            <w:r w:rsidRPr="00B44F04">
              <w:rPr>
                <w:rFonts w:cs="Calibri"/>
                <w:color w:val="000000"/>
              </w:rPr>
              <w:t>participants</w:t>
            </w:r>
          </w:p>
        </w:tc>
        <w:tc>
          <w:tcPr>
            <w:tcW w:w="1142" w:type="dxa"/>
            <w:vAlign w:val="center"/>
          </w:tcPr>
          <w:p w14:paraId="6C4872F3" w14:textId="77777777" w:rsidR="003957AD" w:rsidRPr="00B44F04" w:rsidRDefault="003957AD" w:rsidP="00DE0473">
            <w:pPr>
              <w:jc w:val="center"/>
              <w:rPr>
                <w:rFonts w:cs="Calibri"/>
                <w:color w:val="000000"/>
              </w:rPr>
            </w:pPr>
            <w:r w:rsidRPr="00B44F04">
              <w:rPr>
                <w:rFonts w:cs="Calibri"/>
                <w:color w:val="000000"/>
              </w:rPr>
              <w:t>1%</w:t>
            </w:r>
          </w:p>
        </w:tc>
        <w:tc>
          <w:tcPr>
            <w:tcW w:w="1142" w:type="dxa"/>
            <w:vAlign w:val="center"/>
          </w:tcPr>
          <w:p w14:paraId="326EB2EA" w14:textId="77777777" w:rsidR="003957AD" w:rsidRPr="00B44F04" w:rsidRDefault="003957AD" w:rsidP="00DE0473">
            <w:pPr>
              <w:jc w:val="center"/>
              <w:rPr>
                <w:rFonts w:cs="Calibri"/>
                <w:color w:val="000000"/>
              </w:rPr>
            </w:pPr>
            <w:r>
              <w:rPr>
                <w:rFonts w:cs="Calibri"/>
                <w:color w:val="000000"/>
              </w:rPr>
              <w:t>44%</w:t>
            </w:r>
          </w:p>
        </w:tc>
        <w:tc>
          <w:tcPr>
            <w:tcW w:w="1142" w:type="dxa"/>
            <w:vAlign w:val="center"/>
          </w:tcPr>
          <w:p w14:paraId="5BD27E5E" w14:textId="77777777" w:rsidR="003957AD" w:rsidRPr="00B44F04" w:rsidRDefault="003957AD" w:rsidP="00DE0473">
            <w:pPr>
              <w:jc w:val="center"/>
              <w:rPr>
                <w:rFonts w:cs="Calibri"/>
                <w:color w:val="000000"/>
              </w:rPr>
            </w:pPr>
            <w:r>
              <w:rPr>
                <w:rFonts w:cs="Calibri"/>
                <w:color w:val="000000"/>
              </w:rPr>
              <w:t>8%</w:t>
            </w:r>
          </w:p>
        </w:tc>
        <w:tc>
          <w:tcPr>
            <w:tcW w:w="1142" w:type="dxa"/>
            <w:vAlign w:val="center"/>
          </w:tcPr>
          <w:p w14:paraId="3546C14D" w14:textId="77777777" w:rsidR="003957AD" w:rsidRPr="00B44F04" w:rsidRDefault="003957AD" w:rsidP="00DE0473">
            <w:pPr>
              <w:jc w:val="center"/>
              <w:rPr>
                <w:rFonts w:cs="Calibri"/>
                <w:color w:val="000000"/>
              </w:rPr>
            </w:pPr>
            <w:r>
              <w:rPr>
                <w:rFonts w:cs="Calibri"/>
                <w:color w:val="000000"/>
              </w:rPr>
              <w:t>21%</w:t>
            </w:r>
          </w:p>
        </w:tc>
        <w:tc>
          <w:tcPr>
            <w:tcW w:w="1142" w:type="dxa"/>
            <w:vAlign w:val="center"/>
          </w:tcPr>
          <w:p w14:paraId="7672890D" w14:textId="77777777" w:rsidR="003957AD" w:rsidRPr="00B44F04" w:rsidRDefault="003957AD" w:rsidP="00DE0473">
            <w:pPr>
              <w:jc w:val="center"/>
              <w:rPr>
                <w:rFonts w:cs="Calibri"/>
                <w:color w:val="000000"/>
              </w:rPr>
            </w:pPr>
            <w:r>
              <w:rPr>
                <w:rFonts w:cs="Calibri"/>
                <w:color w:val="000000"/>
              </w:rPr>
              <w:t>4%</w:t>
            </w:r>
          </w:p>
        </w:tc>
        <w:tc>
          <w:tcPr>
            <w:tcW w:w="1142" w:type="dxa"/>
            <w:vAlign w:val="center"/>
          </w:tcPr>
          <w:p w14:paraId="2300AF03" w14:textId="77777777" w:rsidR="003957AD" w:rsidRPr="00B44F04" w:rsidRDefault="003957AD" w:rsidP="00DE0473">
            <w:pPr>
              <w:jc w:val="center"/>
              <w:rPr>
                <w:rFonts w:cs="Calibri"/>
                <w:color w:val="000000"/>
              </w:rPr>
            </w:pPr>
            <w:r>
              <w:rPr>
                <w:rFonts w:cs="Calibri"/>
                <w:color w:val="000000"/>
              </w:rPr>
              <w:t>2%</w:t>
            </w:r>
          </w:p>
        </w:tc>
        <w:tc>
          <w:tcPr>
            <w:tcW w:w="1142" w:type="dxa"/>
            <w:vAlign w:val="center"/>
          </w:tcPr>
          <w:p w14:paraId="6C46C028" w14:textId="77777777" w:rsidR="003957AD" w:rsidRPr="00B44F04" w:rsidRDefault="003957AD" w:rsidP="00DE0473">
            <w:pPr>
              <w:jc w:val="center"/>
              <w:rPr>
                <w:rFonts w:cs="Calibri"/>
                <w:color w:val="000000"/>
              </w:rPr>
            </w:pPr>
            <w:r>
              <w:rPr>
                <w:rFonts w:cs="Calibri"/>
                <w:color w:val="000000"/>
              </w:rPr>
              <w:t>7%</w:t>
            </w:r>
          </w:p>
        </w:tc>
        <w:tc>
          <w:tcPr>
            <w:tcW w:w="1142" w:type="dxa"/>
            <w:vAlign w:val="center"/>
          </w:tcPr>
          <w:p w14:paraId="7146B5F7" w14:textId="77777777" w:rsidR="003957AD" w:rsidRPr="00B44F04" w:rsidRDefault="003957AD" w:rsidP="00DE0473">
            <w:pPr>
              <w:jc w:val="center"/>
              <w:rPr>
                <w:rFonts w:cs="Calibri"/>
                <w:color w:val="000000"/>
              </w:rPr>
            </w:pPr>
            <w:r>
              <w:rPr>
                <w:rFonts w:cs="Calibri"/>
                <w:color w:val="000000"/>
              </w:rPr>
              <w:t>13%</w:t>
            </w:r>
          </w:p>
        </w:tc>
      </w:tr>
    </w:tbl>
    <w:p w14:paraId="1546B55A" w14:textId="77777777" w:rsidR="003957AD" w:rsidRDefault="003957AD" w:rsidP="003957AD">
      <w:pPr>
        <w:pStyle w:val="Caption"/>
        <w:keepNext/>
      </w:pPr>
    </w:p>
    <w:p w14:paraId="54A80D6B" w14:textId="77777777" w:rsidR="003957AD" w:rsidRPr="002E35EC" w:rsidRDefault="003957AD" w:rsidP="003F2C80">
      <w:pPr>
        <w:pStyle w:val="Heading4"/>
      </w:pPr>
      <w:r w:rsidRPr="002E35EC">
        <w:t>Figure 18: % of caseload that is Indigenous in each state</w:t>
      </w:r>
    </w:p>
    <w:p w14:paraId="4E17A5E6" w14:textId="77777777" w:rsidR="003957AD" w:rsidRDefault="003957AD" w:rsidP="003957AD">
      <w:r>
        <w:rPr>
          <w:noProof/>
          <w:lang w:eastAsia="en-AU"/>
        </w:rPr>
        <w:drawing>
          <wp:inline distT="0" distB="0" distL="0" distR="0" wp14:anchorId="062CDD99" wp14:editId="023DF0BB">
            <wp:extent cx="6067425" cy="2409825"/>
            <wp:effectExtent l="0" t="0" r="9525" b="9525"/>
            <wp:docPr id="46" name="Chart 46" descr="Percentage of caseload that is Indigenous in each State&#10; graphic representation of table20 below"/>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14:paraId="7C445533" w14:textId="77777777" w:rsidR="003957AD" w:rsidRDefault="003957AD" w:rsidP="003957AD">
      <w:pPr>
        <w:rPr>
          <w:rFonts w:cs="Calibri"/>
          <w:b/>
          <w:bCs/>
          <w:color w:val="000000"/>
        </w:rPr>
      </w:pPr>
    </w:p>
    <w:p w14:paraId="64856DE7" w14:textId="77777777" w:rsidR="003957AD" w:rsidRDefault="003957AD" w:rsidP="003F2C80">
      <w:pPr>
        <w:pStyle w:val="Heading4"/>
      </w:pPr>
      <w:r>
        <w:t>Table 20</w:t>
      </w:r>
      <w:r w:rsidRPr="0056510B">
        <w:t xml:space="preserve">: % of </w:t>
      </w:r>
      <w:r>
        <w:t xml:space="preserve">caseload that is </w:t>
      </w:r>
      <w:r w:rsidRPr="003F2C80">
        <w:t>Indigenous</w:t>
      </w:r>
      <w:r>
        <w:t xml:space="preserve"> in each</w:t>
      </w:r>
      <w:r w:rsidRPr="0056510B">
        <w:t xml:space="preserve"> State</w:t>
      </w:r>
    </w:p>
    <w:tbl>
      <w:tblPr>
        <w:tblStyle w:val="TableGrid"/>
        <w:tblW w:w="0" w:type="auto"/>
        <w:tblLook w:val="04A0" w:firstRow="1" w:lastRow="0" w:firstColumn="1" w:lastColumn="0" w:noHBand="0" w:noVBand="1"/>
        <w:tblDescription w:val="Table 20: % of caseload that is Indigenous in each State"/>
      </w:tblPr>
      <w:tblGrid>
        <w:gridCol w:w="1256"/>
        <w:gridCol w:w="876"/>
        <w:gridCol w:w="912"/>
        <w:gridCol w:w="862"/>
        <w:gridCol w:w="880"/>
        <w:gridCol w:w="862"/>
        <w:gridCol w:w="873"/>
        <w:gridCol w:w="843"/>
        <w:gridCol w:w="879"/>
        <w:gridCol w:w="999"/>
      </w:tblGrid>
      <w:tr w:rsidR="003957AD" w14:paraId="615A0E5D" w14:textId="77777777" w:rsidTr="00DE0473">
        <w:trPr>
          <w:tblHeader/>
        </w:trPr>
        <w:tc>
          <w:tcPr>
            <w:tcW w:w="1285" w:type="dxa"/>
            <w:shd w:val="clear" w:color="auto" w:fill="DBE5F1" w:themeFill="accent1" w:themeFillTint="33"/>
          </w:tcPr>
          <w:p w14:paraId="6DD611CE" w14:textId="77777777" w:rsidR="003957AD" w:rsidRPr="00B44F04" w:rsidRDefault="003957AD" w:rsidP="00DE0473">
            <w:pPr>
              <w:rPr>
                <w:rFonts w:cs="Calibri"/>
                <w:b/>
                <w:color w:val="000000"/>
              </w:rPr>
            </w:pPr>
          </w:p>
        </w:tc>
        <w:tc>
          <w:tcPr>
            <w:tcW w:w="1003" w:type="dxa"/>
            <w:shd w:val="clear" w:color="auto" w:fill="DBE5F1" w:themeFill="accent1" w:themeFillTint="33"/>
          </w:tcPr>
          <w:p w14:paraId="4875F256" w14:textId="77777777" w:rsidR="003957AD" w:rsidRPr="00B44F04" w:rsidRDefault="003957AD" w:rsidP="00DE0473">
            <w:pPr>
              <w:jc w:val="center"/>
              <w:rPr>
                <w:rFonts w:cs="Calibri"/>
                <w:b/>
                <w:color w:val="000000"/>
              </w:rPr>
            </w:pPr>
            <w:r w:rsidRPr="00B44F04">
              <w:rPr>
                <w:rFonts w:cs="Calibri"/>
                <w:b/>
                <w:color w:val="000000"/>
              </w:rPr>
              <w:t>ACT</w:t>
            </w:r>
          </w:p>
        </w:tc>
        <w:tc>
          <w:tcPr>
            <w:tcW w:w="1024" w:type="dxa"/>
            <w:shd w:val="clear" w:color="auto" w:fill="DBE5F1" w:themeFill="accent1" w:themeFillTint="33"/>
          </w:tcPr>
          <w:p w14:paraId="6FDEB9A9" w14:textId="77777777" w:rsidR="003957AD" w:rsidRPr="00B44F04" w:rsidRDefault="003957AD" w:rsidP="00DE0473">
            <w:pPr>
              <w:jc w:val="center"/>
              <w:rPr>
                <w:rFonts w:cs="Calibri"/>
                <w:b/>
                <w:color w:val="000000"/>
              </w:rPr>
            </w:pPr>
            <w:r>
              <w:rPr>
                <w:rFonts w:cs="Calibri"/>
                <w:b/>
                <w:color w:val="000000"/>
              </w:rPr>
              <w:t>NSW</w:t>
            </w:r>
          </w:p>
        </w:tc>
        <w:tc>
          <w:tcPr>
            <w:tcW w:w="982" w:type="dxa"/>
            <w:shd w:val="clear" w:color="auto" w:fill="DBE5F1" w:themeFill="accent1" w:themeFillTint="33"/>
          </w:tcPr>
          <w:p w14:paraId="4E85823A" w14:textId="77777777" w:rsidR="003957AD" w:rsidRPr="00B44F04" w:rsidRDefault="003957AD" w:rsidP="00DE0473">
            <w:pPr>
              <w:jc w:val="center"/>
              <w:rPr>
                <w:rFonts w:cs="Calibri"/>
                <w:b/>
                <w:color w:val="000000"/>
              </w:rPr>
            </w:pPr>
            <w:r>
              <w:rPr>
                <w:rFonts w:cs="Calibri"/>
                <w:b/>
                <w:color w:val="000000"/>
              </w:rPr>
              <w:t>NT</w:t>
            </w:r>
          </w:p>
        </w:tc>
        <w:tc>
          <w:tcPr>
            <w:tcW w:w="1008" w:type="dxa"/>
            <w:shd w:val="clear" w:color="auto" w:fill="DBE5F1" w:themeFill="accent1" w:themeFillTint="33"/>
          </w:tcPr>
          <w:p w14:paraId="72E1D23E" w14:textId="77777777" w:rsidR="003957AD" w:rsidRPr="00B44F04" w:rsidRDefault="003957AD" w:rsidP="00DE0473">
            <w:pPr>
              <w:jc w:val="center"/>
              <w:rPr>
                <w:rFonts w:cs="Calibri"/>
                <w:b/>
                <w:color w:val="000000"/>
              </w:rPr>
            </w:pPr>
            <w:r>
              <w:rPr>
                <w:rFonts w:cs="Calibri"/>
                <w:b/>
                <w:color w:val="000000"/>
              </w:rPr>
              <w:t>QLD</w:t>
            </w:r>
          </w:p>
        </w:tc>
        <w:tc>
          <w:tcPr>
            <w:tcW w:w="982" w:type="dxa"/>
            <w:shd w:val="clear" w:color="auto" w:fill="DBE5F1" w:themeFill="accent1" w:themeFillTint="33"/>
          </w:tcPr>
          <w:p w14:paraId="5C4B994C" w14:textId="77777777" w:rsidR="003957AD" w:rsidRPr="00B44F04" w:rsidRDefault="003957AD" w:rsidP="00DE0473">
            <w:pPr>
              <w:jc w:val="center"/>
              <w:rPr>
                <w:rFonts w:cs="Calibri"/>
                <w:b/>
                <w:color w:val="000000"/>
              </w:rPr>
            </w:pPr>
            <w:r>
              <w:rPr>
                <w:rFonts w:cs="Calibri"/>
                <w:b/>
                <w:color w:val="000000"/>
              </w:rPr>
              <w:t>SA</w:t>
            </w:r>
          </w:p>
        </w:tc>
        <w:tc>
          <w:tcPr>
            <w:tcW w:w="999" w:type="dxa"/>
            <w:shd w:val="clear" w:color="auto" w:fill="DBE5F1" w:themeFill="accent1" w:themeFillTint="33"/>
          </w:tcPr>
          <w:p w14:paraId="5B44CD5A" w14:textId="77777777" w:rsidR="003957AD" w:rsidRPr="00B44F04" w:rsidRDefault="003957AD" w:rsidP="00DE0473">
            <w:pPr>
              <w:jc w:val="center"/>
              <w:rPr>
                <w:rFonts w:cs="Calibri"/>
                <w:b/>
                <w:color w:val="000000"/>
              </w:rPr>
            </w:pPr>
            <w:r>
              <w:rPr>
                <w:rFonts w:cs="Calibri"/>
                <w:b/>
                <w:color w:val="000000"/>
              </w:rPr>
              <w:t>TAS</w:t>
            </w:r>
          </w:p>
        </w:tc>
        <w:tc>
          <w:tcPr>
            <w:tcW w:w="989" w:type="dxa"/>
            <w:shd w:val="clear" w:color="auto" w:fill="DBE5F1" w:themeFill="accent1" w:themeFillTint="33"/>
          </w:tcPr>
          <w:p w14:paraId="7986E03D" w14:textId="77777777" w:rsidR="003957AD" w:rsidRPr="00B44F04" w:rsidRDefault="003957AD" w:rsidP="00DE0473">
            <w:pPr>
              <w:jc w:val="center"/>
              <w:rPr>
                <w:rFonts w:cs="Calibri"/>
                <w:b/>
                <w:color w:val="000000"/>
              </w:rPr>
            </w:pPr>
            <w:r>
              <w:rPr>
                <w:rFonts w:cs="Calibri"/>
                <w:b/>
                <w:color w:val="000000"/>
              </w:rPr>
              <w:t>VIC</w:t>
            </w:r>
          </w:p>
        </w:tc>
        <w:tc>
          <w:tcPr>
            <w:tcW w:w="1007" w:type="dxa"/>
            <w:shd w:val="clear" w:color="auto" w:fill="DBE5F1" w:themeFill="accent1" w:themeFillTint="33"/>
          </w:tcPr>
          <w:p w14:paraId="46558F9A" w14:textId="77777777" w:rsidR="003957AD" w:rsidRPr="00B44F04" w:rsidRDefault="003957AD" w:rsidP="00DE0473">
            <w:pPr>
              <w:jc w:val="center"/>
              <w:rPr>
                <w:rFonts w:cs="Calibri"/>
                <w:b/>
                <w:color w:val="000000"/>
              </w:rPr>
            </w:pPr>
            <w:r>
              <w:rPr>
                <w:rFonts w:cs="Calibri"/>
                <w:b/>
                <w:color w:val="000000"/>
              </w:rPr>
              <w:t>WA</w:t>
            </w:r>
          </w:p>
        </w:tc>
        <w:tc>
          <w:tcPr>
            <w:tcW w:w="999" w:type="dxa"/>
            <w:shd w:val="clear" w:color="auto" w:fill="DBE5F1" w:themeFill="accent1" w:themeFillTint="33"/>
          </w:tcPr>
          <w:p w14:paraId="5B72E222" w14:textId="77777777" w:rsidR="003957AD" w:rsidRDefault="003957AD" w:rsidP="00DE0473">
            <w:pPr>
              <w:jc w:val="center"/>
              <w:rPr>
                <w:rFonts w:cs="Calibri"/>
                <w:b/>
                <w:color w:val="000000"/>
              </w:rPr>
            </w:pPr>
            <w:r>
              <w:rPr>
                <w:rFonts w:cs="Calibri"/>
                <w:b/>
                <w:color w:val="000000"/>
              </w:rPr>
              <w:t>National</w:t>
            </w:r>
          </w:p>
        </w:tc>
      </w:tr>
      <w:tr w:rsidR="003957AD" w14:paraId="24CE9FA3" w14:textId="77777777" w:rsidTr="00DE0473">
        <w:tc>
          <w:tcPr>
            <w:tcW w:w="1285" w:type="dxa"/>
          </w:tcPr>
          <w:p w14:paraId="56E5E1B9" w14:textId="77777777" w:rsidR="003957AD" w:rsidRDefault="003957AD" w:rsidP="00DE0473">
            <w:r>
              <w:t>% of caseload that is indigenous</w:t>
            </w:r>
          </w:p>
        </w:tc>
        <w:tc>
          <w:tcPr>
            <w:tcW w:w="1003" w:type="dxa"/>
            <w:vAlign w:val="center"/>
          </w:tcPr>
          <w:p w14:paraId="4C114B2D" w14:textId="77777777" w:rsidR="003957AD" w:rsidRPr="00B44F04" w:rsidRDefault="003957AD" w:rsidP="00DE0473">
            <w:pPr>
              <w:jc w:val="center"/>
              <w:rPr>
                <w:rFonts w:cs="Calibri"/>
                <w:color w:val="000000"/>
              </w:rPr>
            </w:pPr>
            <w:r w:rsidRPr="00B44F04">
              <w:rPr>
                <w:rFonts w:cs="Calibri"/>
                <w:color w:val="000000"/>
              </w:rPr>
              <w:t>1</w:t>
            </w:r>
            <w:r>
              <w:rPr>
                <w:rFonts w:cs="Calibri"/>
                <w:color w:val="000000"/>
              </w:rPr>
              <w:t>1</w:t>
            </w:r>
            <w:r w:rsidRPr="00B44F04">
              <w:rPr>
                <w:rFonts w:cs="Calibri"/>
                <w:color w:val="000000"/>
              </w:rPr>
              <w:t>%</w:t>
            </w:r>
          </w:p>
        </w:tc>
        <w:tc>
          <w:tcPr>
            <w:tcW w:w="1024" w:type="dxa"/>
            <w:vAlign w:val="center"/>
          </w:tcPr>
          <w:p w14:paraId="4E7DD670" w14:textId="77777777" w:rsidR="003957AD" w:rsidRPr="00B44F04" w:rsidRDefault="003957AD" w:rsidP="00DE0473">
            <w:pPr>
              <w:jc w:val="center"/>
              <w:rPr>
                <w:rFonts w:cs="Calibri"/>
                <w:color w:val="000000"/>
              </w:rPr>
            </w:pPr>
            <w:r>
              <w:rPr>
                <w:rFonts w:cs="Calibri"/>
                <w:color w:val="000000"/>
              </w:rPr>
              <w:t>22%</w:t>
            </w:r>
          </w:p>
        </w:tc>
        <w:tc>
          <w:tcPr>
            <w:tcW w:w="982" w:type="dxa"/>
            <w:vAlign w:val="center"/>
          </w:tcPr>
          <w:p w14:paraId="4C985F67" w14:textId="77777777" w:rsidR="003957AD" w:rsidRPr="00B44F04" w:rsidRDefault="003957AD" w:rsidP="00DE0473">
            <w:pPr>
              <w:jc w:val="center"/>
              <w:rPr>
                <w:rFonts w:cs="Calibri"/>
                <w:color w:val="000000"/>
              </w:rPr>
            </w:pPr>
            <w:r>
              <w:rPr>
                <w:rFonts w:cs="Calibri"/>
                <w:color w:val="000000"/>
              </w:rPr>
              <w:t>77%</w:t>
            </w:r>
          </w:p>
        </w:tc>
        <w:tc>
          <w:tcPr>
            <w:tcW w:w="1008" w:type="dxa"/>
            <w:vAlign w:val="center"/>
          </w:tcPr>
          <w:p w14:paraId="0C90CEA8" w14:textId="77777777" w:rsidR="003957AD" w:rsidRPr="00B44F04" w:rsidRDefault="003957AD" w:rsidP="00DE0473">
            <w:pPr>
              <w:jc w:val="center"/>
              <w:rPr>
                <w:rFonts w:cs="Calibri"/>
                <w:color w:val="000000"/>
              </w:rPr>
            </w:pPr>
            <w:r>
              <w:rPr>
                <w:rFonts w:cs="Calibri"/>
                <w:color w:val="000000"/>
              </w:rPr>
              <w:t>21%</w:t>
            </w:r>
          </w:p>
        </w:tc>
        <w:tc>
          <w:tcPr>
            <w:tcW w:w="982" w:type="dxa"/>
            <w:vAlign w:val="center"/>
          </w:tcPr>
          <w:p w14:paraId="2A54CD83" w14:textId="77777777" w:rsidR="003957AD" w:rsidRPr="00B44F04" w:rsidRDefault="003957AD" w:rsidP="00DE0473">
            <w:pPr>
              <w:jc w:val="center"/>
              <w:rPr>
                <w:rFonts w:cs="Calibri"/>
                <w:color w:val="000000"/>
              </w:rPr>
            </w:pPr>
            <w:r>
              <w:rPr>
                <w:rFonts w:cs="Calibri"/>
                <w:color w:val="000000"/>
              </w:rPr>
              <w:t>14%</w:t>
            </w:r>
          </w:p>
        </w:tc>
        <w:tc>
          <w:tcPr>
            <w:tcW w:w="999" w:type="dxa"/>
            <w:vAlign w:val="center"/>
          </w:tcPr>
          <w:p w14:paraId="125CE333" w14:textId="77777777" w:rsidR="003957AD" w:rsidRPr="00B44F04" w:rsidRDefault="003957AD" w:rsidP="00DE0473">
            <w:pPr>
              <w:jc w:val="center"/>
              <w:rPr>
                <w:rFonts w:cs="Calibri"/>
                <w:color w:val="000000"/>
              </w:rPr>
            </w:pPr>
            <w:r>
              <w:rPr>
                <w:rFonts w:cs="Calibri"/>
                <w:color w:val="000000"/>
              </w:rPr>
              <w:t>12%</w:t>
            </w:r>
          </w:p>
        </w:tc>
        <w:tc>
          <w:tcPr>
            <w:tcW w:w="989" w:type="dxa"/>
            <w:vAlign w:val="center"/>
          </w:tcPr>
          <w:p w14:paraId="1084CF62" w14:textId="77777777" w:rsidR="003957AD" w:rsidRPr="00B44F04" w:rsidRDefault="003957AD" w:rsidP="00DE0473">
            <w:pPr>
              <w:jc w:val="center"/>
              <w:rPr>
                <w:rFonts w:cs="Calibri"/>
                <w:color w:val="000000"/>
              </w:rPr>
            </w:pPr>
            <w:r>
              <w:rPr>
                <w:rFonts w:cs="Calibri"/>
                <w:color w:val="000000"/>
              </w:rPr>
              <w:t>6%</w:t>
            </w:r>
          </w:p>
        </w:tc>
        <w:tc>
          <w:tcPr>
            <w:tcW w:w="1007" w:type="dxa"/>
            <w:vAlign w:val="center"/>
          </w:tcPr>
          <w:p w14:paraId="52148A63" w14:textId="77777777" w:rsidR="003957AD" w:rsidRPr="00B44F04" w:rsidRDefault="003957AD" w:rsidP="00DE0473">
            <w:pPr>
              <w:jc w:val="center"/>
              <w:rPr>
                <w:rFonts w:cs="Calibri"/>
                <w:color w:val="000000"/>
              </w:rPr>
            </w:pPr>
            <w:r>
              <w:rPr>
                <w:rFonts w:cs="Calibri"/>
                <w:color w:val="000000"/>
              </w:rPr>
              <w:t>24%</w:t>
            </w:r>
          </w:p>
        </w:tc>
        <w:tc>
          <w:tcPr>
            <w:tcW w:w="999" w:type="dxa"/>
            <w:vAlign w:val="center"/>
          </w:tcPr>
          <w:p w14:paraId="790DE31C" w14:textId="77777777" w:rsidR="003957AD" w:rsidRDefault="003957AD" w:rsidP="00DE0473">
            <w:pPr>
              <w:jc w:val="center"/>
              <w:rPr>
                <w:rFonts w:cs="Calibri"/>
                <w:color w:val="000000"/>
              </w:rPr>
            </w:pPr>
            <w:r>
              <w:rPr>
                <w:rFonts w:cs="Calibri"/>
                <w:color w:val="000000"/>
              </w:rPr>
              <w:t>19%</w:t>
            </w:r>
          </w:p>
        </w:tc>
      </w:tr>
    </w:tbl>
    <w:p w14:paraId="25CEEA70" w14:textId="77777777" w:rsidR="003957AD" w:rsidRDefault="003957AD" w:rsidP="003957AD">
      <w:pPr>
        <w:ind w:firstLine="720"/>
      </w:pPr>
    </w:p>
    <w:p w14:paraId="0E048356" w14:textId="77777777" w:rsidR="003957AD" w:rsidRDefault="003957AD" w:rsidP="003957AD">
      <w:pPr>
        <w:ind w:firstLine="720"/>
      </w:pPr>
    </w:p>
    <w:p w14:paraId="745C4172" w14:textId="77777777" w:rsidR="003957AD" w:rsidRDefault="003957AD" w:rsidP="00546F15">
      <w:pPr>
        <w:pStyle w:val="Heading4"/>
      </w:pPr>
      <w:r>
        <w:t>Table 21: Indigenous participants – VIC and National</w:t>
      </w:r>
    </w:p>
    <w:tbl>
      <w:tblPr>
        <w:tblW w:w="7880" w:type="dxa"/>
        <w:tblInd w:w="89" w:type="dxa"/>
        <w:tblLook w:val="04A0" w:firstRow="1" w:lastRow="0" w:firstColumn="1" w:lastColumn="0" w:noHBand="0" w:noVBand="1"/>
      </w:tblPr>
      <w:tblGrid>
        <w:gridCol w:w="5264"/>
        <w:gridCol w:w="1276"/>
        <w:gridCol w:w="1340"/>
      </w:tblGrid>
      <w:tr w:rsidR="003957AD" w:rsidRPr="00BC0B36" w14:paraId="7B3BE6C7" w14:textId="77777777" w:rsidTr="00DE0473">
        <w:trPr>
          <w:trHeight w:val="300"/>
        </w:trPr>
        <w:tc>
          <w:tcPr>
            <w:tcW w:w="52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bottom"/>
            <w:hideMark/>
          </w:tcPr>
          <w:p w14:paraId="1247A26F" w14:textId="77777777" w:rsidR="003957AD" w:rsidRPr="00BC0B36" w:rsidRDefault="003957AD" w:rsidP="00DE0473">
            <w:pPr>
              <w:rPr>
                <w:rFonts w:cs="Calibri"/>
                <w:b/>
                <w:color w:val="000000"/>
              </w:rPr>
            </w:pPr>
            <w:r w:rsidRPr="00BC0B36">
              <w:rPr>
                <w:rFonts w:cs="Calibri"/>
                <w:b/>
                <w:color w:val="000000"/>
              </w:rPr>
              <w:t> </w:t>
            </w:r>
          </w:p>
        </w:tc>
        <w:tc>
          <w:tcPr>
            <w:tcW w:w="1276" w:type="dxa"/>
            <w:tcBorders>
              <w:top w:val="single" w:sz="4" w:space="0" w:color="auto"/>
              <w:left w:val="nil"/>
              <w:bottom w:val="single" w:sz="4" w:space="0" w:color="auto"/>
              <w:right w:val="single" w:sz="4" w:space="0" w:color="auto"/>
            </w:tcBorders>
            <w:shd w:val="clear" w:color="auto" w:fill="DBE5F1" w:themeFill="accent1" w:themeFillTint="33"/>
            <w:noWrap/>
            <w:vAlign w:val="bottom"/>
            <w:hideMark/>
          </w:tcPr>
          <w:p w14:paraId="612F4514" w14:textId="77777777" w:rsidR="003957AD" w:rsidRPr="00BC0B36" w:rsidRDefault="003957AD" w:rsidP="00DE0473">
            <w:pPr>
              <w:jc w:val="center"/>
              <w:rPr>
                <w:rFonts w:cs="Calibri"/>
                <w:b/>
                <w:color w:val="000000"/>
              </w:rPr>
            </w:pPr>
            <w:r>
              <w:rPr>
                <w:rFonts w:cs="Calibri"/>
                <w:b/>
                <w:color w:val="000000"/>
              </w:rPr>
              <w:t>VIC</w:t>
            </w:r>
          </w:p>
        </w:tc>
        <w:tc>
          <w:tcPr>
            <w:tcW w:w="1340" w:type="dxa"/>
            <w:tcBorders>
              <w:top w:val="single" w:sz="4" w:space="0" w:color="auto"/>
              <w:left w:val="nil"/>
              <w:bottom w:val="single" w:sz="4" w:space="0" w:color="auto"/>
              <w:right w:val="single" w:sz="4" w:space="0" w:color="auto"/>
            </w:tcBorders>
            <w:shd w:val="clear" w:color="auto" w:fill="DBE5F1" w:themeFill="accent1" w:themeFillTint="33"/>
            <w:noWrap/>
            <w:vAlign w:val="bottom"/>
            <w:hideMark/>
          </w:tcPr>
          <w:p w14:paraId="6D79F86A" w14:textId="77777777" w:rsidR="003957AD" w:rsidRPr="00BC0B36" w:rsidRDefault="003957AD" w:rsidP="00DE0473">
            <w:pPr>
              <w:jc w:val="center"/>
              <w:rPr>
                <w:rFonts w:cs="Calibri"/>
                <w:b/>
                <w:color w:val="000000"/>
              </w:rPr>
            </w:pPr>
            <w:r w:rsidRPr="00BC0B36">
              <w:rPr>
                <w:rFonts w:cs="Calibri"/>
                <w:b/>
                <w:color w:val="000000"/>
              </w:rPr>
              <w:t>National</w:t>
            </w:r>
          </w:p>
        </w:tc>
      </w:tr>
      <w:tr w:rsidR="003957AD" w:rsidRPr="00BC0B36" w14:paraId="2E5E293A" w14:textId="77777777" w:rsidTr="00DE0473">
        <w:trPr>
          <w:trHeight w:val="368"/>
        </w:trPr>
        <w:tc>
          <w:tcPr>
            <w:tcW w:w="5264" w:type="dxa"/>
            <w:tcBorders>
              <w:top w:val="nil"/>
              <w:left w:val="single" w:sz="4" w:space="0" w:color="auto"/>
              <w:bottom w:val="single" w:sz="4" w:space="0" w:color="auto"/>
              <w:right w:val="single" w:sz="4" w:space="0" w:color="auto"/>
            </w:tcBorders>
            <w:shd w:val="clear" w:color="auto" w:fill="auto"/>
            <w:vAlign w:val="center"/>
            <w:hideMark/>
          </w:tcPr>
          <w:p w14:paraId="44114C44" w14:textId="77777777" w:rsidR="003957AD" w:rsidRPr="00BC0B36" w:rsidRDefault="003957AD" w:rsidP="00DE0473">
            <w:pPr>
              <w:rPr>
                <w:rFonts w:cs="Calibri"/>
                <w:color w:val="000000"/>
              </w:rPr>
            </w:pPr>
            <w:r>
              <w:rPr>
                <w:rFonts w:cs="Calibri"/>
                <w:color w:val="000000"/>
              </w:rPr>
              <w:t>Indigenous Participants</w:t>
            </w:r>
          </w:p>
        </w:tc>
        <w:tc>
          <w:tcPr>
            <w:tcW w:w="1276" w:type="dxa"/>
            <w:tcBorders>
              <w:top w:val="nil"/>
              <w:left w:val="nil"/>
              <w:bottom w:val="single" w:sz="4" w:space="0" w:color="auto"/>
              <w:right w:val="single" w:sz="4" w:space="0" w:color="auto"/>
            </w:tcBorders>
            <w:shd w:val="clear" w:color="auto" w:fill="auto"/>
            <w:noWrap/>
            <w:vAlign w:val="center"/>
            <w:hideMark/>
          </w:tcPr>
          <w:p w14:paraId="66A79CCD" w14:textId="77777777" w:rsidR="003957AD" w:rsidRPr="00A53179" w:rsidRDefault="003957AD" w:rsidP="00DE0473">
            <w:pPr>
              <w:jc w:val="center"/>
              <w:rPr>
                <w:rFonts w:cs="Calibri"/>
                <w:color w:val="000000"/>
              </w:rPr>
            </w:pPr>
            <w:r>
              <w:rPr>
                <w:rFonts w:cs="Calibri"/>
                <w:color w:val="000000"/>
              </w:rPr>
              <w:t>745</w:t>
            </w:r>
          </w:p>
        </w:tc>
        <w:tc>
          <w:tcPr>
            <w:tcW w:w="1340" w:type="dxa"/>
            <w:tcBorders>
              <w:top w:val="nil"/>
              <w:left w:val="nil"/>
              <w:bottom w:val="single" w:sz="4" w:space="0" w:color="auto"/>
              <w:right w:val="single" w:sz="4" w:space="0" w:color="auto"/>
            </w:tcBorders>
            <w:shd w:val="clear" w:color="auto" w:fill="auto"/>
            <w:noWrap/>
            <w:vAlign w:val="center"/>
            <w:hideMark/>
          </w:tcPr>
          <w:p w14:paraId="473744FB" w14:textId="77777777" w:rsidR="003957AD" w:rsidRPr="00A53179" w:rsidRDefault="003957AD" w:rsidP="00DE0473">
            <w:pPr>
              <w:jc w:val="center"/>
              <w:rPr>
                <w:rFonts w:cs="Calibri"/>
                <w:color w:val="000000"/>
              </w:rPr>
            </w:pPr>
            <w:r>
              <w:rPr>
                <w:rFonts w:cs="Calibri"/>
                <w:color w:val="000000"/>
              </w:rPr>
              <w:t>10,955</w:t>
            </w:r>
          </w:p>
        </w:tc>
      </w:tr>
      <w:tr w:rsidR="003957AD" w:rsidRPr="00BC0B36" w14:paraId="3333879D" w14:textId="77777777" w:rsidTr="00DE0473">
        <w:trPr>
          <w:trHeight w:val="600"/>
        </w:trPr>
        <w:tc>
          <w:tcPr>
            <w:tcW w:w="5264" w:type="dxa"/>
            <w:tcBorders>
              <w:top w:val="nil"/>
              <w:left w:val="single" w:sz="4" w:space="0" w:color="auto"/>
              <w:bottom w:val="single" w:sz="4" w:space="0" w:color="auto"/>
              <w:right w:val="single" w:sz="4" w:space="0" w:color="auto"/>
            </w:tcBorders>
            <w:shd w:val="clear" w:color="auto" w:fill="auto"/>
            <w:vAlign w:val="center"/>
            <w:hideMark/>
          </w:tcPr>
          <w:p w14:paraId="6D6059F4" w14:textId="77777777" w:rsidR="003957AD" w:rsidRPr="00BC0B36" w:rsidRDefault="003957AD" w:rsidP="00DE0473">
            <w:pPr>
              <w:rPr>
                <w:rFonts w:cs="Calibri"/>
                <w:color w:val="000000"/>
              </w:rPr>
            </w:pPr>
            <w:r>
              <w:rPr>
                <w:rFonts w:cs="Calibri"/>
                <w:color w:val="000000"/>
              </w:rPr>
              <w:t>All Participants</w:t>
            </w:r>
          </w:p>
        </w:tc>
        <w:tc>
          <w:tcPr>
            <w:tcW w:w="1276" w:type="dxa"/>
            <w:tcBorders>
              <w:top w:val="nil"/>
              <w:left w:val="nil"/>
              <w:bottom w:val="single" w:sz="4" w:space="0" w:color="auto"/>
              <w:right w:val="single" w:sz="4" w:space="0" w:color="auto"/>
            </w:tcBorders>
            <w:shd w:val="clear" w:color="auto" w:fill="auto"/>
            <w:noWrap/>
            <w:vAlign w:val="center"/>
            <w:hideMark/>
          </w:tcPr>
          <w:p w14:paraId="2467D536" w14:textId="77777777" w:rsidR="003957AD" w:rsidRPr="00A53179" w:rsidRDefault="003957AD" w:rsidP="00DE0473">
            <w:pPr>
              <w:jc w:val="center"/>
              <w:rPr>
                <w:rFonts w:cs="Calibri"/>
                <w:color w:val="000000"/>
              </w:rPr>
            </w:pPr>
            <w:r>
              <w:rPr>
                <w:rFonts w:cs="Calibri"/>
                <w:color w:val="000000"/>
              </w:rPr>
              <w:t>13,068</w:t>
            </w:r>
          </w:p>
        </w:tc>
        <w:tc>
          <w:tcPr>
            <w:tcW w:w="1340" w:type="dxa"/>
            <w:tcBorders>
              <w:top w:val="nil"/>
              <w:left w:val="nil"/>
              <w:bottom w:val="single" w:sz="4" w:space="0" w:color="auto"/>
              <w:right w:val="single" w:sz="4" w:space="0" w:color="auto"/>
            </w:tcBorders>
            <w:shd w:val="clear" w:color="auto" w:fill="auto"/>
            <w:noWrap/>
            <w:vAlign w:val="center"/>
            <w:hideMark/>
          </w:tcPr>
          <w:p w14:paraId="3E6B3DED" w14:textId="77777777" w:rsidR="003957AD" w:rsidRPr="00A53179" w:rsidRDefault="003957AD" w:rsidP="00DE0473">
            <w:pPr>
              <w:jc w:val="center"/>
              <w:rPr>
                <w:rFonts w:cs="Calibri"/>
                <w:bCs/>
                <w:color w:val="000000"/>
              </w:rPr>
            </w:pPr>
            <w:r>
              <w:rPr>
                <w:rFonts w:cs="Calibri"/>
                <w:bCs/>
                <w:color w:val="000000"/>
              </w:rPr>
              <w:t>58,408</w:t>
            </w:r>
          </w:p>
        </w:tc>
      </w:tr>
      <w:tr w:rsidR="003957AD" w:rsidRPr="00BC0B36" w14:paraId="3A579AF5" w14:textId="77777777" w:rsidTr="00DE0473">
        <w:trPr>
          <w:trHeight w:val="600"/>
        </w:trPr>
        <w:tc>
          <w:tcPr>
            <w:tcW w:w="5264" w:type="dxa"/>
            <w:tcBorders>
              <w:top w:val="nil"/>
              <w:left w:val="single" w:sz="4" w:space="0" w:color="auto"/>
              <w:bottom w:val="single" w:sz="4" w:space="0" w:color="auto"/>
              <w:right w:val="single" w:sz="4" w:space="0" w:color="auto"/>
            </w:tcBorders>
            <w:shd w:val="clear" w:color="auto" w:fill="auto"/>
            <w:vAlign w:val="center"/>
            <w:hideMark/>
          </w:tcPr>
          <w:p w14:paraId="5AE655B2" w14:textId="77777777" w:rsidR="003957AD" w:rsidRPr="00BC0B36" w:rsidRDefault="003957AD" w:rsidP="00DE0473">
            <w:pPr>
              <w:rPr>
                <w:rFonts w:cs="Calibri"/>
                <w:color w:val="000000"/>
              </w:rPr>
            </w:pPr>
            <w:r>
              <w:rPr>
                <w:rFonts w:cs="Calibri"/>
                <w:color w:val="000000"/>
              </w:rPr>
              <w:t>% Indigenous</w:t>
            </w:r>
          </w:p>
        </w:tc>
        <w:tc>
          <w:tcPr>
            <w:tcW w:w="1276" w:type="dxa"/>
            <w:tcBorders>
              <w:top w:val="nil"/>
              <w:left w:val="nil"/>
              <w:bottom w:val="single" w:sz="4" w:space="0" w:color="auto"/>
              <w:right w:val="single" w:sz="4" w:space="0" w:color="auto"/>
            </w:tcBorders>
            <w:shd w:val="clear" w:color="auto" w:fill="auto"/>
            <w:noWrap/>
            <w:vAlign w:val="center"/>
            <w:hideMark/>
          </w:tcPr>
          <w:p w14:paraId="51726854" w14:textId="77777777" w:rsidR="003957AD" w:rsidRPr="00BC0B36" w:rsidRDefault="003957AD" w:rsidP="00DE0473">
            <w:pPr>
              <w:jc w:val="center"/>
              <w:rPr>
                <w:rFonts w:cs="Calibri"/>
                <w:color w:val="000000"/>
              </w:rPr>
            </w:pPr>
            <w:r>
              <w:rPr>
                <w:rFonts w:cs="Calibri"/>
                <w:color w:val="000000"/>
              </w:rPr>
              <w:t>6%</w:t>
            </w:r>
          </w:p>
        </w:tc>
        <w:tc>
          <w:tcPr>
            <w:tcW w:w="1340" w:type="dxa"/>
            <w:tcBorders>
              <w:top w:val="nil"/>
              <w:left w:val="nil"/>
              <w:bottom w:val="single" w:sz="4" w:space="0" w:color="auto"/>
              <w:right w:val="single" w:sz="4" w:space="0" w:color="auto"/>
            </w:tcBorders>
            <w:shd w:val="clear" w:color="auto" w:fill="auto"/>
            <w:noWrap/>
            <w:vAlign w:val="center"/>
            <w:hideMark/>
          </w:tcPr>
          <w:p w14:paraId="2D19301D" w14:textId="77777777" w:rsidR="003957AD" w:rsidRPr="00BC0B36" w:rsidRDefault="003957AD" w:rsidP="00DE0473">
            <w:pPr>
              <w:jc w:val="center"/>
              <w:rPr>
                <w:rFonts w:cs="Calibri"/>
                <w:color w:val="000000"/>
              </w:rPr>
            </w:pPr>
            <w:r>
              <w:rPr>
                <w:rFonts w:cs="Calibri"/>
                <w:color w:val="000000"/>
              </w:rPr>
              <w:t>19%</w:t>
            </w:r>
          </w:p>
        </w:tc>
      </w:tr>
    </w:tbl>
    <w:p w14:paraId="4DE07B59" w14:textId="77777777" w:rsidR="003957AD" w:rsidRDefault="003957AD" w:rsidP="003957AD"/>
    <w:p w14:paraId="37E8F713" w14:textId="77777777" w:rsidR="003957AD" w:rsidRDefault="003957AD" w:rsidP="00546F15">
      <w:pPr>
        <w:pStyle w:val="Heading4"/>
      </w:pPr>
      <w:r>
        <w:t>Table 22: VIC and National- Indigenous participant outcomes achievement</w:t>
      </w:r>
    </w:p>
    <w:tbl>
      <w:tblPr>
        <w:tblW w:w="10084" w:type="dxa"/>
        <w:tblInd w:w="89" w:type="dxa"/>
        <w:tblLayout w:type="fixed"/>
        <w:tblLook w:val="04A0" w:firstRow="1" w:lastRow="0" w:firstColumn="1" w:lastColumn="0" w:noHBand="0" w:noVBand="1"/>
      </w:tblPr>
      <w:tblGrid>
        <w:gridCol w:w="5264"/>
        <w:gridCol w:w="1178"/>
        <w:gridCol w:w="1232"/>
        <w:gridCol w:w="1134"/>
        <w:gridCol w:w="1276"/>
      </w:tblGrid>
      <w:tr w:rsidR="003957AD" w:rsidRPr="00BC0B36" w14:paraId="55299467" w14:textId="77777777" w:rsidTr="00DE0473">
        <w:trPr>
          <w:trHeight w:val="300"/>
        </w:trPr>
        <w:tc>
          <w:tcPr>
            <w:tcW w:w="52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bottom"/>
            <w:hideMark/>
          </w:tcPr>
          <w:p w14:paraId="7F5B6366" w14:textId="77777777" w:rsidR="003957AD" w:rsidRPr="00BC0B36" w:rsidRDefault="003957AD" w:rsidP="00DE0473">
            <w:pPr>
              <w:rPr>
                <w:rFonts w:cs="Calibri"/>
                <w:b/>
                <w:color w:val="000000"/>
              </w:rPr>
            </w:pPr>
            <w:r w:rsidRPr="00BC0B36">
              <w:rPr>
                <w:rFonts w:cs="Calibri"/>
                <w:b/>
                <w:color w:val="000000"/>
              </w:rPr>
              <w:t> </w:t>
            </w:r>
          </w:p>
        </w:tc>
        <w:tc>
          <w:tcPr>
            <w:tcW w:w="2410" w:type="dxa"/>
            <w:gridSpan w:val="2"/>
            <w:tcBorders>
              <w:top w:val="single" w:sz="4" w:space="0" w:color="auto"/>
              <w:left w:val="nil"/>
              <w:bottom w:val="single" w:sz="4" w:space="0" w:color="auto"/>
              <w:right w:val="single" w:sz="4" w:space="0" w:color="auto"/>
            </w:tcBorders>
            <w:shd w:val="clear" w:color="auto" w:fill="DBE5F1" w:themeFill="accent1" w:themeFillTint="33"/>
            <w:noWrap/>
            <w:vAlign w:val="bottom"/>
            <w:hideMark/>
          </w:tcPr>
          <w:p w14:paraId="7001358A" w14:textId="77777777" w:rsidR="003957AD" w:rsidRPr="00BC0B36" w:rsidRDefault="003957AD" w:rsidP="00DE0473">
            <w:pPr>
              <w:jc w:val="center"/>
              <w:rPr>
                <w:rFonts w:cs="Calibri"/>
                <w:b/>
                <w:color w:val="000000"/>
              </w:rPr>
            </w:pPr>
            <w:r>
              <w:rPr>
                <w:rFonts w:cs="Calibri"/>
                <w:b/>
                <w:color w:val="000000"/>
              </w:rPr>
              <w:t>VIC</w:t>
            </w:r>
          </w:p>
        </w:tc>
        <w:tc>
          <w:tcPr>
            <w:tcW w:w="2410" w:type="dxa"/>
            <w:gridSpan w:val="2"/>
            <w:tcBorders>
              <w:top w:val="single" w:sz="4" w:space="0" w:color="auto"/>
              <w:left w:val="nil"/>
              <w:bottom w:val="single" w:sz="4" w:space="0" w:color="auto"/>
              <w:right w:val="single" w:sz="4" w:space="0" w:color="auto"/>
            </w:tcBorders>
            <w:shd w:val="clear" w:color="auto" w:fill="DBE5F1" w:themeFill="accent1" w:themeFillTint="33"/>
            <w:noWrap/>
            <w:vAlign w:val="bottom"/>
            <w:hideMark/>
          </w:tcPr>
          <w:p w14:paraId="796FE824" w14:textId="77777777" w:rsidR="003957AD" w:rsidRPr="00BC0B36" w:rsidRDefault="003957AD" w:rsidP="00DE0473">
            <w:pPr>
              <w:jc w:val="center"/>
              <w:rPr>
                <w:rFonts w:cs="Calibri"/>
                <w:b/>
                <w:color w:val="000000"/>
              </w:rPr>
            </w:pPr>
            <w:r w:rsidRPr="00BC0B36">
              <w:rPr>
                <w:rFonts w:cs="Calibri"/>
                <w:b/>
                <w:color w:val="000000"/>
              </w:rPr>
              <w:t>National</w:t>
            </w:r>
          </w:p>
        </w:tc>
      </w:tr>
      <w:tr w:rsidR="003957AD" w:rsidRPr="00BC0B36" w14:paraId="63C7C02C" w14:textId="77777777" w:rsidTr="00DE0473">
        <w:trPr>
          <w:trHeight w:val="368"/>
        </w:trPr>
        <w:tc>
          <w:tcPr>
            <w:tcW w:w="5264" w:type="dxa"/>
            <w:tcBorders>
              <w:top w:val="nil"/>
              <w:left w:val="single" w:sz="4" w:space="0" w:color="auto"/>
              <w:bottom w:val="single" w:sz="4" w:space="0" w:color="auto"/>
              <w:right w:val="single" w:sz="4" w:space="0" w:color="auto"/>
            </w:tcBorders>
            <w:shd w:val="clear" w:color="auto" w:fill="auto"/>
            <w:vAlign w:val="bottom"/>
            <w:hideMark/>
          </w:tcPr>
          <w:p w14:paraId="372F1FD7" w14:textId="77777777" w:rsidR="003957AD" w:rsidRPr="00BC0B36" w:rsidRDefault="003957AD" w:rsidP="00DE0473">
            <w:pPr>
              <w:rPr>
                <w:rFonts w:cs="Calibri"/>
                <w:color w:val="000000"/>
              </w:rPr>
            </w:pPr>
            <w:r>
              <w:rPr>
                <w:rFonts w:cs="Calibri"/>
                <w:color w:val="000000"/>
              </w:rPr>
              <w:t>Indigenous young people enrolled in individual support services</w:t>
            </w:r>
            <w:r w:rsidRPr="00BC0B36">
              <w:rPr>
                <w:rFonts w:cs="Calibri"/>
                <w:color w:val="000000"/>
              </w:rPr>
              <w:t xml:space="preserve"> </w:t>
            </w:r>
          </w:p>
        </w:tc>
        <w:tc>
          <w:tcPr>
            <w:tcW w:w="2410" w:type="dxa"/>
            <w:gridSpan w:val="2"/>
            <w:tcBorders>
              <w:top w:val="nil"/>
              <w:left w:val="nil"/>
              <w:bottom w:val="single" w:sz="4" w:space="0" w:color="auto"/>
              <w:right w:val="single" w:sz="4" w:space="0" w:color="auto"/>
            </w:tcBorders>
            <w:shd w:val="clear" w:color="auto" w:fill="auto"/>
            <w:noWrap/>
            <w:vAlign w:val="center"/>
            <w:hideMark/>
          </w:tcPr>
          <w:p w14:paraId="25E54E94" w14:textId="77777777" w:rsidR="003957AD" w:rsidRPr="00BC0B36" w:rsidRDefault="003957AD" w:rsidP="00DE0473">
            <w:pPr>
              <w:jc w:val="center"/>
              <w:rPr>
                <w:rFonts w:cs="Calibri"/>
                <w:color w:val="000000"/>
              </w:rPr>
            </w:pPr>
            <w:r>
              <w:rPr>
                <w:rFonts w:cs="Calibri"/>
                <w:color w:val="000000"/>
              </w:rPr>
              <w:t>745</w:t>
            </w:r>
          </w:p>
        </w:tc>
        <w:tc>
          <w:tcPr>
            <w:tcW w:w="2410" w:type="dxa"/>
            <w:gridSpan w:val="2"/>
            <w:tcBorders>
              <w:top w:val="nil"/>
              <w:left w:val="nil"/>
              <w:bottom w:val="single" w:sz="4" w:space="0" w:color="auto"/>
              <w:right w:val="single" w:sz="4" w:space="0" w:color="auto"/>
            </w:tcBorders>
            <w:shd w:val="clear" w:color="auto" w:fill="auto"/>
            <w:noWrap/>
            <w:vAlign w:val="center"/>
            <w:hideMark/>
          </w:tcPr>
          <w:p w14:paraId="69044494" w14:textId="77777777" w:rsidR="003957AD" w:rsidRPr="00BC0B36" w:rsidRDefault="003957AD" w:rsidP="00DE0473">
            <w:pPr>
              <w:jc w:val="center"/>
              <w:rPr>
                <w:rFonts w:cs="Calibri"/>
                <w:color w:val="000000"/>
              </w:rPr>
            </w:pPr>
            <w:r>
              <w:rPr>
                <w:rFonts w:cs="Calibri"/>
                <w:color w:val="000000"/>
              </w:rPr>
              <w:t>10,955</w:t>
            </w:r>
          </w:p>
        </w:tc>
      </w:tr>
      <w:tr w:rsidR="003957AD" w:rsidRPr="00BC0B36" w14:paraId="6A50688A" w14:textId="77777777" w:rsidTr="00DE0473">
        <w:trPr>
          <w:trHeight w:val="600"/>
        </w:trPr>
        <w:tc>
          <w:tcPr>
            <w:tcW w:w="5264" w:type="dxa"/>
            <w:tcBorders>
              <w:top w:val="nil"/>
              <w:left w:val="single" w:sz="4" w:space="0" w:color="auto"/>
              <w:bottom w:val="single" w:sz="4" w:space="0" w:color="auto"/>
              <w:right w:val="single" w:sz="4" w:space="0" w:color="auto"/>
            </w:tcBorders>
            <w:shd w:val="clear" w:color="auto" w:fill="auto"/>
            <w:vAlign w:val="bottom"/>
            <w:hideMark/>
          </w:tcPr>
          <w:p w14:paraId="01245319" w14:textId="77777777" w:rsidR="003957AD" w:rsidRPr="00BC0B36" w:rsidRDefault="003957AD" w:rsidP="00DE0473">
            <w:pPr>
              <w:rPr>
                <w:rFonts w:cs="Calibri"/>
                <w:color w:val="000000"/>
              </w:rPr>
            </w:pPr>
            <w:r>
              <w:rPr>
                <w:rFonts w:cs="Calibri"/>
                <w:color w:val="000000"/>
              </w:rPr>
              <w:t>Indigenous young people who have achieved a progressive outcome</w:t>
            </w:r>
          </w:p>
        </w:tc>
        <w:tc>
          <w:tcPr>
            <w:tcW w:w="1178" w:type="dxa"/>
            <w:tcBorders>
              <w:top w:val="nil"/>
              <w:left w:val="nil"/>
              <w:bottom w:val="single" w:sz="4" w:space="0" w:color="auto"/>
              <w:right w:val="single" w:sz="4" w:space="0" w:color="auto"/>
            </w:tcBorders>
            <w:shd w:val="clear" w:color="auto" w:fill="auto"/>
            <w:noWrap/>
            <w:vAlign w:val="center"/>
            <w:hideMark/>
          </w:tcPr>
          <w:p w14:paraId="699483E7" w14:textId="77777777" w:rsidR="003957AD" w:rsidRPr="00BC0B36" w:rsidRDefault="003957AD" w:rsidP="00DE0473">
            <w:pPr>
              <w:jc w:val="center"/>
              <w:rPr>
                <w:rFonts w:cs="Calibri"/>
                <w:color w:val="000000"/>
              </w:rPr>
            </w:pPr>
            <w:r>
              <w:rPr>
                <w:rFonts w:cs="Calibri"/>
                <w:color w:val="000000"/>
              </w:rPr>
              <w:t>487</w:t>
            </w:r>
          </w:p>
        </w:tc>
        <w:tc>
          <w:tcPr>
            <w:tcW w:w="1232" w:type="dxa"/>
            <w:tcBorders>
              <w:top w:val="nil"/>
              <w:left w:val="nil"/>
              <w:bottom w:val="single" w:sz="4" w:space="0" w:color="auto"/>
              <w:right w:val="single" w:sz="4" w:space="0" w:color="auto"/>
            </w:tcBorders>
            <w:shd w:val="clear" w:color="auto" w:fill="auto"/>
            <w:vAlign w:val="center"/>
          </w:tcPr>
          <w:p w14:paraId="01951A00" w14:textId="77777777" w:rsidR="003957AD" w:rsidRPr="00BC0B36" w:rsidRDefault="003957AD" w:rsidP="00DE0473">
            <w:pPr>
              <w:jc w:val="center"/>
              <w:rPr>
                <w:rFonts w:cs="Calibri"/>
                <w:color w:val="000000"/>
              </w:rPr>
            </w:pPr>
            <w:r>
              <w:rPr>
                <w:rFonts w:cs="Calibri"/>
                <w:color w:val="000000"/>
              </w:rPr>
              <w:t>65%</w:t>
            </w:r>
          </w:p>
        </w:tc>
        <w:tc>
          <w:tcPr>
            <w:tcW w:w="1134" w:type="dxa"/>
            <w:tcBorders>
              <w:top w:val="nil"/>
              <w:left w:val="nil"/>
              <w:bottom w:val="single" w:sz="4" w:space="0" w:color="auto"/>
              <w:right w:val="single" w:sz="4" w:space="0" w:color="auto"/>
            </w:tcBorders>
            <w:shd w:val="clear" w:color="auto" w:fill="auto"/>
            <w:noWrap/>
            <w:vAlign w:val="center"/>
            <w:hideMark/>
          </w:tcPr>
          <w:p w14:paraId="50133237" w14:textId="77777777" w:rsidR="003957AD" w:rsidRPr="008B641B" w:rsidRDefault="003957AD" w:rsidP="00DE0473">
            <w:pPr>
              <w:jc w:val="center"/>
              <w:rPr>
                <w:rFonts w:cs="Calibri"/>
                <w:color w:val="000000"/>
              </w:rPr>
            </w:pPr>
            <w:r>
              <w:rPr>
                <w:rFonts w:cs="Calibri"/>
                <w:bCs/>
                <w:color w:val="000000"/>
              </w:rPr>
              <w:t>7434</w:t>
            </w:r>
          </w:p>
        </w:tc>
        <w:tc>
          <w:tcPr>
            <w:tcW w:w="1276" w:type="dxa"/>
            <w:tcBorders>
              <w:top w:val="nil"/>
              <w:left w:val="nil"/>
              <w:bottom w:val="single" w:sz="4" w:space="0" w:color="auto"/>
              <w:right w:val="single" w:sz="4" w:space="0" w:color="auto"/>
            </w:tcBorders>
            <w:shd w:val="clear" w:color="auto" w:fill="auto"/>
            <w:vAlign w:val="center"/>
          </w:tcPr>
          <w:p w14:paraId="0B7A3503" w14:textId="77777777" w:rsidR="003957AD" w:rsidRPr="00BC0B36" w:rsidRDefault="003957AD" w:rsidP="00DE0473">
            <w:pPr>
              <w:jc w:val="center"/>
              <w:rPr>
                <w:rFonts w:cs="Calibri"/>
                <w:color w:val="000000"/>
              </w:rPr>
            </w:pPr>
            <w:r>
              <w:rPr>
                <w:rFonts w:cs="Calibri"/>
                <w:color w:val="000000"/>
              </w:rPr>
              <w:t>68%</w:t>
            </w:r>
          </w:p>
        </w:tc>
      </w:tr>
      <w:tr w:rsidR="003957AD" w:rsidRPr="00BC0B36" w14:paraId="7C35B77C" w14:textId="77777777" w:rsidTr="00DE0473">
        <w:trPr>
          <w:trHeight w:val="600"/>
        </w:trPr>
        <w:tc>
          <w:tcPr>
            <w:tcW w:w="5264" w:type="dxa"/>
            <w:tcBorders>
              <w:top w:val="nil"/>
              <w:left w:val="single" w:sz="4" w:space="0" w:color="auto"/>
              <w:bottom w:val="single" w:sz="4" w:space="0" w:color="auto"/>
              <w:right w:val="single" w:sz="4" w:space="0" w:color="auto"/>
            </w:tcBorders>
            <w:shd w:val="clear" w:color="auto" w:fill="auto"/>
            <w:vAlign w:val="bottom"/>
            <w:hideMark/>
          </w:tcPr>
          <w:p w14:paraId="29C755AB" w14:textId="77777777" w:rsidR="003957AD" w:rsidRPr="00BC0B36" w:rsidRDefault="003957AD" w:rsidP="00DE0473">
            <w:pPr>
              <w:rPr>
                <w:rFonts w:cs="Calibri"/>
                <w:color w:val="000000"/>
              </w:rPr>
            </w:pPr>
            <w:r>
              <w:rPr>
                <w:rFonts w:cs="Calibri"/>
                <w:color w:val="000000"/>
              </w:rPr>
              <w:t>Indigenous young people who have achieved a final outcome</w:t>
            </w:r>
          </w:p>
        </w:tc>
        <w:tc>
          <w:tcPr>
            <w:tcW w:w="1178" w:type="dxa"/>
            <w:tcBorders>
              <w:top w:val="nil"/>
              <w:left w:val="nil"/>
              <w:bottom w:val="single" w:sz="4" w:space="0" w:color="auto"/>
              <w:right w:val="single" w:sz="4" w:space="0" w:color="auto"/>
            </w:tcBorders>
            <w:shd w:val="clear" w:color="auto" w:fill="auto"/>
            <w:noWrap/>
            <w:vAlign w:val="center"/>
            <w:hideMark/>
          </w:tcPr>
          <w:p w14:paraId="5F2E4B4C" w14:textId="77777777" w:rsidR="003957AD" w:rsidRPr="00BC0B36" w:rsidRDefault="003957AD" w:rsidP="00DE0473">
            <w:pPr>
              <w:jc w:val="center"/>
              <w:rPr>
                <w:rFonts w:cs="Calibri"/>
                <w:color w:val="000000"/>
              </w:rPr>
            </w:pPr>
            <w:r>
              <w:rPr>
                <w:rFonts w:cs="Calibri"/>
                <w:color w:val="000000"/>
              </w:rPr>
              <w:t>368</w:t>
            </w:r>
          </w:p>
        </w:tc>
        <w:tc>
          <w:tcPr>
            <w:tcW w:w="1232" w:type="dxa"/>
            <w:tcBorders>
              <w:top w:val="nil"/>
              <w:left w:val="nil"/>
              <w:bottom w:val="single" w:sz="4" w:space="0" w:color="auto"/>
              <w:right w:val="single" w:sz="4" w:space="0" w:color="auto"/>
            </w:tcBorders>
            <w:shd w:val="clear" w:color="auto" w:fill="auto"/>
            <w:vAlign w:val="center"/>
          </w:tcPr>
          <w:p w14:paraId="0E0B9C12" w14:textId="77777777" w:rsidR="003957AD" w:rsidRPr="00BC0B36" w:rsidRDefault="003957AD" w:rsidP="00DE0473">
            <w:pPr>
              <w:jc w:val="center"/>
              <w:rPr>
                <w:rFonts w:cs="Calibri"/>
                <w:color w:val="000000"/>
              </w:rPr>
            </w:pPr>
            <w:r>
              <w:rPr>
                <w:rFonts w:cs="Calibri"/>
                <w:color w:val="000000"/>
              </w:rPr>
              <w:t>49%</w:t>
            </w:r>
          </w:p>
        </w:tc>
        <w:tc>
          <w:tcPr>
            <w:tcW w:w="1134" w:type="dxa"/>
            <w:tcBorders>
              <w:top w:val="nil"/>
              <w:left w:val="nil"/>
              <w:bottom w:val="single" w:sz="4" w:space="0" w:color="auto"/>
              <w:right w:val="single" w:sz="4" w:space="0" w:color="auto"/>
            </w:tcBorders>
            <w:shd w:val="clear" w:color="auto" w:fill="auto"/>
            <w:noWrap/>
            <w:vAlign w:val="center"/>
            <w:hideMark/>
          </w:tcPr>
          <w:p w14:paraId="6E6F22DF" w14:textId="77777777" w:rsidR="003957AD" w:rsidRPr="008B641B" w:rsidRDefault="003957AD" w:rsidP="00DE0473">
            <w:pPr>
              <w:jc w:val="center"/>
              <w:rPr>
                <w:rFonts w:cs="Calibri"/>
                <w:color w:val="000000"/>
              </w:rPr>
            </w:pPr>
            <w:r>
              <w:rPr>
                <w:rFonts w:cs="Calibri"/>
                <w:bCs/>
                <w:color w:val="000000"/>
              </w:rPr>
              <w:t>5436</w:t>
            </w:r>
          </w:p>
        </w:tc>
        <w:tc>
          <w:tcPr>
            <w:tcW w:w="1276" w:type="dxa"/>
            <w:tcBorders>
              <w:top w:val="nil"/>
              <w:left w:val="nil"/>
              <w:bottom w:val="single" w:sz="4" w:space="0" w:color="auto"/>
              <w:right w:val="single" w:sz="4" w:space="0" w:color="auto"/>
            </w:tcBorders>
            <w:shd w:val="clear" w:color="auto" w:fill="auto"/>
            <w:vAlign w:val="center"/>
          </w:tcPr>
          <w:p w14:paraId="3899B807" w14:textId="77777777" w:rsidR="003957AD" w:rsidRPr="00BC0B36" w:rsidRDefault="003957AD" w:rsidP="00DE0473">
            <w:pPr>
              <w:jc w:val="center"/>
              <w:rPr>
                <w:rFonts w:cs="Calibri"/>
                <w:color w:val="000000"/>
              </w:rPr>
            </w:pPr>
            <w:r>
              <w:rPr>
                <w:rFonts w:cs="Calibri"/>
                <w:color w:val="000000"/>
              </w:rPr>
              <w:t>50%</w:t>
            </w:r>
          </w:p>
        </w:tc>
      </w:tr>
    </w:tbl>
    <w:p w14:paraId="69EF4B28" w14:textId="77777777" w:rsidR="003F2C80" w:rsidRDefault="003F2C80" w:rsidP="003957AD"/>
    <w:p w14:paraId="5D6553E0" w14:textId="77777777" w:rsidR="003957AD" w:rsidRDefault="003957AD" w:rsidP="00546F15">
      <w:pPr>
        <w:pStyle w:val="Heading2"/>
      </w:pPr>
      <w:bookmarkStart w:id="40" w:name="_Toc384042870"/>
      <w:r>
        <w:t>Humanitarian Refugee</w:t>
      </w:r>
      <w:bookmarkEnd w:id="40"/>
    </w:p>
    <w:p w14:paraId="134FB0DD" w14:textId="77777777" w:rsidR="003957AD" w:rsidRPr="00D57214" w:rsidRDefault="003957AD" w:rsidP="003F2C80">
      <w:pPr>
        <w:pStyle w:val="Heading4"/>
      </w:pPr>
      <w:r>
        <w:t>Figure 19: % of Total Humanitarian refugee participants by state</w:t>
      </w:r>
    </w:p>
    <w:p w14:paraId="7340C4C1" w14:textId="77777777" w:rsidR="003957AD" w:rsidRDefault="003957AD" w:rsidP="003957AD">
      <w:r>
        <w:rPr>
          <w:noProof/>
          <w:lang w:eastAsia="en-AU"/>
        </w:rPr>
        <w:drawing>
          <wp:inline distT="0" distB="0" distL="0" distR="0" wp14:anchorId="1D48E79D" wp14:editId="10EA35ED">
            <wp:extent cx="5972175" cy="2333625"/>
            <wp:effectExtent l="0" t="0" r="9525" b="9525"/>
            <wp:docPr id="47" name="Chart 47" descr="Percentage of total Humanitarian Refugee Participants by state, as shown in table 23 below"/>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14:paraId="3D37319B" w14:textId="77777777" w:rsidR="003957AD" w:rsidRDefault="003957AD" w:rsidP="00546F15">
      <w:pPr>
        <w:pStyle w:val="Heading4"/>
        <w:spacing w:after="120"/>
      </w:pPr>
      <w:r>
        <w:t>Table 23</w:t>
      </w:r>
      <w:r w:rsidRPr="0056510B">
        <w:t xml:space="preserve">: % of Total </w:t>
      </w:r>
      <w:r>
        <w:t>humanitarian refugee</w:t>
      </w:r>
      <w:r w:rsidRPr="0056510B">
        <w:t xml:space="preserve"> participants by State</w:t>
      </w:r>
    </w:p>
    <w:tbl>
      <w:tblPr>
        <w:tblStyle w:val="TableGrid"/>
        <w:tblW w:w="0" w:type="auto"/>
        <w:tblLook w:val="04A0" w:firstRow="1" w:lastRow="0" w:firstColumn="1" w:lastColumn="0" w:noHBand="0" w:noVBand="1"/>
        <w:tblDescription w:val="Table 23: % of Total humanitarian refugee participants by State"/>
      </w:tblPr>
      <w:tblGrid>
        <w:gridCol w:w="1507"/>
        <w:gridCol w:w="969"/>
        <w:gridCol w:w="998"/>
        <w:gridCol w:w="943"/>
        <w:gridCol w:w="977"/>
        <w:gridCol w:w="943"/>
        <w:gridCol w:w="966"/>
        <w:gridCol w:w="977"/>
        <w:gridCol w:w="962"/>
      </w:tblGrid>
      <w:tr w:rsidR="003957AD" w14:paraId="2F9DC5A0" w14:textId="77777777" w:rsidTr="00DE0473">
        <w:trPr>
          <w:tblHeader/>
        </w:trPr>
        <w:tc>
          <w:tcPr>
            <w:tcW w:w="1532" w:type="dxa"/>
            <w:shd w:val="clear" w:color="auto" w:fill="DBE5F1" w:themeFill="accent1" w:themeFillTint="33"/>
          </w:tcPr>
          <w:p w14:paraId="0976E486" w14:textId="77777777" w:rsidR="003957AD" w:rsidRPr="00B44F04" w:rsidRDefault="003957AD" w:rsidP="00DE0473">
            <w:pPr>
              <w:rPr>
                <w:rFonts w:cs="Calibri"/>
                <w:b/>
                <w:color w:val="000000"/>
              </w:rPr>
            </w:pPr>
          </w:p>
        </w:tc>
        <w:tc>
          <w:tcPr>
            <w:tcW w:w="1093" w:type="dxa"/>
            <w:shd w:val="clear" w:color="auto" w:fill="DBE5F1" w:themeFill="accent1" w:themeFillTint="33"/>
          </w:tcPr>
          <w:p w14:paraId="31299AA8" w14:textId="77777777" w:rsidR="003957AD" w:rsidRPr="00B44F04" w:rsidRDefault="003957AD" w:rsidP="00DE0473">
            <w:pPr>
              <w:jc w:val="center"/>
              <w:rPr>
                <w:rFonts w:cs="Calibri"/>
                <w:b/>
                <w:color w:val="000000"/>
              </w:rPr>
            </w:pPr>
            <w:r w:rsidRPr="00B44F04">
              <w:rPr>
                <w:rFonts w:cs="Calibri"/>
                <w:b/>
                <w:color w:val="000000"/>
              </w:rPr>
              <w:t>ACT</w:t>
            </w:r>
          </w:p>
        </w:tc>
        <w:tc>
          <w:tcPr>
            <w:tcW w:w="1102" w:type="dxa"/>
            <w:shd w:val="clear" w:color="auto" w:fill="DBE5F1" w:themeFill="accent1" w:themeFillTint="33"/>
          </w:tcPr>
          <w:p w14:paraId="241EFECB" w14:textId="77777777" w:rsidR="003957AD" w:rsidRPr="00B44F04" w:rsidRDefault="003957AD" w:rsidP="00DE0473">
            <w:pPr>
              <w:jc w:val="center"/>
              <w:rPr>
                <w:rFonts w:cs="Calibri"/>
                <w:b/>
                <w:color w:val="000000"/>
              </w:rPr>
            </w:pPr>
            <w:r>
              <w:rPr>
                <w:rFonts w:cs="Calibri"/>
                <w:b/>
                <w:color w:val="000000"/>
              </w:rPr>
              <w:t>NSW</w:t>
            </w:r>
          </w:p>
        </w:tc>
        <w:tc>
          <w:tcPr>
            <w:tcW w:w="1087" w:type="dxa"/>
            <w:shd w:val="clear" w:color="auto" w:fill="DBE5F1" w:themeFill="accent1" w:themeFillTint="33"/>
          </w:tcPr>
          <w:p w14:paraId="54216A77" w14:textId="77777777" w:rsidR="003957AD" w:rsidRPr="00B44F04" w:rsidRDefault="003957AD" w:rsidP="00DE0473">
            <w:pPr>
              <w:jc w:val="center"/>
              <w:rPr>
                <w:rFonts w:cs="Calibri"/>
                <w:b/>
                <w:color w:val="000000"/>
              </w:rPr>
            </w:pPr>
            <w:r>
              <w:rPr>
                <w:rFonts w:cs="Calibri"/>
                <w:b/>
                <w:color w:val="000000"/>
              </w:rPr>
              <w:t>NT</w:t>
            </w:r>
          </w:p>
        </w:tc>
        <w:tc>
          <w:tcPr>
            <w:tcW w:w="1096" w:type="dxa"/>
            <w:shd w:val="clear" w:color="auto" w:fill="DBE5F1" w:themeFill="accent1" w:themeFillTint="33"/>
          </w:tcPr>
          <w:p w14:paraId="20FE4454" w14:textId="77777777" w:rsidR="003957AD" w:rsidRPr="00B44F04" w:rsidRDefault="003957AD" w:rsidP="00DE0473">
            <w:pPr>
              <w:jc w:val="center"/>
              <w:rPr>
                <w:rFonts w:cs="Calibri"/>
                <w:b/>
                <w:color w:val="000000"/>
              </w:rPr>
            </w:pPr>
            <w:r>
              <w:rPr>
                <w:rFonts w:cs="Calibri"/>
                <w:b/>
                <w:color w:val="000000"/>
              </w:rPr>
              <w:t>QLD</w:t>
            </w:r>
          </w:p>
        </w:tc>
        <w:tc>
          <w:tcPr>
            <w:tcW w:w="1087" w:type="dxa"/>
            <w:shd w:val="clear" w:color="auto" w:fill="DBE5F1" w:themeFill="accent1" w:themeFillTint="33"/>
          </w:tcPr>
          <w:p w14:paraId="55900FF9" w14:textId="77777777" w:rsidR="003957AD" w:rsidRPr="00B44F04" w:rsidRDefault="003957AD" w:rsidP="00DE0473">
            <w:pPr>
              <w:jc w:val="center"/>
              <w:rPr>
                <w:rFonts w:cs="Calibri"/>
                <w:b/>
                <w:color w:val="000000"/>
              </w:rPr>
            </w:pPr>
            <w:r>
              <w:rPr>
                <w:rFonts w:cs="Calibri"/>
                <w:b/>
                <w:color w:val="000000"/>
              </w:rPr>
              <w:t>SA</w:t>
            </w:r>
          </w:p>
        </w:tc>
        <w:tc>
          <w:tcPr>
            <w:tcW w:w="1093" w:type="dxa"/>
            <w:shd w:val="clear" w:color="auto" w:fill="DBE5F1" w:themeFill="accent1" w:themeFillTint="33"/>
          </w:tcPr>
          <w:p w14:paraId="12C1ABE9" w14:textId="77777777" w:rsidR="003957AD" w:rsidRPr="00B44F04" w:rsidRDefault="003957AD" w:rsidP="00DE0473">
            <w:pPr>
              <w:jc w:val="center"/>
              <w:rPr>
                <w:rFonts w:cs="Calibri"/>
                <w:b/>
                <w:color w:val="000000"/>
              </w:rPr>
            </w:pPr>
            <w:r>
              <w:rPr>
                <w:rFonts w:cs="Calibri"/>
                <w:b/>
                <w:color w:val="000000"/>
              </w:rPr>
              <w:t>TAS</w:t>
            </w:r>
          </w:p>
        </w:tc>
        <w:tc>
          <w:tcPr>
            <w:tcW w:w="1096" w:type="dxa"/>
            <w:shd w:val="clear" w:color="auto" w:fill="DBE5F1" w:themeFill="accent1" w:themeFillTint="33"/>
          </w:tcPr>
          <w:p w14:paraId="2AECC510" w14:textId="77777777" w:rsidR="003957AD" w:rsidRPr="00B44F04" w:rsidRDefault="003957AD" w:rsidP="00DE0473">
            <w:pPr>
              <w:jc w:val="center"/>
              <w:rPr>
                <w:rFonts w:cs="Calibri"/>
                <w:b/>
                <w:color w:val="000000"/>
              </w:rPr>
            </w:pPr>
            <w:r>
              <w:rPr>
                <w:rFonts w:cs="Calibri"/>
                <w:b/>
                <w:color w:val="000000"/>
              </w:rPr>
              <w:t>VIC</w:t>
            </w:r>
          </w:p>
        </w:tc>
        <w:tc>
          <w:tcPr>
            <w:tcW w:w="1092" w:type="dxa"/>
            <w:shd w:val="clear" w:color="auto" w:fill="DBE5F1" w:themeFill="accent1" w:themeFillTint="33"/>
          </w:tcPr>
          <w:p w14:paraId="5850D239" w14:textId="77777777" w:rsidR="003957AD" w:rsidRPr="00B44F04" w:rsidRDefault="003957AD" w:rsidP="00DE0473">
            <w:pPr>
              <w:jc w:val="center"/>
              <w:rPr>
                <w:rFonts w:cs="Calibri"/>
                <w:b/>
                <w:color w:val="000000"/>
              </w:rPr>
            </w:pPr>
            <w:r>
              <w:rPr>
                <w:rFonts w:cs="Calibri"/>
                <w:b/>
                <w:color w:val="000000"/>
              </w:rPr>
              <w:t>WA</w:t>
            </w:r>
          </w:p>
        </w:tc>
      </w:tr>
      <w:tr w:rsidR="003957AD" w14:paraId="71E8BC05" w14:textId="77777777" w:rsidTr="00DE0473">
        <w:tc>
          <w:tcPr>
            <w:tcW w:w="1532" w:type="dxa"/>
          </w:tcPr>
          <w:p w14:paraId="52B35AB3" w14:textId="77777777" w:rsidR="003957AD" w:rsidRDefault="003957AD" w:rsidP="00DE0473">
            <w:r>
              <w:t xml:space="preserve">% of total humanitarian refugee </w:t>
            </w:r>
            <w:r w:rsidRPr="00B44F04">
              <w:rPr>
                <w:rFonts w:cs="Calibri"/>
                <w:color w:val="000000"/>
              </w:rPr>
              <w:t>participants</w:t>
            </w:r>
          </w:p>
        </w:tc>
        <w:tc>
          <w:tcPr>
            <w:tcW w:w="1093" w:type="dxa"/>
            <w:vAlign w:val="center"/>
          </w:tcPr>
          <w:p w14:paraId="45AB5B1F" w14:textId="77777777" w:rsidR="003957AD" w:rsidRPr="00B44F04" w:rsidRDefault="003957AD" w:rsidP="00DE0473">
            <w:pPr>
              <w:jc w:val="center"/>
              <w:rPr>
                <w:rFonts w:cs="Calibri"/>
                <w:color w:val="000000"/>
              </w:rPr>
            </w:pPr>
            <w:r>
              <w:rPr>
                <w:rFonts w:cs="Calibri"/>
                <w:color w:val="000000"/>
              </w:rPr>
              <w:t>4</w:t>
            </w:r>
            <w:r w:rsidRPr="00B44F04">
              <w:rPr>
                <w:rFonts w:cs="Calibri"/>
                <w:color w:val="000000"/>
              </w:rPr>
              <w:t>%</w:t>
            </w:r>
          </w:p>
        </w:tc>
        <w:tc>
          <w:tcPr>
            <w:tcW w:w="1102" w:type="dxa"/>
            <w:vAlign w:val="center"/>
          </w:tcPr>
          <w:p w14:paraId="59D382C9" w14:textId="77777777" w:rsidR="003957AD" w:rsidRPr="00B44F04" w:rsidRDefault="003957AD" w:rsidP="00DE0473">
            <w:pPr>
              <w:jc w:val="center"/>
              <w:rPr>
                <w:rFonts w:cs="Calibri"/>
                <w:color w:val="000000"/>
              </w:rPr>
            </w:pPr>
            <w:r>
              <w:rPr>
                <w:rFonts w:cs="Calibri"/>
                <w:color w:val="000000"/>
              </w:rPr>
              <w:t>28%</w:t>
            </w:r>
          </w:p>
        </w:tc>
        <w:tc>
          <w:tcPr>
            <w:tcW w:w="1087" w:type="dxa"/>
            <w:vAlign w:val="center"/>
          </w:tcPr>
          <w:p w14:paraId="224D40A6" w14:textId="77777777" w:rsidR="003957AD" w:rsidRPr="00B44F04" w:rsidRDefault="003957AD" w:rsidP="00DE0473">
            <w:pPr>
              <w:jc w:val="center"/>
              <w:rPr>
                <w:rFonts w:cs="Calibri"/>
                <w:color w:val="000000"/>
              </w:rPr>
            </w:pPr>
            <w:r>
              <w:rPr>
                <w:rFonts w:cs="Calibri"/>
                <w:color w:val="000000"/>
              </w:rPr>
              <w:t>0%</w:t>
            </w:r>
          </w:p>
        </w:tc>
        <w:tc>
          <w:tcPr>
            <w:tcW w:w="1096" w:type="dxa"/>
            <w:vAlign w:val="center"/>
          </w:tcPr>
          <w:p w14:paraId="08B5DBCD" w14:textId="77777777" w:rsidR="003957AD" w:rsidRPr="00B44F04" w:rsidRDefault="003957AD" w:rsidP="00DE0473">
            <w:pPr>
              <w:jc w:val="center"/>
              <w:rPr>
                <w:rFonts w:cs="Calibri"/>
                <w:color w:val="000000"/>
              </w:rPr>
            </w:pPr>
            <w:r>
              <w:rPr>
                <w:rFonts w:cs="Calibri"/>
                <w:color w:val="000000"/>
              </w:rPr>
              <w:t>9%</w:t>
            </w:r>
          </w:p>
        </w:tc>
        <w:tc>
          <w:tcPr>
            <w:tcW w:w="1087" w:type="dxa"/>
            <w:vAlign w:val="center"/>
          </w:tcPr>
          <w:p w14:paraId="43BE037E" w14:textId="77777777" w:rsidR="003957AD" w:rsidRPr="00B44F04" w:rsidRDefault="003957AD" w:rsidP="00DE0473">
            <w:pPr>
              <w:jc w:val="center"/>
              <w:rPr>
                <w:rFonts w:cs="Calibri"/>
                <w:color w:val="000000"/>
              </w:rPr>
            </w:pPr>
            <w:r>
              <w:rPr>
                <w:rFonts w:cs="Calibri"/>
                <w:color w:val="000000"/>
              </w:rPr>
              <w:t>6%</w:t>
            </w:r>
          </w:p>
        </w:tc>
        <w:tc>
          <w:tcPr>
            <w:tcW w:w="1093" w:type="dxa"/>
            <w:vAlign w:val="center"/>
          </w:tcPr>
          <w:p w14:paraId="6B98BF34" w14:textId="77777777" w:rsidR="003957AD" w:rsidRPr="00B44F04" w:rsidRDefault="003957AD" w:rsidP="00DE0473">
            <w:pPr>
              <w:jc w:val="center"/>
              <w:rPr>
                <w:rFonts w:cs="Calibri"/>
                <w:color w:val="000000"/>
              </w:rPr>
            </w:pPr>
            <w:r>
              <w:rPr>
                <w:rFonts w:cs="Calibri"/>
                <w:color w:val="000000"/>
              </w:rPr>
              <w:t>3%</w:t>
            </w:r>
          </w:p>
        </w:tc>
        <w:tc>
          <w:tcPr>
            <w:tcW w:w="1096" w:type="dxa"/>
            <w:vAlign w:val="center"/>
          </w:tcPr>
          <w:p w14:paraId="5DEC2433" w14:textId="77777777" w:rsidR="003957AD" w:rsidRPr="00B44F04" w:rsidRDefault="003957AD" w:rsidP="00DE0473">
            <w:pPr>
              <w:jc w:val="center"/>
              <w:rPr>
                <w:rFonts w:cs="Calibri"/>
                <w:color w:val="000000"/>
              </w:rPr>
            </w:pPr>
            <w:r>
              <w:rPr>
                <w:rFonts w:cs="Calibri"/>
                <w:color w:val="000000"/>
              </w:rPr>
              <w:t>43%</w:t>
            </w:r>
          </w:p>
        </w:tc>
        <w:tc>
          <w:tcPr>
            <w:tcW w:w="1092" w:type="dxa"/>
            <w:vAlign w:val="center"/>
          </w:tcPr>
          <w:p w14:paraId="4735B189" w14:textId="77777777" w:rsidR="003957AD" w:rsidRPr="00B44F04" w:rsidRDefault="003957AD" w:rsidP="00DE0473">
            <w:pPr>
              <w:jc w:val="center"/>
              <w:rPr>
                <w:rFonts w:cs="Calibri"/>
                <w:color w:val="000000"/>
              </w:rPr>
            </w:pPr>
            <w:r>
              <w:rPr>
                <w:rFonts w:cs="Calibri"/>
                <w:color w:val="000000"/>
              </w:rPr>
              <w:t>7%</w:t>
            </w:r>
          </w:p>
        </w:tc>
      </w:tr>
    </w:tbl>
    <w:p w14:paraId="0881F133" w14:textId="77777777" w:rsidR="003957AD" w:rsidRDefault="003957AD" w:rsidP="003957AD"/>
    <w:p w14:paraId="7C0EDBDC" w14:textId="77777777" w:rsidR="003957AD" w:rsidRPr="00980839" w:rsidRDefault="003957AD" w:rsidP="003F2C80">
      <w:pPr>
        <w:pStyle w:val="Heading4"/>
      </w:pPr>
      <w:r w:rsidRPr="00980839">
        <w:lastRenderedPageBreak/>
        <w:t>Figure 20: % of caseload that is Humanitarian refugee in each state</w:t>
      </w:r>
    </w:p>
    <w:p w14:paraId="611578D0" w14:textId="77777777" w:rsidR="003957AD" w:rsidRDefault="003957AD" w:rsidP="003957AD">
      <w:r>
        <w:rPr>
          <w:noProof/>
          <w:lang w:eastAsia="en-AU"/>
        </w:rPr>
        <w:drawing>
          <wp:inline distT="0" distB="0" distL="0" distR="0" wp14:anchorId="04237EF2" wp14:editId="60C9C614">
            <wp:extent cx="5972175" cy="2362200"/>
            <wp:effectExtent l="0" t="0" r="9525" b="19050"/>
            <wp:docPr id="49" name="Chart 49" descr="Percentage of caseload that is Humanitarian Refugee in each State graphic representation of table24 below"/>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14:paraId="769A087E" w14:textId="27C26F0E" w:rsidR="003957AD" w:rsidRPr="0056510B" w:rsidRDefault="003957AD" w:rsidP="00546F15">
      <w:pPr>
        <w:pStyle w:val="Heading4"/>
        <w:spacing w:after="120"/>
        <w:rPr>
          <w:rFonts w:cs="Calibri"/>
          <w:b w:val="0"/>
          <w:bCs w:val="0"/>
          <w:color w:val="000000"/>
        </w:rPr>
      </w:pPr>
      <w:r>
        <w:t>Table 24</w:t>
      </w:r>
      <w:r w:rsidRPr="0056510B">
        <w:t xml:space="preserve">: % of </w:t>
      </w:r>
      <w:r>
        <w:t>caseload that is humanitarian refugee in each</w:t>
      </w:r>
      <w:r w:rsidRPr="0056510B">
        <w:t xml:space="preserve"> State</w:t>
      </w:r>
    </w:p>
    <w:tbl>
      <w:tblPr>
        <w:tblStyle w:val="TableGrid"/>
        <w:tblW w:w="0" w:type="auto"/>
        <w:tblLook w:val="04A0" w:firstRow="1" w:lastRow="0" w:firstColumn="1" w:lastColumn="0" w:noHBand="0" w:noVBand="1"/>
        <w:tblDescription w:val="Table 24: % of caseload that is humanitarian refugee in each State"/>
      </w:tblPr>
      <w:tblGrid>
        <w:gridCol w:w="2777"/>
        <w:gridCol w:w="767"/>
        <w:gridCol w:w="795"/>
        <w:gridCol w:w="640"/>
        <w:gridCol w:w="676"/>
        <w:gridCol w:w="641"/>
        <w:gridCol w:w="665"/>
        <w:gridCol w:w="652"/>
        <w:gridCol w:w="630"/>
        <w:gridCol w:w="999"/>
      </w:tblGrid>
      <w:tr w:rsidR="003957AD" w14:paraId="7950A14A" w14:textId="77777777" w:rsidTr="00DE0473">
        <w:trPr>
          <w:tblHeader/>
        </w:trPr>
        <w:tc>
          <w:tcPr>
            <w:tcW w:w="3369" w:type="dxa"/>
            <w:shd w:val="clear" w:color="auto" w:fill="DBE5F1" w:themeFill="accent1" w:themeFillTint="33"/>
          </w:tcPr>
          <w:p w14:paraId="0E44D059" w14:textId="77777777" w:rsidR="003957AD" w:rsidRPr="00B44F04" w:rsidRDefault="003957AD" w:rsidP="00DE0473">
            <w:pPr>
              <w:rPr>
                <w:rFonts w:cs="Calibri"/>
                <w:b/>
                <w:color w:val="000000"/>
              </w:rPr>
            </w:pPr>
          </w:p>
        </w:tc>
        <w:tc>
          <w:tcPr>
            <w:tcW w:w="850" w:type="dxa"/>
            <w:shd w:val="clear" w:color="auto" w:fill="DBE5F1" w:themeFill="accent1" w:themeFillTint="33"/>
          </w:tcPr>
          <w:p w14:paraId="00F9A281" w14:textId="77777777" w:rsidR="003957AD" w:rsidRPr="00B44F04" w:rsidRDefault="003957AD" w:rsidP="00DE0473">
            <w:pPr>
              <w:jc w:val="center"/>
              <w:rPr>
                <w:rFonts w:cs="Calibri"/>
                <w:b/>
                <w:color w:val="000000"/>
              </w:rPr>
            </w:pPr>
            <w:r w:rsidRPr="00B44F04">
              <w:rPr>
                <w:rFonts w:cs="Calibri"/>
                <w:b/>
                <w:color w:val="000000"/>
              </w:rPr>
              <w:t>ACT</w:t>
            </w:r>
          </w:p>
        </w:tc>
        <w:tc>
          <w:tcPr>
            <w:tcW w:w="851" w:type="dxa"/>
            <w:shd w:val="clear" w:color="auto" w:fill="DBE5F1" w:themeFill="accent1" w:themeFillTint="33"/>
          </w:tcPr>
          <w:p w14:paraId="03DBDCE0" w14:textId="77777777" w:rsidR="003957AD" w:rsidRPr="00B44F04" w:rsidRDefault="003957AD" w:rsidP="00DE0473">
            <w:pPr>
              <w:jc w:val="center"/>
              <w:rPr>
                <w:rFonts w:cs="Calibri"/>
                <w:b/>
                <w:color w:val="000000"/>
              </w:rPr>
            </w:pPr>
            <w:r>
              <w:rPr>
                <w:rFonts w:cs="Calibri"/>
                <w:b/>
                <w:color w:val="000000"/>
              </w:rPr>
              <w:t>NSW</w:t>
            </w:r>
          </w:p>
        </w:tc>
        <w:tc>
          <w:tcPr>
            <w:tcW w:w="708" w:type="dxa"/>
            <w:shd w:val="clear" w:color="auto" w:fill="DBE5F1" w:themeFill="accent1" w:themeFillTint="33"/>
          </w:tcPr>
          <w:p w14:paraId="24B51EB9" w14:textId="77777777" w:rsidR="003957AD" w:rsidRPr="00B44F04" w:rsidRDefault="003957AD" w:rsidP="00DE0473">
            <w:pPr>
              <w:jc w:val="center"/>
              <w:rPr>
                <w:rFonts w:cs="Calibri"/>
                <w:b/>
                <w:color w:val="000000"/>
              </w:rPr>
            </w:pPr>
            <w:r>
              <w:rPr>
                <w:rFonts w:cs="Calibri"/>
                <w:b/>
                <w:color w:val="000000"/>
              </w:rPr>
              <w:t>NT</w:t>
            </w:r>
          </w:p>
        </w:tc>
        <w:tc>
          <w:tcPr>
            <w:tcW w:w="709" w:type="dxa"/>
            <w:shd w:val="clear" w:color="auto" w:fill="DBE5F1" w:themeFill="accent1" w:themeFillTint="33"/>
          </w:tcPr>
          <w:p w14:paraId="536857AA" w14:textId="77777777" w:rsidR="003957AD" w:rsidRPr="00B44F04" w:rsidRDefault="003957AD" w:rsidP="00DE0473">
            <w:pPr>
              <w:jc w:val="center"/>
              <w:rPr>
                <w:rFonts w:cs="Calibri"/>
                <w:b/>
                <w:color w:val="000000"/>
              </w:rPr>
            </w:pPr>
            <w:r>
              <w:rPr>
                <w:rFonts w:cs="Calibri"/>
                <w:b/>
                <w:color w:val="000000"/>
              </w:rPr>
              <w:t>QLD</w:t>
            </w:r>
          </w:p>
        </w:tc>
        <w:tc>
          <w:tcPr>
            <w:tcW w:w="709" w:type="dxa"/>
            <w:shd w:val="clear" w:color="auto" w:fill="DBE5F1" w:themeFill="accent1" w:themeFillTint="33"/>
          </w:tcPr>
          <w:p w14:paraId="64F7FCA5" w14:textId="77777777" w:rsidR="003957AD" w:rsidRPr="00B44F04" w:rsidRDefault="003957AD" w:rsidP="00DE0473">
            <w:pPr>
              <w:jc w:val="center"/>
              <w:rPr>
                <w:rFonts w:cs="Calibri"/>
                <w:b/>
                <w:color w:val="000000"/>
              </w:rPr>
            </w:pPr>
            <w:r>
              <w:rPr>
                <w:rFonts w:cs="Calibri"/>
                <w:b/>
                <w:color w:val="000000"/>
              </w:rPr>
              <w:t>SA</w:t>
            </w:r>
          </w:p>
        </w:tc>
        <w:tc>
          <w:tcPr>
            <w:tcW w:w="709" w:type="dxa"/>
            <w:shd w:val="clear" w:color="auto" w:fill="DBE5F1" w:themeFill="accent1" w:themeFillTint="33"/>
          </w:tcPr>
          <w:p w14:paraId="18A42D0C" w14:textId="77777777" w:rsidR="003957AD" w:rsidRPr="00B44F04" w:rsidRDefault="003957AD" w:rsidP="00DE0473">
            <w:pPr>
              <w:jc w:val="center"/>
              <w:rPr>
                <w:rFonts w:cs="Calibri"/>
                <w:b/>
                <w:color w:val="000000"/>
              </w:rPr>
            </w:pPr>
            <w:r>
              <w:rPr>
                <w:rFonts w:cs="Calibri"/>
                <w:b/>
                <w:color w:val="000000"/>
              </w:rPr>
              <w:t>TAS</w:t>
            </w:r>
          </w:p>
        </w:tc>
        <w:tc>
          <w:tcPr>
            <w:tcW w:w="708" w:type="dxa"/>
            <w:shd w:val="clear" w:color="auto" w:fill="DBE5F1" w:themeFill="accent1" w:themeFillTint="33"/>
          </w:tcPr>
          <w:p w14:paraId="6D60D66F" w14:textId="77777777" w:rsidR="003957AD" w:rsidRPr="00B44F04" w:rsidRDefault="003957AD" w:rsidP="00DE0473">
            <w:pPr>
              <w:jc w:val="center"/>
              <w:rPr>
                <w:rFonts w:cs="Calibri"/>
                <w:b/>
                <w:color w:val="000000"/>
              </w:rPr>
            </w:pPr>
            <w:r>
              <w:rPr>
                <w:rFonts w:cs="Calibri"/>
                <w:b/>
                <w:color w:val="000000"/>
              </w:rPr>
              <w:t>VIC</w:t>
            </w:r>
          </w:p>
        </w:tc>
        <w:tc>
          <w:tcPr>
            <w:tcW w:w="666" w:type="dxa"/>
            <w:shd w:val="clear" w:color="auto" w:fill="DBE5F1" w:themeFill="accent1" w:themeFillTint="33"/>
          </w:tcPr>
          <w:p w14:paraId="370F5F8E" w14:textId="77777777" w:rsidR="003957AD" w:rsidRPr="00B44F04" w:rsidRDefault="003957AD" w:rsidP="00DE0473">
            <w:pPr>
              <w:jc w:val="center"/>
              <w:rPr>
                <w:rFonts w:cs="Calibri"/>
                <w:b/>
                <w:color w:val="000000"/>
              </w:rPr>
            </w:pPr>
            <w:r>
              <w:rPr>
                <w:rFonts w:cs="Calibri"/>
                <w:b/>
                <w:color w:val="000000"/>
              </w:rPr>
              <w:t>WA</w:t>
            </w:r>
          </w:p>
        </w:tc>
        <w:tc>
          <w:tcPr>
            <w:tcW w:w="999" w:type="dxa"/>
            <w:shd w:val="clear" w:color="auto" w:fill="DBE5F1" w:themeFill="accent1" w:themeFillTint="33"/>
          </w:tcPr>
          <w:p w14:paraId="63D18E65" w14:textId="77777777" w:rsidR="003957AD" w:rsidRDefault="003957AD" w:rsidP="00DE0473">
            <w:pPr>
              <w:jc w:val="center"/>
              <w:rPr>
                <w:rFonts w:cs="Calibri"/>
                <w:b/>
                <w:color w:val="000000"/>
              </w:rPr>
            </w:pPr>
            <w:r>
              <w:rPr>
                <w:rFonts w:cs="Calibri"/>
                <w:b/>
                <w:color w:val="000000"/>
              </w:rPr>
              <w:t>National</w:t>
            </w:r>
          </w:p>
        </w:tc>
      </w:tr>
      <w:tr w:rsidR="003957AD" w14:paraId="26C438FC" w14:textId="77777777" w:rsidTr="00DE0473">
        <w:tc>
          <w:tcPr>
            <w:tcW w:w="3369" w:type="dxa"/>
          </w:tcPr>
          <w:p w14:paraId="2548839A" w14:textId="77777777" w:rsidR="003957AD" w:rsidRDefault="003957AD" w:rsidP="00DE0473">
            <w:r>
              <w:t>% of caseload that is humanitarian refugee</w:t>
            </w:r>
          </w:p>
        </w:tc>
        <w:tc>
          <w:tcPr>
            <w:tcW w:w="850" w:type="dxa"/>
            <w:vAlign w:val="center"/>
          </w:tcPr>
          <w:p w14:paraId="69ED7E30" w14:textId="77777777" w:rsidR="003957AD" w:rsidRPr="00B44F04" w:rsidRDefault="003957AD" w:rsidP="00DE0473">
            <w:pPr>
              <w:jc w:val="center"/>
              <w:rPr>
                <w:rFonts w:cs="Calibri"/>
                <w:color w:val="000000"/>
              </w:rPr>
            </w:pPr>
            <w:r>
              <w:rPr>
                <w:rFonts w:cs="Calibri"/>
                <w:color w:val="000000"/>
              </w:rPr>
              <w:t>4</w:t>
            </w:r>
            <w:r w:rsidRPr="00B44F04">
              <w:rPr>
                <w:rFonts w:cs="Calibri"/>
                <w:color w:val="000000"/>
              </w:rPr>
              <w:t>%</w:t>
            </w:r>
          </w:p>
        </w:tc>
        <w:tc>
          <w:tcPr>
            <w:tcW w:w="851" w:type="dxa"/>
            <w:vAlign w:val="center"/>
          </w:tcPr>
          <w:p w14:paraId="570EF012" w14:textId="77777777" w:rsidR="003957AD" w:rsidRPr="00B44F04" w:rsidRDefault="003957AD" w:rsidP="00DE0473">
            <w:pPr>
              <w:jc w:val="center"/>
              <w:rPr>
                <w:rFonts w:cs="Calibri"/>
                <w:color w:val="000000"/>
              </w:rPr>
            </w:pPr>
            <w:r>
              <w:rPr>
                <w:rFonts w:cs="Calibri"/>
                <w:color w:val="000000"/>
              </w:rPr>
              <w:t>1%</w:t>
            </w:r>
          </w:p>
        </w:tc>
        <w:tc>
          <w:tcPr>
            <w:tcW w:w="708" w:type="dxa"/>
            <w:vAlign w:val="center"/>
          </w:tcPr>
          <w:p w14:paraId="731CCD4F" w14:textId="77777777" w:rsidR="003957AD" w:rsidRPr="00B44F04" w:rsidRDefault="003957AD" w:rsidP="00DE0473">
            <w:pPr>
              <w:jc w:val="center"/>
              <w:rPr>
                <w:rFonts w:cs="Calibri"/>
                <w:color w:val="000000"/>
              </w:rPr>
            </w:pPr>
            <w:r>
              <w:rPr>
                <w:rFonts w:cs="Calibri"/>
                <w:color w:val="000000"/>
              </w:rPr>
              <w:t>0%</w:t>
            </w:r>
          </w:p>
        </w:tc>
        <w:tc>
          <w:tcPr>
            <w:tcW w:w="709" w:type="dxa"/>
            <w:vAlign w:val="center"/>
          </w:tcPr>
          <w:p w14:paraId="32FD49AF" w14:textId="77777777" w:rsidR="003957AD" w:rsidRPr="00B44F04" w:rsidRDefault="003957AD" w:rsidP="00DE0473">
            <w:pPr>
              <w:jc w:val="center"/>
              <w:rPr>
                <w:rFonts w:cs="Calibri"/>
                <w:color w:val="000000"/>
              </w:rPr>
            </w:pPr>
            <w:r>
              <w:rPr>
                <w:rFonts w:cs="Calibri"/>
                <w:color w:val="000000"/>
              </w:rPr>
              <w:t>1%</w:t>
            </w:r>
          </w:p>
        </w:tc>
        <w:tc>
          <w:tcPr>
            <w:tcW w:w="709" w:type="dxa"/>
            <w:vAlign w:val="center"/>
          </w:tcPr>
          <w:p w14:paraId="3A008D53" w14:textId="77777777" w:rsidR="003957AD" w:rsidRPr="00B44F04" w:rsidRDefault="003957AD" w:rsidP="00DE0473">
            <w:pPr>
              <w:jc w:val="center"/>
              <w:rPr>
                <w:rFonts w:cs="Calibri"/>
                <w:color w:val="000000"/>
              </w:rPr>
            </w:pPr>
            <w:r>
              <w:rPr>
                <w:rFonts w:cs="Calibri"/>
                <w:color w:val="000000"/>
              </w:rPr>
              <w:t>1%</w:t>
            </w:r>
          </w:p>
        </w:tc>
        <w:tc>
          <w:tcPr>
            <w:tcW w:w="709" w:type="dxa"/>
            <w:vAlign w:val="center"/>
          </w:tcPr>
          <w:p w14:paraId="423A7F52" w14:textId="77777777" w:rsidR="003957AD" w:rsidRPr="00B44F04" w:rsidRDefault="003957AD" w:rsidP="00DE0473">
            <w:pPr>
              <w:jc w:val="center"/>
              <w:rPr>
                <w:rFonts w:cs="Calibri"/>
                <w:color w:val="000000"/>
              </w:rPr>
            </w:pPr>
            <w:r>
              <w:rPr>
                <w:rFonts w:cs="Calibri"/>
                <w:color w:val="000000"/>
              </w:rPr>
              <w:t>2%</w:t>
            </w:r>
          </w:p>
        </w:tc>
        <w:tc>
          <w:tcPr>
            <w:tcW w:w="708" w:type="dxa"/>
            <w:vAlign w:val="center"/>
          </w:tcPr>
          <w:p w14:paraId="59334248" w14:textId="77777777" w:rsidR="003957AD" w:rsidRPr="00B44F04" w:rsidRDefault="003957AD" w:rsidP="00DE0473">
            <w:pPr>
              <w:jc w:val="center"/>
              <w:rPr>
                <w:rFonts w:cs="Calibri"/>
                <w:color w:val="000000"/>
              </w:rPr>
            </w:pPr>
            <w:r>
              <w:rPr>
                <w:rFonts w:cs="Calibri"/>
                <w:color w:val="000000"/>
              </w:rPr>
              <w:t>3%</w:t>
            </w:r>
          </w:p>
        </w:tc>
        <w:tc>
          <w:tcPr>
            <w:tcW w:w="666" w:type="dxa"/>
            <w:vAlign w:val="center"/>
          </w:tcPr>
          <w:p w14:paraId="1E82A7AA" w14:textId="77777777" w:rsidR="003957AD" w:rsidRPr="00B44F04" w:rsidRDefault="003957AD" w:rsidP="00DE0473">
            <w:pPr>
              <w:jc w:val="center"/>
              <w:rPr>
                <w:rFonts w:cs="Calibri"/>
                <w:color w:val="000000"/>
              </w:rPr>
            </w:pPr>
            <w:r>
              <w:rPr>
                <w:rFonts w:cs="Calibri"/>
                <w:color w:val="000000"/>
              </w:rPr>
              <w:t>1%</w:t>
            </w:r>
          </w:p>
        </w:tc>
        <w:tc>
          <w:tcPr>
            <w:tcW w:w="999" w:type="dxa"/>
            <w:vAlign w:val="center"/>
          </w:tcPr>
          <w:p w14:paraId="1566E0A1" w14:textId="77777777" w:rsidR="003957AD" w:rsidRDefault="003957AD" w:rsidP="00DE0473">
            <w:pPr>
              <w:jc w:val="center"/>
              <w:rPr>
                <w:rFonts w:cs="Calibri"/>
                <w:color w:val="000000"/>
              </w:rPr>
            </w:pPr>
            <w:r>
              <w:rPr>
                <w:rFonts w:cs="Calibri"/>
                <w:color w:val="000000"/>
              </w:rPr>
              <w:t>2%</w:t>
            </w:r>
          </w:p>
        </w:tc>
      </w:tr>
    </w:tbl>
    <w:p w14:paraId="50CAF3BD" w14:textId="77777777" w:rsidR="003957AD" w:rsidRDefault="003957AD" w:rsidP="003957AD"/>
    <w:p w14:paraId="43ABEB84" w14:textId="77777777" w:rsidR="003957AD" w:rsidRDefault="003957AD" w:rsidP="00546F15">
      <w:pPr>
        <w:pStyle w:val="Heading4"/>
      </w:pPr>
      <w:r>
        <w:t>Table 25: Humanitarian refugee participants – VIC and National</w:t>
      </w:r>
    </w:p>
    <w:tbl>
      <w:tblPr>
        <w:tblW w:w="7880" w:type="dxa"/>
        <w:tblInd w:w="89" w:type="dxa"/>
        <w:tblLook w:val="04A0" w:firstRow="1" w:lastRow="0" w:firstColumn="1" w:lastColumn="0" w:noHBand="0" w:noVBand="1"/>
      </w:tblPr>
      <w:tblGrid>
        <w:gridCol w:w="5264"/>
        <w:gridCol w:w="1276"/>
        <w:gridCol w:w="1340"/>
      </w:tblGrid>
      <w:tr w:rsidR="003957AD" w:rsidRPr="00BC0B36" w14:paraId="402D434F" w14:textId="77777777" w:rsidTr="00DE0473">
        <w:trPr>
          <w:trHeight w:val="300"/>
        </w:trPr>
        <w:tc>
          <w:tcPr>
            <w:tcW w:w="52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bottom"/>
            <w:hideMark/>
          </w:tcPr>
          <w:p w14:paraId="3576FF38" w14:textId="77777777" w:rsidR="003957AD" w:rsidRPr="00BC0B36" w:rsidRDefault="003957AD" w:rsidP="00DE0473">
            <w:pPr>
              <w:rPr>
                <w:rFonts w:cs="Calibri"/>
                <w:b/>
                <w:color w:val="000000"/>
              </w:rPr>
            </w:pPr>
            <w:r w:rsidRPr="00BC0B36">
              <w:rPr>
                <w:rFonts w:cs="Calibri"/>
                <w:b/>
                <w:color w:val="000000"/>
              </w:rPr>
              <w:t> </w:t>
            </w:r>
          </w:p>
        </w:tc>
        <w:tc>
          <w:tcPr>
            <w:tcW w:w="1276" w:type="dxa"/>
            <w:tcBorders>
              <w:top w:val="single" w:sz="4" w:space="0" w:color="auto"/>
              <w:left w:val="nil"/>
              <w:bottom w:val="single" w:sz="4" w:space="0" w:color="auto"/>
              <w:right w:val="single" w:sz="4" w:space="0" w:color="auto"/>
            </w:tcBorders>
            <w:shd w:val="clear" w:color="auto" w:fill="DBE5F1" w:themeFill="accent1" w:themeFillTint="33"/>
            <w:noWrap/>
            <w:vAlign w:val="bottom"/>
            <w:hideMark/>
          </w:tcPr>
          <w:p w14:paraId="3129E023" w14:textId="77777777" w:rsidR="003957AD" w:rsidRPr="00BC0B36" w:rsidRDefault="003957AD" w:rsidP="00DE0473">
            <w:pPr>
              <w:jc w:val="center"/>
              <w:rPr>
                <w:rFonts w:cs="Calibri"/>
                <w:b/>
                <w:color w:val="000000"/>
              </w:rPr>
            </w:pPr>
            <w:r>
              <w:rPr>
                <w:rFonts w:cs="Calibri"/>
                <w:b/>
                <w:color w:val="000000"/>
              </w:rPr>
              <w:t>VIC</w:t>
            </w:r>
          </w:p>
        </w:tc>
        <w:tc>
          <w:tcPr>
            <w:tcW w:w="1340" w:type="dxa"/>
            <w:tcBorders>
              <w:top w:val="single" w:sz="4" w:space="0" w:color="auto"/>
              <w:left w:val="nil"/>
              <w:bottom w:val="single" w:sz="4" w:space="0" w:color="auto"/>
              <w:right w:val="single" w:sz="4" w:space="0" w:color="auto"/>
            </w:tcBorders>
            <w:shd w:val="clear" w:color="auto" w:fill="DBE5F1" w:themeFill="accent1" w:themeFillTint="33"/>
            <w:noWrap/>
            <w:vAlign w:val="bottom"/>
            <w:hideMark/>
          </w:tcPr>
          <w:p w14:paraId="2E885B8F" w14:textId="77777777" w:rsidR="003957AD" w:rsidRPr="00BC0B36" w:rsidRDefault="003957AD" w:rsidP="00DE0473">
            <w:pPr>
              <w:jc w:val="center"/>
              <w:rPr>
                <w:rFonts w:cs="Calibri"/>
                <w:b/>
                <w:color w:val="000000"/>
              </w:rPr>
            </w:pPr>
            <w:r w:rsidRPr="00BC0B36">
              <w:rPr>
                <w:rFonts w:cs="Calibri"/>
                <w:b/>
                <w:color w:val="000000"/>
              </w:rPr>
              <w:t>National</w:t>
            </w:r>
          </w:p>
        </w:tc>
      </w:tr>
      <w:tr w:rsidR="003957AD" w:rsidRPr="00BC0B36" w14:paraId="3628B3AD" w14:textId="77777777" w:rsidTr="00DE0473">
        <w:trPr>
          <w:trHeight w:val="368"/>
        </w:trPr>
        <w:tc>
          <w:tcPr>
            <w:tcW w:w="5264" w:type="dxa"/>
            <w:tcBorders>
              <w:top w:val="nil"/>
              <w:left w:val="single" w:sz="4" w:space="0" w:color="auto"/>
              <w:bottom w:val="single" w:sz="4" w:space="0" w:color="auto"/>
              <w:right w:val="single" w:sz="4" w:space="0" w:color="auto"/>
            </w:tcBorders>
            <w:shd w:val="clear" w:color="auto" w:fill="auto"/>
            <w:vAlign w:val="center"/>
            <w:hideMark/>
          </w:tcPr>
          <w:p w14:paraId="237BF6AE" w14:textId="77777777" w:rsidR="003957AD" w:rsidRPr="00BC0B36" w:rsidRDefault="003957AD" w:rsidP="00DE0473">
            <w:pPr>
              <w:rPr>
                <w:rFonts w:cs="Calibri"/>
                <w:color w:val="000000"/>
              </w:rPr>
            </w:pPr>
            <w:r>
              <w:rPr>
                <w:rFonts w:cs="Calibri"/>
                <w:color w:val="000000"/>
              </w:rPr>
              <w:t>Humanitarian Refugee Participants</w:t>
            </w:r>
          </w:p>
        </w:tc>
        <w:tc>
          <w:tcPr>
            <w:tcW w:w="1276" w:type="dxa"/>
            <w:tcBorders>
              <w:top w:val="nil"/>
              <w:left w:val="nil"/>
              <w:bottom w:val="single" w:sz="4" w:space="0" w:color="auto"/>
              <w:right w:val="single" w:sz="4" w:space="0" w:color="auto"/>
            </w:tcBorders>
            <w:shd w:val="clear" w:color="auto" w:fill="auto"/>
            <w:noWrap/>
            <w:vAlign w:val="center"/>
            <w:hideMark/>
          </w:tcPr>
          <w:p w14:paraId="65B347E7" w14:textId="77777777" w:rsidR="003957AD" w:rsidRPr="00BC0B36" w:rsidRDefault="003957AD" w:rsidP="00DE0473">
            <w:pPr>
              <w:jc w:val="center"/>
              <w:rPr>
                <w:rFonts w:cs="Calibri"/>
                <w:color w:val="000000"/>
              </w:rPr>
            </w:pPr>
            <w:r>
              <w:rPr>
                <w:rFonts w:cs="Calibri"/>
                <w:color w:val="000000"/>
              </w:rPr>
              <w:t>382</w:t>
            </w:r>
          </w:p>
        </w:tc>
        <w:tc>
          <w:tcPr>
            <w:tcW w:w="1340" w:type="dxa"/>
            <w:tcBorders>
              <w:top w:val="nil"/>
              <w:left w:val="nil"/>
              <w:bottom w:val="single" w:sz="4" w:space="0" w:color="auto"/>
              <w:right w:val="single" w:sz="4" w:space="0" w:color="auto"/>
            </w:tcBorders>
            <w:shd w:val="clear" w:color="auto" w:fill="auto"/>
            <w:noWrap/>
            <w:vAlign w:val="center"/>
            <w:hideMark/>
          </w:tcPr>
          <w:p w14:paraId="29DA48D4" w14:textId="77777777" w:rsidR="003957AD" w:rsidRPr="00BC0B36" w:rsidRDefault="003957AD" w:rsidP="00DE0473">
            <w:pPr>
              <w:jc w:val="center"/>
              <w:rPr>
                <w:rFonts w:cs="Calibri"/>
                <w:color w:val="000000"/>
              </w:rPr>
            </w:pPr>
            <w:r>
              <w:rPr>
                <w:rFonts w:cs="Calibri"/>
                <w:color w:val="000000"/>
              </w:rPr>
              <w:t>892</w:t>
            </w:r>
          </w:p>
        </w:tc>
      </w:tr>
      <w:tr w:rsidR="003957AD" w:rsidRPr="00BC0B36" w14:paraId="6FA96606" w14:textId="77777777" w:rsidTr="00DE0473">
        <w:trPr>
          <w:trHeight w:val="600"/>
        </w:trPr>
        <w:tc>
          <w:tcPr>
            <w:tcW w:w="5264" w:type="dxa"/>
            <w:tcBorders>
              <w:top w:val="nil"/>
              <w:left w:val="single" w:sz="4" w:space="0" w:color="auto"/>
              <w:bottom w:val="single" w:sz="4" w:space="0" w:color="auto"/>
              <w:right w:val="single" w:sz="4" w:space="0" w:color="auto"/>
            </w:tcBorders>
            <w:shd w:val="clear" w:color="auto" w:fill="auto"/>
            <w:vAlign w:val="center"/>
            <w:hideMark/>
          </w:tcPr>
          <w:p w14:paraId="5281B256" w14:textId="77777777" w:rsidR="003957AD" w:rsidRPr="00BC0B36" w:rsidRDefault="003957AD" w:rsidP="00DE0473">
            <w:pPr>
              <w:rPr>
                <w:rFonts w:cs="Calibri"/>
                <w:color w:val="000000"/>
              </w:rPr>
            </w:pPr>
            <w:r>
              <w:rPr>
                <w:rFonts w:cs="Calibri"/>
                <w:color w:val="000000"/>
              </w:rPr>
              <w:t>All Participants</w:t>
            </w:r>
          </w:p>
        </w:tc>
        <w:tc>
          <w:tcPr>
            <w:tcW w:w="1276" w:type="dxa"/>
            <w:tcBorders>
              <w:top w:val="nil"/>
              <w:left w:val="nil"/>
              <w:bottom w:val="single" w:sz="4" w:space="0" w:color="auto"/>
              <w:right w:val="single" w:sz="4" w:space="0" w:color="auto"/>
            </w:tcBorders>
            <w:shd w:val="clear" w:color="auto" w:fill="auto"/>
            <w:noWrap/>
            <w:vAlign w:val="center"/>
            <w:hideMark/>
          </w:tcPr>
          <w:p w14:paraId="54A379D0" w14:textId="77777777" w:rsidR="003957AD" w:rsidRPr="00BC0B36" w:rsidRDefault="003957AD" w:rsidP="00DE0473">
            <w:pPr>
              <w:jc w:val="center"/>
              <w:rPr>
                <w:rFonts w:cs="Calibri"/>
                <w:color w:val="000000"/>
              </w:rPr>
            </w:pPr>
            <w:r>
              <w:rPr>
                <w:rFonts w:cs="Calibri"/>
                <w:color w:val="000000"/>
              </w:rPr>
              <w:t>13,070</w:t>
            </w:r>
          </w:p>
        </w:tc>
        <w:tc>
          <w:tcPr>
            <w:tcW w:w="1340" w:type="dxa"/>
            <w:tcBorders>
              <w:top w:val="nil"/>
              <w:left w:val="nil"/>
              <w:bottom w:val="single" w:sz="4" w:space="0" w:color="auto"/>
              <w:right w:val="single" w:sz="4" w:space="0" w:color="auto"/>
            </w:tcBorders>
            <w:shd w:val="clear" w:color="auto" w:fill="auto"/>
            <w:noWrap/>
            <w:vAlign w:val="center"/>
            <w:hideMark/>
          </w:tcPr>
          <w:p w14:paraId="1E8501F9" w14:textId="77777777" w:rsidR="003957AD" w:rsidRPr="00BC0B36" w:rsidRDefault="003957AD" w:rsidP="00DE0473">
            <w:pPr>
              <w:jc w:val="center"/>
              <w:rPr>
                <w:rFonts w:cs="Calibri"/>
                <w:color w:val="000000"/>
              </w:rPr>
            </w:pPr>
            <w:r>
              <w:rPr>
                <w:rFonts w:cs="Calibri"/>
                <w:color w:val="000000"/>
              </w:rPr>
              <w:t>58,408</w:t>
            </w:r>
          </w:p>
        </w:tc>
      </w:tr>
      <w:tr w:rsidR="003957AD" w:rsidRPr="00BC0B36" w14:paraId="2FB5CFE9" w14:textId="77777777" w:rsidTr="00DE0473">
        <w:trPr>
          <w:trHeight w:val="600"/>
        </w:trPr>
        <w:tc>
          <w:tcPr>
            <w:tcW w:w="5264" w:type="dxa"/>
            <w:tcBorders>
              <w:top w:val="nil"/>
              <w:left w:val="single" w:sz="4" w:space="0" w:color="auto"/>
              <w:bottom w:val="single" w:sz="4" w:space="0" w:color="auto"/>
              <w:right w:val="single" w:sz="4" w:space="0" w:color="auto"/>
            </w:tcBorders>
            <w:shd w:val="clear" w:color="auto" w:fill="auto"/>
            <w:vAlign w:val="center"/>
            <w:hideMark/>
          </w:tcPr>
          <w:p w14:paraId="50BBF9B4" w14:textId="77777777" w:rsidR="003957AD" w:rsidRPr="00BC0B36" w:rsidRDefault="003957AD" w:rsidP="00DE0473">
            <w:pPr>
              <w:rPr>
                <w:rFonts w:cs="Calibri"/>
                <w:color w:val="000000"/>
              </w:rPr>
            </w:pPr>
            <w:r>
              <w:rPr>
                <w:rFonts w:cs="Calibri"/>
                <w:color w:val="000000"/>
              </w:rPr>
              <w:t xml:space="preserve">% Humanitarian Refugee </w:t>
            </w:r>
          </w:p>
        </w:tc>
        <w:tc>
          <w:tcPr>
            <w:tcW w:w="1276" w:type="dxa"/>
            <w:tcBorders>
              <w:top w:val="nil"/>
              <w:left w:val="nil"/>
              <w:bottom w:val="single" w:sz="4" w:space="0" w:color="auto"/>
              <w:right w:val="single" w:sz="4" w:space="0" w:color="auto"/>
            </w:tcBorders>
            <w:shd w:val="clear" w:color="auto" w:fill="auto"/>
            <w:noWrap/>
            <w:vAlign w:val="center"/>
            <w:hideMark/>
          </w:tcPr>
          <w:p w14:paraId="56673C17" w14:textId="77777777" w:rsidR="003957AD" w:rsidRPr="00BC0B36" w:rsidRDefault="003957AD" w:rsidP="00DE0473">
            <w:pPr>
              <w:jc w:val="center"/>
              <w:rPr>
                <w:rFonts w:cs="Calibri"/>
                <w:color w:val="000000"/>
              </w:rPr>
            </w:pPr>
            <w:r>
              <w:rPr>
                <w:rFonts w:cs="Calibri"/>
                <w:color w:val="000000"/>
              </w:rPr>
              <w:t>3%</w:t>
            </w:r>
          </w:p>
        </w:tc>
        <w:tc>
          <w:tcPr>
            <w:tcW w:w="1340" w:type="dxa"/>
            <w:tcBorders>
              <w:top w:val="nil"/>
              <w:left w:val="nil"/>
              <w:bottom w:val="single" w:sz="4" w:space="0" w:color="auto"/>
              <w:right w:val="single" w:sz="4" w:space="0" w:color="auto"/>
            </w:tcBorders>
            <w:shd w:val="clear" w:color="auto" w:fill="auto"/>
            <w:noWrap/>
            <w:vAlign w:val="center"/>
            <w:hideMark/>
          </w:tcPr>
          <w:p w14:paraId="5179260E" w14:textId="77777777" w:rsidR="003957AD" w:rsidRPr="00BC0B36" w:rsidRDefault="003957AD" w:rsidP="00DE0473">
            <w:pPr>
              <w:jc w:val="center"/>
              <w:rPr>
                <w:rFonts w:cs="Calibri"/>
                <w:color w:val="000000"/>
              </w:rPr>
            </w:pPr>
            <w:r>
              <w:rPr>
                <w:rFonts w:cs="Calibri"/>
                <w:color w:val="000000"/>
              </w:rPr>
              <w:t>2%</w:t>
            </w:r>
          </w:p>
        </w:tc>
      </w:tr>
    </w:tbl>
    <w:p w14:paraId="33CDBA17" w14:textId="77777777" w:rsidR="003957AD" w:rsidRDefault="003957AD" w:rsidP="00546F15">
      <w:pPr>
        <w:pStyle w:val="Heading4"/>
      </w:pPr>
      <w:r>
        <w:t>Table 26: VIC and National- Humanitarian refugee participant outcomes achievement</w:t>
      </w:r>
    </w:p>
    <w:tbl>
      <w:tblPr>
        <w:tblW w:w="10084" w:type="dxa"/>
        <w:tblInd w:w="89" w:type="dxa"/>
        <w:tblLayout w:type="fixed"/>
        <w:tblLook w:val="04A0" w:firstRow="1" w:lastRow="0" w:firstColumn="1" w:lastColumn="0" w:noHBand="0" w:noVBand="1"/>
      </w:tblPr>
      <w:tblGrid>
        <w:gridCol w:w="5264"/>
        <w:gridCol w:w="1178"/>
        <w:gridCol w:w="1232"/>
        <w:gridCol w:w="1134"/>
        <w:gridCol w:w="1276"/>
      </w:tblGrid>
      <w:tr w:rsidR="003957AD" w:rsidRPr="00BC0B36" w14:paraId="43F6DE7C" w14:textId="77777777" w:rsidTr="00DE0473">
        <w:trPr>
          <w:trHeight w:val="300"/>
        </w:trPr>
        <w:tc>
          <w:tcPr>
            <w:tcW w:w="52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bottom"/>
            <w:hideMark/>
          </w:tcPr>
          <w:p w14:paraId="7668D0DB" w14:textId="77777777" w:rsidR="003957AD" w:rsidRPr="00BC0B36" w:rsidRDefault="003957AD" w:rsidP="00DE0473">
            <w:pPr>
              <w:rPr>
                <w:rFonts w:cs="Calibri"/>
                <w:b/>
                <w:color w:val="000000"/>
              </w:rPr>
            </w:pPr>
            <w:r w:rsidRPr="00BC0B36">
              <w:rPr>
                <w:rFonts w:cs="Calibri"/>
                <w:b/>
                <w:color w:val="000000"/>
              </w:rPr>
              <w:t> </w:t>
            </w:r>
          </w:p>
        </w:tc>
        <w:tc>
          <w:tcPr>
            <w:tcW w:w="2410" w:type="dxa"/>
            <w:gridSpan w:val="2"/>
            <w:tcBorders>
              <w:top w:val="single" w:sz="4" w:space="0" w:color="auto"/>
              <w:left w:val="nil"/>
              <w:bottom w:val="single" w:sz="4" w:space="0" w:color="auto"/>
              <w:right w:val="single" w:sz="4" w:space="0" w:color="auto"/>
            </w:tcBorders>
            <w:shd w:val="clear" w:color="auto" w:fill="DBE5F1" w:themeFill="accent1" w:themeFillTint="33"/>
            <w:noWrap/>
            <w:vAlign w:val="bottom"/>
            <w:hideMark/>
          </w:tcPr>
          <w:p w14:paraId="2E214CDB" w14:textId="77777777" w:rsidR="003957AD" w:rsidRPr="00BC0B36" w:rsidRDefault="003957AD" w:rsidP="00DE0473">
            <w:pPr>
              <w:jc w:val="center"/>
              <w:rPr>
                <w:rFonts w:cs="Calibri"/>
                <w:b/>
                <w:color w:val="000000"/>
              </w:rPr>
            </w:pPr>
            <w:r>
              <w:rPr>
                <w:rFonts w:cs="Calibri"/>
                <w:b/>
                <w:color w:val="000000"/>
              </w:rPr>
              <w:t>VIC</w:t>
            </w:r>
          </w:p>
        </w:tc>
        <w:tc>
          <w:tcPr>
            <w:tcW w:w="2410" w:type="dxa"/>
            <w:gridSpan w:val="2"/>
            <w:tcBorders>
              <w:top w:val="single" w:sz="4" w:space="0" w:color="auto"/>
              <w:left w:val="nil"/>
              <w:bottom w:val="single" w:sz="4" w:space="0" w:color="auto"/>
              <w:right w:val="single" w:sz="4" w:space="0" w:color="auto"/>
            </w:tcBorders>
            <w:shd w:val="clear" w:color="auto" w:fill="DBE5F1" w:themeFill="accent1" w:themeFillTint="33"/>
            <w:noWrap/>
            <w:vAlign w:val="bottom"/>
            <w:hideMark/>
          </w:tcPr>
          <w:p w14:paraId="4E8E4B98" w14:textId="77777777" w:rsidR="003957AD" w:rsidRPr="00BC0B36" w:rsidRDefault="003957AD" w:rsidP="00DE0473">
            <w:pPr>
              <w:jc w:val="center"/>
              <w:rPr>
                <w:rFonts w:cs="Calibri"/>
                <w:b/>
                <w:color w:val="000000"/>
              </w:rPr>
            </w:pPr>
            <w:r w:rsidRPr="00BC0B36">
              <w:rPr>
                <w:rFonts w:cs="Calibri"/>
                <w:b/>
                <w:color w:val="000000"/>
              </w:rPr>
              <w:t>National</w:t>
            </w:r>
          </w:p>
        </w:tc>
      </w:tr>
      <w:tr w:rsidR="003957AD" w:rsidRPr="00BC0B36" w14:paraId="28125678" w14:textId="77777777" w:rsidTr="00DE0473">
        <w:trPr>
          <w:trHeight w:val="600"/>
        </w:trPr>
        <w:tc>
          <w:tcPr>
            <w:tcW w:w="5264" w:type="dxa"/>
            <w:tcBorders>
              <w:top w:val="nil"/>
              <w:left w:val="single" w:sz="4" w:space="0" w:color="auto"/>
              <w:bottom w:val="single" w:sz="4" w:space="0" w:color="auto"/>
              <w:right w:val="single" w:sz="4" w:space="0" w:color="auto"/>
            </w:tcBorders>
            <w:shd w:val="clear" w:color="auto" w:fill="auto"/>
            <w:vAlign w:val="bottom"/>
          </w:tcPr>
          <w:p w14:paraId="70C213D6" w14:textId="77777777" w:rsidR="003957AD" w:rsidRDefault="003957AD" w:rsidP="00DE0473">
            <w:pPr>
              <w:rPr>
                <w:rFonts w:cs="Calibri"/>
                <w:color w:val="000000"/>
              </w:rPr>
            </w:pPr>
            <w:r>
              <w:rPr>
                <w:rFonts w:cs="Calibri"/>
                <w:color w:val="000000"/>
              </w:rPr>
              <w:t>Humanitarian Refugee young people enrolled in individual support services</w:t>
            </w:r>
          </w:p>
        </w:tc>
        <w:tc>
          <w:tcPr>
            <w:tcW w:w="1178" w:type="dxa"/>
            <w:tcBorders>
              <w:top w:val="nil"/>
              <w:left w:val="nil"/>
              <w:bottom w:val="single" w:sz="4" w:space="0" w:color="auto"/>
              <w:right w:val="single" w:sz="4" w:space="0" w:color="auto"/>
            </w:tcBorders>
            <w:shd w:val="clear" w:color="auto" w:fill="auto"/>
            <w:noWrap/>
            <w:vAlign w:val="center"/>
          </w:tcPr>
          <w:p w14:paraId="607FDBF2" w14:textId="77777777" w:rsidR="003957AD" w:rsidRDefault="003957AD" w:rsidP="00DE0473">
            <w:pPr>
              <w:jc w:val="center"/>
              <w:rPr>
                <w:rFonts w:cs="Calibri"/>
                <w:color w:val="000000"/>
              </w:rPr>
            </w:pPr>
            <w:r>
              <w:rPr>
                <w:rFonts w:cs="Calibri"/>
                <w:color w:val="000000"/>
              </w:rPr>
              <w:t>382</w:t>
            </w:r>
          </w:p>
        </w:tc>
        <w:tc>
          <w:tcPr>
            <w:tcW w:w="1232" w:type="dxa"/>
            <w:tcBorders>
              <w:top w:val="nil"/>
              <w:left w:val="nil"/>
              <w:bottom w:val="single" w:sz="4" w:space="0" w:color="auto"/>
              <w:right w:val="single" w:sz="4" w:space="0" w:color="auto"/>
            </w:tcBorders>
            <w:shd w:val="clear" w:color="auto" w:fill="auto"/>
            <w:vAlign w:val="center"/>
          </w:tcPr>
          <w:p w14:paraId="2425BFA3" w14:textId="77777777" w:rsidR="003957AD" w:rsidRDefault="003957AD" w:rsidP="00DE0473">
            <w:pPr>
              <w:jc w:val="center"/>
              <w:rPr>
                <w:rFonts w:cs="Calibri"/>
                <w:color w:val="000000"/>
              </w:rPr>
            </w:pPr>
            <w:r>
              <w:rPr>
                <w:rFonts w:cs="Calibri"/>
                <w:color w:val="000000"/>
              </w:rPr>
              <w:t>-</w:t>
            </w:r>
          </w:p>
        </w:tc>
        <w:tc>
          <w:tcPr>
            <w:tcW w:w="1134" w:type="dxa"/>
            <w:tcBorders>
              <w:top w:val="nil"/>
              <w:left w:val="nil"/>
              <w:bottom w:val="single" w:sz="4" w:space="0" w:color="auto"/>
              <w:right w:val="single" w:sz="4" w:space="0" w:color="auto"/>
            </w:tcBorders>
            <w:shd w:val="clear" w:color="auto" w:fill="auto"/>
            <w:noWrap/>
            <w:vAlign w:val="center"/>
          </w:tcPr>
          <w:p w14:paraId="57359932" w14:textId="77777777" w:rsidR="003957AD" w:rsidRDefault="003957AD" w:rsidP="00DE0473">
            <w:pPr>
              <w:jc w:val="center"/>
              <w:rPr>
                <w:rFonts w:cs="Calibri"/>
                <w:color w:val="000000"/>
              </w:rPr>
            </w:pPr>
            <w:r>
              <w:rPr>
                <w:rFonts w:cs="Calibri"/>
                <w:color w:val="000000"/>
              </w:rPr>
              <w:t>892</w:t>
            </w:r>
          </w:p>
        </w:tc>
        <w:tc>
          <w:tcPr>
            <w:tcW w:w="1276" w:type="dxa"/>
            <w:tcBorders>
              <w:top w:val="nil"/>
              <w:left w:val="nil"/>
              <w:bottom w:val="single" w:sz="4" w:space="0" w:color="auto"/>
              <w:right w:val="single" w:sz="4" w:space="0" w:color="auto"/>
            </w:tcBorders>
            <w:shd w:val="clear" w:color="auto" w:fill="auto"/>
            <w:vAlign w:val="center"/>
          </w:tcPr>
          <w:p w14:paraId="3E42E9DB" w14:textId="77777777" w:rsidR="003957AD" w:rsidRDefault="003957AD" w:rsidP="00DE0473">
            <w:pPr>
              <w:jc w:val="center"/>
              <w:rPr>
                <w:rFonts w:cs="Calibri"/>
                <w:color w:val="000000"/>
              </w:rPr>
            </w:pPr>
            <w:r>
              <w:rPr>
                <w:rFonts w:cs="Calibri"/>
                <w:color w:val="000000"/>
              </w:rPr>
              <w:t>-</w:t>
            </w:r>
          </w:p>
        </w:tc>
      </w:tr>
      <w:tr w:rsidR="003957AD" w:rsidRPr="00BC0B36" w14:paraId="757E8EB7" w14:textId="77777777" w:rsidTr="00DE0473">
        <w:trPr>
          <w:trHeight w:val="600"/>
        </w:trPr>
        <w:tc>
          <w:tcPr>
            <w:tcW w:w="5264" w:type="dxa"/>
            <w:tcBorders>
              <w:top w:val="nil"/>
              <w:left w:val="single" w:sz="4" w:space="0" w:color="auto"/>
              <w:bottom w:val="single" w:sz="4" w:space="0" w:color="auto"/>
              <w:right w:val="single" w:sz="4" w:space="0" w:color="auto"/>
            </w:tcBorders>
            <w:shd w:val="clear" w:color="auto" w:fill="auto"/>
            <w:vAlign w:val="bottom"/>
            <w:hideMark/>
          </w:tcPr>
          <w:p w14:paraId="628C0040" w14:textId="77777777" w:rsidR="003957AD" w:rsidRPr="00BC0B36" w:rsidRDefault="003957AD" w:rsidP="00DE0473">
            <w:pPr>
              <w:rPr>
                <w:rFonts w:cs="Calibri"/>
                <w:color w:val="000000"/>
              </w:rPr>
            </w:pPr>
            <w:r>
              <w:rPr>
                <w:rFonts w:cs="Calibri"/>
                <w:color w:val="000000"/>
              </w:rPr>
              <w:t>Humanitarian Refugee young people who have achieved a progressive outcome</w:t>
            </w:r>
          </w:p>
        </w:tc>
        <w:tc>
          <w:tcPr>
            <w:tcW w:w="1178" w:type="dxa"/>
            <w:tcBorders>
              <w:top w:val="nil"/>
              <w:left w:val="nil"/>
              <w:bottom w:val="single" w:sz="4" w:space="0" w:color="auto"/>
              <w:right w:val="single" w:sz="4" w:space="0" w:color="auto"/>
            </w:tcBorders>
            <w:shd w:val="clear" w:color="auto" w:fill="auto"/>
            <w:noWrap/>
            <w:vAlign w:val="center"/>
            <w:hideMark/>
          </w:tcPr>
          <w:p w14:paraId="2FF27C1B" w14:textId="77777777" w:rsidR="003957AD" w:rsidRPr="00BC0B36" w:rsidRDefault="003957AD" w:rsidP="00DE0473">
            <w:pPr>
              <w:jc w:val="center"/>
              <w:rPr>
                <w:rFonts w:cs="Calibri"/>
                <w:color w:val="000000"/>
              </w:rPr>
            </w:pPr>
            <w:r>
              <w:rPr>
                <w:rFonts w:cs="Calibri"/>
                <w:color w:val="000000"/>
              </w:rPr>
              <w:t>288</w:t>
            </w:r>
          </w:p>
        </w:tc>
        <w:tc>
          <w:tcPr>
            <w:tcW w:w="1232" w:type="dxa"/>
            <w:tcBorders>
              <w:top w:val="nil"/>
              <w:left w:val="nil"/>
              <w:bottom w:val="single" w:sz="4" w:space="0" w:color="auto"/>
              <w:right w:val="single" w:sz="4" w:space="0" w:color="auto"/>
            </w:tcBorders>
            <w:shd w:val="clear" w:color="auto" w:fill="auto"/>
            <w:vAlign w:val="center"/>
          </w:tcPr>
          <w:p w14:paraId="048FDE05" w14:textId="77777777" w:rsidR="003957AD" w:rsidRPr="00BC0B36" w:rsidRDefault="003957AD" w:rsidP="00DE0473">
            <w:pPr>
              <w:jc w:val="center"/>
              <w:rPr>
                <w:rFonts w:cs="Calibri"/>
                <w:color w:val="000000"/>
              </w:rPr>
            </w:pPr>
            <w:r>
              <w:rPr>
                <w:rFonts w:cs="Calibri"/>
                <w:color w:val="000000"/>
              </w:rPr>
              <w:t>75%</w:t>
            </w:r>
          </w:p>
        </w:tc>
        <w:tc>
          <w:tcPr>
            <w:tcW w:w="1134" w:type="dxa"/>
            <w:tcBorders>
              <w:top w:val="nil"/>
              <w:left w:val="nil"/>
              <w:bottom w:val="single" w:sz="4" w:space="0" w:color="auto"/>
              <w:right w:val="single" w:sz="4" w:space="0" w:color="auto"/>
            </w:tcBorders>
            <w:shd w:val="clear" w:color="auto" w:fill="auto"/>
            <w:noWrap/>
            <w:vAlign w:val="center"/>
            <w:hideMark/>
          </w:tcPr>
          <w:p w14:paraId="1E4520DD" w14:textId="77777777" w:rsidR="003957AD" w:rsidRPr="00BC0B36" w:rsidRDefault="003957AD" w:rsidP="00DE0473">
            <w:pPr>
              <w:jc w:val="center"/>
              <w:rPr>
                <w:rFonts w:cs="Calibri"/>
                <w:color w:val="000000"/>
              </w:rPr>
            </w:pPr>
            <w:r>
              <w:rPr>
                <w:rFonts w:cs="Calibri"/>
                <w:color w:val="000000"/>
              </w:rPr>
              <w:t>730</w:t>
            </w:r>
          </w:p>
        </w:tc>
        <w:tc>
          <w:tcPr>
            <w:tcW w:w="1276" w:type="dxa"/>
            <w:tcBorders>
              <w:top w:val="nil"/>
              <w:left w:val="nil"/>
              <w:bottom w:val="single" w:sz="4" w:space="0" w:color="auto"/>
              <w:right w:val="single" w:sz="4" w:space="0" w:color="auto"/>
            </w:tcBorders>
            <w:shd w:val="clear" w:color="auto" w:fill="auto"/>
            <w:vAlign w:val="center"/>
          </w:tcPr>
          <w:p w14:paraId="5D0A76DB" w14:textId="77777777" w:rsidR="003957AD" w:rsidRPr="00BC0B36" w:rsidRDefault="003957AD" w:rsidP="00DE0473">
            <w:pPr>
              <w:jc w:val="center"/>
              <w:rPr>
                <w:rFonts w:cs="Calibri"/>
                <w:color w:val="000000"/>
              </w:rPr>
            </w:pPr>
            <w:r>
              <w:rPr>
                <w:rFonts w:cs="Calibri"/>
                <w:color w:val="000000"/>
              </w:rPr>
              <w:t>82%</w:t>
            </w:r>
          </w:p>
        </w:tc>
      </w:tr>
      <w:tr w:rsidR="003957AD" w:rsidRPr="00BC0B36" w14:paraId="4834556A" w14:textId="77777777" w:rsidTr="00DE0473">
        <w:trPr>
          <w:trHeight w:val="600"/>
        </w:trPr>
        <w:tc>
          <w:tcPr>
            <w:tcW w:w="5264" w:type="dxa"/>
            <w:tcBorders>
              <w:top w:val="nil"/>
              <w:left w:val="single" w:sz="4" w:space="0" w:color="auto"/>
              <w:bottom w:val="single" w:sz="4" w:space="0" w:color="auto"/>
              <w:right w:val="single" w:sz="4" w:space="0" w:color="auto"/>
            </w:tcBorders>
            <w:shd w:val="clear" w:color="auto" w:fill="auto"/>
            <w:vAlign w:val="bottom"/>
            <w:hideMark/>
          </w:tcPr>
          <w:p w14:paraId="1335F68C" w14:textId="77777777" w:rsidR="003957AD" w:rsidRPr="00BC0B36" w:rsidRDefault="003957AD" w:rsidP="00DE0473">
            <w:pPr>
              <w:rPr>
                <w:rFonts w:cs="Calibri"/>
                <w:color w:val="000000"/>
              </w:rPr>
            </w:pPr>
            <w:r>
              <w:rPr>
                <w:rFonts w:cs="Calibri"/>
                <w:color w:val="000000"/>
              </w:rPr>
              <w:t>Humanitarian Refugee young people who have achieved a final outcome</w:t>
            </w:r>
          </w:p>
        </w:tc>
        <w:tc>
          <w:tcPr>
            <w:tcW w:w="1178" w:type="dxa"/>
            <w:tcBorders>
              <w:top w:val="nil"/>
              <w:left w:val="nil"/>
              <w:bottom w:val="single" w:sz="4" w:space="0" w:color="auto"/>
              <w:right w:val="single" w:sz="4" w:space="0" w:color="auto"/>
            </w:tcBorders>
            <w:shd w:val="clear" w:color="auto" w:fill="auto"/>
            <w:noWrap/>
            <w:vAlign w:val="center"/>
            <w:hideMark/>
          </w:tcPr>
          <w:p w14:paraId="18401A46" w14:textId="77777777" w:rsidR="003957AD" w:rsidRPr="00BC0B36" w:rsidRDefault="003957AD" w:rsidP="00DE0473">
            <w:pPr>
              <w:jc w:val="center"/>
              <w:rPr>
                <w:rFonts w:cs="Calibri"/>
                <w:color w:val="000000"/>
              </w:rPr>
            </w:pPr>
            <w:r>
              <w:rPr>
                <w:rFonts w:cs="Calibri"/>
                <w:color w:val="000000"/>
              </w:rPr>
              <w:t>257</w:t>
            </w:r>
          </w:p>
        </w:tc>
        <w:tc>
          <w:tcPr>
            <w:tcW w:w="1232" w:type="dxa"/>
            <w:tcBorders>
              <w:top w:val="nil"/>
              <w:left w:val="nil"/>
              <w:bottom w:val="single" w:sz="4" w:space="0" w:color="auto"/>
              <w:right w:val="single" w:sz="4" w:space="0" w:color="auto"/>
            </w:tcBorders>
            <w:shd w:val="clear" w:color="auto" w:fill="auto"/>
            <w:vAlign w:val="center"/>
          </w:tcPr>
          <w:p w14:paraId="6E3CB8DB" w14:textId="77777777" w:rsidR="003957AD" w:rsidRPr="00BC0B36" w:rsidRDefault="003957AD" w:rsidP="00DE0473">
            <w:pPr>
              <w:jc w:val="center"/>
              <w:rPr>
                <w:rFonts w:cs="Calibri"/>
                <w:color w:val="000000"/>
              </w:rPr>
            </w:pPr>
            <w:r>
              <w:rPr>
                <w:rFonts w:cs="Calibri"/>
                <w:color w:val="000000"/>
              </w:rPr>
              <w:t>67%</w:t>
            </w:r>
          </w:p>
        </w:tc>
        <w:tc>
          <w:tcPr>
            <w:tcW w:w="1134" w:type="dxa"/>
            <w:tcBorders>
              <w:top w:val="nil"/>
              <w:left w:val="nil"/>
              <w:bottom w:val="single" w:sz="4" w:space="0" w:color="auto"/>
              <w:right w:val="single" w:sz="4" w:space="0" w:color="auto"/>
            </w:tcBorders>
            <w:shd w:val="clear" w:color="auto" w:fill="auto"/>
            <w:noWrap/>
            <w:vAlign w:val="center"/>
            <w:hideMark/>
          </w:tcPr>
          <w:p w14:paraId="2A8CAA10" w14:textId="77777777" w:rsidR="003957AD" w:rsidRPr="00BC0B36" w:rsidRDefault="003957AD" w:rsidP="00DE0473">
            <w:pPr>
              <w:jc w:val="center"/>
              <w:rPr>
                <w:rFonts w:cs="Calibri"/>
                <w:color w:val="000000"/>
              </w:rPr>
            </w:pPr>
            <w:r>
              <w:rPr>
                <w:rFonts w:cs="Calibri"/>
                <w:color w:val="000000"/>
              </w:rPr>
              <w:t>622</w:t>
            </w:r>
          </w:p>
        </w:tc>
        <w:tc>
          <w:tcPr>
            <w:tcW w:w="1276" w:type="dxa"/>
            <w:tcBorders>
              <w:top w:val="nil"/>
              <w:left w:val="nil"/>
              <w:bottom w:val="single" w:sz="4" w:space="0" w:color="auto"/>
              <w:right w:val="single" w:sz="4" w:space="0" w:color="auto"/>
            </w:tcBorders>
            <w:shd w:val="clear" w:color="auto" w:fill="auto"/>
            <w:vAlign w:val="center"/>
          </w:tcPr>
          <w:p w14:paraId="7164EF11" w14:textId="77777777" w:rsidR="003957AD" w:rsidRPr="00BC0B36" w:rsidRDefault="003957AD" w:rsidP="00DE0473">
            <w:pPr>
              <w:jc w:val="center"/>
              <w:rPr>
                <w:rFonts w:cs="Calibri"/>
                <w:color w:val="000000"/>
              </w:rPr>
            </w:pPr>
            <w:r>
              <w:rPr>
                <w:rFonts w:cs="Calibri"/>
                <w:color w:val="000000"/>
              </w:rPr>
              <w:t>70%</w:t>
            </w:r>
          </w:p>
        </w:tc>
      </w:tr>
    </w:tbl>
    <w:p w14:paraId="5A438701" w14:textId="77777777" w:rsidR="009E54E2" w:rsidRDefault="009E54E2" w:rsidP="00546F15">
      <w:pPr>
        <w:pStyle w:val="Heading2"/>
      </w:pPr>
    </w:p>
    <w:p w14:paraId="5382AD43" w14:textId="77777777" w:rsidR="009E54E2" w:rsidRDefault="009E54E2">
      <w:pPr>
        <w:spacing w:after="200"/>
        <w:rPr>
          <w:rFonts w:ascii="Arial" w:eastAsiaTheme="majorEastAsia" w:hAnsi="Arial" w:cstheme="majorBidi"/>
          <w:b/>
          <w:bCs/>
          <w:color w:val="000000" w:themeColor="text1"/>
          <w:sz w:val="28"/>
          <w:szCs w:val="26"/>
        </w:rPr>
      </w:pPr>
      <w:r>
        <w:br w:type="page"/>
      </w:r>
    </w:p>
    <w:p w14:paraId="75280993" w14:textId="6B9F2606" w:rsidR="003957AD" w:rsidRPr="003754C6" w:rsidRDefault="003957AD" w:rsidP="00546F15">
      <w:pPr>
        <w:pStyle w:val="Heading2"/>
      </w:pPr>
      <w:bookmarkStart w:id="41" w:name="_Toc384042871"/>
      <w:r w:rsidRPr="003754C6">
        <w:lastRenderedPageBreak/>
        <w:t>Outreach and Re-engagement Services</w:t>
      </w:r>
      <w:bookmarkEnd w:id="41"/>
    </w:p>
    <w:p w14:paraId="68864FE3" w14:textId="692B2EFF" w:rsidR="003957AD" w:rsidRDefault="003957AD" w:rsidP="003957AD">
      <w:pPr>
        <w:ind w:right="-188"/>
      </w:pPr>
      <w:r>
        <w:t xml:space="preserve">Providers in Victoria </w:t>
      </w:r>
      <w:r w:rsidRPr="00D80AD9">
        <w:t>have conducted</w:t>
      </w:r>
      <w:r>
        <w:t xml:space="preserve"> 2327</w:t>
      </w:r>
      <w:r w:rsidRPr="00D80AD9">
        <w:t xml:space="preserve"> Outreach and Re-engagement activities (some were held multiple times, resulting in</w:t>
      </w:r>
      <w:r>
        <w:t xml:space="preserve"> 3677</w:t>
      </w:r>
      <w:r w:rsidRPr="00D80AD9">
        <w:t xml:space="preserve"> events). These activities were attended by more </w:t>
      </w:r>
      <w:r>
        <w:t>than 45,959</w:t>
      </w:r>
      <w:r w:rsidRPr="00D80AD9">
        <w:t xml:space="preserve"> people.</w:t>
      </w:r>
    </w:p>
    <w:p w14:paraId="573DD18F" w14:textId="77777777" w:rsidR="009E54E2" w:rsidRDefault="009E54E2">
      <w:pPr>
        <w:spacing w:after="200"/>
      </w:pPr>
    </w:p>
    <w:p w14:paraId="03B39B20" w14:textId="0CE4DF6A" w:rsidR="003957AD" w:rsidRDefault="003957AD" w:rsidP="00546F15">
      <w:pPr>
        <w:pStyle w:val="Heading4"/>
      </w:pPr>
      <w:r>
        <w:t>Table 27: VIC Outreach and Re-engagement activities</w:t>
      </w:r>
    </w:p>
    <w:tbl>
      <w:tblPr>
        <w:tblW w:w="3559"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0"/>
        <w:gridCol w:w="1559"/>
      </w:tblGrid>
      <w:tr w:rsidR="003957AD" w:rsidRPr="00E55E11" w14:paraId="6A7286B7" w14:textId="77777777" w:rsidTr="00DE0473">
        <w:trPr>
          <w:trHeight w:val="909"/>
        </w:trPr>
        <w:tc>
          <w:tcPr>
            <w:tcW w:w="2000" w:type="dxa"/>
            <w:shd w:val="clear" w:color="auto" w:fill="C6D9F1" w:themeFill="text2" w:themeFillTint="33"/>
            <w:noWrap/>
            <w:vAlign w:val="bottom"/>
            <w:hideMark/>
          </w:tcPr>
          <w:p w14:paraId="2D5268CB" w14:textId="77777777" w:rsidR="003957AD" w:rsidRPr="00E55E11" w:rsidRDefault="003957AD" w:rsidP="00DE0473">
            <w:pPr>
              <w:jc w:val="center"/>
              <w:rPr>
                <w:rFonts w:cs="Calibri"/>
                <w:b/>
                <w:color w:val="000000"/>
              </w:rPr>
            </w:pPr>
            <w:r w:rsidRPr="00E55E11">
              <w:rPr>
                <w:rFonts w:cs="Calibri"/>
                <w:b/>
                <w:color w:val="000000"/>
              </w:rPr>
              <w:t>Number of people attending each event</w:t>
            </w:r>
          </w:p>
        </w:tc>
        <w:tc>
          <w:tcPr>
            <w:tcW w:w="1559" w:type="dxa"/>
            <w:shd w:val="clear" w:color="auto" w:fill="C6D9F1" w:themeFill="text2" w:themeFillTint="33"/>
            <w:noWrap/>
            <w:vAlign w:val="bottom"/>
            <w:hideMark/>
          </w:tcPr>
          <w:p w14:paraId="4D8B0CAF" w14:textId="77777777" w:rsidR="003957AD" w:rsidRPr="00E55E11" w:rsidRDefault="003957AD" w:rsidP="00DE0473">
            <w:pPr>
              <w:jc w:val="center"/>
              <w:rPr>
                <w:rFonts w:cs="Calibri"/>
                <w:b/>
                <w:color w:val="000000"/>
              </w:rPr>
            </w:pPr>
            <w:r w:rsidRPr="00E55E11">
              <w:rPr>
                <w:rFonts w:cs="Calibri"/>
                <w:b/>
                <w:color w:val="000000"/>
              </w:rPr>
              <w:t>Number of events</w:t>
            </w:r>
          </w:p>
        </w:tc>
      </w:tr>
      <w:tr w:rsidR="003957AD" w:rsidRPr="00E55E11" w14:paraId="1F87A7BC" w14:textId="77777777" w:rsidTr="00DE0473">
        <w:trPr>
          <w:trHeight w:val="300"/>
        </w:trPr>
        <w:tc>
          <w:tcPr>
            <w:tcW w:w="2000" w:type="dxa"/>
            <w:shd w:val="clear" w:color="auto" w:fill="auto"/>
            <w:noWrap/>
            <w:vAlign w:val="bottom"/>
            <w:hideMark/>
          </w:tcPr>
          <w:p w14:paraId="46A6FEF6" w14:textId="77777777" w:rsidR="003957AD" w:rsidRPr="00E55E11" w:rsidRDefault="003957AD" w:rsidP="00DE0473">
            <w:pPr>
              <w:rPr>
                <w:rFonts w:cs="Calibri"/>
                <w:color w:val="000000"/>
              </w:rPr>
            </w:pPr>
            <w:r w:rsidRPr="00E55E11">
              <w:rPr>
                <w:rFonts w:cs="Calibri"/>
                <w:color w:val="000000"/>
              </w:rPr>
              <w:t>&lt;10</w:t>
            </w:r>
          </w:p>
        </w:tc>
        <w:tc>
          <w:tcPr>
            <w:tcW w:w="1559" w:type="dxa"/>
            <w:shd w:val="clear" w:color="auto" w:fill="auto"/>
            <w:noWrap/>
            <w:vAlign w:val="bottom"/>
            <w:hideMark/>
          </w:tcPr>
          <w:p w14:paraId="0F8FED1A" w14:textId="77777777" w:rsidR="003957AD" w:rsidRDefault="003957AD" w:rsidP="00DE0473">
            <w:pPr>
              <w:jc w:val="right"/>
              <w:rPr>
                <w:rFonts w:cs="Calibri"/>
                <w:color w:val="000000"/>
              </w:rPr>
            </w:pPr>
            <w:r>
              <w:rPr>
                <w:rFonts w:cs="Calibri"/>
                <w:color w:val="000000"/>
              </w:rPr>
              <w:t>2532</w:t>
            </w:r>
          </w:p>
        </w:tc>
      </w:tr>
      <w:tr w:rsidR="003957AD" w:rsidRPr="00E55E11" w14:paraId="6BCD79A2" w14:textId="77777777" w:rsidTr="00DE0473">
        <w:trPr>
          <w:trHeight w:val="300"/>
        </w:trPr>
        <w:tc>
          <w:tcPr>
            <w:tcW w:w="2000" w:type="dxa"/>
            <w:shd w:val="clear" w:color="auto" w:fill="auto"/>
            <w:noWrap/>
            <w:vAlign w:val="bottom"/>
            <w:hideMark/>
          </w:tcPr>
          <w:p w14:paraId="323A8DFF" w14:textId="77777777" w:rsidR="003957AD" w:rsidRPr="00E55E11" w:rsidRDefault="003957AD" w:rsidP="00DE0473">
            <w:pPr>
              <w:rPr>
                <w:rFonts w:cs="Calibri"/>
                <w:color w:val="000000"/>
              </w:rPr>
            </w:pPr>
            <w:r w:rsidRPr="00E55E11">
              <w:rPr>
                <w:rFonts w:cs="Calibri"/>
                <w:color w:val="000000"/>
              </w:rPr>
              <w:t>&lt;20</w:t>
            </w:r>
          </w:p>
        </w:tc>
        <w:tc>
          <w:tcPr>
            <w:tcW w:w="1559" w:type="dxa"/>
            <w:shd w:val="clear" w:color="auto" w:fill="auto"/>
            <w:noWrap/>
            <w:vAlign w:val="bottom"/>
            <w:hideMark/>
          </w:tcPr>
          <w:p w14:paraId="0B663A0B" w14:textId="77777777" w:rsidR="003957AD" w:rsidRDefault="003957AD" w:rsidP="00DE0473">
            <w:pPr>
              <w:jc w:val="right"/>
              <w:rPr>
                <w:rFonts w:cs="Calibri"/>
                <w:color w:val="000000"/>
              </w:rPr>
            </w:pPr>
            <w:r>
              <w:rPr>
                <w:rFonts w:cs="Calibri"/>
                <w:color w:val="000000"/>
              </w:rPr>
              <w:t>710</w:t>
            </w:r>
          </w:p>
        </w:tc>
      </w:tr>
      <w:tr w:rsidR="003957AD" w:rsidRPr="00E55E11" w14:paraId="1D3BF329" w14:textId="77777777" w:rsidTr="00DE0473">
        <w:trPr>
          <w:trHeight w:val="300"/>
        </w:trPr>
        <w:tc>
          <w:tcPr>
            <w:tcW w:w="2000" w:type="dxa"/>
            <w:shd w:val="clear" w:color="auto" w:fill="auto"/>
            <w:noWrap/>
            <w:vAlign w:val="bottom"/>
            <w:hideMark/>
          </w:tcPr>
          <w:p w14:paraId="44C01A30" w14:textId="77777777" w:rsidR="003957AD" w:rsidRPr="00E55E11" w:rsidRDefault="003957AD" w:rsidP="00DE0473">
            <w:pPr>
              <w:rPr>
                <w:rFonts w:cs="Calibri"/>
                <w:color w:val="000000"/>
              </w:rPr>
            </w:pPr>
            <w:r w:rsidRPr="00E55E11">
              <w:rPr>
                <w:rFonts w:cs="Calibri"/>
                <w:color w:val="000000"/>
              </w:rPr>
              <w:t>&lt;50</w:t>
            </w:r>
          </w:p>
        </w:tc>
        <w:tc>
          <w:tcPr>
            <w:tcW w:w="1559" w:type="dxa"/>
            <w:shd w:val="clear" w:color="auto" w:fill="auto"/>
            <w:noWrap/>
            <w:vAlign w:val="bottom"/>
            <w:hideMark/>
          </w:tcPr>
          <w:p w14:paraId="18B9714A" w14:textId="77777777" w:rsidR="003957AD" w:rsidRDefault="003957AD" w:rsidP="00DE0473">
            <w:pPr>
              <w:jc w:val="right"/>
              <w:rPr>
                <w:rFonts w:cs="Calibri"/>
                <w:color w:val="000000"/>
              </w:rPr>
            </w:pPr>
            <w:r>
              <w:rPr>
                <w:rFonts w:cs="Calibri"/>
                <w:color w:val="000000"/>
              </w:rPr>
              <w:t>315</w:t>
            </w:r>
          </w:p>
        </w:tc>
      </w:tr>
      <w:tr w:rsidR="003957AD" w:rsidRPr="00E55E11" w14:paraId="41048BA0" w14:textId="77777777" w:rsidTr="00DE0473">
        <w:trPr>
          <w:trHeight w:val="300"/>
        </w:trPr>
        <w:tc>
          <w:tcPr>
            <w:tcW w:w="2000" w:type="dxa"/>
            <w:shd w:val="clear" w:color="auto" w:fill="auto"/>
            <w:noWrap/>
            <w:vAlign w:val="bottom"/>
            <w:hideMark/>
          </w:tcPr>
          <w:p w14:paraId="1FEC261E" w14:textId="77777777" w:rsidR="003957AD" w:rsidRPr="00E55E11" w:rsidRDefault="003957AD" w:rsidP="00DE0473">
            <w:pPr>
              <w:rPr>
                <w:rFonts w:cs="Calibri"/>
                <w:color w:val="000000"/>
              </w:rPr>
            </w:pPr>
            <w:r>
              <w:rPr>
                <w:rFonts w:cs="Calibri"/>
                <w:color w:val="000000"/>
              </w:rPr>
              <w:t>&lt;5</w:t>
            </w:r>
            <w:r w:rsidRPr="00E55E11">
              <w:rPr>
                <w:rFonts w:cs="Calibri"/>
                <w:color w:val="000000"/>
              </w:rPr>
              <w:t>00</w:t>
            </w:r>
          </w:p>
        </w:tc>
        <w:tc>
          <w:tcPr>
            <w:tcW w:w="1559" w:type="dxa"/>
            <w:shd w:val="clear" w:color="auto" w:fill="auto"/>
            <w:noWrap/>
            <w:vAlign w:val="bottom"/>
            <w:hideMark/>
          </w:tcPr>
          <w:p w14:paraId="417F058B" w14:textId="77777777" w:rsidR="003957AD" w:rsidRDefault="003957AD" w:rsidP="00DE0473">
            <w:pPr>
              <w:jc w:val="right"/>
              <w:rPr>
                <w:rFonts w:cs="Calibri"/>
                <w:color w:val="000000"/>
              </w:rPr>
            </w:pPr>
            <w:r>
              <w:rPr>
                <w:rFonts w:cs="Calibri"/>
                <w:color w:val="000000"/>
              </w:rPr>
              <w:t>120</w:t>
            </w:r>
          </w:p>
        </w:tc>
      </w:tr>
      <w:tr w:rsidR="003957AD" w:rsidRPr="00E55E11" w14:paraId="37844989" w14:textId="77777777" w:rsidTr="00DE0473">
        <w:trPr>
          <w:trHeight w:val="300"/>
        </w:trPr>
        <w:tc>
          <w:tcPr>
            <w:tcW w:w="2000" w:type="dxa"/>
            <w:shd w:val="clear" w:color="auto" w:fill="auto"/>
            <w:noWrap/>
            <w:vAlign w:val="bottom"/>
            <w:hideMark/>
          </w:tcPr>
          <w:p w14:paraId="666D42B4" w14:textId="77777777" w:rsidR="003957AD" w:rsidRPr="00E55E11" w:rsidRDefault="003957AD" w:rsidP="00DE0473">
            <w:pPr>
              <w:rPr>
                <w:rFonts w:cs="Calibri"/>
                <w:color w:val="000000"/>
              </w:rPr>
            </w:pPr>
            <w:r>
              <w:rPr>
                <w:rFonts w:cs="Calibri"/>
                <w:color w:val="000000"/>
              </w:rPr>
              <w:t>&gt;5</w:t>
            </w:r>
            <w:r w:rsidRPr="00E55E11">
              <w:rPr>
                <w:rFonts w:cs="Calibri"/>
                <w:color w:val="000000"/>
              </w:rPr>
              <w:t>00</w:t>
            </w:r>
          </w:p>
        </w:tc>
        <w:tc>
          <w:tcPr>
            <w:tcW w:w="1559" w:type="dxa"/>
            <w:shd w:val="clear" w:color="auto" w:fill="auto"/>
            <w:noWrap/>
            <w:vAlign w:val="bottom"/>
            <w:hideMark/>
          </w:tcPr>
          <w:p w14:paraId="08A4DB78" w14:textId="77777777" w:rsidR="003957AD" w:rsidRDefault="003957AD" w:rsidP="00DE0473">
            <w:pPr>
              <w:jc w:val="right"/>
              <w:rPr>
                <w:rFonts w:cs="Calibri"/>
                <w:color w:val="000000"/>
              </w:rPr>
            </w:pPr>
            <w:r>
              <w:rPr>
                <w:rFonts w:cs="Calibri"/>
                <w:color w:val="000000"/>
              </w:rPr>
              <w:t>5</w:t>
            </w:r>
          </w:p>
        </w:tc>
      </w:tr>
    </w:tbl>
    <w:p w14:paraId="6905D66C" w14:textId="77777777" w:rsidR="003957AD" w:rsidRDefault="003957AD" w:rsidP="003957AD">
      <w:pPr>
        <w:ind w:right="-188"/>
      </w:pPr>
    </w:p>
    <w:p w14:paraId="1FFFDC48" w14:textId="77777777" w:rsidR="003957AD" w:rsidRDefault="003957AD" w:rsidP="003957AD">
      <w:pPr>
        <w:ind w:right="-188"/>
      </w:pPr>
      <w:r>
        <w:t>703 of these activities were identified as having an Indigenous focus; 812 were identified as having a humanitarian refugee focus.</w:t>
      </w:r>
    </w:p>
    <w:p w14:paraId="30EC8FA3" w14:textId="77777777" w:rsidR="003957AD" w:rsidRPr="003754C6" w:rsidRDefault="003957AD" w:rsidP="00546F15">
      <w:pPr>
        <w:pStyle w:val="Heading2"/>
      </w:pPr>
      <w:bookmarkStart w:id="42" w:name="_Toc384042872"/>
      <w:r w:rsidRPr="003754C6">
        <w:t>Strengthening Services in the Region</w:t>
      </w:r>
      <w:bookmarkEnd w:id="42"/>
    </w:p>
    <w:p w14:paraId="3E5C54D0" w14:textId="5816DA69" w:rsidR="003957AD" w:rsidRDefault="003957AD" w:rsidP="003957AD">
      <w:pPr>
        <w:ind w:right="-188"/>
      </w:pPr>
      <w:r>
        <w:t>Providers in Victoria have conducted 1804 activities to strengthen services in their region. 283 of these activities were identified as having an Indigenous focus, 196 were identified as havin</w:t>
      </w:r>
      <w:r w:rsidR="00546F15">
        <w:t>g a humanitarian refugee focus.</w:t>
      </w:r>
    </w:p>
    <w:p w14:paraId="4F2C0829" w14:textId="7FC5E32E" w:rsidR="003957AD" w:rsidRDefault="003957AD" w:rsidP="00546F15">
      <w:pPr>
        <w:pStyle w:val="Heading4"/>
        <w:spacing w:after="120"/>
      </w:pPr>
      <w:r>
        <w:t>Table 28: VIC Strengthening Services in the Region activities</w:t>
      </w:r>
    </w:p>
    <w:tbl>
      <w:tblPr>
        <w:tblStyle w:val="TableGrid"/>
        <w:tblW w:w="0" w:type="auto"/>
        <w:tblLook w:val="04A0" w:firstRow="1" w:lastRow="0" w:firstColumn="1" w:lastColumn="0" w:noHBand="0" w:noVBand="1"/>
        <w:tblDescription w:val="Table 28: VIC Strengthening Services in the Region activities"/>
      </w:tblPr>
      <w:tblGrid>
        <w:gridCol w:w="6090"/>
        <w:gridCol w:w="1581"/>
        <w:gridCol w:w="1571"/>
      </w:tblGrid>
      <w:tr w:rsidR="003957AD" w:rsidRPr="00AC5CCC" w14:paraId="64F69EDB" w14:textId="77777777" w:rsidTr="00793CB6">
        <w:trPr>
          <w:tblHeader/>
        </w:trPr>
        <w:tc>
          <w:tcPr>
            <w:tcW w:w="6912" w:type="dxa"/>
            <w:shd w:val="clear" w:color="auto" w:fill="C6D9F1" w:themeFill="text2" w:themeFillTint="33"/>
            <w:vAlign w:val="center"/>
          </w:tcPr>
          <w:p w14:paraId="6741DB7E" w14:textId="77777777" w:rsidR="003957AD" w:rsidRPr="00AC5CCC" w:rsidRDefault="003957AD" w:rsidP="00DE0473">
            <w:pPr>
              <w:jc w:val="center"/>
              <w:rPr>
                <w:b/>
              </w:rPr>
            </w:pPr>
            <w:r w:rsidRPr="00AC5CCC">
              <w:rPr>
                <w:b/>
              </w:rPr>
              <w:t>Outcome</w:t>
            </w:r>
          </w:p>
        </w:tc>
        <w:tc>
          <w:tcPr>
            <w:tcW w:w="1683" w:type="dxa"/>
            <w:shd w:val="clear" w:color="auto" w:fill="C6D9F1" w:themeFill="text2" w:themeFillTint="33"/>
            <w:vAlign w:val="center"/>
          </w:tcPr>
          <w:p w14:paraId="648E5F5E" w14:textId="77777777" w:rsidR="003957AD" w:rsidRPr="00AC5CCC" w:rsidRDefault="003957AD" w:rsidP="00DE0473">
            <w:pPr>
              <w:jc w:val="center"/>
              <w:rPr>
                <w:b/>
              </w:rPr>
            </w:pPr>
            <w:r w:rsidRPr="00AC5CCC">
              <w:rPr>
                <w:b/>
              </w:rPr>
              <w:t>Number of times outcome selected</w:t>
            </w:r>
          </w:p>
        </w:tc>
        <w:tc>
          <w:tcPr>
            <w:tcW w:w="1683" w:type="dxa"/>
            <w:shd w:val="clear" w:color="auto" w:fill="C6D9F1" w:themeFill="text2" w:themeFillTint="33"/>
            <w:vAlign w:val="center"/>
          </w:tcPr>
          <w:p w14:paraId="44ED76E2" w14:textId="77777777" w:rsidR="003957AD" w:rsidRPr="00AC5CCC" w:rsidRDefault="003957AD" w:rsidP="00DE0473">
            <w:pPr>
              <w:jc w:val="center"/>
              <w:rPr>
                <w:b/>
              </w:rPr>
            </w:pPr>
            <w:r w:rsidRPr="00AC5CCC">
              <w:rPr>
                <w:b/>
              </w:rPr>
              <w:t>Average rating</w:t>
            </w:r>
          </w:p>
        </w:tc>
      </w:tr>
      <w:tr w:rsidR="003957AD" w14:paraId="275CCC70" w14:textId="77777777" w:rsidTr="00DE0473">
        <w:tc>
          <w:tcPr>
            <w:tcW w:w="6912" w:type="dxa"/>
            <w:vAlign w:val="bottom"/>
          </w:tcPr>
          <w:p w14:paraId="643920D5" w14:textId="77777777" w:rsidR="003957AD" w:rsidRDefault="003957AD" w:rsidP="00DE0473">
            <w:pPr>
              <w:rPr>
                <w:rFonts w:cs="Calibri"/>
                <w:color w:val="000000"/>
              </w:rPr>
            </w:pPr>
            <w:r>
              <w:rPr>
                <w:rFonts w:cs="Calibri"/>
                <w:color w:val="000000"/>
              </w:rPr>
              <w:t>Communication channels between agencies which support at risk young people were created or strengthened.</w:t>
            </w:r>
          </w:p>
        </w:tc>
        <w:tc>
          <w:tcPr>
            <w:tcW w:w="1683" w:type="dxa"/>
            <w:vAlign w:val="bottom"/>
          </w:tcPr>
          <w:p w14:paraId="7EAD6D15" w14:textId="77777777" w:rsidR="003957AD" w:rsidRDefault="003957AD" w:rsidP="00DE0473">
            <w:pPr>
              <w:jc w:val="right"/>
              <w:rPr>
                <w:rFonts w:cs="Calibri"/>
                <w:color w:val="000000"/>
              </w:rPr>
            </w:pPr>
            <w:r>
              <w:rPr>
                <w:rFonts w:cs="Calibri"/>
                <w:color w:val="000000"/>
              </w:rPr>
              <w:t>1250</w:t>
            </w:r>
          </w:p>
        </w:tc>
        <w:tc>
          <w:tcPr>
            <w:tcW w:w="1683" w:type="dxa"/>
            <w:vAlign w:val="bottom"/>
          </w:tcPr>
          <w:p w14:paraId="5E3EB96F" w14:textId="77777777" w:rsidR="003957AD" w:rsidRDefault="003957AD" w:rsidP="00DE0473">
            <w:pPr>
              <w:jc w:val="right"/>
              <w:rPr>
                <w:rFonts w:cs="Calibri"/>
                <w:color w:val="000000"/>
              </w:rPr>
            </w:pPr>
            <w:r>
              <w:rPr>
                <w:rFonts w:cs="Calibri"/>
                <w:color w:val="000000"/>
              </w:rPr>
              <w:t>3.2</w:t>
            </w:r>
          </w:p>
        </w:tc>
      </w:tr>
      <w:tr w:rsidR="003957AD" w14:paraId="253B124E" w14:textId="77777777" w:rsidTr="00DE0473">
        <w:tc>
          <w:tcPr>
            <w:tcW w:w="6912" w:type="dxa"/>
            <w:vAlign w:val="bottom"/>
          </w:tcPr>
          <w:p w14:paraId="2E1BBADB" w14:textId="77777777" w:rsidR="003957AD" w:rsidRDefault="003957AD" w:rsidP="00DE0473">
            <w:pPr>
              <w:rPr>
                <w:rFonts w:cs="Calibri"/>
                <w:color w:val="000000"/>
              </w:rPr>
            </w:pPr>
            <w:r>
              <w:rPr>
                <w:rFonts w:cs="Calibri"/>
                <w:color w:val="000000"/>
              </w:rPr>
              <w:t>Families and communities are more positively involved in the lives of at risk young people.</w:t>
            </w:r>
          </w:p>
        </w:tc>
        <w:tc>
          <w:tcPr>
            <w:tcW w:w="1683" w:type="dxa"/>
            <w:vAlign w:val="bottom"/>
          </w:tcPr>
          <w:p w14:paraId="78DC390C" w14:textId="77777777" w:rsidR="003957AD" w:rsidRDefault="003957AD" w:rsidP="00DE0473">
            <w:pPr>
              <w:jc w:val="right"/>
              <w:rPr>
                <w:rFonts w:cs="Calibri"/>
                <w:color w:val="000000"/>
              </w:rPr>
            </w:pPr>
            <w:r>
              <w:rPr>
                <w:rFonts w:cs="Calibri"/>
                <w:color w:val="000000"/>
              </w:rPr>
              <w:t>230</w:t>
            </w:r>
          </w:p>
        </w:tc>
        <w:tc>
          <w:tcPr>
            <w:tcW w:w="1683" w:type="dxa"/>
            <w:vAlign w:val="bottom"/>
          </w:tcPr>
          <w:p w14:paraId="33858B3A" w14:textId="77777777" w:rsidR="003957AD" w:rsidRDefault="003957AD" w:rsidP="00DE0473">
            <w:pPr>
              <w:jc w:val="right"/>
              <w:rPr>
                <w:rFonts w:cs="Calibri"/>
                <w:color w:val="000000"/>
              </w:rPr>
            </w:pPr>
            <w:r>
              <w:rPr>
                <w:rFonts w:cs="Calibri"/>
                <w:color w:val="000000"/>
              </w:rPr>
              <w:t>2.6</w:t>
            </w:r>
          </w:p>
        </w:tc>
      </w:tr>
      <w:tr w:rsidR="003957AD" w14:paraId="36825E40" w14:textId="77777777" w:rsidTr="00DE0473">
        <w:tc>
          <w:tcPr>
            <w:tcW w:w="6912" w:type="dxa"/>
            <w:vAlign w:val="bottom"/>
          </w:tcPr>
          <w:p w14:paraId="6639F2D4" w14:textId="77777777" w:rsidR="003957AD" w:rsidRDefault="003957AD" w:rsidP="00DE0473">
            <w:pPr>
              <w:rPr>
                <w:rFonts w:cs="Calibri"/>
                <w:color w:val="000000"/>
              </w:rPr>
            </w:pPr>
            <w:r>
              <w:rPr>
                <w:rFonts w:cs="Calibri"/>
                <w:color w:val="000000"/>
              </w:rPr>
              <w:t>Families of at risk young people are more involved in their community.</w:t>
            </w:r>
          </w:p>
        </w:tc>
        <w:tc>
          <w:tcPr>
            <w:tcW w:w="1683" w:type="dxa"/>
            <w:vAlign w:val="bottom"/>
          </w:tcPr>
          <w:p w14:paraId="5825AD91" w14:textId="77777777" w:rsidR="003957AD" w:rsidRDefault="003957AD" w:rsidP="00DE0473">
            <w:pPr>
              <w:jc w:val="right"/>
              <w:rPr>
                <w:rFonts w:cs="Calibri"/>
                <w:color w:val="000000"/>
              </w:rPr>
            </w:pPr>
            <w:r>
              <w:rPr>
                <w:rFonts w:cs="Calibri"/>
                <w:color w:val="000000"/>
              </w:rPr>
              <w:t>152</w:t>
            </w:r>
          </w:p>
        </w:tc>
        <w:tc>
          <w:tcPr>
            <w:tcW w:w="1683" w:type="dxa"/>
            <w:vAlign w:val="bottom"/>
          </w:tcPr>
          <w:p w14:paraId="38808BDD" w14:textId="77777777" w:rsidR="003957AD" w:rsidRDefault="003957AD" w:rsidP="00DE0473">
            <w:pPr>
              <w:jc w:val="right"/>
              <w:rPr>
                <w:rFonts w:cs="Calibri"/>
                <w:color w:val="000000"/>
              </w:rPr>
            </w:pPr>
            <w:r>
              <w:rPr>
                <w:rFonts w:cs="Calibri"/>
                <w:color w:val="000000"/>
              </w:rPr>
              <w:t>2.5</w:t>
            </w:r>
          </w:p>
        </w:tc>
      </w:tr>
      <w:tr w:rsidR="003957AD" w14:paraId="7A2E2150" w14:textId="77777777" w:rsidTr="00DE0473">
        <w:tc>
          <w:tcPr>
            <w:tcW w:w="6912" w:type="dxa"/>
            <w:vAlign w:val="bottom"/>
          </w:tcPr>
          <w:p w14:paraId="4266833C" w14:textId="77777777" w:rsidR="003957AD" w:rsidRDefault="003957AD" w:rsidP="00DE0473">
            <w:pPr>
              <w:rPr>
                <w:rFonts w:cs="Calibri"/>
                <w:color w:val="000000"/>
              </w:rPr>
            </w:pPr>
            <w:r>
              <w:rPr>
                <w:rFonts w:cs="Calibri"/>
                <w:color w:val="000000"/>
              </w:rPr>
              <w:t>Regional solutions were implemented to improve careers and transitions services in the region with a focus on supporting at risk young people.</w:t>
            </w:r>
          </w:p>
        </w:tc>
        <w:tc>
          <w:tcPr>
            <w:tcW w:w="1683" w:type="dxa"/>
            <w:vAlign w:val="bottom"/>
          </w:tcPr>
          <w:p w14:paraId="71C5614C" w14:textId="77777777" w:rsidR="003957AD" w:rsidRDefault="003957AD" w:rsidP="00DE0473">
            <w:pPr>
              <w:jc w:val="right"/>
              <w:rPr>
                <w:rFonts w:cs="Calibri"/>
                <w:color w:val="000000"/>
              </w:rPr>
            </w:pPr>
            <w:r>
              <w:rPr>
                <w:rFonts w:cs="Calibri"/>
                <w:color w:val="000000"/>
              </w:rPr>
              <w:t>295</w:t>
            </w:r>
          </w:p>
        </w:tc>
        <w:tc>
          <w:tcPr>
            <w:tcW w:w="1683" w:type="dxa"/>
            <w:vAlign w:val="bottom"/>
          </w:tcPr>
          <w:p w14:paraId="3C328BE8" w14:textId="77777777" w:rsidR="003957AD" w:rsidRDefault="003957AD" w:rsidP="00DE0473">
            <w:pPr>
              <w:jc w:val="right"/>
              <w:rPr>
                <w:rFonts w:cs="Calibri"/>
                <w:color w:val="000000"/>
              </w:rPr>
            </w:pPr>
            <w:r>
              <w:rPr>
                <w:rFonts w:cs="Calibri"/>
                <w:color w:val="000000"/>
              </w:rPr>
              <w:t>2.6</w:t>
            </w:r>
          </w:p>
        </w:tc>
      </w:tr>
      <w:tr w:rsidR="003957AD" w14:paraId="7C40AAAB" w14:textId="77777777" w:rsidTr="00DE0473">
        <w:tc>
          <w:tcPr>
            <w:tcW w:w="6912" w:type="dxa"/>
            <w:vAlign w:val="bottom"/>
          </w:tcPr>
          <w:p w14:paraId="56C0F8B1" w14:textId="77777777" w:rsidR="003957AD" w:rsidRDefault="003957AD" w:rsidP="00DE0473">
            <w:pPr>
              <w:rPr>
                <w:rFonts w:cs="Calibri"/>
                <w:color w:val="000000"/>
              </w:rPr>
            </w:pPr>
            <w:r>
              <w:rPr>
                <w:rFonts w:cs="Calibri"/>
                <w:color w:val="000000"/>
              </w:rPr>
              <w:t>Schools and education providers established procedures with other agencies to identify at risk young people earlier.</w:t>
            </w:r>
          </w:p>
        </w:tc>
        <w:tc>
          <w:tcPr>
            <w:tcW w:w="1683" w:type="dxa"/>
            <w:vAlign w:val="bottom"/>
          </w:tcPr>
          <w:p w14:paraId="44117717" w14:textId="77777777" w:rsidR="003957AD" w:rsidRDefault="003957AD" w:rsidP="00DE0473">
            <w:pPr>
              <w:jc w:val="right"/>
              <w:rPr>
                <w:rFonts w:cs="Calibri"/>
                <w:color w:val="000000"/>
              </w:rPr>
            </w:pPr>
            <w:r>
              <w:rPr>
                <w:rFonts w:cs="Calibri"/>
                <w:color w:val="000000"/>
              </w:rPr>
              <w:t>311</w:t>
            </w:r>
          </w:p>
        </w:tc>
        <w:tc>
          <w:tcPr>
            <w:tcW w:w="1683" w:type="dxa"/>
            <w:vAlign w:val="bottom"/>
          </w:tcPr>
          <w:p w14:paraId="6D12908F" w14:textId="77777777" w:rsidR="003957AD" w:rsidRDefault="003957AD" w:rsidP="00DE0473">
            <w:pPr>
              <w:jc w:val="right"/>
              <w:rPr>
                <w:rFonts w:cs="Calibri"/>
                <w:color w:val="000000"/>
              </w:rPr>
            </w:pPr>
            <w:r>
              <w:rPr>
                <w:rFonts w:cs="Calibri"/>
                <w:color w:val="000000"/>
              </w:rPr>
              <w:t>2.6</w:t>
            </w:r>
          </w:p>
        </w:tc>
      </w:tr>
      <w:tr w:rsidR="003957AD" w14:paraId="54493BB1" w14:textId="77777777" w:rsidTr="00DE0473">
        <w:tc>
          <w:tcPr>
            <w:tcW w:w="6912" w:type="dxa"/>
            <w:vAlign w:val="bottom"/>
          </w:tcPr>
          <w:p w14:paraId="57E0518A" w14:textId="77777777" w:rsidR="003957AD" w:rsidRDefault="003957AD" w:rsidP="00DE0473">
            <w:pPr>
              <w:rPr>
                <w:rFonts w:cs="Calibri"/>
                <w:color w:val="000000"/>
              </w:rPr>
            </w:pPr>
            <w:r>
              <w:rPr>
                <w:rFonts w:cs="Calibri"/>
                <w:color w:val="000000"/>
              </w:rPr>
              <w:t>Schools and education providers increased their referrals to support at risk young people.</w:t>
            </w:r>
          </w:p>
        </w:tc>
        <w:tc>
          <w:tcPr>
            <w:tcW w:w="1683" w:type="dxa"/>
            <w:vAlign w:val="bottom"/>
          </w:tcPr>
          <w:p w14:paraId="53A4F8DE" w14:textId="77777777" w:rsidR="003957AD" w:rsidRDefault="003957AD" w:rsidP="00DE0473">
            <w:pPr>
              <w:jc w:val="right"/>
              <w:rPr>
                <w:rFonts w:cs="Calibri"/>
                <w:color w:val="000000"/>
              </w:rPr>
            </w:pPr>
            <w:r>
              <w:rPr>
                <w:rFonts w:cs="Calibri"/>
                <w:color w:val="000000"/>
              </w:rPr>
              <w:t>396</w:t>
            </w:r>
          </w:p>
        </w:tc>
        <w:tc>
          <w:tcPr>
            <w:tcW w:w="1683" w:type="dxa"/>
            <w:vAlign w:val="bottom"/>
          </w:tcPr>
          <w:p w14:paraId="7AEC3F67" w14:textId="77777777" w:rsidR="003957AD" w:rsidRDefault="003957AD" w:rsidP="00DE0473">
            <w:pPr>
              <w:jc w:val="right"/>
              <w:rPr>
                <w:rFonts w:cs="Calibri"/>
                <w:color w:val="000000"/>
              </w:rPr>
            </w:pPr>
            <w:r>
              <w:rPr>
                <w:rFonts w:cs="Calibri"/>
                <w:color w:val="000000"/>
              </w:rPr>
              <w:t>2.6</w:t>
            </w:r>
          </w:p>
        </w:tc>
      </w:tr>
      <w:tr w:rsidR="003957AD" w14:paraId="12D99CCD" w14:textId="77777777" w:rsidTr="00DE0473">
        <w:tc>
          <w:tcPr>
            <w:tcW w:w="6912" w:type="dxa"/>
            <w:vAlign w:val="bottom"/>
          </w:tcPr>
          <w:p w14:paraId="1883D716" w14:textId="77777777" w:rsidR="003957AD" w:rsidRDefault="003957AD" w:rsidP="00DE0473">
            <w:pPr>
              <w:rPr>
                <w:rFonts w:cs="Calibri"/>
                <w:color w:val="000000"/>
              </w:rPr>
            </w:pPr>
            <w:r>
              <w:rPr>
                <w:rFonts w:cs="Calibri"/>
                <w:color w:val="000000"/>
              </w:rPr>
              <w:t>Schools and education providers make referrals earlier to support at risk young people.</w:t>
            </w:r>
          </w:p>
        </w:tc>
        <w:tc>
          <w:tcPr>
            <w:tcW w:w="1683" w:type="dxa"/>
            <w:vAlign w:val="bottom"/>
          </w:tcPr>
          <w:p w14:paraId="14DF1C0B" w14:textId="77777777" w:rsidR="003957AD" w:rsidRDefault="003957AD" w:rsidP="00DE0473">
            <w:pPr>
              <w:jc w:val="right"/>
              <w:rPr>
                <w:rFonts w:cs="Calibri"/>
                <w:color w:val="000000"/>
              </w:rPr>
            </w:pPr>
            <w:r>
              <w:rPr>
                <w:rFonts w:cs="Calibri"/>
                <w:color w:val="000000"/>
              </w:rPr>
              <w:t>325</w:t>
            </w:r>
          </w:p>
        </w:tc>
        <w:tc>
          <w:tcPr>
            <w:tcW w:w="1683" w:type="dxa"/>
            <w:vAlign w:val="bottom"/>
          </w:tcPr>
          <w:p w14:paraId="4E439C8D" w14:textId="77777777" w:rsidR="003957AD" w:rsidRDefault="003957AD" w:rsidP="00DE0473">
            <w:pPr>
              <w:jc w:val="right"/>
              <w:rPr>
                <w:rFonts w:cs="Calibri"/>
                <w:color w:val="000000"/>
              </w:rPr>
            </w:pPr>
            <w:r>
              <w:rPr>
                <w:rFonts w:cs="Calibri"/>
                <w:color w:val="000000"/>
              </w:rPr>
              <w:t>2.7</w:t>
            </w:r>
          </w:p>
        </w:tc>
      </w:tr>
      <w:tr w:rsidR="003957AD" w14:paraId="7429E134" w14:textId="77777777" w:rsidTr="00DE0473">
        <w:tc>
          <w:tcPr>
            <w:tcW w:w="6912" w:type="dxa"/>
            <w:vAlign w:val="bottom"/>
          </w:tcPr>
          <w:p w14:paraId="41611434" w14:textId="77777777" w:rsidR="003957AD" w:rsidRDefault="003957AD" w:rsidP="00DE0473">
            <w:pPr>
              <w:rPr>
                <w:rFonts w:cs="Calibri"/>
                <w:color w:val="000000"/>
              </w:rPr>
            </w:pPr>
            <w:r>
              <w:rPr>
                <w:rFonts w:cs="Calibri"/>
                <w:color w:val="000000"/>
              </w:rPr>
              <w:t>Schools and other education providers were assisted to establish or share their best practice models for working with at risk young people.</w:t>
            </w:r>
          </w:p>
        </w:tc>
        <w:tc>
          <w:tcPr>
            <w:tcW w:w="1683" w:type="dxa"/>
            <w:vAlign w:val="bottom"/>
          </w:tcPr>
          <w:p w14:paraId="4450DD6A" w14:textId="77777777" w:rsidR="003957AD" w:rsidRDefault="003957AD" w:rsidP="00DE0473">
            <w:pPr>
              <w:jc w:val="right"/>
              <w:rPr>
                <w:rFonts w:cs="Calibri"/>
                <w:color w:val="000000"/>
              </w:rPr>
            </w:pPr>
            <w:r>
              <w:rPr>
                <w:rFonts w:cs="Calibri"/>
                <w:color w:val="000000"/>
              </w:rPr>
              <w:t>249</w:t>
            </w:r>
          </w:p>
        </w:tc>
        <w:tc>
          <w:tcPr>
            <w:tcW w:w="1683" w:type="dxa"/>
            <w:vAlign w:val="bottom"/>
          </w:tcPr>
          <w:p w14:paraId="6D4B1322" w14:textId="77777777" w:rsidR="003957AD" w:rsidRDefault="003957AD" w:rsidP="00DE0473">
            <w:pPr>
              <w:jc w:val="right"/>
              <w:rPr>
                <w:rFonts w:cs="Calibri"/>
                <w:color w:val="000000"/>
              </w:rPr>
            </w:pPr>
            <w:r>
              <w:rPr>
                <w:rFonts w:cs="Calibri"/>
                <w:color w:val="000000"/>
              </w:rPr>
              <w:t>2.6</w:t>
            </w:r>
          </w:p>
        </w:tc>
      </w:tr>
      <w:tr w:rsidR="003957AD" w14:paraId="5701C513" w14:textId="77777777" w:rsidTr="00DE0473">
        <w:tc>
          <w:tcPr>
            <w:tcW w:w="6912" w:type="dxa"/>
            <w:vAlign w:val="bottom"/>
          </w:tcPr>
          <w:p w14:paraId="05B190A3" w14:textId="77777777" w:rsidR="003957AD" w:rsidRDefault="003957AD" w:rsidP="00DE0473">
            <w:pPr>
              <w:rPr>
                <w:rFonts w:cs="Calibri"/>
                <w:color w:val="000000"/>
              </w:rPr>
            </w:pPr>
            <w:r>
              <w:rPr>
                <w:rFonts w:cs="Calibri"/>
                <w:color w:val="000000"/>
              </w:rPr>
              <w:lastRenderedPageBreak/>
              <w:t>The use of infrastructure in the region to support at risk young people is better coordinated.</w:t>
            </w:r>
          </w:p>
        </w:tc>
        <w:tc>
          <w:tcPr>
            <w:tcW w:w="1683" w:type="dxa"/>
            <w:vAlign w:val="bottom"/>
          </w:tcPr>
          <w:p w14:paraId="080683BA" w14:textId="77777777" w:rsidR="003957AD" w:rsidRDefault="003957AD" w:rsidP="00DE0473">
            <w:pPr>
              <w:jc w:val="right"/>
              <w:rPr>
                <w:rFonts w:cs="Calibri"/>
                <w:color w:val="000000"/>
              </w:rPr>
            </w:pPr>
            <w:r>
              <w:rPr>
                <w:rFonts w:cs="Calibri"/>
                <w:color w:val="000000"/>
              </w:rPr>
              <w:t>700</w:t>
            </w:r>
          </w:p>
        </w:tc>
        <w:tc>
          <w:tcPr>
            <w:tcW w:w="1683" w:type="dxa"/>
            <w:vAlign w:val="bottom"/>
          </w:tcPr>
          <w:p w14:paraId="7CF8271F" w14:textId="77777777" w:rsidR="003957AD" w:rsidRDefault="003957AD" w:rsidP="00DE0473">
            <w:pPr>
              <w:jc w:val="right"/>
              <w:rPr>
                <w:rFonts w:cs="Calibri"/>
                <w:color w:val="000000"/>
              </w:rPr>
            </w:pPr>
            <w:r>
              <w:rPr>
                <w:rFonts w:cs="Calibri"/>
                <w:color w:val="000000"/>
              </w:rPr>
              <w:t>2.8</w:t>
            </w:r>
          </w:p>
        </w:tc>
      </w:tr>
      <w:tr w:rsidR="003957AD" w14:paraId="69DBD0F7" w14:textId="77777777" w:rsidTr="00DE0473">
        <w:tc>
          <w:tcPr>
            <w:tcW w:w="6912" w:type="dxa"/>
            <w:vAlign w:val="bottom"/>
          </w:tcPr>
          <w:p w14:paraId="79F24AA2" w14:textId="77777777" w:rsidR="003957AD" w:rsidRDefault="003957AD" w:rsidP="00DE0473">
            <w:pPr>
              <w:rPr>
                <w:rFonts w:cs="Calibri"/>
                <w:color w:val="000000"/>
              </w:rPr>
            </w:pPr>
            <w:r>
              <w:rPr>
                <w:rFonts w:cs="Calibri"/>
                <w:color w:val="000000"/>
              </w:rPr>
              <w:t>There are improved referral channels for community resources which support at risk young people.</w:t>
            </w:r>
          </w:p>
        </w:tc>
        <w:tc>
          <w:tcPr>
            <w:tcW w:w="1683" w:type="dxa"/>
            <w:vAlign w:val="bottom"/>
          </w:tcPr>
          <w:p w14:paraId="5F2615CC" w14:textId="77777777" w:rsidR="003957AD" w:rsidRDefault="003957AD" w:rsidP="00DE0473">
            <w:pPr>
              <w:jc w:val="right"/>
              <w:rPr>
                <w:rFonts w:cs="Calibri"/>
                <w:color w:val="000000"/>
              </w:rPr>
            </w:pPr>
            <w:r>
              <w:rPr>
                <w:rFonts w:cs="Calibri"/>
                <w:color w:val="000000"/>
              </w:rPr>
              <w:t>813</w:t>
            </w:r>
          </w:p>
        </w:tc>
        <w:tc>
          <w:tcPr>
            <w:tcW w:w="1683" w:type="dxa"/>
            <w:vAlign w:val="bottom"/>
          </w:tcPr>
          <w:p w14:paraId="531F10FE" w14:textId="77777777" w:rsidR="003957AD" w:rsidRDefault="003957AD" w:rsidP="00DE0473">
            <w:pPr>
              <w:jc w:val="right"/>
              <w:rPr>
                <w:rFonts w:cs="Calibri"/>
                <w:color w:val="000000"/>
              </w:rPr>
            </w:pPr>
            <w:r>
              <w:rPr>
                <w:rFonts w:cs="Calibri"/>
                <w:color w:val="000000"/>
              </w:rPr>
              <w:t>3.1</w:t>
            </w:r>
          </w:p>
        </w:tc>
      </w:tr>
      <w:tr w:rsidR="003957AD" w14:paraId="645982FE" w14:textId="77777777" w:rsidTr="00DE0473">
        <w:tc>
          <w:tcPr>
            <w:tcW w:w="6912" w:type="dxa"/>
            <w:vAlign w:val="bottom"/>
          </w:tcPr>
          <w:p w14:paraId="30EC74C4" w14:textId="77777777" w:rsidR="003957AD" w:rsidRDefault="003957AD" w:rsidP="00DE0473">
            <w:pPr>
              <w:rPr>
                <w:rFonts w:cs="Calibri"/>
                <w:color w:val="000000"/>
              </w:rPr>
            </w:pPr>
            <w:r>
              <w:rPr>
                <w:rFonts w:cs="Calibri"/>
                <w:color w:val="000000"/>
              </w:rPr>
              <w:t>There was a reduction in the duplication of community resources which support at risk young people.</w:t>
            </w:r>
          </w:p>
        </w:tc>
        <w:tc>
          <w:tcPr>
            <w:tcW w:w="1683" w:type="dxa"/>
            <w:vAlign w:val="bottom"/>
          </w:tcPr>
          <w:p w14:paraId="7A483F4B" w14:textId="77777777" w:rsidR="003957AD" w:rsidRDefault="003957AD" w:rsidP="00DE0473">
            <w:pPr>
              <w:jc w:val="right"/>
              <w:rPr>
                <w:rFonts w:cs="Calibri"/>
                <w:color w:val="000000"/>
              </w:rPr>
            </w:pPr>
            <w:r>
              <w:rPr>
                <w:rFonts w:cs="Calibri"/>
                <w:color w:val="000000"/>
              </w:rPr>
              <w:t>417</w:t>
            </w:r>
          </w:p>
        </w:tc>
        <w:tc>
          <w:tcPr>
            <w:tcW w:w="1683" w:type="dxa"/>
            <w:vAlign w:val="bottom"/>
          </w:tcPr>
          <w:p w14:paraId="40B11403" w14:textId="77777777" w:rsidR="003957AD" w:rsidRDefault="003957AD" w:rsidP="00DE0473">
            <w:pPr>
              <w:jc w:val="right"/>
              <w:rPr>
                <w:rFonts w:cs="Calibri"/>
                <w:color w:val="000000"/>
              </w:rPr>
            </w:pPr>
            <w:r>
              <w:rPr>
                <w:rFonts w:cs="Calibri"/>
                <w:color w:val="000000"/>
              </w:rPr>
              <w:t>3.1</w:t>
            </w:r>
          </w:p>
        </w:tc>
      </w:tr>
      <w:tr w:rsidR="003957AD" w14:paraId="2AA6E85F" w14:textId="77777777" w:rsidTr="00DE0473">
        <w:tc>
          <w:tcPr>
            <w:tcW w:w="6912" w:type="dxa"/>
            <w:vAlign w:val="bottom"/>
          </w:tcPr>
          <w:p w14:paraId="59032430" w14:textId="77777777" w:rsidR="003957AD" w:rsidRDefault="003957AD" w:rsidP="00DE0473">
            <w:pPr>
              <w:rPr>
                <w:rFonts w:cs="Calibri"/>
                <w:color w:val="000000"/>
              </w:rPr>
            </w:pPr>
            <w:r>
              <w:rPr>
                <w:rFonts w:cs="Calibri"/>
                <w:color w:val="000000"/>
              </w:rPr>
              <w:t>There was an increase in the number of schools that strengthened their procedures to support young people at risk of disengaging.</w:t>
            </w:r>
          </w:p>
        </w:tc>
        <w:tc>
          <w:tcPr>
            <w:tcW w:w="1683" w:type="dxa"/>
            <w:vAlign w:val="bottom"/>
          </w:tcPr>
          <w:p w14:paraId="68901E13" w14:textId="77777777" w:rsidR="003957AD" w:rsidRDefault="003957AD" w:rsidP="00DE0473">
            <w:pPr>
              <w:jc w:val="right"/>
              <w:rPr>
                <w:rFonts w:cs="Calibri"/>
                <w:color w:val="000000"/>
              </w:rPr>
            </w:pPr>
            <w:r>
              <w:rPr>
                <w:rFonts w:cs="Calibri"/>
                <w:color w:val="000000"/>
              </w:rPr>
              <w:t>585</w:t>
            </w:r>
          </w:p>
        </w:tc>
        <w:tc>
          <w:tcPr>
            <w:tcW w:w="1683" w:type="dxa"/>
            <w:vAlign w:val="bottom"/>
          </w:tcPr>
          <w:p w14:paraId="7BDEBA88" w14:textId="77777777" w:rsidR="003957AD" w:rsidRDefault="003957AD" w:rsidP="00DE0473">
            <w:pPr>
              <w:jc w:val="right"/>
              <w:rPr>
                <w:rFonts w:cs="Calibri"/>
                <w:color w:val="000000"/>
              </w:rPr>
            </w:pPr>
            <w:r>
              <w:rPr>
                <w:rFonts w:cs="Calibri"/>
                <w:color w:val="000000"/>
              </w:rPr>
              <w:t>2.2</w:t>
            </w:r>
          </w:p>
        </w:tc>
      </w:tr>
      <w:tr w:rsidR="003957AD" w14:paraId="213313EA" w14:textId="77777777" w:rsidTr="00DE0473">
        <w:tc>
          <w:tcPr>
            <w:tcW w:w="6912" w:type="dxa"/>
            <w:vAlign w:val="bottom"/>
          </w:tcPr>
          <w:p w14:paraId="602D4CD1" w14:textId="77777777" w:rsidR="003957AD" w:rsidRDefault="003957AD" w:rsidP="00DE0473">
            <w:pPr>
              <w:rPr>
                <w:rFonts w:cs="Calibri"/>
                <w:color w:val="000000"/>
              </w:rPr>
            </w:pPr>
            <w:r>
              <w:rPr>
                <w:rFonts w:cs="Calibri"/>
                <w:color w:val="000000"/>
              </w:rPr>
              <w:t>There was an increase or improvement in the available services for families of at risk young people.</w:t>
            </w:r>
          </w:p>
        </w:tc>
        <w:tc>
          <w:tcPr>
            <w:tcW w:w="1683" w:type="dxa"/>
            <w:vAlign w:val="bottom"/>
          </w:tcPr>
          <w:p w14:paraId="44E8D2A1" w14:textId="77777777" w:rsidR="003957AD" w:rsidRDefault="003957AD" w:rsidP="00DE0473">
            <w:pPr>
              <w:jc w:val="right"/>
              <w:rPr>
                <w:rFonts w:cs="Calibri"/>
                <w:color w:val="000000"/>
              </w:rPr>
            </w:pPr>
            <w:r>
              <w:rPr>
                <w:rFonts w:cs="Calibri"/>
                <w:color w:val="000000"/>
              </w:rPr>
              <w:t>375</w:t>
            </w:r>
          </w:p>
        </w:tc>
        <w:tc>
          <w:tcPr>
            <w:tcW w:w="1683" w:type="dxa"/>
            <w:vAlign w:val="bottom"/>
          </w:tcPr>
          <w:p w14:paraId="32E54920" w14:textId="77777777" w:rsidR="003957AD" w:rsidRDefault="003957AD" w:rsidP="00DE0473">
            <w:pPr>
              <w:jc w:val="right"/>
              <w:rPr>
                <w:rFonts w:cs="Calibri"/>
                <w:color w:val="000000"/>
              </w:rPr>
            </w:pPr>
            <w:r>
              <w:rPr>
                <w:rFonts w:cs="Calibri"/>
                <w:color w:val="000000"/>
              </w:rPr>
              <w:t>2.6</w:t>
            </w:r>
          </w:p>
        </w:tc>
      </w:tr>
      <w:tr w:rsidR="003957AD" w14:paraId="3872A0C9" w14:textId="77777777" w:rsidTr="00DE0473">
        <w:tc>
          <w:tcPr>
            <w:tcW w:w="6912" w:type="dxa"/>
            <w:vAlign w:val="bottom"/>
          </w:tcPr>
          <w:p w14:paraId="3F8FAFD4" w14:textId="77777777" w:rsidR="003957AD" w:rsidRDefault="003957AD" w:rsidP="00DE0473">
            <w:pPr>
              <w:rPr>
                <w:rFonts w:cs="Calibri"/>
                <w:color w:val="000000"/>
              </w:rPr>
            </w:pPr>
            <w:r>
              <w:rPr>
                <w:rFonts w:cs="Calibri"/>
                <w:color w:val="000000"/>
              </w:rPr>
              <w:t>Young people disengage less frequently from school or education providers.</w:t>
            </w:r>
          </w:p>
        </w:tc>
        <w:tc>
          <w:tcPr>
            <w:tcW w:w="1683" w:type="dxa"/>
            <w:vAlign w:val="bottom"/>
          </w:tcPr>
          <w:p w14:paraId="06593E39" w14:textId="77777777" w:rsidR="003957AD" w:rsidRDefault="003957AD" w:rsidP="00DE0473">
            <w:pPr>
              <w:jc w:val="right"/>
              <w:rPr>
                <w:rFonts w:cs="Calibri"/>
                <w:color w:val="000000"/>
              </w:rPr>
            </w:pPr>
            <w:r>
              <w:rPr>
                <w:rFonts w:cs="Calibri"/>
                <w:color w:val="000000"/>
              </w:rPr>
              <w:t>314</w:t>
            </w:r>
          </w:p>
        </w:tc>
        <w:tc>
          <w:tcPr>
            <w:tcW w:w="1683" w:type="dxa"/>
            <w:vAlign w:val="bottom"/>
          </w:tcPr>
          <w:p w14:paraId="28B4BAE5" w14:textId="77777777" w:rsidR="003957AD" w:rsidRDefault="003957AD" w:rsidP="00DE0473">
            <w:pPr>
              <w:jc w:val="right"/>
              <w:rPr>
                <w:rFonts w:cs="Calibri"/>
                <w:color w:val="000000"/>
              </w:rPr>
            </w:pPr>
            <w:r>
              <w:rPr>
                <w:rFonts w:cs="Calibri"/>
                <w:color w:val="000000"/>
              </w:rPr>
              <w:t>2.3</w:t>
            </w:r>
          </w:p>
        </w:tc>
      </w:tr>
    </w:tbl>
    <w:p w14:paraId="39EF0C30" w14:textId="77777777" w:rsidR="003F2C80" w:rsidRDefault="003F2C80">
      <w:pPr>
        <w:spacing w:after="200"/>
        <w:rPr>
          <w:rFonts w:ascii="Arial" w:eastAsia="Times New Roman" w:hAnsi="Arial" w:cstheme="majorBidi"/>
          <w:b/>
          <w:bCs/>
          <w:sz w:val="32"/>
          <w:szCs w:val="28"/>
        </w:rPr>
      </w:pPr>
      <w:bookmarkStart w:id="43" w:name="_Toc320196900"/>
      <w:r>
        <w:rPr>
          <w:rFonts w:eastAsia="Times New Roman"/>
        </w:rPr>
        <w:br w:type="page"/>
      </w:r>
    </w:p>
    <w:p w14:paraId="14B91B63" w14:textId="2A864309" w:rsidR="00727FA5" w:rsidRPr="00727FA5" w:rsidRDefault="00727FA5" w:rsidP="00546F15">
      <w:pPr>
        <w:pStyle w:val="Heading1"/>
        <w:rPr>
          <w:rFonts w:eastAsia="Times New Roman"/>
        </w:rPr>
      </w:pPr>
      <w:bookmarkStart w:id="44" w:name="_Toc384042873"/>
      <w:r w:rsidRPr="00727FA5">
        <w:rPr>
          <w:rFonts w:eastAsia="Times New Roman"/>
        </w:rPr>
        <w:lastRenderedPageBreak/>
        <w:t>ANNEXURE 1</w:t>
      </w:r>
      <w:bookmarkEnd w:id="43"/>
      <w:r w:rsidR="003F2C80">
        <w:rPr>
          <w:rFonts w:eastAsia="Times New Roman"/>
        </w:rPr>
        <w:t xml:space="preserve"> B</w:t>
      </w:r>
      <w:r w:rsidRPr="00727FA5">
        <w:rPr>
          <w:rFonts w:eastAsia="Times New Roman"/>
        </w:rPr>
        <w:t xml:space="preserve"> – National Career Development</w:t>
      </w:r>
      <w:bookmarkEnd w:id="44"/>
      <w:r w:rsidRPr="00727FA5">
        <w:rPr>
          <w:rFonts w:eastAsia="Times New Roman"/>
        </w:rPr>
        <w:t xml:space="preserve"> </w:t>
      </w:r>
    </w:p>
    <w:p w14:paraId="1C5C693A" w14:textId="77777777" w:rsidR="00727FA5" w:rsidRPr="00727FA5" w:rsidRDefault="00727FA5" w:rsidP="00546F15">
      <w:pPr>
        <w:pStyle w:val="Heading2"/>
        <w:rPr>
          <w:rFonts w:eastAsia="Times New Roman"/>
        </w:rPr>
      </w:pPr>
      <w:bookmarkStart w:id="45" w:name="_Toc384042874"/>
      <w:r w:rsidRPr="00727FA5">
        <w:rPr>
          <w:rFonts w:eastAsia="Times New Roman"/>
        </w:rPr>
        <w:t>National Summary: Activity during the 2012 calendar year</w:t>
      </w:r>
      <w:bookmarkEnd w:id="45"/>
      <w:r w:rsidRPr="00727FA5">
        <w:rPr>
          <w:rFonts w:eastAsia="Times New Roman"/>
        </w:rPr>
        <w:t xml:space="preserve">  </w:t>
      </w:r>
    </w:p>
    <w:p w14:paraId="203D9BC2" w14:textId="77777777" w:rsidR="00727FA5" w:rsidRPr="00727FA5" w:rsidRDefault="00727FA5" w:rsidP="00546F15">
      <w:pPr>
        <w:pStyle w:val="Heading3"/>
        <w:ind w:left="0"/>
        <w:rPr>
          <w:rFonts w:eastAsia="Times New Roman"/>
        </w:rPr>
      </w:pPr>
      <w:r w:rsidRPr="00727FA5">
        <w:rPr>
          <w:rFonts w:eastAsia="Times New Roman"/>
        </w:rPr>
        <w:t>Background</w:t>
      </w:r>
    </w:p>
    <w:p w14:paraId="768D121A" w14:textId="77777777" w:rsidR="00727FA5" w:rsidRPr="00727FA5" w:rsidRDefault="00727FA5" w:rsidP="00727FA5">
      <w:pPr>
        <w:rPr>
          <w:rFonts w:ascii="Calibri" w:eastAsia="Calibri" w:hAnsi="Calibri" w:cs="Times New Roman"/>
        </w:rPr>
      </w:pPr>
      <w:r w:rsidRPr="00727FA5">
        <w:rPr>
          <w:rFonts w:ascii="Calibri" w:eastAsia="Calibri" w:hAnsi="Calibri" w:cs="Times New Roman"/>
        </w:rPr>
        <w:t xml:space="preserve">Under the National Career Development element of the National Partnership Agreement on Youth Attainment and Transitions, $47 million was committed through </w:t>
      </w:r>
      <w:proofErr w:type="spellStart"/>
      <w:r w:rsidRPr="00727FA5">
        <w:rPr>
          <w:rFonts w:ascii="Calibri" w:eastAsia="Calibri" w:hAnsi="Calibri" w:cs="Times New Roman"/>
        </w:rPr>
        <w:t>COAG</w:t>
      </w:r>
      <w:proofErr w:type="spellEnd"/>
      <w:r w:rsidRPr="00727FA5">
        <w:rPr>
          <w:rFonts w:ascii="Calibri" w:eastAsia="Calibri" w:hAnsi="Calibri" w:cs="Times New Roman"/>
        </w:rPr>
        <w:t xml:space="preserve"> over four years from January 2010 to December 2013 to fund a range of career development initiatives. As part of the 2012-2013 Budget, savings of $17 million over three financial years were identified from uncommitted aspects of the National Career Development element of the National Partnership Agreement on Youth Attainment and Transitions.  </w:t>
      </w:r>
    </w:p>
    <w:p w14:paraId="1CFC6B3B" w14:textId="77777777" w:rsidR="00727FA5" w:rsidRPr="00546F15" w:rsidRDefault="00727FA5" w:rsidP="00546F15">
      <w:pPr>
        <w:pStyle w:val="Heading3"/>
        <w:ind w:left="0"/>
        <w:rPr>
          <w:rFonts w:eastAsia="Times New Roman"/>
        </w:rPr>
      </w:pPr>
      <w:r w:rsidRPr="00546F15">
        <w:rPr>
          <w:rFonts w:eastAsia="Times New Roman"/>
        </w:rPr>
        <w:t xml:space="preserve">National Career Development Strategy research projects </w:t>
      </w:r>
    </w:p>
    <w:p w14:paraId="1AAA6C9C" w14:textId="77777777" w:rsidR="00727FA5" w:rsidRPr="00727FA5" w:rsidRDefault="00727FA5" w:rsidP="00727FA5">
      <w:pPr>
        <w:rPr>
          <w:rFonts w:ascii="Calibri" w:eastAsia="Calibri" w:hAnsi="Calibri" w:cs="Times New Roman"/>
        </w:rPr>
      </w:pPr>
      <w:r w:rsidRPr="00727FA5">
        <w:rPr>
          <w:rFonts w:ascii="Calibri" w:eastAsia="Calibri" w:hAnsi="Calibri" w:cs="Times New Roman"/>
        </w:rPr>
        <w:t xml:space="preserve">To inform the development of a National Career Development Strategy, the department commissioned a multi-stage research project. The research project comprised five discrete but interrelated elements including a literature review, a market research study with stakeholders including young people, parents, employers and career practitioners, options for implementation, a cost-benefit analysis and an exploration of cognitive neuroscience and its effect on career decisions. </w:t>
      </w:r>
      <w:r w:rsidRPr="00727FA5">
        <w:rPr>
          <w:rFonts w:ascii="Calibri" w:eastAsia="Calibri" w:hAnsi="Calibri" w:cs="Times New Roman"/>
        </w:rPr>
        <w:br/>
      </w:r>
    </w:p>
    <w:p w14:paraId="17155CAA" w14:textId="3B97A28C" w:rsidR="00727FA5" w:rsidRDefault="00727FA5" w:rsidP="00727FA5">
      <w:pPr>
        <w:rPr>
          <w:rFonts w:ascii="Calibri" w:eastAsia="Calibri" w:hAnsi="Calibri" w:cs="Times New Roman"/>
        </w:rPr>
      </w:pPr>
      <w:r w:rsidRPr="00727FA5">
        <w:rPr>
          <w:rFonts w:ascii="Calibri" w:eastAsia="Calibri" w:hAnsi="Calibri" w:cs="Times New Roman"/>
        </w:rPr>
        <w:t>The outcomes of the research projects were presented at the Career Development Association of Australia national conference on 30 March 2012. The department engaged external consultants to conduct the research at a combined total cost of $1,197,963.72. Reports from the research project are available on the Depa</w:t>
      </w:r>
      <w:r w:rsidR="00546F15">
        <w:rPr>
          <w:rFonts w:ascii="Calibri" w:eastAsia="Calibri" w:hAnsi="Calibri" w:cs="Times New Roman"/>
        </w:rPr>
        <w:t xml:space="preserve">rtment of Education’s website. </w:t>
      </w:r>
    </w:p>
    <w:p w14:paraId="4343A21C" w14:textId="77777777" w:rsidR="00546F15" w:rsidRPr="00727FA5" w:rsidRDefault="00546F15" w:rsidP="00727FA5">
      <w:pPr>
        <w:rPr>
          <w:rFonts w:ascii="Calibri" w:eastAsia="Calibri" w:hAnsi="Calibri" w:cs="Times New Roman"/>
        </w:rPr>
      </w:pPr>
    </w:p>
    <w:p w14:paraId="7BC67E6B" w14:textId="77777777" w:rsidR="003F2C80" w:rsidRDefault="00727FA5" w:rsidP="003F2C80">
      <w:pPr>
        <w:pStyle w:val="Heading3"/>
        <w:ind w:left="0"/>
        <w:rPr>
          <w:rFonts w:eastAsia="Times New Roman"/>
        </w:rPr>
      </w:pPr>
      <w:r w:rsidRPr="00546F15">
        <w:rPr>
          <w:rFonts w:eastAsia="Times New Roman"/>
        </w:rPr>
        <w:t>National Career Development Strategy</w:t>
      </w:r>
    </w:p>
    <w:p w14:paraId="29909DE1" w14:textId="7CA921E9" w:rsidR="00727FA5" w:rsidRPr="00727FA5" w:rsidRDefault="00727FA5" w:rsidP="00546F15">
      <w:pPr>
        <w:rPr>
          <w:rFonts w:ascii="Calibri" w:eastAsia="Calibri" w:hAnsi="Calibri" w:cs="Times New Roman"/>
        </w:rPr>
      </w:pPr>
      <w:r w:rsidRPr="00727FA5">
        <w:rPr>
          <w:rFonts w:ascii="Calibri" w:eastAsia="Calibri" w:hAnsi="Calibri" w:cs="Times New Roman"/>
        </w:rPr>
        <w:t>On 27 June 2012, The Australian Government released the National Career Development Green paper. The paper drew on the results of the National Career Development Research Project and extensive consultation with state and territory governments, universities, the vocational education and training sector and other career development stakeholders.</w:t>
      </w:r>
    </w:p>
    <w:p w14:paraId="2C059C74" w14:textId="1B999F4B" w:rsidR="00727FA5" w:rsidRPr="00727FA5" w:rsidRDefault="00727FA5" w:rsidP="00727FA5">
      <w:pPr>
        <w:spacing w:before="120"/>
        <w:rPr>
          <w:rFonts w:ascii="Calibri" w:eastAsia="Calibri" w:hAnsi="Calibri" w:cs="Times New Roman"/>
        </w:rPr>
      </w:pPr>
      <w:r w:rsidRPr="00727FA5">
        <w:rPr>
          <w:rFonts w:ascii="Calibri" w:eastAsia="Calibri" w:hAnsi="Calibri" w:cs="Times New Roman"/>
        </w:rPr>
        <w:t>The Department received 80 submissions to the Green Paper which were used to inform the final Nationa</w:t>
      </w:r>
      <w:r w:rsidR="00546F15">
        <w:rPr>
          <w:rFonts w:ascii="Calibri" w:eastAsia="Calibri" w:hAnsi="Calibri" w:cs="Times New Roman"/>
        </w:rPr>
        <w:t xml:space="preserve">l Career Development Strategy. </w:t>
      </w:r>
    </w:p>
    <w:p w14:paraId="6E4FCE34" w14:textId="77777777" w:rsidR="00727FA5" w:rsidRPr="00546F15" w:rsidRDefault="00727FA5" w:rsidP="00546F15">
      <w:pPr>
        <w:pStyle w:val="Heading3"/>
        <w:ind w:left="0"/>
        <w:rPr>
          <w:rFonts w:eastAsia="Times New Roman"/>
        </w:rPr>
      </w:pPr>
      <w:r w:rsidRPr="00546F15">
        <w:rPr>
          <w:rFonts w:eastAsia="Times New Roman"/>
        </w:rPr>
        <w:t xml:space="preserve">Job Guide </w:t>
      </w:r>
    </w:p>
    <w:p w14:paraId="06A68659" w14:textId="77777777" w:rsidR="00727FA5" w:rsidRPr="00727FA5" w:rsidRDefault="00727FA5" w:rsidP="00727FA5">
      <w:pPr>
        <w:rPr>
          <w:rFonts w:ascii="Calibri" w:eastAsia="Calibri" w:hAnsi="Calibri" w:cs="Arial"/>
        </w:rPr>
      </w:pPr>
      <w:r w:rsidRPr="00727FA5">
        <w:rPr>
          <w:rFonts w:ascii="Calibri" w:eastAsia="Calibri" w:hAnsi="Calibri" w:cs="Arial"/>
        </w:rPr>
        <w:t xml:space="preserve">Job Guide assists young people to explore career, education and training options and make subject choices. It includes information on over 500 occupations. In 2012, the department moved from a distribution model of one book for every Year 10 student to the provision of class sets, based on Year 10 enrolment numbers provided by State and Territory education authorities. Students were however able to access Job Guide online and through a CD ROM. The department contracted </w:t>
      </w:r>
      <w:proofErr w:type="spellStart"/>
      <w:r w:rsidRPr="00727FA5">
        <w:rPr>
          <w:rFonts w:ascii="Calibri" w:eastAsia="Calibri" w:hAnsi="Calibri" w:cs="Arial"/>
        </w:rPr>
        <w:t>Hobsons</w:t>
      </w:r>
      <w:proofErr w:type="spellEnd"/>
      <w:r w:rsidRPr="00727FA5">
        <w:rPr>
          <w:rFonts w:ascii="Calibri" w:eastAsia="Calibri" w:hAnsi="Calibri" w:cs="Arial"/>
        </w:rPr>
        <w:t xml:space="preserve"> Australia to produce Job Guide at a cost of $</w:t>
      </w:r>
      <w:r w:rsidRPr="00727FA5">
        <w:rPr>
          <w:rFonts w:ascii="Calibri" w:eastAsia="Calibri" w:hAnsi="Calibri" w:cs="Times New Roman"/>
        </w:rPr>
        <w:t>720,184.63. There was also a distribution cost to the Job Guide of $567,150.79</w:t>
      </w:r>
      <w:r w:rsidRPr="00727FA5">
        <w:rPr>
          <w:rFonts w:ascii="Calibri" w:eastAsia="Calibri" w:hAnsi="Calibri" w:cs="Arial"/>
        </w:rPr>
        <w:t>.</w:t>
      </w:r>
      <w:r w:rsidRPr="00727FA5">
        <w:rPr>
          <w:rFonts w:ascii="Calibri" w:eastAsia="Calibri" w:hAnsi="Calibri" w:cs="Times New Roman"/>
        </w:rPr>
        <w:t xml:space="preserve"> </w:t>
      </w:r>
      <w:r w:rsidRPr="00727FA5">
        <w:rPr>
          <w:rFonts w:ascii="Calibri" w:eastAsia="Calibri" w:hAnsi="Calibri" w:cs="Arial"/>
        </w:rPr>
        <w:t xml:space="preserve">Approximately 134, 450 copies were issued across the country.  Limited quantities were also provided to universities, </w:t>
      </w:r>
      <w:proofErr w:type="spellStart"/>
      <w:r w:rsidRPr="00727FA5">
        <w:rPr>
          <w:rFonts w:ascii="Calibri" w:eastAsia="Calibri" w:hAnsi="Calibri" w:cs="Arial"/>
        </w:rPr>
        <w:t>TAFEs</w:t>
      </w:r>
      <w:proofErr w:type="spellEnd"/>
      <w:r w:rsidRPr="00727FA5">
        <w:rPr>
          <w:rFonts w:ascii="Calibri" w:eastAsia="Calibri" w:hAnsi="Calibri" w:cs="Arial"/>
        </w:rPr>
        <w:t xml:space="preserve"> and Australian Government funded youth programs. </w:t>
      </w:r>
    </w:p>
    <w:p w14:paraId="3D7CB58F" w14:textId="77777777" w:rsidR="00727FA5" w:rsidRPr="00727FA5" w:rsidRDefault="00727FA5" w:rsidP="00727FA5">
      <w:pPr>
        <w:spacing w:line="240" w:lineRule="auto"/>
        <w:ind w:left="720"/>
        <w:rPr>
          <w:rFonts w:ascii="Arial" w:eastAsia="Calibri" w:hAnsi="Arial" w:cs="Calibri"/>
          <w:b/>
          <w:bCs/>
          <w:szCs w:val="28"/>
          <w:lang w:eastAsia="en-AU"/>
        </w:rPr>
      </w:pPr>
    </w:p>
    <w:p w14:paraId="744E15BF" w14:textId="77777777" w:rsidR="00727FA5" w:rsidRPr="00546F15" w:rsidRDefault="00727FA5" w:rsidP="00546F15">
      <w:pPr>
        <w:pStyle w:val="Heading3"/>
        <w:ind w:left="0"/>
        <w:rPr>
          <w:rFonts w:eastAsia="Times New Roman"/>
        </w:rPr>
      </w:pPr>
      <w:r w:rsidRPr="00546F15">
        <w:rPr>
          <w:rFonts w:eastAsia="Times New Roman"/>
        </w:rPr>
        <w:lastRenderedPageBreak/>
        <w:t xml:space="preserve">Career Information Products </w:t>
      </w:r>
    </w:p>
    <w:p w14:paraId="72A548AE" w14:textId="77777777" w:rsidR="00727FA5" w:rsidRPr="00727FA5" w:rsidRDefault="00727FA5" w:rsidP="00727FA5">
      <w:pPr>
        <w:tabs>
          <w:tab w:val="num" w:pos="361"/>
          <w:tab w:val="num" w:pos="400"/>
        </w:tabs>
        <w:rPr>
          <w:rFonts w:ascii="Calibri" w:eastAsia="Calibri" w:hAnsi="Calibri" w:cs="Times New Roman"/>
        </w:rPr>
      </w:pPr>
      <w:r w:rsidRPr="00727FA5">
        <w:rPr>
          <w:rFonts w:ascii="Calibri" w:eastAsia="Calibri" w:hAnsi="Calibri" w:cs="Times New Roman"/>
        </w:rPr>
        <w:t xml:space="preserve">The department created and distributed a number of products which are used by teachers, career advisers, parents and students to help inform students’ career choices. The products include Year 12 What Next, Parents Talking Career Choices, Recap, ‘Bullseye’ posters, and Career Information Flyers. </w:t>
      </w:r>
    </w:p>
    <w:p w14:paraId="49E224A3" w14:textId="77777777" w:rsidR="00727FA5" w:rsidRPr="00727FA5" w:rsidRDefault="00727FA5" w:rsidP="00727FA5">
      <w:pPr>
        <w:rPr>
          <w:rFonts w:ascii="Calibri" w:eastAsia="Calibri" w:hAnsi="Calibri" w:cs="Times New Roman"/>
        </w:rPr>
      </w:pPr>
    </w:p>
    <w:p w14:paraId="7F86EE83" w14:textId="77777777" w:rsidR="003F2C80" w:rsidRDefault="00727FA5" w:rsidP="003F2C80">
      <w:pPr>
        <w:pStyle w:val="Heading3"/>
        <w:ind w:left="0"/>
        <w:rPr>
          <w:rFonts w:eastAsia="Times New Roman"/>
        </w:rPr>
      </w:pPr>
      <w:proofErr w:type="spellStart"/>
      <w:proofErr w:type="gramStart"/>
      <w:r w:rsidRPr="00546F15">
        <w:rPr>
          <w:rFonts w:eastAsia="Times New Roman"/>
        </w:rPr>
        <w:t>myfuture</w:t>
      </w:r>
      <w:proofErr w:type="spellEnd"/>
      <w:proofErr w:type="gramEnd"/>
      <w:r w:rsidRPr="00546F15">
        <w:rPr>
          <w:rFonts w:eastAsia="Times New Roman"/>
        </w:rPr>
        <w:t xml:space="preserve"> website</w:t>
      </w:r>
    </w:p>
    <w:p w14:paraId="03A44A93" w14:textId="1E4D9B99" w:rsidR="00727FA5" w:rsidRPr="00727FA5" w:rsidRDefault="00727FA5" w:rsidP="00546F15">
      <w:pPr>
        <w:spacing w:after="120"/>
        <w:rPr>
          <w:rFonts w:ascii="Calibri" w:eastAsia="Calibri" w:hAnsi="Calibri" w:cs="Times New Roman"/>
        </w:rPr>
      </w:pPr>
      <w:proofErr w:type="spellStart"/>
      <w:proofErr w:type="gramStart"/>
      <w:r w:rsidRPr="00727FA5">
        <w:rPr>
          <w:rFonts w:ascii="Calibri" w:eastAsia="Calibri" w:hAnsi="Calibri" w:cs="Times New Roman"/>
        </w:rPr>
        <w:t>myfuture</w:t>
      </w:r>
      <w:proofErr w:type="spellEnd"/>
      <w:proofErr w:type="gramEnd"/>
      <w:r w:rsidRPr="00727FA5">
        <w:rPr>
          <w:rFonts w:ascii="Calibri" w:eastAsia="Calibri" w:hAnsi="Calibri" w:cs="Times New Roman"/>
        </w:rPr>
        <w:t xml:space="preserve">, Australia’s national career information and exploration service, is an interactive, user-driven website that contains a personalised career exploration and decision making tool, comprehensive career information, and help for those assisting others making career decisions. The </w:t>
      </w:r>
      <w:proofErr w:type="spellStart"/>
      <w:r w:rsidRPr="00727FA5">
        <w:rPr>
          <w:rFonts w:ascii="Calibri" w:eastAsia="Calibri" w:hAnsi="Calibri" w:cs="Times New Roman"/>
        </w:rPr>
        <w:t>myfuture</w:t>
      </w:r>
      <w:proofErr w:type="spellEnd"/>
      <w:r w:rsidRPr="00727FA5">
        <w:rPr>
          <w:rFonts w:ascii="Calibri" w:eastAsia="Calibri" w:hAnsi="Calibri" w:cs="Times New Roman"/>
        </w:rPr>
        <w:t xml:space="preserve"> website is managed by the Department on behalf of all governments. The Australian Government contributes 50 percent of total funding for core services, with the remainder paid by states and territories under the Standing Council on School Education and Early Childhood (</w:t>
      </w:r>
      <w:proofErr w:type="spellStart"/>
      <w:r w:rsidRPr="00727FA5">
        <w:rPr>
          <w:rFonts w:ascii="Calibri" w:eastAsia="Calibri" w:hAnsi="Calibri" w:cs="Times New Roman"/>
        </w:rPr>
        <w:t>SCSEEC</w:t>
      </w:r>
      <w:proofErr w:type="spellEnd"/>
      <w:r w:rsidRPr="00727FA5">
        <w:rPr>
          <w:rFonts w:ascii="Calibri" w:eastAsia="Calibri" w:hAnsi="Calibri" w:cs="Times New Roman"/>
        </w:rPr>
        <w:t xml:space="preserve">), using the former </w:t>
      </w:r>
      <w:proofErr w:type="spellStart"/>
      <w:r w:rsidRPr="00727FA5">
        <w:rPr>
          <w:rFonts w:ascii="Calibri" w:eastAsia="Calibri" w:hAnsi="Calibri" w:cs="Times New Roman"/>
        </w:rPr>
        <w:t>MCEECDYA</w:t>
      </w:r>
      <w:proofErr w:type="spellEnd"/>
      <w:r w:rsidRPr="00727FA5">
        <w:rPr>
          <w:rFonts w:ascii="Calibri" w:eastAsia="Calibri" w:hAnsi="Calibri" w:cs="Times New Roman"/>
        </w:rPr>
        <w:t xml:space="preserve"> National Projects Fund funding formula. </w:t>
      </w:r>
    </w:p>
    <w:p w14:paraId="50CD9635" w14:textId="77777777" w:rsidR="00727FA5" w:rsidRPr="00727FA5" w:rsidRDefault="00727FA5" w:rsidP="00727FA5">
      <w:pPr>
        <w:rPr>
          <w:rFonts w:ascii="Calibri" w:eastAsia="Calibri" w:hAnsi="Calibri" w:cs="Times New Roman"/>
          <w:b/>
        </w:rPr>
      </w:pPr>
    </w:p>
    <w:p w14:paraId="7A0860EB" w14:textId="77777777" w:rsidR="00727FA5" w:rsidRPr="00727FA5" w:rsidRDefault="00727FA5" w:rsidP="00727FA5">
      <w:pPr>
        <w:spacing w:after="120"/>
        <w:rPr>
          <w:rFonts w:ascii="Calibri" w:eastAsia="Calibri" w:hAnsi="Calibri" w:cs="Times New Roman"/>
        </w:rPr>
      </w:pPr>
      <w:r w:rsidRPr="00727FA5">
        <w:rPr>
          <w:rFonts w:ascii="Calibri" w:eastAsia="Calibri" w:hAnsi="Calibri" w:cs="Times New Roman"/>
        </w:rPr>
        <w:t xml:space="preserve">In 2012, the Australian Government undertook a project to enhance the </w:t>
      </w:r>
      <w:proofErr w:type="spellStart"/>
      <w:r w:rsidRPr="00727FA5">
        <w:rPr>
          <w:rFonts w:ascii="Calibri" w:eastAsia="Calibri" w:hAnsi="Calibri" w:cs="Times New Roman"/>
        </w:rPr>
        <w:t>myfuture</w:t>
      </w:r>
      <w:proofErr w:type="spellEnd"/>
      <w:r w:rsidRPr="00727FA5">
        <w:rPr>
          <w:rFonts w:ascii="Calibri" w:eastAsia="Calibri" w:hAnsi="Calibri" w:cs="Times New Roman"/>
        </w:rPr>
        <w:t xml:space="preserve"> web service in line with the findings from the National Career Development research projects and extensive focus group testing that commenced in 2012. The planned enhancements were to improve ease of use and reflect the diversity of life stages, skills and lifestyle choices that existed across Australia. The focus group testing was to be conducted over three rounds in metropolitan, regional and remote locations across Australia. </w:t>
      </w:r>
    </w:p>
    <w:p w14:paraId="2E7B0644" w14:textId="77777777" w:rsidR="00727FA5" w:rsidRPr="00727FA5" w:rsidRDefault="00727FA5" w:rsidP="00727FA5">
      <w:pPr>
        <w:spacing w:after="120"/>
        <w:rPr>
          <w:rFonts w:ascii="Calibri" w:eastAsia="Calibri" w:hAnsi="Calibri" w:cs="Times New Roman"/>
        </w:rPr>
      </w:pPr>
      <w:r w:rsidRPr="00727FA5">
        <w:rPr>
          <w:rFonts w:ascii="Calibri" w:eastAsia="Calibri" w:hAnsi="Calibri" w:cs="Times New Roman"/>
        </w:rPr>
        <w:t xml:space="preserve">Key elements of </w:t>
      </w:r>
      <w:proofErr w:type="spellStart"/>
      <w:r w:rsidRPr="00727FA5">
        <w:rPr>
          <w:rFonts w:ascii="Calibri" w:eastAsia="Calibri" w:hAnsi="Calibri" w:cs="Times New Roman"/>
        </w:rPr>
        <w:t>myfuture</w:t>
      </w:r>
      <w:proofErr w:type="spellEnd"/>
      <w:r w:rsidRPr="00727FA5">
        <w:rPr>
          <w:rFonts w:ascii="Calibri" w:eastAsia="Calibri" w:hAnsi="Calibri" w:cs="Times New Roman"/>
        </w:rPr>
        <w:t xml:space="preserve"> redesign and enhancements include a Parent’s Portal, stronger connections with industry, enhanced social networking technology, improved access to information about VET courses and training options and career development information presented in a form relevant to workforce development.</w:t>
      </w:r>
    </w:p>
    <w:p w14:paraId="40AC31F3" w14:textId="77777777" w:rsidR="00727FA5" w:rsidRPr="00727FA5" w:rsidRDefault="00727FA5" w:rsidP="00727FA5">
      <w:pPr>
        <w:spacing w:after="120"/>
        <w:rPr>
          <w:rFonts w:ascii="Calibri" w:eastAsia="Calibri" w:hAnsi="Calibri" w:cs="Times New Roman"/>
        </w:rPr>
      </w:pPr>
      <w:r w:rsidRPr="00727FA5">
        <w:rPr>
          <w:rFonts w:ascii="Calibri" w:eastAsia="Calibri" w:hAnsi="Calibri" w:cs="Times New Roman"/>
        </w:rPr>
        <w:t xml:space="preserve">In 2012, the department contracted Education Services Australia for the management and maintenance of the </w:t>
      </w:r>
      <w:proofErr w:type="spellStart"/>
      <w:r w:rsidRPr="00727FA5">
        <w:rPr>
          <w:rFonts w:ascii="Calibri" w:eastAsia="Calibri" w:hAnsi="Calibri" w:cs="Times New Roman"/>
          <w:i/>
        </w:rPr>
        <w:t>myfuture</w:t>
      </w:r>
      <w:proofErr w:type="spellEnd"/>
      <w:r w:rsidRPr="00727FA5">
        <w:rPr>
          <w:rFonts w:ascii="Calibri" w:eastAsia="Calibri" w:hAnsi="Calibri" w:cs="Times New Roman"/>
        </w:rPr>
        <w:t xml:space="preserve"> website at a cost to the Australian Government of $2.96 million (GST </w:t>
      </w:r>
      <w:proofErr w:type="spellStart"/>
      <w:r w:rsidRPr="00727FA5">
        <w:rPr>
          <w:rFonts w:ascii="Calibri" w:eastAsia="Calibri" w:hAnsi="Calibri" w:cs="Times New Roman"/>
        </w:rPr>
        <w:t>incl</w:t>
      </w:r>
      <w:proofErr w:type="spellEnd"/>
      <w:r w:rsidRPr="00727FA5">
        <w:rPr>
          <w:rFonts w:ascii="Calibri" w:eastAsia="Calibri" w:hAnsi="Calibri" w:cs="Times New Roman"/>
        </w:rPr>
        <w:t xml:space="preserve">). This figure includes the Australian Government’s contribution to maintenance and management ($1,569.952) and enhancements ($1,392,286) over 18 months. </w:t>
      </w:r>
    </w:p>
    <w:p w14:paraId="2905098D" w14:textId="77777777" w:rsidR="00727FA5" w:rsidRPr="00546F15" w:rsidRDefault="00727FA5" w:rsidP="00546F15">
      <w:pPr>
        <w:pStyle w:val="Heading3"/>
        <w:ind w:left="0"/>
        <w:rPr>
          <w:rFonts w:eastAsia="Times New Roman"/>
        </w:rPr>
      </w:pPr>
      <w:proofErr w:type="spellStart"/>
      <w:proofErr w:type="gramStart"/>
      <w:r w:rsidRPr="00546F15">
        <w:rPr>
          <w:rFonts w:eastAsia="Times New Roman"/>
        </w:rPr>
        <w:t>myfuture</w:t>
      </w:r>
      <w:proofErr w:type="spellEnd"/>
      <w:proofErr w:type="gramEnd"/>
      <w:r w:rsidRPr="00546F15">
        <w:rPr>
          <w:rFonts w:eastAsia="Times New Roman"/>
        </w:rPr>
        <w:t xml:space="preserve"> video competition </w:t>
      </w:r>
    </w:p>
    <w:p w14:paraId="414C2AA2" w14:textId="77777777" w:rsidR="00727FA5" w:rsidRPr="00727FA5" w:rsidRDefault="00727FA5" w:rsidP="00727FA5">
      <w:pPr>
        <w:rPr>
          <w:rFonts w:ascii="Calibri" w:eastAsia="Calibri" w:hAnsi="Calibri" w:cs="Times New Roman"/>
        </w:rPr>
      </w:pPr>
      <w:r w:rsidRPr="00727FA5">
        <w:rPr>
          <w:rFonts w:ascii="Calibri" w:eastAsia="Calibri" w:hAnsi="Calibri" w:cs="Times New Roman"/>
        </w:rPr>
        <w:t xml:space="preserve">The department engaged Education Services Australia to conduct the 2011 </w:t>
      </w:r>
      <w:proofErr w:type="spellStart"/>
      <w:r w:rsidRPr="00727FA5">
        <w:rPr>
          <w:rFonts w:ascii="Calibri" w:eastAsia="Calibri" w:hAnsi="Calibri" w:cs="Times New Roman"/>
        </w:rPr>
        <w:t>myfuture</w:t>
      </w:r>
      <w:proofErr w:type="spellEnd"/>
      <w:r w:rsidRPr="00727FA5">
        <w:rPr>
          <w:rFonts w:ascii="Calibri" w:eastAsia="Calibri" w:hAnsi="Calibri" w:cs="Times New Roman"/>
        </w:rPr>
        <w:t xml:space="preserve"> video competition at a cost of $216,260 (GST inclusive). This competition generated high quality occupation videos suitable for publication on the </w:t>
      </w:r>
      <w:proofErr w:type="spellStart"/>
      <w:r w:rsidRPr="00727FA5">
        <w:rPr>
          <w:rFonts w:ascii="Calibri" w:eastAsia="Calibri" w:hAnsi="Calibri" w:cs="Times New Roman"/>
        </w:rPr>
        <w:t>myfuture</w:t>
      </w:r>
      <w:proofErr w:type="spellEnd"/>
      <w:r w:rsidRPr="00727FA5">
        <w:rPr>
          <w:rFonts w:ascii="Calibri" w:eastAsia="Calibri" w:hAnsi="Calibri" w:cs="Times New Roman"/>
        </w:rPr>
        <w:t xml:space="preserve"> web service. Competition entrants submitted video clips of up to three minutes in length that profile one occupation exploring duties, tasks and working conditions and qualifications. 92 videos (45 entries in the Best School Video category and 47 entries in the Best Youth Video category) were entered into the </w:t>
      </w:r>
      <w:proofErr w:type="spellStart"/>
      <w:r w:rsidRPr="00727FA5">
        <w:rPr>
          <w:rFonts w:ascii="Calibri" w:eastAsia="Calibri" w:hAnsi="Calibri" w:cs="Times New Roman"/>
        </w:rPr>
        <w:t>myfuture</w:t>
      </w:r>
      <w:proofErr w:type="spellEnd"/>
      <w:r w:rsidRPr="00727FA5">
        <w:rPr>
          <w:rFonts w:ascii="Calibri" w:eastAsia="Calibri" w:hAnsi="Calibri" w:cs="Times New Roman"/>
        </w:rPr>
        <w:t xml:space="preserve"> 2011 Video Competition. Winners were announced on 30 March 2012 at the Career Development Association of Australia (</w:t>
      </w:r>
      <w:proofErr w:type="spellStart"/>
      <w:r w:rsidRPr="00727FA5">
        <w:rPr>
          <w:rFonts w:ascii="Calibri" w:eastAsia="Calibri" w:hAnsi="Calibri" w:cs="Times New Roman"/>
        </w:rPr>
        <w:t>CDAA</w:t>
      </w:r>
      <w:proofErr w:type="spellEnd"/>
      <w:r w:rsidRPr="00727FA5">
        <w:rPr>
          <w:rFonts w:ascii="Calibri" w:eastAsia="Calibri" w:hAnsi="Calibri" w:cs="Times New Roman"/>
        </w:rPr>
        <w:t>) conference in Canberra. Funding for the project ceased in June 2012.</w:t>
      </w:r>
      <w:r w:rsidRPr="00727FA5">
        <w:rPr>
          <w:rFonts w:ascii="Calibri" w:eastAsia="Calibri" w:hAnsi="Calibri" w:cs="Times New Roman"/>
        </w:rPr>
        <w:br/>
      </w:r>
    </w:p>
    <w:p w14:paraId="220C5C79" w14:textId="77777777" w:rsidR="00727FA5" w:rsidRPr="00546F15" w:rsidRDefault="00727FA5" w:rsidP="00546F15">
      <w:pPr>
        <w:pStyle w:val="Heading3"/>
        <w:ind w:left="0"/>
        <w:rPr>
          <w:rFonts w:eastAsia="Times New Roman"/>
        </w:rPr>
      </w:pPr>
      <w:r w:rsidRPr="00546F15">
        <w:rPr>
          <w:rFonts w:eastAsia="Times New Roman"/>
        </w:rPr>
        <w:lastRenderedPageBreak/>
        <w:t>Scholarships for Career Advisers Program</w:t>
      </w:r>
    </w:p>
    <w:p w14:paraId="4F445CB5" w14:textId="77777777" w:rsidR="00727FA5" w:rsidRPr="00727FA5" w:rsidRDefault="00727FA5" w:rsidP="00727FA5">
      <w:pPr>
        <w:rPr>
          <w:rFonts w:ascii="Calibri" w:eastAsia="Calibri" w:hAnsi="Calibri" w:cs="Times New Roman"/>
        </w:rPr>
      </w:pPr>
      <w:r w:rsidRPr="00727FA5">
        <w:rPr>
          <w:rFonts w:ascii="Calibri" w:eastAsia="Calibri" w:hAnsi="Calibri" w:cs="Times New Roman"/>
        </w:rPr>
        <w:t xml:space="preserve">The Australian Government’s Scholarships for Career Advisers initiative were provided to support practitioners to enhance their skills, particularly during the transition phase when the Professional Standards for Australian Career Development Practitioners was being introduced. There were two Scholarship categories: a Study Scholarship or an Industry Placement and both were available to advisers in schools, </w:t>
      </w:r>
      <w:proofErr w:type="spellStart"/>
      <w:r w:rsidRPr="00727FA5">
        <w:rPr>
          <w:rFonts w:ascii="Calibri" w:eastAsia="Calibri" w:hAnsi="Calibri" w:cs="Times New Roman"/>
        </w:rPr>
        <w:t>TAFEs</w:t>
      </w:r>
      <w:proofErr w:type="spellEnd"/>
      <w:r w:rsidRPr="00727FA5">
        <w:rPr>
          <w:rFonts w:ascii="Calibri" w:eastAsia="Calibri" w:hAnsi="Calibri" w:cs="Times New Roman"/>
        </w:rPr>
        <w:t xml:space="preserve"> and universities. There were 86 Study Scholarship winners and 17 Industry Placement winners in 2012.</w:t>
      </w:r>
      <w:r w:rsidRPr="00727FA5">
        <w:rPr>
          <w:rFonts w:ascii="Calibri" w:eastAsia="Calibri" w:hAnsi="Calibri" w:cs="Times New Roman"/>
        </w:rPr>
        <w:br/>
      </w:r>
    </w:p>
    <w:p w14:paraId="0CA561ED" w14:textId="77777777" w:rsidR="00727FA5" w:rsidRPr="00727FA5" w:rsidRDefault="00727FA5" w:rsidP="00727FA5">
      <w:pPr>
        <w:rPr>
          <w:rFonts w:ascii="Calibri" w:eastAsia="Calibri" w:hAnsi="Calibri" w:cs="Times New Roman"/>
        </w:rPr>
      </w:pPr>
      <w:r w:rsidRPr="00727FA5">
        <w:rPr>
          <w:rFonts w:ascii="Calibri" w:eastAsia="Calibri" w:hAnsi="Calibri" w:cs="Times New Roman"/>
        </w:rPr>
        <w:t xml:space="preserve">The Australian Government ceased the initiative in January 2013 as it had achieved its objective of supporting practitioners during the professional standard transitions phase, and was no longer consistent with the proposed Australian Government areas of responsibility heading into the future. </w:t>
      </w:r>
    </w:p>
    <w:p w14:paraId="3FAA703A" w14:textId="77777777" w:rsidR="00727FA5" w:rsidRPr="00546F15" w:rsidRDefault="00727FA5" w:rsidP="00546F15">
      <w:pPr>
        <w:pStyle w:val="Heading3"/>
        <w:ind w:left="0"/>
        <w:rPr>
          <w:rFonts w:eastAsia="Times New Roman"/>
        </w:rPr>
      </w:pPr>
      <w:r w:rsidRPr="00546F15">
        <w:rPr>
          <w:rFonts w:eastAsia="Times New Roman"/>
        </w:rPr>
        <w:t xml:space="preserve">Australian Career Service (ACS) Judith </w:t>
      </w:r>
      <w:proofErr w:type="spellStart"/>
      <w:r w:rsidRPr="00546F15">
        <w:rPr>
          <w:rFonts w:eastAsia="Times New Roman"/>
        </w:rPr>
        <w:t>Leeson</w:t>
      </w:r>
      <w:proofErr w:type="spellEnd"/>
      <w:r w:rsidRPr="00546F15">
        <w:rPr>
          <w:rFonts w:eastAsia="Times New Roman"/>
        </w:rPr>
        <w:t xml:space="preserve"> Award </w:t>
      </w:r>
    </w:p>
    <w:p w14:paraId="08A04494" w14:textId="77777777" w:rsidR="00727FA5" w:rsidRPr="00727FA5" w:rsidRDefault="00727FA5" w:rsidP="00727FA5">
      <w:pPr>
        <w:rPr>
          <w:rFonts w:ascii="Calibri" w:eastAsia="Calibri" w:hAnsi="Calibri" w:cs="Times New Roman"/>
        </w:rPr>
      </w:pPr>
      <w:r w:rsidRPr="00727FA5">
        <w:rPr>
          <w:rFonts w:ascii="Calibri" w:eastAsia="Calibri" w:hAnsi="Calibri" w:cs="Times New Roman"/>
        </w:rPr>
        <w:t xml:space="preserve">In 2012 the award winner was announced at the annual </w:t>
      </w:r>
      <w:proofErr w:type="spellStart"/>
      <w:r w:rsidRPr="00727FA5">
        <w:rPr>
          <w:rFonts w:ascii="Calibri" w:eastAsia="Calibri" w:hAnsi="Calibri" w:cs="Times New Roman"/>
        </w:rPr>
        <w:t>CDAA</w:t>
      </w:r>
      <w:proofErr w:type="spellEnd"/>
      <w:r w:rsidRPr="00727FA5">
        <w:rPr>
          <w:rFonts w:ascii="Calibri" w:eastAsia="Calibri" w:hAnsi="Calibri" w:cs="Times New Roman"/>
        </w:rPr>
        <w:t xml:space="preserve"> conference. The Australian Government ceased the supporting this Award in May 2012.</w:t>
      </w:r>
    </w:p>
    <w:p w14:paraId="07739DA3" w14:textId="77777777" w:rsidR="00727FA5" w:rsidRPr="00546F15" w:rsidRDefault="00727FA5" w:rsidP="00546F15">
      <w:pPr>
        <w:pStyle w:val="Heading3"/>
        <w:ind w:left="0"/>
        <w:rPr>
          <w:rFonts w:eastAsia="Times New Roman"/>
        </w:rPr>
      </w:pPr>
      <w:r w:rsidRPr="00546F15">
        <w:rPr>
          <w:rFonts w:eastAsia="Times New Roman"/>
        </w:rPr>
        <w:t>Australian Vocational Student Prize</w:t>
      </w:r>
    </w:p>
    <w:p w14:paraId="79732EB5" w14:textId="77777777" w:rsidR="00727FA5" w:rsidRPr="00727FA5" w:rsidRDefault="00727FA5" w:rsidP="00727FA5">
      <w:pPr>
        <w:rPr>
          <w:rFonts w:ascii="Calibri" w:eastAsia="Calibri" w:hAnsi="Calibri" w:cs="Times New Roman"/>
        </w:rPr>
      </w:pPr>
      <w:r w:rsidRPr="00727FA5">
        <w:rPr>
          <w:rFonts w:ascii="Calibri" w:eastAsia="Calibri" w:hAnsi="Calibri" w:cs="Times New Roman"/>
        </w:rPr>
        <w:t xml:space="preserve">This initiative represents a $ 1,040,000 annual commitment and the 2011 </w:t>
      </w:r>
      <w:proofErr w:type="spellStart"/>
      <w:r w:rsidRPr="00727FA5">
        <w:rPr>
          <w:rFonts w:ascii="Calibri" w:eastAsia="Calibri" w:hAnsi="Calibri" w:cs="Times New Roman"/>
        </w:rPr>
        <w:t>AVSP</w:t>
      </w:r>
      <w:proofErr w:type="spellEnd"/>
      <w:r w:rsidRPr="00727FA5">
        <w:rPr>
          <w:rFonts w:ascii="Calibri" w:eastAsia="Calibri" w:hAnsi="Calibri" w:cs="Times New Roman"/>
        </w:rPr>
        <w:t xml:space="preserve"> winners’ details were released on 24 July 2012.</w:t>
      </w:r>
    </w:p>
    <w:p w14:paraId="52D3D44F" w14:textId="77777777" w:rsidR="00727FA5" w:rsidRPr="00727FA5" w:rsidRDefault="00727FA5" w:rsidP="00727FA5">
      <w:pPr>
        <w:rPr>
          <w:rFonts w:ascii="Calibri" w:eastAsia="Calibri" w:hAnsi="Calibri" w:cs="Times New Roman"/>
        </w:rPr>
      </w:pPr>
    </w:p>
    <w:p w14:paraId="2384AC99" w14:textId="77777777" w:rsidR="00727FA5" w:rsidRPr="00727FA5" w:rsidRDefault="00727FA5" w:rsidP="00727FA5">
      <w:pPr>
        <w:rPr>
          <w:rFonts w:ascii="Calibri" w:eastAsia="Calibri" w:hAnsi="Calibri" w:cs="Times New Roman"/>
        </w:rPr>
      </w:pPr>
      <w:r w:rsidRPr="00727FA5">
        <w:rPr>
          <w:rFonts w:ascii="Calibri" w:eastAsia="Calibri" w:hAnsi="Calibri" w:cs="Times New Roman"/>
        </w:rPr>
        <w:t>500 students were awarded an Australian Vocational Student Prize after being nominated by their schools for their participation in a Vocational Education and Training (VET) in Schools programme or Australian School based Apprenticeship, as part of their senior secondary studies during 2011. Winners received $2000 and a certificate. Of these winners, 20 went on to receive a Prime Minister’s Award for Skills Excellence in School and a further $2000 and certificate of recognition.  </w:t>
      </w:r>
    </w:p>
    <w:p w14:paraId="33DE3184" w14:textId="77777777" w:rsidR="00727FA5" w:rsidRPr="00546F15" w:rsidRDefault="00727FA5" w:rsidP="00546F15">
      <w:pPr>
        <w:pStyle w:val="Heading3"/>
        <w:ind w:left="0"/>
        <w:rPr>
          <w:rFonts w:eastAsia="Times New Roman"/>
        </w:rPr>
      </w:pPr>
      <w:r w:rsidRPr="00546F15">
        <w:rPr>
          <w:rFonts w:eastAsia="Times New Roman"/>
        </w:rPr>
        <w:t>National Career Development Working Group (</w:t>
      </w:r>
      <w:proofErr w:type="spellStart"/>
      <w:r w:rsidRPr="00546F15">
        <w:rPr>
          <w:rFonts w:eastAsia="Times New Roman"/>
        </w:rPr>
        <w:t>NCDWG</w:t>
      </w:r>
      <w:proofErr w:type="spellEnd"/>
      <w:r w:rsidRPr="00546F15">
        <w:rPr>
          <w:rFonts w:eastAsia="Times New Roman"/>
        </w:rPr>
        <w:t xml:space="preserve">)  </w:t>
      </w:r>
    </w:p>
    <w:p w14:paraId="6E1E56D0" w14:textId="77777777" w:rsidR="00727FA5" w:rsidRPr="00727FA5" w:rsidRDefault="00727FA5" w:rsidP="00727FA5">
      <w:pPr>
        <w:rPr>
          <w:rFonts w:ascii="Calibri" w:eastAsia="Calibri" w:hAnsi="Calibri" w:cs="Times New Roman"/>
        </w:rPr>
      </w:pPr>
      <w:r w:rsidRPr="00727FA5">
        <w:rPr>
          <w:rFonts w:ascii="Calibri" w:eastAsia="Calibri" w:hAnsi="Calibri" w:cs="Times New Roman"/>
        </w:rPr>
        <w:t xml:space="preserve">The </w:t>
      </w:r>
      <w:proofErr w:type="spellStart"/>
      <w:r w:rsidRPr="00727FA5">
        <w:rPr>
          <w:rFonts w:ascii="Calibri" w:eastAsia="Calibri" w:hAnsi="Calibri" w:cs="Times New Roman"/>
        </w:rPr>
        <w:t>NCDWG</w:t>
      </w:r>
      <w:proofErr w:type="spellEnd"/>
      <w:r w:rsidRPr="00727FA5">
        <w:rPr>
          <w:rFonts w:ascii="Calibri" w:eastAsia="Calibri" w:hAnsi="Calibri" w:cs="Times New Roman"/>
        </w:rPr>
        <w:t xml:space="preserve">, chaired by the Australian Government, includes representatives from all state and territory governments and the Catholic and Independent school sectors. The Working Group was established to provide information and advice on issues relating to career development activity under the National Partnership Agreement. </w:t>
      </w:r>
    </w:p>
    <w:p w14:paraId="1FD23C42" w14:textId="1A6AB2DB" w:rsidR="003957AD" w:rsidRPr="001213AE" w:rsidRDefault="003957AD" w:rsidP="001213AE"/>
    <w:sectPr w:rsidR="003957AD" w:rsidRPr="001213AE" w:rsidSect="00DE0473">
      <w:footerReference w:type="default" r:id="rId4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8FE1CB3" w14:textId="77777777" w:rsidR="006D3781" w:rsidRDefault="006D3781" w:rsidP="008F1C21">
      <w:pPr>
        <w:spacing w:line="240" w:lineRule="auto"/>
      </w:pPr>
      <w:r>
        <w:separator/>
      </w:r>
    </w:p>
  </w:endnote>
  <w:endnote w:type="continuationSeparator" w:id="0">
    <w:p w14:paraId="3BA87ECD" w14:textId="77777777" w:rsidR="006D3781" w:rsidRDefault="006D3781" w:rsidP="008F1C2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rbel">
    <w:panose1 w:val="020B0503020204020204"/>
    <w:charset w:val="00"/>
    <w:family w:val="swiss"/>
    <w:pitch w:val="variable"/>
    <w:sig w:usb0="A00002EF" w:usb1="4000A44B" w:usb2="00000000" w:usb3="00000000" w:csb0="0000019F" w:csb1="00000000"/>
  </w:font>
  <w:font w:name="Consolas">
    <w:panose1 w:val="020B0609020204030204"/>
    <w:charset w:val="00"/>
    <w:family w:val="modern"/>
    <w:pitch w:val="fixed"/>
    <w:sig w:usb0="E10002FF" w:usb1="4000FCFF" w:usb2="00000009" w:usb3="00000000" w:csb0="0000019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528864" w14:textId="5E872B18" w:rsidR="006D3781" w:rsidRPr="000B0A51" w:rsidRDefault="006D3781" w:rsidP="003B377C">
    <w:pPr>
      <w:pStyle w:val="Footer"/>
      <w:pBdr>
        <w:top w:val="none" w:sz="0" w:space="0" w:color="auto"/>
      </w:pBdr>
      <w:spacing w:before="120"/>
      <w:ind w:right="789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0E220" w14:textId="77777777" w:rsidR="006D3781" w:rsidRPr="003B377C" w:rsidRDefault="006D3781" w:rsidP="003B377C">
    <w:pPr>
      <w:pStyle w:val="Footer"/>
      <w:pBdr>
        <w:top w:val="none" w:sz="0" w:space="0" w:color="auto"/>
      </w:pBd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E212CF" w14:textId="133BD5E9" w:rsidR="003B377C" w:rsidRDefault="003B377C" w:rsidP="003B377C">
    <w:pPr>
      <w:pStyle w:val="Footer"/>
      <w:pBdr>
        <w:top w:val="none" w:sz="0" w:space="0" w:color="auto"/>
      </w:pBdr>
    </w:pPr>
  </w:p>
  <w:p w14:paraId="5710DC64" w14:textId="14BD88A3" w:rsidR="006D3781" w:rsidRDefault="006D3781" w:rsidP="003B377C">
    <w:pPr>
      <w:pStyle w:val="Footer"/>
      <w:pBdr>
        <w:top w:val="none" w:sz="0" w:space="0" w:color="auto"/>
      </w:pBd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22548478"/>
      <w:docPartObj>
        <w:docPartGallery w:val="Page Numbers (Bottom of Page)"/>
        <w:docPartUnique/>
      </w:docPartObj>
    </w:sdtPr>
    <w:sdtEndPr>
      <w:rPr>
        <w:noProof/>
      </w:rPr>
    </w:sdtEndPr>
    <w:sdtContent>
      <w:p w14:paraId="6B48AB09" w14:textId="77777777" w:rsidR="003B377C" w:rsidRDefault="003B377C" w:rsidP="003B377C">
        <w:pPr>
          <w:pStyle w:val="Footer"/>
          <w:pBdr>
            <w:top w:val="none" w:sz="0" w:space="0" w:color="auto"/>
          </w:pBdr>
        </w:pPr>
        <w:r>
          <w:fldChar w:fldCharType="begin"/>
        </w:r>
        <w:r>
          <w:instrText xml:space="preserve"> PAGE   \* MERGEFORMAT </w:instrText>
        </w:r>
        <w:r>
          <w:fldChar w:fldCharType="separate"/>
        </w:r>
        <w:r w:rsidR="001355F9">
          <w:rPr>
            <w:noProof/>
          </w:rPr>
          <w:t>55</w:t>
        </w:r>
        <w:r>
          <w:rPr>
            <w:noProof/>
          </w:rPr>
          <w:fldChar w:fldCharType="end"/>
        </w:r>
      </w:p>
    </w:sdtContent>
  </w:sdt>
  <w:p w14:paraId="5DD662F7" w14:textId="77777777" w:rsidR="003B377C" w:rsidRDefault="003B377C" w:rsidP="003B377C">
    <w:pPr>
      <w:pStyle w:val="Footer"/>
      <w:pBdr>
        <w:top w:val="none" w:sz="0" w:space="0" w:color="auto"/>
      </w:pBd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14078236"/>
      <w:docPartObj>
        <w:docPartGallery w:val="Page Numbers (Bottom of Page)"/>
        <w:docPartUnique/>
      </w:docPartObj>
    </w:sdtPr>
    <w:sdtEndPr>
      <w:rPr>
        <w:noProof/>
      </w:rPr>
    </w:sdtEndPr>
    <w:sdtContent>
      <w:p w14:paraId="0ED57D9C" w14:textId="57E2CE6A" w:rsidR="003B377C" w:rsidRDefault="003B377C" w:rsidP="003B377C">
        <w:pPr>
          <w:pStyle w:val="Footer"/>
          <w:pBdr>
            <w:top w:val="none" w:sz="0" w:space="0" w:color="auto"/>
          </w:pBdr>
        </w:pPr>
        <w:r>
          <w:fldChar w:fldCharType="begin"/>
        </w:r>
        <w:r>
          <w:instrText xml:space="preserve"> PAGE   \* MERGEFORMAT </w:instrText>
        </w:r>
        <w:r>
          <w:fldChar w:fldCharType="separate"/>
        </w:r>
        <w:r w:rsidR="001355F9">
          <w:rPr>
            <w:noProof/>
          </w:rPr>
          <w:t>64</w:t>
        </w:r>
        <w:r>
          <w:rPr>
            <w:noProof/>
          </w:rPr>
          <w:fldChar w:fldCharType="end"/>
        </w:r>
      </w:p>
    </w:sdtContent>
  </w:sdt>
  <w:p w14:paraId="0BF60C40" w14:textId="77777777" w:rsidR="006D3781" w:rsidRDefault="006D3781" w:rsidP="003B377C">
    <w:pPr>
      <w:pStyle w:val="Footer"/>
      <w:pBdr>
        <w:top w:val="none" w:sz="0" w:space="0" w:color="auto"/>
      </w:pBd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2664314" w14:textId="77777777" w:rsidR="006D3781" w:rsidRDefault="006D3781" w:rsidP="008F1C21">
      <w:pPr>
        <w:spacing w:line="240" w:lineRule="auto"/>
      </w:pPr>
      <w:r>
        <w:separator/>
      </w:r>
    </w:p>
  </w:footnote>
  <w:footnote w:type="continuationSeparator" w:id="0">
    <w:p w14:paraId="229A74BE" w14:textId="77777777" w:rsidR="006D3781" w:rsidRDefault="006D3781" w:rsidP="008F1C21">
      <w:pPr>
        <w:spacing w:line="240" w:lineRule="auto"/>
      </w:pPr>
      <w:r>
        <w:continuationSeparator/>
      </w:r>
    </w:p>
  </w:footnote>
  <w:footnote w:id="1">
    <w:p w14:paraId="37C0E800" w14:textId="77777777" w:rsidR="006D3781" w:rsidRDefault="006D3781" w:rsidP="003957AD">
      <w:pPr>
        <w:pStyle w:val="FootnoteText"/>
      </w:pPr>
      <w:r>
        <w:rPr>
          <w:rStyle w:val="FootnoteReference"/>
          <w:rFonts w:eastAsiaTheme="majorEastAsia"/>
        </w:rPr>
        <w:footnoteRef/>
      </w:r>
      <w:r>
        <w:t xml:space="preserve"> </w:t>
      </w:r>
      <w:r w:rsidRPr="00E5135E">
        <w:t xml:space="preserve">Survey results are analysed by </w:t>
      </w:r>
      <w:proofErr w:type="spellStart"/>
      <w:r w:rsidRPr="00E5135E">
        <w:t>RMIT</w:t>
      </w:r>
      <w:proofErr w:type="spellEnd"/>
      <w:r w:rsidRPr="00E5135E">
        <w:t xml:space="preserve"> University.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798045" w14:textId="0AE8522F" w:rsidR="006D3781" w:rsidRDefault="006D3781" w:rsidP="00A35972">
    <w:pPr>
      <w:pStyle w:val="Header"/>
      <w:spacing w:after="1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B5DAB2" w14:textId="77777777" w:rsidR="006D3781" w:rsidRPr="00A75CB7" w:rsidRDefault="006D3781" w:rsidP="003B377C">
    <w:pPr>
      <w:pStyle w:val="Header"/>
      <w:pBdr>
        <w:bottom w:val="none" w:sz="0" w:space="0" w:color="auto"/>
      </w:pBdr>
      <w:spacing w:after="1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C702E3"/>
    <w:multiLevelType w:val="hybridMultilevel"/>
    <w:tmpl w:val="D21C0E8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nsid w:val="0C13763C"/>
    <w:multiLevelType w:val="hybridMultilevel"/>
    <w:tmpl w:val="6924FFF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nsid w:val="10357576"/>
    <w:multiLevelType w:val="hybridMultilevel"/>
    <w:tmpl w:val="6BE8044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
    <w:nsid w:val="11E528B8"/>
    <w:multiLevelType w:val="hybridMultilevel"/>
    <w:tmpl w:val="C3DC50D4"/>
    <w:lvl w:ilvl="0" w:tplc="0C090003">
      <w:start w:val="1"/>
      <w:numFmt w:val="bullet"/>
      <w:lvlText w:val="o"/>
      <w:lvlJc w:val="left"/>
      <w:pPr>
        <w:ind w:left="1800" w:hanging="360"/>
      </w:pPr>
      <w:rPr>
        <w:rFonts w:ascii="Courier New" w:hAnsi="Courier New" w:cs="Courier New" w:hint="default"/>
      </w:rPr>
    </w:lvl>
    <w:lvl w:ilvl="1" w:tplc="0C090003">
      <w:start w:val="1"/>
      <w:numFmt w:val="bullet"/>
      <w:lvlText w:val="o"/>
      <w:lvlJc w:val="left"/>
      <w:pPr>
        <w:ind w:left="2520" w:hanging="360"/>
      </w:pPr>
      <w:rPr>
        <w:rFonts w:ascii="Courier New" w:hAnsi="Courier New" w:cs="Courier New" w:hint="default"/>
      </w:rPr>
    </w:lvl>
    <w:lvl w:ilvl="2" w:tplc="0C090005">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4">
    <w:nsid w:val="12870712"/>
    <w:multiLevelType w:val="hybridMultilevel"/>
    <w:tmpl w:val="EE6A1E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132B120E"/>
    <w:multiLevelType w:val="hybridMultilevel"/>
    <w:tmpl w:val="B4BAC0BA"/>
    <w:lvl w:ilvl="0" w:tplc="0C090001">
      <w:start w:val="1"/>
      <w:numFmt w:val="bullet"/>
      <w:lvlText w:val=""/>
      <w:lvlJc w:val="left"/>
      <w:pPr>
        <w:tabs>
          <w:tab w:val="num" w:pos="363"/>
        </w:tabs>
        <w:ind w:left="363" w:hanging="360"/>
      </w:pPr>
      <w:rPr>
        <w:rFonts w:ascii="Symbol" w:hAnsi="Symbol" w:hint="default"/>
      </w:rPr>
    </w:lvl>
    <w:lvl w:ilvl="1" w:tplc="0C090003" w:tentative="1">
      <w:start w:val="1"/>
      <w:numFmt w:val="bullet"/>
      <w:lvlText w:val="o"/>
      <w:lvlJc w:val="left"/>
      <w:pPr>
        <w:tabs>
          <w:tab w:val="num" w:pos="1083"/>
        </w:tabs>
        <w:ind w:left="1083" w:hanging="360"/>
      </w:pPr>
      <w:rPr>
        <w:rFonts w:ascii="Courier New" w:hAnsi="Courier New" w:cs="Courier New" w:hint="default"/>
      </w:rPr>
    </w:lvl>
    <w:lvl w:ilvl="2" w:tplc="0C090005" w:tentative="1">
      <w:start w:val="1"/>
      <w:numFmt w:val="bullet"/>
      <w:lvlText w:val=""/>
      <w:lvlJc w:val="left"/>
      <w:pPr>
        <w:tabs>
          <w:tab w:val="num" w:pos="1803"/>
        </w:tabs>
        <w:ind w:left="1803" w:hanging="360"/>
      </w:pPr>
      <w:rPr>
        <w:rFonts w:ascii="Wingdings" w:hAnsi="Wingdings" w:hint="default"/>
      </w:rPr>
    </w:lvl>
    <w:lvl w:ilvl="3" w:tplc="0C090001" w:tentative="1">
      <w:start w:val="1"/>
      <w:numFmt w:val="bullet"/>
      <w:lvlText w:val=""/>
      <w:lvlJc w:val="left"/>
      <w:pPr>
        <w:tabs>
          <w:tab w:val="num" w:pos="2523"/>
        </w:tabs>
        <w:ind w:left="2523" w:hanging="360"/>
      </w:pPr>
      <w:rPr>
        <w:rFonts w:ascii="Symbol" w:hAnsi="Symbol" w:hint="default"/>
      </w:rPr>
    </w:lvl>
    <w:lvl w:ilvl="4" w:tplc="0C090003" w:tentative="1">
      <w:start w:val="1"/>
      <w:numFmt w:val="bullet"/>
      <w:lvlText w:val="o"/>
      <w:lvlJc w:val="left"/>
      <w:pPr>
        <w:tabs>
          <w:tab w:val="num" w:pos="3243"/>
        </w:tabs>
        <w:ind w:left="3243" w:hanging="360"/>
      </w:pPr>
      <w:rPr>
        <w:rFonts w:ascii="Courier New" w:hAnsi="Courier New" w:cs="Courier New" w:hint="default"/>
      </w:rPr>
    </w:lvl>
    <w:lvl w:ilvl="5" w:tplc="0C090005" w:tentative="1">
      <w:start w:val="1"/>
      <w:numFmt w:val="bullet"/>
      <w:lvlText w:val=""/>
      <w:lvlJc w:val="left"/>
      <w:pPr>
        <w:tabs>
          <w:tab w:val="num" w:pos="3963"/>
        </w:tabs>
        <w:ind w:left="3963" w:hanging="360"/>
      </w:pPr>
      <w:rPr>
        <w:rFonts w:ascii="Wingdings" w:hAnsi="Wingdings" w:hint="default"/>
      </w:rPr>
    </w:lvl>
    <w:lvl w:ilvl="6" w:tplc="0C090001" w:tentative="1">
      <w:start w:val="1"/>
      <w:numFmt w:val="bullet"/>
      <w:lvlText w:val=""/>
      <w:lvlJc w:val="left"/>
      <w:pPr>
        <w:tabs>
          <w:tab w:val="num" w:pos="4683"/>
        </w:tabs>
        <w:ind w:left="4683" w:hanging="360"/>
      </w:pPr>
      <w:rPr>
        <w:rFonts w:ascii="Symbol" w:hAnsi="Symbol" w:hint="default"/>
      </w:rPr>
    </w:lvl>
    <w:lvl w:ilvl="7" w:tplc="0C090003" w:tentative="1">
      <w:start w:val="1"/>
      <w:numFmt w:val="bullet"/>
      <w:lvlText w:val="o"/>
      <w:lvlJc w:val="left"/>
      <w:pPr>
        <w:tabs>
          <w:tab w:val="num" w:pos="5403"/>
        </w:tabs>
        <w:ind w:left="5403" w:hanging="360"/>
      </w:pPr>
      <w:rPr>
        <w:rFonts w:ascii="Courier New" w:hAnsi="Courier New" w:cs="Courier New" w:hint="default"/>
      </w:rPr>
    </w:lvl>
    <w:lvl w:ilvl="8" w:tplc="0C090005" w:tentative="1">
      <w:start w:val="1"/>
      <w:numFmt w:val="bullet"/>
      <w:lvlText w:val=""/>
      <w:lvlJc w:val="left"/>
      <w:pPr>
        <w:tabs>
          <w:tab w:val="num" w:pos="6123"/>
        </w:tabs>
        <w:ind w:left="6123" w:hanging="360"/>
      </w:pPr>
      <w:rPr>
        <w:rFonts w:ascii="Wingdings" w:hAnsi="Wingdings" w:hint="default"/>
      </w:rPr>
    </w:lvl>
  </w:abstractNum>
  <w:abstractNum w:abstractNumId="6">
    <w:nsid w:val="14AB2A6A"/>
    <w:multiLevelType w:val="hybridMultilevel"/>
    <w:tmpl w:val="F6D0115E"/>
    <w:lvl w:ilvl="0" w:tplc="0C090001">
      <w:start w:val="1"/>
      <w:numFmt w:val="bullet"/>
      <w:lvlText w:val=""/>
      <w:lvlJc w:val="left"/>
      <w:pPr>
        <w:ind w:left="36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7">
    <w:nsid w:val="17414A2F"/>
    <w:multiLevelType w:val="hybridMultilevel"/>
    <w:tmpl w:val="D47066F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nsid w:val="18C749DA"/>
    <w:multiLevelType w:val="hybridMultilevel"/>
    <w:tmpl w:val="EE3865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24005833"/>
    <w:multiLevelType w:val="hybridMultilevel"/>
    <w:tmpl w:val="DD6644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2A676BF1"/>
    <w:multiLevelType w:val="hybridMultilevel"/>
    <w:tmpl w:val="9D3A4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2B773D58"/>
    <w:multiLevelType w:val="hybridMultilevel"/>
    <w:tmpl w:val="4440B9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35262E7C"/>
    <w:multiLevelType w:val="hybridMultilevel"/>
    <w:tmpl w:val="1868C9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3CD45C70"/>
    <w:multiLevelType w:val="hybridMultilevel"/>
    <w:tmpl w:val="E0628AF4"/>
    <w:lvl w:ilvl="0" w:tplc="0C090001">
      <w:start w:val="1"/>
      <w:numFmt w:val="bullet"/>
      <w:lvlText w:val=""/>
      <w:lvlJc w:val="left"/>
      <w:pPr>
        <w:tabs>
          <w:tab w:val="num" w:pos="360"/>
        </w:tabs>
        <w:ind w:left="360" w:hanging="360"/>
      </w:pPr>
      <w:rPr>
        <w:rFonts w:ascii="Symbol" w:hAnsi="Symbol" w:hint="default"/>
      </w:rPr>
    </w:lvl>
    <w:lvl w:ilvl="1" w:tplc="0C090003">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4">
    <w:nsid w:val="3E1F7417"/>
    <w:multiLevelType w:val="hybridMultilevel"/>
    <w:tmpl w:val="DA86EE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41DC5231"/>
    <w:multiLevelType w:val="hybridMultilevel"/>
    <w:tmpl w:val="DFD20586"/>
    <w:lvl w:ilvl="0" w:tplc="0C090001">
      <w:start w:val="1"/>
      <w:numFmt w:val="bullet"/>
      <w:lvlText w:val=""/>
      <w:lvlJc w:val="left"/>
      <w:pPr>
        <w:ind w:left="717" w:hanging="360"/>
      </w:pPr>
      <w:rPr>
        <w:rFonts w:ascii="Symbol" w:hAnsi="Symbol" w:hint="default"/>
      </w:rPr>
    </w:lvl>
    <w:lvl w:ilvl="1" w:tplc="0C090003" w:tentative="1">
      <w:start w:val="1"/>
      <w:numFmt w:val="bullet"/>
      <w:lvlText w:val="o"/>
      <w:lvlJc w:val="left"/>
      <w:pPr>
        <w:ind w:left="1437" w:hanging="360"/>
      </w:pPr>
      <w:rPr>
        <w:rFonts w:ascii="Courier New" w:hAnsi="Courier New" w:cs="Courier New" w:hint="default"/>
      </w:rPr>
    </w:lvl>
    <w:lvl w:ilvl="2" w:tplc="0C090005" w:tentative="1">
      <w:start w:val="1"/>
      <w:numFmt w:val="bullet"/>
      <w:lvlText w:val=""/>
      <w:lvlJc w:val="left"/>
      <w:pPr>
        <w:ind w:left="2157" w:hanging="360"/>
      </w:pPr>
      <w:rPr>
        <w:rFonts w:ascii="Wingdings" w:hAnsi="Wingdings" w:hint="default"/>
      </w:rPr>
    </w:lvl>
    <w:lvl w:ilvl="3" w:tplc="0C090001" w:tentative="1">
      <w:start w:val="1"/>
      <w:numFmt w:val="bullet"/>
      <w:lvlText w:val=""/>
      <w:lvlJc w:val="left"/>
      <w:pPr>
        <w:ind w:left="2877" w:hanging="360"/>
      </w:pPr>
      <w:rPr>
        <w:rFonts w:ascii="Symbol" w:hAnsi="Symbol" w:hint="default"/>
      </w:rPr>
    </w:lvl>
    <w:lvl w:ilvl="4" w:tplc="0C090003" w:tentative="1">
      <w:start w:val="1"/>
      <w:numFmt w:val="bullet"/>
      <w:lvlText w:val="o"/>
      <w:lvlJc w:val="left"/>
      <w:pPr>
        <w:ind w:left="3597" w:hanging="360"/>
      </w:pPr>
      <w:rPr>
        <w:rFonts w:ascii="Courier New" w:hAnsi="Courier New" w:cs="Courier New" w:hint="default"/>
      </w:rPr>
    </w:lvl>
    <w:lvl w:ilvl="5" w:tplc="0C090005" w:tentative="1">
      <w:start w:val="1"/>
      <w:numFmt w:val="bullet"/>
      <w:lvlText w:val=""/>
      <w:lvlJc w:val="left"/>
      <w:pPr>
        <w:ind w:left="4317" w:hanging="360"/>
      </w:pPr>
      <w:rPr>
        <w:rFonts w:ascii="Wingdings" w:hAnsi="Wingdings" w:hint="default"/>
      </w:rPr>
    </w:lvl>
    <w:lvl w:ilvl="6" w:tplc="0C090001" w:tentative="1">
      <w:start w:val="1"/>
      <w:numFmt w:val="bullet"/>
      <w:lvlText w:val=""/>
      <w:lvlJc w:val="left"/>
      <w:pPr>
        <w:ind w:left="5037" w:hanging="360"/>
      </w:pPr>
      <w:rPr>
        <w:rFonts w:ascii="Symbol" w:hAnsi="Symbol" w:hint="default"/>
      </w:rPr>
    </w:lvl>
    <w:lvl w:ilvl="7" w:tplc="0C090003" w:tentative="1">
      <w:start w:val="1"/>
      <w:numFmt w:val="bullet"/>
      <w:lvlText w:val="o"/>
      <w:lvlJc w:val="left"/>
      <w:pPr>
        <w:ind w:left="5757" w:hanging="360"/>
      </w:pPr>
      <w:rPr>
        <w:rFonts w:ascii="Courier New" w:hAnsi="Courier New" w:cs="Courier New" w:hint="default"/>
      </w:rPr>
    </w:lvl>
    <w:lvl w:ilvl="8" w:tplc="0C090005" w:tentative="1">
      <w:start w:val="1"/>
      <w:numFmt w:val="bullet"/>
      <w:lvlText w:val=""/>
      <w:lvlJc w:val="left"/>
      <w:pPr>
        <w:ind w:left="6477" w:hanging="360"/>
      </w:pPr>
      <w:rPr>
        <w:rFonts w:ascii="Wingdings" w:hAnsi="Wingdings" w:hint="default"/>
      </w:rPr>
    </w:lvl>
  </w:abstractNum>
  <w:abstractNum w:abstractNumId="16">
    <w:nsid w:val="44291D54"/>
    <w:multiLevelType w:val="hybridMultilevel"/>
    <w:tmpl w:val="9F2E15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47542B57"/>
    <w:multiLevelType w:val="hybridMultilevel"/>
    <w:tmpl w:val="473C4C6A"/>
    <w:lvl w:ilvl="0" w:tplc="146263D6">
      <w:start w:val="1"/>
      <w:numFmt w:val="bullet"/>
      <w:pStyle w:val="Dots"/>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486C0CA8"/>
    <w:multiLevelType w:val="hybridMultilevel"/>
    <w:tmpl w:val="747A0F7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nsid w:val="4D21316A"/>
    <w:multiLevelType w:val="hybridMultilevel"/>
    <w:tmpl w:val="DF160B1A"/>
    <w:lvl w:ilvl="0" w:tplc="0C090001">
      <w:start w:val="1"/>
      <w:numFmt w:val="bullet"/>
      <w:lvlText w:val=""/>
      <w:lvlJc w:val="left"/>
      <w:pPr>
        <w:ind w:left="776" w:hanging="360"/>
      </w:pPr>
      <w:rPr>
        <w:rFonts w:ascii="Symbol" w:hAnsi="Symbol" w:hint="default"/>
      </w:rPr>
    </w:lvl>
    <w:lvl w:ilvl="1" w:tplc="0C090003" w:tentative="1">
      <w:start w:val="1"/>
      <w:numFmt w:val="bullet"/>
      <w:lvlText w:val="o"/>
      <w:lvlJc w:val="left"/>
      <w:pPr>
        <w:ind w:left="1496" w:hanging="360"/>
      </w:pPr>
      <w:rPr>
        <w:rFonts w:ascii="Courier New" w:hAnsi="Courier New" w:cs="Courier New" w:hint="default"/>
      </w:rPr>
    </w:lvl>
    <w:lvl w:ilvl="2" w:tplc="0C090005" w:tentative="1">
      <w:start w:val="1"/>
      <w:numFmt w:val="bullet"/>
      <w:lvlText w:val=""/>
      <w:lvlJc w:val="left"/>
      <w:pPr>
        <w:ind w:left="2216" w:hanging="360"/>
      </w:pPr>
      <w:rPr>
        <w:rFonts w:ascii="Wingdings" w:hAnsi="Wingdings" w:hint="default"/>
      </w:rPr>
    </w:lvl>
    <w:lvl w:ilvl="3" w:tplc="0C090001" w:tentative="1">
      <w:start w:val="1"/>
      <w:numFmt w:val="bullet"/>
      <w:lvlText w:val=""/>
      <w:lvlJc w:val="left"/>
      <w:pPr>
        <w:ind w:left="2936" w:hanging="360"/>
      </w:pPr>
      <w:rPr>
        <w:rFonts w:ascii="Symbol" w:hAnsi="Symbol" w:hint="default"/>
      </w:rPr>
    </w:lvl>
    <w:lvl w:ilvl="4" w:tplc="0C090003" w:tentative="1">
      <w:start w:val="1"/>
      <w:numFmt w:val="bullet"/>
      <w:lvlText w:val="o"/>
      <w:lvlJc w:val="left"/>
      <w:pPr>
        <w:ind w:left="3656" w:hanging="360"/>
      </w:pPr>
      <w:rPr>
        <w:rFonts w:ascii="Courier New" w:hAnsi="Courier New" w:cs="Courier New" w:hint="default"/>
      </w:rPr>
    </w:lvl>
    <w:lvl w:ilvl="5" w:tplc="0C090005" w:tentative="1">
      <w:start w:val="1"/>
      <w:numFmt w:val="bullet"/>
      <w:lvlText w:val=""/>
      <w:lvlJc w:val="left"/>
      <w:pPr>
        <w:ind w:left="4376" w:hanging="360"/>
      </w:pPr>
      <w:rPr>
        <w:rFonts w:ascii="Wingdings" w:hAnsi="Wingdings" w:hint="default"/>
      </w:rPr>
    </w:lvl>
    <w:lvl w:ilvl="6" w:tplc="0C090001" w:tentative="1">
      <w:start w:val="1"/>
      <w:numFmt w:val="bullet"/>
      <w:lvlText w:val=""/>
      <w:lvlJc w:val="left"/>
      <w:pPr>
        <w:ind w:left="5096" w:hanging="360"/>
      </w:pPr>
      <w:rPr>
        <w:rFonts w:ascii="Symbol" w:hAnsi="Symbol" w:hint="default"/>
      </w:rPr>
    </w:lvl>
    <w:lvl w:ilvl="7" w:tplc="0C090003" w:tentative="1">
      <w:start w:val="1"/>
      <w:numFmt w:val="bullet"/>
      <w:lvlText w:val="o"/>
      <w:lvlJc w:val="left"/>
      <w:pPr>
        <w:ind w:left="5816" w:hanging="360"/>
      </w:pPr>
      <w:rPr>
        <w:rFonts w:ascii="Courier New" w:hAnsi="Courier New" w:cs="Courier New" w:hint="default"/>
      </w:rPr>
    </w:lvl>
    <w:lvl w:ilvl="8" w:tplc="0C090005" w:tentative="1">
      <w:start w:val="1"/>
      <w:numFmt w:val="bullet"/>
      <w:lvlText w:val=""/>
      <w:lvlJc w:val="left"/>
      <w:pPr>
        <w:ind w:left="6536" w:hanging="360"/>
      </w:pPr>
      <w:rPr>
        <w:rFonts w:ascii="Wingdings" w:hAnsi="Wingdings" w:hint="default"/>
      </w:rPr>
    </w:lvl>
  </w:abstractNum>
  <w:abstractNum w:abstractNumId="20">
    <w:nsid w:val="54627F5D"/>
    <w:multiLevelType w:val="hybridMultilevel"/>
    <w:tmpl w:val="580C2BB8"/>
    <w:lvl w:ilvl="0" w:tplc="0C090001">
      <w:start w:val="1"/>
      <w:numFmt w:val="bullet"/>
      <w:lvlText w:val=""/>
      <w:lvlJc w:val="left"/>
      <w:pPr>
        <w:ind w:left="360" w:hanging="360"/>
      </w:pPr>
      <w:rPr>
        <w:rFonts w:ascii="Symbol" w:hAnsi="Symbol" w:hint="default"/>
      </w:rPr>
    </w:lvl>
    <w:lvl w:ilvl="1" w:tplc="0C090005">
      <w:start w:val="1"/>
      <w:numFmt w:val="bullet"/>
      <w:lvlText w:val=""/>
      <w:lvlJc w:val="left"/>
      <w:pPr>
        <w:ind w:left="1080" w:hanging="360"/>
      </w:pPr>
      <w:rPr>
        <w:rFonts w:ascii="Wingdings" w:hAnsi="Wingdings"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nsid w:val="548773AD"/>
    <w:multiLevelType w:val="hybridMultilevel"/>
    <w:tmpl w:val="153285DE"/>
    <w:lvl w:ilvl="0" w:tplc="0C090001">
      <w:start w:val="1"/>
      <w:numFmt w:val="bullet"/>
      <w:lvlText w:val=""/>
      <w:lvlJc w:val="left"/>
      <w:pPr>
        <w:ind w:left="363" w:hanging="360"/>
      </w:pPr>
      <w:rPr>
        <w:rFonts w:ascii="Symbol" w:hAnsi="Symbol" w:hint="default"/>
      </w:rPr>
    </w:lvl>
    <w:lvl w:ilvl="1" w:tplc="0C090003" w:tentative="1">
      <w:start w:val="1"/>
      <w:numFmt w:val="bullet"/>
      <w:lvlText w:val="o"/>
      <w:lvlJc w:val="left"/>
      <w:pPr>
        <w:ind w:left="1083" w:hanging="360"/>
      </w:pPr>
      <w:rPr>
        <w:rFonts w:ascii="Courier New" w:hAnsi="Courier New" w:cs="Courier New" w:hint="default"/>
      </w:rPr>
    </w:lvl>
    <w:lvl w:ilvl="2" w:tplc="0C090005" w:tentative="1">
      <w:start w:val="1"/>
      <w:numFmt w:val="bullet"/>
      <w:lvlText w:val=""/>
      <w:lvlJc w:val="left"/>
      <w:pPr>
        <w:ind w:left="1803" w:hanging="360"/>
      </w:pPr>
      <w:rPr>
        <w:rFonts w:ascii="Wingdings" w:hAnsi="Wingdings" w:hint="default"/>
      </w:rPr>
    </w:lvl>
    <w:lvl w:ilvl="3" w:tplc="0C090001" w:tentative="1">
      <w:start w:val="1"/>
      <w:numFmt w:val="bullet"/>
      <w:lvlText w:val=""/>
      <w:lvlJc w:val="left"/>
      <w:pPr>
        <w:ind w:left="2523" w:hanging="360"/>
      </w:pPr>
      <w:rPr>
        <w:rFonts w:ascii="Symbol" w:hAnsi="Symbol" w:hint="default"/>
      </w:rPr>
    </w:lvl>
    <w:lvl w:ilvl="4" w:tplc="0C090003" w:tentative="1">
      <w:start w:val="1"/>
      <w:numFmt w:val="bullet"/>
      <w:lvlText w:val="o"/>
      <w:lvlJc w:val="left"/>
      <w:pPr>
        <w:ind w:left="3243" w:hanging="360"/>
      </w:pPr>
      <w:rPr>
        <w:rFonts w:ascii="Courier New" w:hAnsi="Courier New" w:cs="Courier New" w:hint="default"/>
      </w:rPr>
    </w:lvl>
    <w:lvl w:ilvl="5" w:tplc="0C090005" w:tentative="1">
      <w:start w:val="1"/>
      <w:numFmt w:val="bullet"/>
      <w:lvlText w:val=""/>
      <w:lvlJc w:val="left"/>
      <w:pPr>
        <w:ind w:left="3963" w:hanging="360"/>
      </w:pPr>
      <w:rPr>
        <w:rFonts w:ascii="Wingdings" w:hAnsi="Wingdings" w:hint="default"/>
      </w:rPr>
    </w:lvl>
    <w:lvl w:ilvl="6" w:tplc="0C090001" w:tentative="1">
      <w:start w:val="1"/>
      <w:numFmt w:val="bullet"/>
      <w:lvlText w:val=""/>
      <w:lvlJc w:val="left"/>
      <w:pPr>
        <w:ind w:left="4683" w:hanging="360"/>
      </w:pPr>
      <w:rPr>
        <w:rFonts w:ascii="Symbol" w:hAnsi="Symbol" w:hint="default"/>
      </w:rPr>
    </w:lvl>
    <w:lvl w:ilvl="7" w:tplc="0C090003" w:tentative="1">
      <w:start w:val="1"/>
      <w:numFmt w:val="bullet"/>
      <w:lvlText w:val="o"/>
      <w:lvlJc w:val="left"/>
      <w:pPr>
        <w:ind w:left="5403" w:hanging="360"/>
      </w:pPr>
      <w:rPr>
        <w:rFonts w:ascii="Courier New" w:hAnsi="Courier New" w:cs="Courier New" w:hint="default"/>
      </w:rPr>
    </w:lvl>
    <w:lvl w:ilvl="8" w:tplc="0C090005" w:tentative="1">
      <w:start w:val="1"/>
      <w:numFmt w:val="bullet"/>
      <w:lvlText w:val=""/>
      <w:lvlJc w:val="left"/>
      <w:pPr>
        <w:ind w:left="6123" w:hanging="360"/>
      </w:pPr>
      <w:rPr>
        <w:rFonts w:ascii="Wingdings" w:hAnsi="Wingdings" w:hint="default"/>
      </w:rPr>
    </w:lvl>
  </w:abstractNum>
  <w:abstractNum w:abstractNumId="22">
    <w:nsid w:val="55166CD8"/>
    <w:multiLevelType w:val="hybridMultilevel"/>
    <w:tmpl w:val="C76AB4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5C434799"/>
    <w:multiLevelType w:val="multilevel"/>
    <w:tmpl w:val="05D2A3BC"/>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nsid w:val="5D5C68DA"/>
    <w:multiLevelType w:val="hybridMultilevel"/>
    <w:tmpl w:val="A71667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5FE067A2"/>
    <w:multiLevelType w:val="hybridMultilevel"/>
    <w:tmpl w:val="FD66C07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nsid w:val="621A5B72"/>
    <w:multiLevelType w:val="hybridMultilevel"/>
    <w:tmpl w:val="D834CDCA"/>
    <w:lvl w:ilvl="0" w:tplc="0C090001">
      <w:start w:val="1"/>
      <w:numFmt w:val="bullet"/>
      <w:lvlText w:val=""/>
      <w:lvlJc w:val="left"/>
      <w:pPr>
        <w:ind w:left="363" w:hanging="360"/>
      </w:pPr>
      <w:rPr>
        <w:rFonts w:ascii="Symbol" w:hAnsi="Symbol" w:hint="default"/>
      </w:rPr>
    </w:lvl>
    <w:lvl w:ilvl="1" w:tplc="0C090003" w:tentative="1">
      <w:start w:val="1"/>
      <w:numFmt w:val="bullet"/>
      <w:lvlText w:val="o"/>
      <w:lvlJc w:val="left"/>
      <w:pPr>
        <w:ind w:left="1083" w:hanging="360"/>
      </w:pPr>
      <w:rPr>
        <w:rFonts w:ascii="Courier New" w:hAnsi="Courier New" w:cs="Courier New" w:hint="default"/>
      </w:rPr>
    </w:lvl>
    <w:lvl w:ilvl="2" w:tplc="0C090005" w:tentative="1">
      <w:start w:val="1"/>
      <w:numFmt w:val="bullet"/>
      <w:lvlText w:val=""/>
      <w:lvlJc w:val="left"/>
      <w:pPr>
        <w:ind w:left="1803" w:hanging="360"/>
      </w:pPr>
      <w:rPr>
        <w:rFonts w:ascii="Wingdings" w:hAnsi="Wingdings" w:hint="default"/>
      </w:rPr>
    </w:lvl>
    <w:lvl w:ilvl="3" w:tplc="0C090001" w:tentative="1">
      <w:start w:val="1"/>
      <w:numFmt w:val="bullet"/>
      <w:lvlText w:val=""/>
      <w:lvlJc w:val="left"/>
      <w:pPr>
        <w:ind w:left="2523" w:hanging="360"/>
      </w:pPr>
      <w:rPr>
        <w:rFonts w:ascii="Symbol" w:hAnsi="Symbol" w:hint="default"/>
      </w:rPr>
    </w:lvl>
    <w:lvl w:ilvl="4" w:tplc="0C090003" w:tentative="1">
      <w:start w:val="1"/>
      <w:numFmt w:val="bullet"/>
      <w:lvlText w:val="o"/>
      <w:lvlJc w:val="left"/>
      <w:pPr>
        <w:ind w:left="3243" w:hanging="360"/>
      </w:pPr>
      <w:rPr>
        <w:rFonts w:ascii="Courier New" w:hAnsi="Courier New" w:cs="Courier New" w:hint="default"/>
      </w:rPr>
    </w:lvl>
    <w:lvl w:ilvl="5" w:tplc="0C090005" w:tentative="1">
      <w:start w:val="1"/>
      <w:numFmt w:val="bullet"/>
      <w:lvlText w:val=""/>
      <w:lvlJc w:val="left"/>
      <w:pPr>
        <w:ind w:left="3963" w:hanging="360"/>
      </w:pPr>
      <w:rPr>
        <w:rFonts w:ascii="Wingdings" w:hAnsi="Wingdings" w:hint="default"/>
      </w:rPr>
    </w:lvl>
    <w:lvl w:ilvl="6" w:tplc="0C090001" w:tentative="1">
      <w:start w:val="1"/>
      <w:numFmt w:val="bullet"/>
      <w:lvlText w:val=""/>
      <w:lvlJc w:val="left"/>
      <w:pPr>
        <w:ind w:left="4683" w:hanging="360"/>
      </w:pPr>
      <w:rPr>
        <w:rFonts w:ascii="Symbol" w:hAnsi="Symbol" w:hint="default"/>
      </w:rPr>
    </w:lvl>
    <w:lvl w:ilvl="7" w:tplc="0C090003" w:tentative="1">
      <w:start w:val="1"/>
      <w:numFmt w:val="bullet"/>
      <w:lvlText w:val="o"/>
      <w:lvlJc w:val="left"/>
      <w:pPr>
        <w:ind w:left="5403" w:hanging="360"/>
      </w:pPr>
      <w:rPr>
        <w:rFonts w:ascii="Courier New" w:hAnsi="Courier New" w:cs="Courier New" w:hint="default"/>
      </w:rPr>
    </w:lvl>
    <w:lvl w:ilvl="8" w:tplc="0C090005" w:tentative="1">
      <w:start w:val="1"/>
      <w:numFmt w:val="bullet"/>
      <w:lvlText w:val=""/>
      <w:lvlJc w:val="left"/>
      <w:pPr>
        <w:ind w:left="6123" w:hanging="360"/>
      </w:pPr>
      <w:rPr>
        <w:rFonts w:ascii="Wingdings" w:hAnsi="Wingdings" w:hint="default"/>
      </w:rPr>
    </w:lvl>
  </w:abstractNum>
  <w:abstractNum w:abstractNumId="27">
    <w:nsid w:val="665051B0"/>
    <w:multiLevelType w:val="hybridMultilevel"/>
    <w:tmpl w:val="15908D8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nsid w:val="67BF467F"/>
    <w:multiLevelType w:val="hybridMultilevel"/>
    <w:tmpl w:val="6394C1D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nsid w:val="6D383ACE"/>
    <w:multiLevelType w:val="hybridMultilevel"/>
    <w:tmpl w:val="8EB079E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7318387F"/>
    <w:multiLevelType w:val="multilevel"/>
    <w:tmpl w:val="00B214FA"/>
    <w:lvl w:ilvl="0">
      <w:start w:val="1"/>
      <w:numFmt w:val="bullet"/>
      <w:pStyle w:val="ListBullet"/>
      <w:lvlText w:val=""/>
      <w:lvlJc w:val="left"/>
      <w:pPr>
        <w:tabs>
          <w:tab w:val="num" w:pos="340"/>
        </w:tabs>
        <w:ind w:left="340" w:hanging="340"/>
      </w:pPr>
      <w:rPr>
        <w:rFonts w:ascii="Symbol" w:hAnsi="Symbol" w:hint="default"/>
      </w:rPr>
    </w:lvl>
    <w:lvl w:ilvl="1">
      <w:start w:val="1"/>
      <w:numFmt w:val="bullet"/>
      <w:lvlRestart w:val="0"/>
      <w:lvlText w:val="o"/>
      <w:lvlJc w:val="left"/>
      <w:pPr>
        <w:tabs>
          <w:tab w:val="num" w:pos="680"/>
        </w:tabs>
        <w:ind w:left="680" w:hanging="340"/>
      </w:pPr>
      <w:rPr>
        <w:rFonts w:ascii="Courier New" w:hAnsi="Courier New" w:hint="default"/>
      </w:rPr>
    </w:lvl>
    <w:lvl w:ilvl="2">
      <w:start w:val="1"/>
      <w:numFmt w:val="bullet"/>
      <w:lvlRestart w:val="0"/>
      <w:suff w:val="space"/>
      <w:lvlText w:val=""/>
      <w:lvlJc w:val="left"/>
      <w:pPr>
        <w:ind w:left="113" w:firstLine="0"/>
      </w:pPr>
      <w:rPr>
        <w:rFonts w:ascii="Wingdings" w:hAnsi="Wingdings" w:hint="default"/>
      </w:rPr>
    </w:lvl>
    <w:lvl w:ilvl="3">
      <w:start w:val="1"/>
      <w:numFmt w:val="none"/>
      <w:lvlRestart w:val="0"/>
      <w:suff w:val="nothing"/>
      <w:lvlText w:val=""/>
      <w:lvlJc w:val="left"/>
      <w:pPr>
        <w:ind w:left="23" w:hanging="3"/>
      </w:pPr>
      <w:rPr>
        <w:rFonts w:hint="default"/>
      </w:rPr>
    </w:lvl>
    <w:lvl w:ilvl="4">
      <w:start w:val="1"/>
      <w:numFmt w:val="none"/>
      <w:lvlRestart w:val="0"/>
      <w:suff w:val="nothing"/>
      <w:lvlText w:val=""/>
      <w:lvlJc w:val="left"/>
      <w:pPr>
        <w:ind w:left="20" w:firstLine="0"/>
      </w:pPr>
      <w:rPr>
        <w:rFonts w:hint="default"/>
      </w:rPr>
    </w:lvl>
    <w:lvl w:ilvl="5">
      <w:start w:val="1"/>
      <w:numFmt w:val="none"/>
      <w:lvlRestart w:val="0"/>
      <w:suff w:val="nothing"/>
      <w:lvlText w:val=""/>
      <w:lvlJc w:val="left"/>
      <w:pPr>
        <w:ind w:left="20" w:firstLine="0"/>
      </w:pPr>
      <w:rPr>
        <w:rFonts w:hint="default"/>
      </w:rPr>
    </w:lvl>
    <w:lvl w:ilvl="6">
      <w:start w:val="1"/>
      <w:numFmt w:val="none"/>
      <w:lvlRestart w:val="0"/>
      <w:suff w:val="nothing"/>
      <w:lvlText w:val=""/>
      <w:lvlJc w:val="left"/>
      <w:pPr>
        <w:ind w:left="20" w:firstLine="0"/>
      </w:pPr>
      <w:rPr>
        <w:rFonts w:hint="default"/>
      </w:rPr>
    </w:lvl>
    <w:lvl w:ilvl="7">
      <w:start w:val="1"/>
      <w:numFmt w:val="none"/>
      <w:lvlRestart w:val="0"/>
      <w:suff w:val="nothing"/>
      <w:lvlText w:val=""/>
      <w:lvlJc w:val="left"/>
      <w:pPr>
        <w:ind w:left="20" w:firstLine="0"/>
      </w:pPr>
      <w:rPr>
        <w:rFonts w:hint="default"/>
      </w:rPr>
    </w:lvl>
    <w:lvl w:ilvl="8">
      <w:start w:val="1"/>
      <w:numFmt w:val="none"/>
      <w:lvlRestart w:val="0"/>
      <w:suff w:val="nothing"/>
      <w:lvlText w:val=""/>
      <w:lvlJc w:val="left"/>
      <w:pPr>
        <w:ind w:left="20" w:firstLine="0"/>
      </w:pPr>
      <w:rPr>
        <w:rFonts w:hint="default"/>
      </w:rPr>
    </w:lvl>
  </w:abstractNum>
  <w:abstractNum w:abstractNumId="31">
    <w:nsid w:val="76F73AC5"/>
    <w:multiLevelType w:val="multilevel"/>
    <w:tmpl w:val="D1A66244"/>
    <w:lvl w:ilvl="0">
      <w:start w:val="1"/>
      <w:numFmt w:val="decimal"/>
      <w:lvlText w:val="%1."/>
      <w:lvlJc w:val="left"/>
      <w:pPr>
        <w:ind w:left="360" w:hanging="360"/>
      </w:p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nsid w:val="78854AAC"/>
    <w:multiLevelType w:val="hybridMultilevel"/>
    <w:tmpl w:val="B3CE7BCA"/>
    <w:lvl w:ilvl="0" w:tplc="8D28AA02">
      <w:start w:val="1"/>
      <w:numFmt w:val="decimal"/>
      <w:pStyle w:val="Normalnumbered"/>
      <w:lvlText w:val="%1."/>
      <w:lvlJc w:val="left"/>
      <w:pPr>
        <w:tabs>
          <w:tab w:val="num" w:pos="1277"/>
        </w:tabs>
        <w:ind w:left="1277" w:hanging="567"/>
      </w:pPr>
      <w:rPr>
        <w:rFonts w:cs="Times New Roman" w:hint="default"/>
      </w:rPr>
    </w:lvl>
    <w:lvl w:ilvl="1" w:tplc="0C090003">
      <w:start w:val="1"/>
      <w:numFmt w:val="lowerLetter"/>
      <w:lvlText w:val="%2."/>
      <w:lvlJc w:val="left"/>
      <w:pPr>
        <w:tabs>
          <w:tab w:val="num" w:pos="1440"/>
        </w:tabs>
        <w:ind w:left="1440" w:hanging="360"/>
      </w:pPr>
      <w:rPr>
        <w:rFonts w:cs="Times New Roman"/>
      </w:rPr>
    </w:lvl>
    <w:lvl w:ilvl="2" w:tplc="0C090005">
      <w:start w:val="1"/>
      <w:numFmt w:val="lowerRoman"/>
      <w:lvlText w:val="%3."/>
      <w:lvlJc w:val="right"/>
      <w:pPr>
        <w:tabs>
          <w:tab w:val="num" w:pos="2160"/>
        </w:tabs>
        <w:ind w:left="2160" w:hanging="180"/>
      </w:pPr>
      <w:rPr>
        <w:rFonts w:cs="Times New Roman"/>
      </w:rPr>
    </w:lvl>
    <w:lvl w:ilvl="3" w:tplc="0C090001">
      <w:start w:val="1"/>
      <w:numFmt w:val="decimal"/>
      <w:lvlText w:val="%4."/>
      <w:lvlJc w:val="left"/>
      <w:pPr>
        <w:tabs>
          <w:tab w:val="num" w:pos="2880"/>
        </w:tabs>
        <w:ind w:left="2880" w:hanging="360"/>
      </w:pPr>
      <w:rPr>
        <w:rFonts w:cs="Times New Roman"/>
      </w:rPr>
    </w:lvl>
    <w:lvl w:ilvl="4" w:tplc="0C090003" w:tentative="1">
      <w:start w:val="1"/>
      <w:numFmt w:val="lowerLetter"/>
      <w:lvlText w:val="%5."/>
      <w:lvlJc w:val="left"/>
      <w:pPr>
        <w:tabs>
          <w:tab w:val="num" w:pos="3600"/>
        </w:tabs>
        <w:ind w:left="3600" w:hanging="360"/>
      </w:pPr>
      <w:rPr>
        <w:rFonts w:cs="Times New Roman"/>
      </w:rPr>
    </w:lvl>
    <w:lvl w:ilvl="5" w:tplc="0C090005" w:tentative="1">
      <w:start w:val="1"/>
      <w:numFmt w:val="lowerRoman"/>
      <w:lvlText w:val="%6."/>
      <w:lvlJc w:val="right"/>
      <w:pPr>
        <w:tabs>
          <w:tab w:val="num" w:pos="4320"/>
        </w:tabs>
        <w:ind w:left="4320" w:hanging="180"/>
      </w:pPr>
      <w:rPr>
        <w:rFonts w:cs="Times New Roman"/>
      </w:rPr>
    </w:lvl>
    <w:lvl w:ilvl="6" w:tplc="0C090001" w:tentative="1">
      <w:start w:val="1"/>
      <w:numFmt w:val="decimal"/>
      <w:lvlText w:val="%7."/>
      <w:lvlJc w:val="left"/>
      <w:pPr>
        <w:tabs>
          <w:tab w:val="num" w:pos="5040"/>
        </w:tabs>
        <w:ind w:left="5040" w:hanging="360"/>
      </w:pPr>
      <w:rPr>
        <w:rFonts w:cs="Times New Roman"/>
      </w:rPr>
    </w:lvl>
    <w:lvl w:ilvl="7" w:tplc="0C090003" w:tentative="1">
      <w:start w:val="1"/>
      <w:numFmt w:val="lowerLetter"/>
      <w:lvlText w:val="%8."/>
      <w:lvlJc w:val="left"/>
      <w:pPr>
        <w:tabs>
          <w:tab w:val="num" w:pos="5760"/>
        </w:tabs>
        <w:ind w:left="5760" w:hanging="360"/>
      </w:pPr>
      <w:rPr>
        <w:rFonts w:cs="Times New Roman"/>
      </w:rPr>
    </w:lvl>
    <w:lvl w:ilvl="8" w:tplc="0C090005" w:tentative="1">
      <w:start w:val="1"/>
      <w:numFmt w:val="lowerRoman"/>
      <w:lvlText w:val="%9."/>
      <w:lvlJc w:val="right"/>
      <w:pPr>
        <w:tabs>
          <w:tab w:val="num" w:pos="6480"/>
        </w:tabs>
        <w:ind w:left="6480" w:hanging="180"/>
      </w:pPr>
      <w:rPr>
        <w:rFonts w:cs="Times New Roman"/>
      </w:rPr>
    </w:lvl>
  </w:abstractNum>
  <w:abstractNum w:abstractNumId="33">
    <w:nsid w:val="79917822"/>
    <w:multiLevelType w:val="hybridMultilevel"/>
    <w:tmpl w:val="AE765632"/>
    <w:lvl w:ilvl="0" w:tplc="0C090001">
      <w:start w:val="1"/>
      <w:numFmt w:val="bullet"/>
      <w:lvlText w:val=""/>
      <w:lvlJc w:val="left"/>
      <w:pPr>
        <w:ind w:left="363" w:hanging="360"/>
      </w:pPr>
      <w:rPr>
        <w:rFonts w:ascii="Symbol" w:hAnsi="Symbol" w:hint="default"/>
      </w:rPr>
    </w:lvl>
    <w:lvl w:ilvl="1" w:tplc="0C090003">
      <w:start w:val="1"/>
      <w:numFmt w:val="bullet"/>
      <w:lvlText w:val="o"/>
      <w:lvlJc w:val="left"/>
      <w:pPr>
        <w:ind w:left="1083" w:hanging="360"/>
      </w:pPr>
      <w:rPr>
        <w:rFonts w:ascii="Courier New" w:hAnsi="Courier New" w:cs="Courier New" w:hint="default"/>
      </w:rPr>
    </w:lvl>
    <w:lvl w:ilvl="2" w:tplc="0C090005" w:tentative="1">
      <w:start w:val="1"/>
      <w:numFmt w:val="bullet"/>
      <w:lvlText w:val=""/>
      <w:lvlJc w:val="left"/>
      <w:pPr>
        <w:ind w:left="1803" w:hanging="360"/>
      </w:pPr>
      <w:rPr>
        <w:rFonts w:ascii="Wingdings" w:hAnsi="Wingdings" w:hint="default"/>
      </w:rPr>
    </w:lvl>
    <w:lvl w:ilvl="3" w:tplc="0C090001" w:tentative="1">
      <w:start w:val="1"/>
      <w:numFmt w:val="bullet"/>
      <w:lvlText w:val=""/>
      <w:lvlJc w:val="left"/>
      <w:pPr>
        <w:ind w:left="2523" w:hanging="360"/>
      </w:pPr>
      <w:rPr>
        <w:rFonts w:ascii="Symbol" w:hAnsi="Symbol" w:hint="default"/>
      </w:rPr>
    </w:lvl>
    <w:lvl w:ilvl="4" w:tplc="0C090003" w:tentative="1">
      <w:start w:val="1"/>
      <w:numFmt w:val="bullet"/>
      <w:lvlText w:val="o"/>
      <w:lvlJc w:val="left"/>
      <w:pPr>
        <w:ind w:left="3243" w:hanging="360"/>
      </w:pPr>
      <w:rPr>
        <w:rFonts w:ascii="Courier New" w:hAnsi="Courier New" w:cs="Courier New" w:hint="default"/>
      </w:rPr>
    </w:lvl>
    <w:lvl w:ilvl="5" w:tplc="0C090005" w:tentative="1">
      <w:start w:val="1"/>
      <w:numFmt w:val="bullet"/>
      <w:lvlText w:val=""/>
      <w:lvlJc w:val="left"/>
      <w:pPr>
        <w:ind w:left="3963" w:hanging="360"/>
      </w:pPr>
      <w:rPr>
        <w:rFonts w:ascii="Wingdings" w:hAnsi="Wingdings" w:hint="default"/>
      </w:rPr>
    </w:lvl>
    <w:lvl w:ilvl="6" w:tplc="0C090001" w:tentative="1">
      <w:start w:val="1"/>
      <w:numFmt w:val="bullet"/>
      <w:lvlText w:val=""/>
      <w:lvlJc w:val="left"/>
      <w:pPr>
        <w:ind w:left="4683" w:hanging="360"/>
      </w:pPr>
      <w:rPr>
        <w:rFonts w:ascii="Symbol" w:hAnsi="Symbol" w:hint="default"/>
      </w:rPr>
    </w:lvl>
    <w:lvl w:ilvl="7" w:tplc="0C090003" w:tentative="1">
      <w:start w:val="1"/>
      <w:numFmt w:val="bullet"/>
      <w:lvlText w:val="o"/>
      <w:lvlJc w:val="left"/>
      <w:pPr>
        <w:ind w:left="5403" w:hanging="360"/>
      </w:pPr>
      <w:rPr>
        <w:rFonts w:ascii="Courier New" w:hAnsi="Courier New" w:cs="Courier New" w:hint="default"/>
      </w:rPr>
    </w:lvl>
    <w:lvl w:ilvl="8" w:tplc="0C090005" w:tentative="1">
      <w:start w:val="1"/>
      <w:numFmt w:val="bullet"/>
      <w:lvlText w:val=""/>
      <w:lvlJc w:val="left"/>
      <w:pPr>
        <w:ind w:left="6123" w:hanging="360"/>
      </w:pPr>
      <w:rPr>
        <w:rFonts w:ascii="Wingdings" w:hAnsi="Wingdings" w:hint="default"/>
      </w:rPr>
    </w:lvl>
  </w:abstractNum>
  <w:abstractNum w:abstractNumId="34">
    <w:nsid w:val="7A7D6120"/>
    <w:multiLevelType w:val="hybridMultilevel"/>
    <w:tmpl w:val="C224538A"/>
    <w:lvl w:ilvl="0" w:tplc="0C090005">
      <w:start w:val="1"/>
      <w:numFmt w:val="bullet"/>
      <w:lvlText w:val=""/>
      <w:lvlJc w:val="left"/>
      <w:pPr>
        <w:tabs>
          <w:tab w:val="num" w:pos="1074"/>
        </w:tabs>
        <w:ind w:left="1074" w:hanging="360"/>
      </w:pPr>
      <w:rPr>
        <w:rFonts w:ascii="Wingdings" w:hAnsi="Wingdings" w:hint="default"/>
      </w:rPr>
    </w:lvl>
    <w:lvl w:ilvl="1" w:tplc="0C090005">
      <w:start w:val="1"/>
      <w:numFmt w:val="bullet"/>
      <w:lvlText w:val=""/>
      <w:lvlJc w:val="left"/>
      <w:pPr>
        <w:tabs>
          <w:tab w:val="num" w:pos="1794"/>
        </w:tabs>
        <w:ind w:left="1794" w:hanging="360"/>
      </w:pPr>
      <w:rPr>
        <w:rFonts w:ascii="Wingdings" w:hAnsi="Wingdings" w:hint="default"/>
      </w:rPr>
    </w:lvl>
    <w:lvl w:ilvl="2" w:tplc="0C090005" w:tentative="1">
      <w:start w:val="1"/>
      <w:numFmt w:val="bullet"/>
      <w:lvlText w:val=""/>
      <w:lvlJc w:val="left"/>
      <w:pPr>
        <w:tabs>
          <w:tab w:val="num" w:pos="2514"/>
        </w:tabs>
        <w:ind w:left="2514" w:hanging="360"/>
      </w:pPr>
      <w:rPr>
        <w:rFonts w:ascii="Wingdings" w:hAnsi="Wingdings" w:hint="default"/>
      </w:rPr>
    </w:lvl>
    <w:lvl w:ilvl="3" w:tplc="0C090001" w:tentative="1">
      <w:start w:val="1"/>
      <w:numFmt w:val="bullet"/>
      <w:lvlText w:val=""/>
      <w:lvlJc w:val="left"/>
      <w:pPr>
        <w:tabs>
          <w:tab w:val="num" w:pos="3234"/>
        </w:tabs>
        <w:ind w:left="3234" w:hanging="360"/>
      </w:pPr>
      <w:rPr>
        <w:rFonts w:ascii="Symbol" w:hAnsi="Symbol" w:hint="default"/>
      </w:rPr>
    </w:lvl>
    <w:lvl w:ilvl="4" w:tplc="0C090003" w:tentative="1">
      <w:start w:val="1"/>
      <w:numFmt w:val="bullet"/>
      <w:lvlText w:val="o"/>
      <w:lvlJc w:val="left"/>
      <w:pPr>
        <w:tabs>
          <w:tab w:val="num" w:pos="3954"/>
        </w:tabs>
        <w:ind w:left="3954" w:hanging="360"/>
      </w:pPr>
      <w:rPr>
        <w:rFonts w:ascii="Courier New" w:hAnsi="Courier New" w:cs="Courier New" w:hint="default"/>
      </w:rPr>
    </w:lvl>
    <w:lvl w:ilvl="5" w:tplc="0C090005" w:tentative="1">
      <w:start w:val="1"/>
      <w:numFmt w:val="bullet"/>
      <w:lvlText w:val=""/>
      <w:lvlJc w:val="left"/>
      <w:pPr>
        <w:tabs>
          <w:tab w:val="num" w:pos="4674"/>
        </w:tabs>
        <w:ind w:left="4674" w:hanging="360"/>
      </w:pPr>
      <w:rPr>
        <w:rFonts w:ascii="Wingdings" w:hAnsi="Wingdings" w:hint="default"/>
      </w:rPr>
    </w:lvl>
    <w:lvl w:ilvl="6" w:tplc="0C090001" w:tentative="1">
      <w:start w:val="1"/>
      <w:numFmt w:val="bullet"/>
      <w:lvlText w:val=""/>
      <w:lvlJc w:val="left"/>
      <w:pPr>
        <w:tabs>
          <w:tab w:val="num" w:pos="5394"/>
        </w:tabs>
        <w:ind w:left="5394" w:hanging="360"/>
      </w:pPr>
      <w:rPr>
        <w:rFonts w:ascii="Symbol" w:hAnsi="Symbol" w:hint="default"/>
      </w:rPr>
    </w:lvl>
    <w:lvl w:ilvl="7" w:tplc="0C090003" w:tentative="1">
      <w:start w:val="1"/>
      <w:numFmt w:val="bullet"/>
      <w:lvlText w:val="o"/>
      <w:lvlJc w:val="left"/>
      <w:pPr>
        <w:tabs>
          <w:tab w:val="num" w:pos="6114"/>
        </w:tabs>
        <w:ind w:left="6114" w:hanging="360"/>
      </w:pPr>
      <w:rPr>
        <w:rFonts w:ascii="Courier New" w:hAnsi="Courier New" w:cs="Courier New" w:hint="default"/>
      </w:rPr>
    </w:lvl>
    <w:lvl w:ilvl="8" w:tplc="0C090005" w:tentative="1">
      <w:start w:val="1"/>
      <w:numFmt w:val="bullet"/>
      <w:lvlText w:val=""/>
      <w:lvlJc w:val="left"/>
      <w:pPr>
        <w:tabs>
          <w:tab w:val="num" w:pos="6834"/>
        </w:tabs>
        <w:ind w:left="6834" w:hanging="360"/>
      </w:pPr>
      <w:rPr>
        <w:rFonts w:ascii="Wingdings" w:hAnsi="Wingdings" w:hint="default"/>
      </w:rPr>
    </w:lvl>
  </w:abstractNum>
  <w:abstractNum w:abstractNumId="35">
    <w:nsid w:val="7F3B4FCD"/>
    <w:multiLevelType w:val="hybridMultilevel"/>
    <w:tmpl w:val="6F0C7D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7"/>
  </w:num>
  <w:num w:numId="2">
    <w:abstractNumId w:val="32"/>
  </w:num>
  <w:num w:numId="3">
    <w:abstractNumId w:val="7"/>
  </w:num>
  <w:num w:numId="4">
    <w:abstractNumId w:val="13"/>
  </w:num>
  <w:num w:numId="5">
    <w:abstractNumId w:val="20"/>
  </w:num>
  <w:num w:numId="6">
    <w:abstractNumId w:val="4"/>
  </w:num>
  <w:num w:numId="7">
    <w:abstractNumId w:val="14"/>
  </w:num>
  <w:num w:numId="8">
    <w:abstractNumId w:val="9"/>
  </w:num>
  <w:num w:numId="9">
    <w:abstractNumId w:val="24"/>
  </w:num>
  <w:num w:numId="10">
    <w:abstractNumId w:val="30"/>
  </w:num>
  <w:num w:numId="11">
    <w:abstractNumId w:val="21"/>
  </w:num>
  <w:num w:numId="12">
    <w:abstractNumId w:val="5"/>
  </w:num>
  <w:num w:numId="13">
    <w:abstractNumId w:val="33"/>
  </w:num>
  <w:num w:numId="14">
    <w:abstractNumId w:val="12"/>
  </w:num>
  <w:num w:numId="15">
    <w:abstractNumId w:val="31"/>
  </w:num>
  <w:num w:numId="16">
    <w:abstractNumId w:val="34"/>
  </w:num>
  <w:num w:numId="17">
    <w:abstractNumId w:val="15"/>
  </w:num>
  <w:num w:numId="18">
    <w:abstractNumId w:val="18"/>
  </w:num>
  <w:num w:numId="19">
    <w:abstractNumId w:val="0"/>
  </w:num>
  <w:num w:numId="20">
    <w:abstractNumId w:val="26"/>
  </w:num>
  <w:num w:numId="21">
    <w:abstractNumId w:val="25"/>
  </w:num>
  <w:num w:numId="22">
    <w:abstractNumId w:val="28"/>
  </w:num>
  <w:num w:numId="23">
    <w:abstractNumId w:val="22"/>
  </w:num>
  <w:num w:numId="24">
    <w:abstractNumId w:val="35"/>
  </w:num>
  <w:num w:numId="25">
    <w:abstractNumId w:val="27"/>
  </w:num>
  <w:num w:numId="26">
    <w:abstractNumId w:val="2"/>
  </w:num>
  <w:num w:numId="27">
    <w:abstractNumId w:val="1"/>
  </w:num>
  <w:num w:numId="2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0"/>
  </w:num>
  <w:num w:numId="30">
    <w:abstractNumId w:val="29"/>
  </w:num>
  <w:num w:numId="31">
    <w:abstractNumId w:val="3"/>
  </w:num>
  <w:num w:numId="32">
    <w:abstractNumId w:val="11"/>
  </w:num>
  <w:num w:numId="33">
    <w:abstractNumId w:val="16"/>
  </w:num>
  <w:num w:numId="34">
    <w:abstractNumId w:val="19"/>
  </w:num>
  <w:num w:numId="35">
    <w:abstractNumId w:val="8"/>
  </w:num>
  <w:num w:numId="36">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55E6"/>
    <w:rsid w:val="00000BB4"/>
    <w:rsid w:val="000020AE"/>
    <w:rsid w:val="0001318D"/>
    <w:rsid w:val="00020D2E"/>
    <w:rsid w:val="000240C5"/>
    <w:rsid w:val="0002588E"/>
    <w:rsid w:val="00032B47"/>
    <w:rsid w:val="0003306B"/>
    <w:rsid w:val="000338EB"/>
    <w:rsid w:val="00041A2A"/>
    <w:rsid w:val="0004214D"/>
    <w:rsid w:val="0004672D"/>
    <w:rsid w:val="000531D5"/>
    <w:rsid w:val="000533AC"/>
    <w:rsid w:val="000536E7"/>
    <w:rsid w:val="00053A51"/>
    <w:rsid w:val="00053DE3"/>
    <w:rsid w:val="000541EE"/>
    <w:rsid w:val="00055202"/>
    <w:rsid w:val="00055461"/>
    <w:rsid w:val="00055DD7"/>
    <w:rsid w:val="000604A4"/>
    <w:rsid w:val="00062174"/>
    <w:rsid w:val="00063729"/>
    <w:rsid w:val="000703C7"/>
    <w:rsid w:val="00071149"/>
    <w:rsid w:val="000751F2"/>
    <w:rsid w:val="00075C2D"/>
    <w:rsid w:val="000800B9"/>
    <w:rsid w:val="00084183"/>
    <w:rsid w:val="00084BC3"/>
    <w:rsid w:val="00091E8D"/>
    <w:rsid w:val="0009585A"/>
    <w:rsid w:val="00095D55"/>
    <w:rsid w:val="000A2567"/>
    <w:rsid w:val="000A27C0"/>
    <w:rsid w:val="000A2A13"/>
    <w:rsid w:val="000A6DEE"/>
    <w:rsid w:val="000B0A51"/>
    <w:rsid w:val="000B2256"/>
    <w:rsid w:val="000B2D80"/>
    <w:rsid w:val="000B617F"/>
    <w:rsid w:val="000B620C"/>
    <w:rsid w:val="000B6578"/>
    <w:rsid w:val="000C1EFB"/>
    <w:rsid w:val="000C70CA"/>
    <w:rsid w:val="000E08B3"/>
    <w:rsid w:val="000E180A"/>
    <w:rsid w:val="000E614E"/>
    <w:rsid w:val="000F1BF1"/>
    <w:rsid w:val="000F1D9E"/>
    <w:rsid w:val="000F4A63"/>
    <w:rsid w:val="000F622B"/>
    <w:rsid w:val="000F633B"/>
    <w:rsid w:val="000F75F8"/>
    <w:rsid w:val="00104595"/>
    <w:rsid w:val="0011074F"/>
    <w:rsid w:val="00110D67"/>
    <w:rsid w:val="00111515"/>
    <w:rsid w:val="00112CB0"/>
    <w:rsid w:val="00115003"/>
    <w:rsid w:val="001213AE"/>
    <w:rsid w:val="001215D3"/>
    <w:rsid w:val="001235B4"/>
    <w:rsid w:val="00125724"/>
    <w:rsid w:val="00133781"/>
    <w:rsid w:val="00135133"/>
    <w:rsid w:val="001355F9"/>
    <w:rsid w:val="001368B0"/>
    <w:rsid w:val="00137A54"/>
    <w:rsid w:val="00137CA3"/>
    <w:rsid w:val="00142B68"/>
    <w:rsid w:val="00143775"/>
    <w:rsid w:val="0014476D"/>
    <w:rsid w:val="00151CD0"/>
    <w:rsid w:val="00155236"/>
    <w:rsid w:val="00155D61"/>
    <w:rsid w:val="0016769F"/>
    <w:rsid w:val="001676EC"/>
    <w:rsid w:val="00167D3D"/>
    <w:rsid w:val="00173C5A"/>
    <w:rsid w:val="001748E4"/>
    <w:rsid w:val="00175926"/>
    <w:rsid w:val="00175A8D"/>
    <w:rsid w:val="001916DF"/>
    <w:rsid w:val="0019404B"/>
    <w:rsid w:val="001A00AF"/>
    <w:rsid w:val="001A3FE6"/>
    <w:rsid w:val="001D635F"/>
    <w:rsid w:val="001D7215"/>
    <w:rsid w:val="001E7AF1"/>
    <w:rsid w:val="001F4D97"/>
    <w:rsid w:val="00200711"/>
    <w:rsid w:val="00202EA4"/>
    <w:rsid w:val="00223AE8"/>
    <w:rsid w:val="002318CE"/>
    <w:rsid w:val="00236656"/>
    <w:rsid w:val="002378BE"/>
    <w:rsid w:val="0024259B"/>
    <w:rsid w:val="00243242"/>
    <w:rsid w:val="00247B96"/>
    <w:rsid w:val="00256F20"/>
    <w:rsid w:val="002646CA"/>
    <w:rsid w:val="00266E94"/>
    <w:rsid w:val="00271280"/>
    <w:rsid w:val="00272B0B"/>
    <w:rsid w:val="00287954"/>
    <w:rsid w:val="0029015A"/>
    <w:rsid w:val="00292941"/>
    <w:rsid w:val="0029351D"/>
    <w:rsid w:val="002A430B"/>
    <w:rsid w:val="002B14F0"/>
    <w:rsid w:val="002B183A"/>
    <w:rsid w:val="002B5064"/>
    <w:rsid w:val="002B7CAE"/>
    <w:rsid w:val="002C14BF"/>
    <w:rsid w:val="002C1D61"/>
    <w:rsid w:val="002C527C"/>
    <w:rsid w:val="002D2367"/>
    <w:rsid w:val="002D74B7"/>
    <w:rsid w:val="002E02C4"/>
    <w:rsid w:val="002E0BF8"/>
    <w:rsid w:val="002E6B94"/>
    <w:rsid w:val="002F2452"/>
    <w:rsid w:val="002F3B0F"/>
    <w:rsid w:val="002F3FF8"/>
    <w:rsid w:val="002F472E"/>
    <w:rsid w:val="002F732C"/>
    <w:rsid w:val="00307970"/>
    <w:rsid w:val="00310950"/>
    <w:rsid w:val="00314E6F"/>
    <w:rsid w:val="003167BF"/>
    <w:rsid w:val="0032287F"/>
    <w:rsid w:val="00322D03"/>
    <w:rsid w:val="00323CF9"/>
    <w:rsid w:val="00324911"/>
    <w:rsid w:val="0033629A"/>
    <w:rsid w:val="00343508"/>
    <w:rsid w:val="00351744"/>
    <w:rsid w:val="00353489"/>
    <w:rsid w:val="00373A5E"/>
    <w:rsid w:val="00373BF5"/>
    <w:rsid w:val="00373C9B"/>
    <w:rsid w:val="00377278"/>
    <w:rsid w:val="00382772"/>
    <w:rsid w:val="003869D7"/>
    <w:rsid w:val="00392191"/>
    <w:rsid w:val="003957AD"/>
    <w:rsid w:val="003A191C"/>
    <w:rsid w:val="003A4613"/>
    <w:rsid w:val="003A50D3"/>
    <w:rsid w:val="003A5434"/>
    <w:rsid w:val="003A5B55"/>
    <w:rsid w:val="003B14B9"/>
    <w:rsid w:val="003B377C"/>
    <w:rsid w:val="003B529B"/>
    <w:rsid w:val="003C339B"/>
    <w:rsid w:val="003E63EA"/>
    <w:rsid w:val="003F218A"/>
    <w:rsid w:val="003F239C"/>
    <w:rsid w:val="003F2C80"/>
    <w:rsid w:val="003F3EBD"/>
    <w:rsid w:val="003F7925"/>
    <w:rsid w:val="00416B68"/>
    <w:rsid w:val="00421714"/>
    <w:rsid w:val="00426C18"/>
    <w:rsid w:val="00440AE1"/>
    <w:rsid w:val="00441186"/>
    <w:rsid w:val="00442D24"/>
    <w:rsid w:val="00443A84"/>
    <w:rsid w:val="0045514D"/>
    <w:rsid w:val="0045722F"/>
    <w:rsid w:val="00470659"/>
    <w:rsid w:val="00470A37"/>
    <w:rsid w:val="00472225"/>
    <w:rsid w:val="00475DD5"/>
    <w:rsid w:val="0047641A"/>
    <w:rsid w:val="004767D5"/>
    <w:rsid w:val="00476ABB"/>
    <w:rsid w:val="004810C9"/>
    <w:rsid w:val="004832DC"/>
    <w:rsid w:val="00485599"/>
    <w:rsid w:val="004875F2"/>
    <w:rsid w:val="00490960"/>
    <w:rsid w:val="004A2695"/>
    <w:rsid w:val="004A2A71"/>
    <w:rsid w:val="004A3B9B"/>
    <w:rsid w:val="004B0261"/>
    <w:rsid w:val="004B0FFC"/>
    <w:rsid w:val="004B2F6D"/>
    <w:rsid w:val="004C4CC2"/>
    <w:rsid w:val="004D5D53"/>
    <w:rsid w:val="004F1B7A"/>
    <w:rsid w:val="004F4B3E"/>
    <w:rsid w:val="004F77C8"/>
    <w:rsid w:val="00500247"/>
    <w:rsid w:val="00500ECB"/>
    <w:rsid w:val="0050253B"/>
    <w:rsid w:val="005108FF"/>
    <w:rsid w:val="00512BFB"/>
    <w:rsid w:val="0051432F"/>
    <w:rsid w:val="005214BF"/>
    <w:rsid w:val="00521C21"/>
    <w:rsid w:val="00532F26"/>
    <w:rsid w:val="005340F8"/>
    <w:rsid w:val="00535098"/>
    <w:rsid w:val="0053757F"/>
    <w:rsid w:val="00546F15"/>
    <w:rsid w:val="00555FEB"/>
    <w:rsid w:val="00556EC0"/>
    <w:rsid w:val="005632C3"/>
    <w:rsid w:val="005635FF"/>
    <w:rsid w:val="005641EE"/>
    <w:rsid w:val="00566EB2"/>
    <w:rsid w:val="005703D8"/>
    <w:rsid w:val="00570E1D"/>
    <w:rsid w:val="00575E69"/>
    <w:rsid w:val="00586500"/>
    <w:rsid w:val="00591DAB"/>
    <w:rsid w:val="00592A44"/>
    <w:rsid w:val="00593D51"/>
    <w:rsid w:val="005944DF"/>
    <w:rsid w:val="005A0E20"/>
    <w:rsid w:val="005A1A3A"/>
    <w:rsid w:val="005A1CFA"/>
    <w:rsid w:val="005A7211"/>
    <w:rsid w:val="005B260B"/>
    <w:rsid w:val="005B2F76"/>
    <w:rsid w:val="005B3768"/>
    <w:rsid w:val="005C16FC"/>
    <w:rsid w:val="005C4F59"/>
    <w:rsid w:val="005D2D7F"/>
    <w:rsid w:val="005D5479"/>
    <w:rsid w:val="005E1500"/>
    <w:rsid w:val="005E526F"/>
    <w:rsid w:val="005E7420"/>
    <w:rsid w:val="005F2405"/>
    <w:rsid w:val="005F315F"/>
    <w:rsid w:val="005F5567"/>
    <w:rsid w:val="0060000C"/>
    <w:rsid w:val="006026B8"/>
    <w:rsid w:val="00603ACA"/>
    <w:rsid w:val="00605698"/>
    <w:rsid w:val="00605C73"/>
    <w:rsid w:val="00606791"/>
    <w:rsid w:val="00612115"/>
    <w:rsid w:val="006204AB"/>
    <w:rsid w:val="006212F9"/>
    <w:rsid w:val="00624D9E"/>
    <w:rsid w:val="006255E6"/>
    <w:rsid w:val="00626DC2"/>
    <w:rsid w:val="00646AA7"/>
    <w:rsid w:val="00646CCE"/>
    <w:rsid w:val="00647A76"/>
    <w:rsid w:val="00647BBF"/>
    <w:rsid w:val="00655C7E"/>
    <w:rsid w:val="006564E6"/>
    <w:rsid w:val="00656988"/>
    <w:rsid w:val="00661B17"/>
    <w:rsid w:val="00671A6D"/>
    <w:rsid w:val="00676B9A"/>
    <w:rsid w:val="006840E3"/>
    <w:rsid w:val="00685605"/>
    <w:rsid w:val="00686B17"/>
    <w:rsid w:val="00690CA7"/>
    <w:rsid w:val="00692241"/>
    <w:rsid w:val="0069483B"/>
    <w:rsid w:val="00695436"/>
    <w:rsid w:val="006966BA"/>
    <w:rsid w:val="006B4AA3"/>
    <w:rsid w:val="006B76DE"/>
    <w:rsid w:val="006C1C6C"/>
    <w:rsid w:val="006C414D"/>
    <w:rsid w:val="006C77C5"/>
    <w:rsid w:val="006D01A8"/>
    <w:rsid w:val="006D3781"/>
    <w:rsid w:val="006E3A7E"/>
    <w:rsid w:val="006F0B9B"/>
    <w:rsid w:val="006F47BC"/>
    <w:rsid w:val="006F4D74"/>
    <w:rsid w:val="006F7FFB"/>
    <w:rsid w:val="00714217"/>
    <w:rsid w:val="0072132F"/>
    <w:rsid w:val="00723CCE"/>
    <w:rsid w:val="0072740D"/>
    <w:rsid w:val="00727FA5"/>
    <w:rsid w:val="00730824"/>
    <w:rsid w:val="00742598"/>
    <w:rsid w:val="00742D08"/>
    <w:rsid w:val="00745181"/>
    <w:rsid w:val="00750A1E"/>
    <w:rsid w:val="00752F49"/>
    <w:rsid w:val="00755412"/>
    <w:rsid w:val="007621AD"/>
    <w:rsid w:val="00766EE3"/>
    <w:rsid w:val="007671AC"/>
    <w:rsid w:val="00793CB6"/>
    <w:rsid w:val="007A31AB"/>
    <w:rsid w:val="007A3BCE"/>
    <w:rsid w:val="007A3FE7"/>
    <w:rsid w:val="007B2C35"/>
    <w:rsid w:val="007B6922"/>
    <w:rsid w:val="007B7F02"/>
    <w:rsid w:val="007C2C94"/>
    <w:rsid w:val="007D0851"/>
    <w:rsid w:val="007D4E13"/>
    <w:rsid w:val="007E0801"/>
    <w:rsid w:val="007F4A9F"/>
    <w:rsid w:val="007F4AC5"/>
    <w:rsid w:val="00802BDC"/>
    <w:rsid w:val="00804443"/>
    <w:rsid w:val="0081625C"/>
    <w:rsid w:val="00824EF5"/>
    <w:rsid w:val="00830167"/>
    <w:rsid w:val="00831D4E"/>
    <w:rsid w:val="00832479"/>
    <w:rsid w:val="00833EFF"/>
    <w:rsid w:val="00837063"/>
    <w:rsid w:val="008405A3"/>
    <w:rsid w:val="008544B6"/>
    <w:rsid w:val="00866E2C"/>
    <w:rsid w:val="00872290"/>
    <w:rsid w:val="00880984"/>
    <w:rsid w:val="0088352F"/>
    <w:rsid w:val="0089320F"/>
    <w:rsid w:val="008A3B80"/>
    <w:rsid w:val="008A3E29"/>
    <w:rsid w:val="008A6790"/>
    <w:rsid w:val="008A6C33"/>
    <w:rsid w:val="008B6934"/>
    <w:rsid w:val="008B74C8"/>
    <w:rsid w:val="008C0B99"/>
    <w:rsid w:val="008D4FC1"/>
    <w:rsid w:val="008D59EF"/>
    <w:rsid w:val="008D5DA6"/>
    <w:rsid w:val="008D7470"/>
    <w:rsid w:val="008E0F35"/>
    <w:rsid w:val="008E31EE"/>
    <w:rsid w:val="008E6027"/>
    <w:rsid w:val="008E7B04"/>
    <w:rsid w:val="008F1C21"/>
    <w:rsid w:val="008F4B49"/>
    <w:rsid w:val="008F5205"/>
    <w:rsid w:val="008F7A48"/>
    <w:rsid w:val="009025B0"/>
    <w:rsid w:val="00907217"/>
    <w:rsid w:val="00912E7A"/>
    <w:rsid w:val="00915171"/>
    <w:rsid w:val="00915408"/>
    <w:rsid w:val="009169B9"/>
    <w:rsid w:val="00920495"/>
    <w:rsid w:val="009220C4"/>
    <w:rsid w:val="00925F78"/>
    <w:rsid w:val="00926F42"/>
    <w:rsid w:val="009270FF"/>
    <w:rsid w:val="00930E6E"/>
    <w:rsid w:val="0093128B"/>
    <w:rsid w:val="009319F7"/>
    <w:rsid w:val="00941CFE"/>
    <w:rsid w:val="009425DD"/>
    <w:rsid w:val="0094262B"/>
    <w:rsid w:val="00944C3F"/>
    <w:rsid w:val="00945DB9"/>
    <w:rsid w:val="00947450"/>
    <w:rsid w:val="0095198F"/>
    <w:rsid w:val="0095346D"/>
    <w:rsid w:val="00955C30"/>
    <w:rsid w:val="00956279"/>
    <w:rsid w:val="009632F8"/>
    <w:rsid w:val="009651B1"/>
    <w:rsid w:val="00975A6C"/>
    <w:rsid w:val="00975CF4"/>
    <w:rsid w:val="0098223E"/>
    <w:rsid w:val="0099079D"/>
    <w:rsid w:val="00990868"/>
    <w:rsid w:val="00990B48"/>
    <w:rsid w:val="00997634"/>
    <w:rsid w:val="009A483B"/>
    <w:rsid w:val="009B71D2"/>
    <w:rsid w:val="009C0623"/>
    <w:rsid w:val="009C3D2A"/>
    <w:rsid w:val="009D060E"/>
    <w:rsid w:val="009D48D6"/>
    <w:rsid w:val="009D7F6B"/>
    <w:rsid w:val="009E0A28"/>
    <w:rsid w:val="009E12BF"/>
    <w:rsid w:val="009E395A"/>
    <w:rsid w:val="009E54E2"/>
    <w:rsid w:val="009E5535"/>
    <w:rsid w:val="009F5D56"/>
    <w:rsid w:val="00A00E3D"/>
    <w:rsid w:val="00A03940"/>
    <w:rsid w:val="00A05899"/>
    <w:rsid w:val="00A10E8D"/>
    <w:rsid w:val="00A22485"/>
    <w:rsid w:val="00A23C6E"/>
    <w:rsid w:val="00A257A5"/>
    <w:rsid w:val="00A30707"/>
    <w:rsid w:val="00A34C60"/>
    <w:rsid w:val="00A35972"/>
    <w:rsid w:val="00A3722A"/>
    <w:rsid w:val="00A405C9"/>
    <w:rsid w:val="00A46B93"/>
    <w:rsid w:val="00A51E8A"/>
    <w:rsid w:val="00A63349"/>
    <w:rsid w:val="00A65E89"/>
    <w:rsid w:val="00A6776D"/>
    <w:rsid w:val="00A7330A"/>
    <w:rsid w:val="00A744C5"/>
    <w:rsid w:val="00A753C6"/>
    <w:rsid w:val="00A75CB7"/>
    <w:rsid w:val="00A76615"/>
    <w:rsid w:val="00A816F9"/>
    <w:rsid w:val="00A859F8"/>
    <w:rsid w:val="00A87FC8"/>
    <w:rsid w:val="00A921D1"/>
    <w:rsid w:val="00AA1063"/>
    <w:rsid w:val="00AA1245"/>
    <w:rsid w:val="00AA3F37"/>
    <w:rsid w:val="00AA5A4D"/>
    <w:rsid w:val="00AA6581"/>
    <w:rsid w:val="00AB0559"/>
    <w:rsid w:val="00AB7ADE"/>
    <w:rsid w:val="00AC4489"/>
    <w:rsid w:val="00AC682F"/>
    <w:rsid w:val="00AC6F1B"/>
    <w:rsid w:val="00AD3A61"/>
    <w:rsid w:val="00AD3C22"/>
    <w:rsid w:val="00AE3834"/>
    <w:rsid w:val="00AE67DB"/>
    <w:rsid w:val="00AF174F"/>
    <w:rsid w:val="00AF1879"/>
    <w:rsid w:val="00B02596"/>
    <w:rsid w:val="00B03B44"/>
    <w:rsid w:val="00B04937"/>
    <w:rsid w:val="00B1247D"/>
    <w:rsid w:val="00B14A21"/>
    <w:rsid w:val="00B1578C"/>
    <w:rsid w:val="00B330C8"/>
    <w:rsid w:val="00B363CF"/>
    <w:rsid w:val="00B4016E"/>
    <w:rsid w:val="00B41338"/>
    <w:rsid w:val="00B4249C"/>
    <w:rsid w:val="00B45367"/>
    <w:rsid w:val="00B47539"/>
    <w:rsid w:val="00B47ABF"/>
    <w:rsid w:val="00B553AC"/>
    <w:rsid w:val="00B5695E"/>
    <w:rsid w:val="00B604B4"/>
    <w:rsid w:val="00B6438A"/>
    <w:rsid w:val="00B7196B"/>
    <w:rsid w:val="00B72FC5"/>
    <w:rsid w:val="00B749DA"/>
    <w:rsid w:val="00B80CE2"/>
    <w:rsid w:val="00B91942"/>
    <w:rsid w:val="00B9249D"/>
    <w:rsid w:val="00B9471C"/>
    <w:rsid w:val="00B96744"/>
    <w:rsid w:val="00B975E8"/>
    <w:rsid w:val="00BA6A85"/>
    <w:rsid w:val="00BB1013"/>
    <w:rsid w:val="00BB27CE"/>
    <w:rsid w:val="00BB3BCD"/>
    <w:rsid w:val="00BB43CB"/>
    <w:rsid w:val="00BC0DA7"/>
    <w:rsid w:val="00BC474A"/>
    <w:rsid w:val="00BE2338"/>
    <w:rsid w:val="00BE3E27"/>
    <w:rsid w:val="00BE44BA"/>
    <w:rsid w:val="00BE6608"/>
    <w:rsid w:val="00BF2578"/>
    <w:rsid w:val="00BF29CF"/>
    <w:rsid w:val="00BF50D2"/>
    <w:rsid w:val="00C04631"/>
    <w:rsid w:val="00C124CB"/>
    <w:rsid w:val="00C15F43"/>
    <w:rsid w:val="00C23487"/>
    <w:rsid w:val="00C33546"/>
    <w:rsid w:val="00C40C26"/>
    <w:rsid w:val="00C43A95"/>
    <w:rsid w:val="00C44548"/>
    <w:rsid w:val="00C44E11"/>
    <w:rsid w:val="00C47310"/>
    <w:rsid w:val="00C50EBC"/>
    <w:rsid w:val="00C51E97"/>
    <w:rsid w:val="00C5320E"/>
    <w:rsid w:val="00C63BEE"/>
    <w:rsid w:val="00C67D0C"/>
    <w:rsid w:val="00C801AD"/>
    <w:rsid w:val="00C87393"/>
    <w:rsid w:val="00C9696A"/>
    <w:rsid w:val="00CA7BF5"/>
    <w:rsid w:val="00CC49FF"/>
    <w:rsid w:val="00CC78E3"/>
    <w:rsid w:val="00CD71F7"/>
    <w:rsid w:val="00CF13BC"/>
    <w:rsid w:val="00D06DFE"/>
    <w:rsid w:val="00D21A4F"/>
    <w:rsid w:val="00D221DB"/>
    <w:rsid w:val="00D356FC"/>
    <w:rsid w:val="00D35F01"/>
    <w:rsid w:val="00D43B11"/>
    <w:rsid w:val="00D50ACA"/>
    <w:rsid w:val="00D546F6"/>
    <w:rsid w:val="00D70329"/>
    <w:rsid w:val="00D7208B"/>
    <w:rsid w:val="00D7780A"/>
    <w:rsid w:val="00D841C2"/>
    <w:rsid w:val="00D85ACC"/>
    <w:rsid w:val="00D942A3"/>
    <w:rsid w:val="00D97AE9"/>
    <w:rsid w:val="00DA0CE1"/>
    <w:rsid w:val="00DA1F92"/>
    <w:rsid w:val="00DA567B"/>
    <w:rsid w:val="00DA68FC"/>
    <w:rsid w:val="00DB173B"/>
    <w:rsid w:val="00DB45EF"/>
    <w:rsid w:val="00DB470E"/>
    <w:rsid w:val="00DB4EA2"/>
    <w:rsid w:val="00DC56C4"/>
    <w:rsid w:val="00DC7BE1"/>
    <w:rsid w:val="00DD639D"/>
    <w:rsid w:val="00DE01C0"/>
    <w:rsid w:val="00DE0473"/>
    <w:rsid w:val="00E06C5D"/>
    <w:rsid w:val="00E146AE"/>
    <w:rsid w:val="00E170FB"/>
    <w:rsid w:val="00E21513"/>
    <w:rsid w:val="00E310B7"/>
    <w:rsid w:val="00E323B2"/>
    <w:rsid w:val="00E52B6D"/>
    <w:rsid w:val="00E54C7F"/>
    <w:rsid w:val="00E56644"/>
    <w:rsid w:val="00E67EE5"/>
    <w:rsid w:val="00E71BE7"/>
    <w:rsid w:val="00E71D6A"/>
    <w:rsid w:val="00E740B9"/>
    <w:rsid w:val="00E84099"/>
    <w:rsid w:val="00E84494"/>
    <w:rsid w:val="00E8540E"/>
    <w:rsid w:val="00E9442A"/>
    <w:rsid w:val="00E96356"/>
    <w:rsid w:val="00EB18E1"/>
    <w:rsid w:val="00EB2A03"/>
    <w:rsid w:val="00EC5F00"/>
    <w:rsid w:val="00ED16CA"/>
    <w:rsid w:val="00ED604C"/>
    <w:rsid w:val="00ED71E5"/>
    <w:rsid w:val="00EE40B4"/>
    <w:rsid w:val="00EF0B78"/>
    <w:rsid w:val="00F0200B"/>
    <w:rsid w:val="00F029B6"/>
    <w:rsid w:val="00F03718"/>
    <w:rsid w:val="00F05D47"/>
    <w:rsid w:val="00F07998"/>
    <w:rsid w:val="00F07B59"/>
    <w:rsid w:val="00F10BA6"/>
    <w:rsid w:val="00F125C1"/>
    <w:rsid w:val="00F12E04"/>
    <w:rsid w:val="00F1638E"/>
    <w:rsid w:val="00F167FB"/>
    <w:rsid w:val="00F20EFD"/>
    <w:rsid w:val="00F22B4E"/>
    <w:rsid w:val="00F23810"/>
    <w:rsid w:val="00F300BD"/>
    <w:rsid w:val="00F30548"/>
    <w:rsid w:val="00F31222"/>
    <w:rsid w:val="00F36A95"/>
    <w:rsid w:val="00F5609B"/>
    <w:rsid w:val="00F63F8F"/>
    <w:rsid w:val="00F70EB3"/>
    <w:rsid w:val="00F73E31"/>
    <w:rsid w:val="00F808F8"/>
    <w:rsid w:val="00F81216"/>
    <w:rsid w:val="00F82724"/>
    <w:rsid w:val="00F91DFF"/>
    <w:rsid w:val="00F93673"/>
    <w:rsid w:val="00F93680"/>
    <w:rsid w:val="00FA2958"/>
    <w:rsid w:val="00FB2314"/>
    <w:rsid w:val="00FC38AF"/>
    <w:rsid w:val="00FC5F32"/>
    <w:rsid w:val="00FC6D38"/>
    <w:rsid w:val="00FC6FC3"/>
    <w:rsid w:val="00FD4E73"/>
    <w:rsid w:val="00FD5A5E"/>
    <w:rsid w:val="00FD6DBE"/>
    <w:rsid w:val="00FE1646"/>
    <w:rsid w:val="00FF1F1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3BB7C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4AC5"/>
    <w:pPr>
      <w:spacing w:after="0"/>
    </w:pPr>
  </w:style>
  <w:style w:type="paragraph" w:styleId="Heading1">
    <w:name w:val="heading 1"/>
    <w:basedOn w:val="Normal"/>
    <w:next w:val="Normal"/>
    <w:link w:val="Heading1Char"/>
    <w:qFormat/>
    <w:rsid w:val="00421714"/>
    <w:pPr>
      <w:keepNext/>
      <w:keepLines/>
      <w:spacing w:before="480"/>
      <w:outlineLvl w:val="0"/>
    </w:pPr>
    <w:rPr>
      <w:rFonts w:ascii="Arial" w:eastAsiaTheme="majorEastAsia" w:hAnsi="Arial" w:cstheme="majorBidi"/>
      <w:b/>
      <w:bCs/>
      <w:sz w:val="32"/>
      <w:szCs w:val="28"/>
    </w:rPr>
  </w:style>
  <w:style w:type="paragraph" w:styleId="Heading2">
    <w:name w:val="heading 2"/>
    <w:basedOn w:val="Normal"/>
    <w:next w:val="Normal"/>
    <w:link w:val="Heading2Char"/>
    <w:unhideWhenUsed/>
    <w:qFormat/>
    <w:rsid w:val="009A483B"/>
    <w:pPr>
      <w:keepNext/>
      <w:keepLines/>
      <w:spacing w:before="240" w:after="240"/>
      <w:outlineLvl w:val="1"/>
    </w:pPr>
    <w:rPr>
      <w:rFonts w:ascii="Arial" w:eastAsiaTheme="majorEastAsia" w:hAnsi="Arial" w:cstheme="majorBidi"/>
      <w:b/>
      <w:bCs/>
      <w:color w:val="000000" w:themeColor="text1"/>
      <w:sz w:val="28"/>
      <w:szCs w:val="26"/>
    </w:rPr>
  </w:style>
  <w:style w:type="paragraph" w:styleId="Heading3">
    <w:name w:val="heading 3"/>
    <w:basedOn w:val="Normal"/>
    <w:next w:val="Normal"/>
    <w:link w:val="Heading3Char"/>
    <w:uiPriority w:val="9"/>
    <w:unhideWhenUsed/>
    <w:qFormat/>
    <w:rsid w:val="004F4B3E"/>
    <w:pPr>
      <w:keepNext/>
      <w:keepLines/>
      <w:spacing w:before="240" w:after="120"/>
      <w:ind w:left="284"/>
      <w:outlineLvl w:val="2"/>
    </w:pPr>
    <w:rPr>
      <w:rFonts w:ascii="Arial" w:eastAsiaTheme="majorEastAsia" w:hAnsi="Arial" w:cstheme="majorBidi"/>
      <w:b/>
      <w:bCs/>
      <w:u w:val="single"/>
    </w:rPr>
  </w:style>
  <w:style w:type="paragraph" w:styleId="Heading4">
    <w:name w:val="heading 4"/>
    <w:basedOn w:val="Normal"/>
    <w:next w:val="Normal"/>
    <w:link w:val="Heading4Char"/>
    <w:uiPriority w:val="9"/>
    <w:unhideWhenUsed/>
    <w:qFormat/>
    <w:rsid w:val="00DE0473"/>
    <w:pPr>
      <w:keepNext/>
      <w:keepLines/>
      <w:spacing w:before="200"/>
      <w:outlineLvl w:val="3"/>
    </w:pPr>
    <w:rPr>
      <w:rFonts w:ascii="Calibri" w:eastAsiaTheme="majorEastAsia" w:hAnsi="Calibri" w:cstheme="majorBidi"/>
      <w:b/>
      <w:bCs/>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LWGHeader">
    <w:name w:val="MLWG Header"/>
    <w:basedOn w:val="Normal"/>
    <w:rsid w:val="006255E6"/>
    <w:pPr>
      <w:pBdr>
        <w:bottom w:val="single" w:sz="8" w:space="1" w:color="FFFFFF"/>
      </w:pBdr>
      <w:shd w:val="clear" w:color="auto" w:fill="17365D" w:themeFill="text2" w:themeFillShade="BF"/>
      <w:spacing w:line="240" w:lineRule="auto"/>
      <w:jc w:val="right"/>
    </w:pPr>
    <w:rPr>
      <w:rFonts w:ascii="Calibri" w:eastAsia="Times New Roman" w:hAnsi="Calibri" w:cs="Times New Roman"/>
      <w:b/>
      <w:bCs/>
      <w:color w:val="FFFFFF"/>
      <w:szCs w:val="20"/>
      <w:lang w:eastAsia="en-AU"/>
    </w:rPr>
  </w:style>
  <w:style w:type="paragraph" w:customStyle="1" w:styleId="TopLine">
    <w:name w:val="Top Line"/>
    <w:basedOn w:val="Normal"/>
    <w:qFormat/>
    <w:rsid w:val="00BB43CB"/>
    <w:pPr>
      <w:pBdr>
        <w:bottom w:val="single" w:sz="4" w:space="1" w:color="auto"/>
      </w:pBdr>
      <w:spacing w:after="240"/>
    </w:pPr>
    <w:rPr>
      <w:b/>
      <w:sz w:val="24"/>
      <w:szCs w:val="24"/>
    </w:rPr>
  </w:style>
  <w:style w:type="paragraph" w:customStyle="1" w:styleId="Numberedpara">
    <w:name w:val="Numbered para"/>
    <w:basedOn w:val="Normal"/>
    <w:qFormat/>
    <w:rsid w:val="00BB43CB"/>
    <w:pPr>
      <w:ind w:left="567" w:hanging="567"/>
    </w:pPr>
  </w:style>
  <w:style w:type="paragraph" w:customStyle="1" w:styleId="Dots">
    <w:name w:val="Dots"/>
    <w:basedOn w:val="ListParagraph"/>
    <w:qFormat/>
    <w:rsid w:val="00BB43CB"/>
    <w:pPr>
      <w:numPr>
        <w:numId w:val="1"/>
      </w:numPr>
    </w:pPr>
  </w:style>
  <w:style w:type="paragraph" w:styleId="ListParagraph">
    <w:name w:val="List Paragraph"/>
    <w:basedOn w:val="Normal"/>
    <w:uiPriority w:val="34"/>
    <w:qFormat/>
    <w:rsid w:val="00BB43CB"/>
    <w:pPr>
      <w:ind w:left="720"/>
      <w:contextualSpacing/>
    </w:pPr>
  </w:style>
  <w:style w:type="paragraph" w:styleId="BalloonText">
    <w:name w:val="Balloon Text"/>
    <w:basedOn w:val="Normal"/>
    <w:link w:val="BalloonTextChar"/>
    <w:unhideWhenUsed/>
    <w:rsid w:val="006255E6"/>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6255E6"/>
    <w:rPr>
      <w:rFonts w:ascii="Tahoma" w:hAnsi="Tahoma" w:cs="Tahoma"/>
      <w:sz w:val="16"/>
      <w:szCs w:val="16"/>
    </w:rPr>
  </w:style>
  <w:style w:type="character" w:customStyle="1" w:styleId="Heading1Char">
    <w:name w:val="Heading 1 Char"/>
    <w:basedOn w:val="DefaultParagraphFont"/>
    <w:link w:val="Heading1"/>
    <w:rsid w:val="00421714"/>
    <w:rPr>
      <w:rFonts w:ascii="Arial" w:eastAsiaTheme="majorEastAsia" w:hAnsi="Arial" w:cstheme="majorBidi"/>
      <w:b/>
      <w:bCs/>
      <w:sz w:val="32"/>
      <w:szCs w:val="28"/>
    </w:rPr>
  </w:style>
  <w:style w:type="character" w:customStyle="1" w:styleId="Heading2Char">
    <w:name w:val="Heading 2 Char"/>
    <w:basedOn w:val="DefaultParagraphFont"/>
    <w:link w:val="Heading2"/>
    <w:rsid w:val="009A483B"/>
    <w:rPr>
      <w:rFonts w:ascii="Arial" w:eastAsiaTheme="majorEastAsia" w:hAnsi="Arial" w:cstheme="majorBidi"/>
      <w:b/>
      <w:bCs/>
      <w:color w:val="000000" w:themeColor="text1"/>
      <w:sz w:val="28"/>
      <w:szCs w:val="26"/>
    </w:rPr>
  </w:style>
  <w:style w:type="paragraph" w:styleId="Header">
    <w:name w:val="header"/>
    <w:basedOn w:val="Normal"/>
    <w:link w:val="HeaderChar"/>
    <w:unhideWhenUsed/>
    <w:rsid w:val="009D48D6"/>
    <w:pPr>
      <w:pBdr>
        <w:bottom w:val="double" w:sz="6" w:space="0" w:color="004270"/>
      </w:pBdr>
      <w:tabs>
        <w:tab w:val="center" w:pos="4513"/>
        <w:tab w:val="right" w:pos="9026"/>
      </w:tabs>
      <w:spacing w:line="240" w:lineRule="auto"/>
      <w:jc w:val="right"/>
    </w:pPr>
    <w:rPr>
      <w:rFonts w:ascii="Tahoma" w:hAnsi="Tahoma" w:cs="Tahoma"/>
      <w:sz w:val="16"/>
      <w:szCs w:val="16"/>
    </w:rPr>
  </w:style>
  <w:style w:type="character" w:customStyle="1" w:styleId="HeaderChar">
    <w:name w:val="Header Char"/>
    <w:basedOn w:val="DefaultParagraphFont"/>
    <w:link w:val="Header"/>
    <w:rsid w:val="009D48D6"/>
    <w:rPr>
      <w:rFonts w:ascii="Tahoma" w:hAnsi="Tahoma" w:cs="Tahoma"/>
      <w:sz w:val="16"/>
      <w:szCs w:val="16"/>
    </w:rPr>
  </w:style>
  <w:style w:type="paragraph" w:styleId="Footer">
    <w:name w:val="footer"/>
    <w:basedOn w:val="Normal"/>
    <w:link w:val="FooterChar"/>
    <w:uiPriority w:val="99"/>
    <w:unhideWhenUsed/>
    <w:rsid w:val="009D48D6"/>
    <w:pPr>
      <w:pBdr>
        <w:top w:val="double" w:sz="6" w:space="0" w:color="004270"/>
      </w:pBdr>
      <w:tabs>
        <w:tab w:val="right" w:pos="1134"/>
      </w:tabs>
      <w:spacing w:line="240" w:lineRule="auto"/>
      <w:ind w:right="7892"/>
    </w:pPr>
    <w:rPr>
      <w:rFonts w:ascii="Tahoma" w:hAnsi="Tahoma" w:cs="Tahoma"/>
      <w:sz w:val="16"/>
      <w:szCs w:val="16"/>
    </w:rPr>
  </w:style>
  <w:style w:type="character" w:customStyle="1" w:styleId="FooterChar">
    <w:name w:val="Footer Char"/>
    <w:basedOn w:val="DefaultParagraphFont"/>
    <w:link w:val="Footer"/>
    <w:uiPriority w:val="99"/>
    <w:rsid w:val="009D48D6"/>
    <w:rPr>
      <w:rFonts w:ascii="Tahoma" w:hAnsi="Tahoma" w:cs="Tahoma"/>
      <w:sz w:val="16"/>
      <w:szCs w:val="16"/>
    </w:rPr>
  </w:style>
  <w:style w:type="paragraph" w:customStyle="1" w:styleId="Titlepage">
    <w:name w:val="Title page"/>
    <w:basedOn w:val="Normal"/>
    <w:link w:val="TitlepageChar"/>
    <w:qFormat/>
    <w:rsid w:val="009A483B"/>
    <w:pPr>
      <w:jc w:val="center"/>
    </w:pPr>
    <w:rPr>
      <w:rFonts w:ascii="Arial" w:hAnsi="Arial" w:cs="Arial"/>
      <w:b/>
      <w:color w:val="004270"/>
      <w:sz w:val="56"/>
      <w:szCs w:val="56"/>
    </w:rPr>
  </w:style>
  <w:style w:type="paragraph" w:customStyle="1" w:styleId="Default">
    <w:name w:val="Default"/>
    <w:link w:val="DefaultChar"/>
    <w:rsid w:val="009D7F6B"/>
    <w:pPr>
      <w:autoSpaceDE w:val="0"/>
      <w:autoSpaceDN w:val="0"/>
      <w:adjustRightInd w:val="0"/>
      <w:spacing w:after="0" w:line="240" w:lineRule="auto"/>
    </w:pPr>
    <w:rPr>
      <w:rFonts w:ascii="Corbel" w:hAnsi="Corbel" w:cs="Corbel"/>
      <w:color w:val="000000"/>
      <w:sz w:val="24"/>
      <w:szCs w:val="24"/>
    </w:rPr>
  </w:style>
  <w:style w:type="character" w:customStyle="1" w:styleId="TitlepageChar">
    <w:name w:val="Title page Char"/>
    <w:basedOn w:val="DefaultParagraphFont"/>
    <w:link w:val="Titlepage"/>
    <w:rsid w:val="009A483B"/>
    <w:rPr>
      <w:rFonts w:ascii="Arial" w:hAnsi="Arial" w:cs="Arial"/>
      <w:b/>
      <w:color w:val="004270"/>
      <w:sz w:val="56"/>
      <w:szCs w:val="56"/>
    </w:rPr>
  </w:style>
  <w:style w:type="paragraph" w:customStyle="1" w:styleId="FromNP">
    <w:name w:val="From NP"/>
    <w:basedOn w:val="Default"/>
    <w:link w:val="FromNPChar"/>
    <w:qFormat/>
    <w:rsid w:val="009D7F6B"/>
    <w:pPr>
      <w:spacing w:after="195"/>
    </w:pPr>
    <w:rPr>
      <w:sz w:val="23"/>
      <w:szCs w:val="23"/>
    </w:rPr>
  </w:style>
  <w:style w:type="paragraph" w:customStyle="1" w:styleId="TableColumnHeadingCentred">
    <w:name w:val="Table Column Heading Centred"/>
    <w:basedOn w:val="Normal"/>
    <w:rsid w:val="000B6578"/>
    <w:pPr>
      <w:spacing w:before="40" w:after="40" w:line="240" w:lineRule="auto"/>
      <w:jc w:val="center"/>
    </w:pPr>
    <w:rPr>
      <w:rFonts w:ascii="Consolas" w:eastAsia="Times New Roman" w:hAnsi="Consolas" w:cs="Times New Roman"/>
      <w:b/>
      <w:color w:val="3D4B67"/>
      <w:szCs w:val="20"/>
      <w:lang w:eastAsia="en-AU"/>
    </w:rPr>
  </w:style>
  <w:style w:type="character" w:customStyle="1" w:styleId="DefaultChar">
    <w:name w:val="Default Char"/>
    <w:basedOn w:val="DefaultParagraphFont"/>
    <w:link w:val="Default"/>
    <w:rsid w:val="009D7F6B"/>
    <w:rPr>
      <w:rFonts w:ascii="Corbel" w:hAnsi="Corbel" w:cs="Corbel"/>
      <w:color w:val="000000"/>
      <w:sz w:val="24"/>
      <w:szCs w:val="24"/>
    </w:rPr>
  </w:style>
  <w:style w:type="character" w:customStyle="1" w:styleId="FromNPChar">
    <w:name w:val="From NP Char"/>
    <w:basedOn w:val="DefaultChar"/>
    <w:link w:val="FromNP"/>
    <w:rsid w:val="009D7F6B"/>
    <w:rPr>
      <w:rFonts w:ascii="Corbel" w:hAnsi="Corbel" w:cs="Corbel"/>
      <w:color w:val="000000"/>
      <w:sz w:val="24"/>
      <w:szCs w:val="24"/>
    </w:rPr>
  </w:style>
  <w:style w:type="paragraph" w:customStyle="1" w:styleId="TableTextLeft">
    <w:name w:val="Table Text Left"/>
    <w:basedOn w:val="Normal"/>
    <w:rsid w:val="000B6578"/>
    <w:pPr>
      <w:spacing w:before="40" w:after="40" w:line="240" w:lineRule="auto"/>
      <w:jc w:val="both"/>
    </w:pPr>
    <w:rPr>
      <w:rFonts w:ascii="Corbel" w:eastAsia="Times New Roman" w:hAnsi="Corbel" w:cs="Times New Roman"/>
      <w:color w:val="000000"/>
      <w:sz w:val="21"/>
      <w:szCs w:val="20"/>
      <w:lang w:eastAsia="en-AU"/>
    </w:rPr>
  </w:style>
  <w:style w:type="paragraph" w:customStyle="1" w:styleId="Normalnumbered">
    <w:name w:val="Normal numbered"/>
    <w:basedOn w:val="Normal"/>
    <w:link w:val="NormalnumberedChar"/>
    <w:uiPriority w:val="99"/>
    <w:rsid w:val="000B6578"/>
    <w:pPr>
      <w:numPr>
        <w:numId w:val="2"/>
      </w:numPr>
      <w:spacing w:after="240" w:line="260" w:lineRule="exact"/>
      <w:jc w:val="both"/>
    </w:pPr>
    <w:rPr>
      <w:rFonts w:ascii="Corbel" w:eastAsia="Times New Roman" w:hAnsi="Corbel" w:cs="Times New Roman"/>
      <w:color w:val="000000"/>
      <w:sz w:val="23"/>
      <w:szCs w:val="20"/>
      <w:lang w:eastAsia="en-AU"/>
    </w:rPr>
  </w:style>
  <w:style w:type="character" w:customStyle="1" w:styleId="NormalnumberedChar">
    <w:name w:val="Normal numbered Char"/>
    <w:basedOn w:val="DefaultParagraphFont"/>
    <w:link w:val="Normalnumbered"/>
    <w:uiPriority w:val="99"/>
    <w:locked/>
    <w:rsid w:val="000B6578"/>
    <w:rPr>
      <w:rFonts w:ascii="Corbel" w:eastAsia="Times New Roman" w:hAnsi="Corbel" w:cs="Times New Roman"/>
      <w:color w:val="000000"/>
      <w:sz w:val="23"/>
      <w:szCs w:val="20"/>
      <w:lang w:eastAsia="en-AU"/>
    </w:rPr>
  </w:style>
  <w:style w:type="table" w:styleId="TableGrid">
    <w:name w:val="Table Grid"/>
    <w:basedOn w:val="TableNormal"/>
    <w:rsid w:val="00AC682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OCHeading">
    <w:name w:val="TOC Heading"/>
    <w:basedOn w:val="Heading1"/>
    <w:next w:val="Normal"/>
    <w:uiPriority w:val="39"/>
    <w:unhideWhenUsed/>
    <w:qFormat/>
    <w:rsid w:val="00B553AC"/>
    <w:pPr>
      <w:outlineLvl w:val="9"/>
    </w:pPr>
    <w:rPr>
      <w:lang w:val="en-US"/>
    </w:rPr>
  </w:style>
  <w:style w:type="paragraph" w:styleId="TOC2">
    <w:name w:val="toc 2"/>
    <w:basedOn w:val="Normal"/>
    <w:next w:val="Normal"/>
    <w:autoRedefine/>
    <w:uiPriority w:val="39"/>
    <w:unhideWhenUsed/>
    <w:qFormat/>
    <w:rsid w:val="00BB1013"/>
    <w:pPr>
      <w:tabs>
        <w:tab w:val="right" w:leader="dot" w:pos="9607"/>
      </w:tabs>
      <w:spacing w:after="100"/>
      <w:ind w:left="221" w:hanging="221"/>
    </w:pPr>
  </w:style>
  <w:style w:type="character" w:styleId="Hyperlink">
    <w:name w:val="Hyperlink"/>
    <w:basedOn w:val="DefaultParagraphFont"/>
    <w:uiPriority w:val="99"/>
    <w:unhideWhenUsed/>
    <w:rsid w:val="00B553AC"/>
    <w:rPr>
      <w:color w:val="0000FF" w:themeColor="hyperlink"/>
      <w:u w:val="single"/>
    </w:rPr>
  </w:style>
  <w:style w:type="paragraph" w:styleId="TOC1">
    <w:name w:val="toc 1"/>
    <w:basedOn w:val="Normal"/>
    <w:next w:val="Normal"/>
    <w:autoRedefine/>
    <w:uiPriority w:val="39"/>
    <w:unhideWhenUsed/>
    <w:qFormat/>
    <w:rsid w:val="00223AE8"/>
    <w:pPr>
      <w:spacing w:after="100"/>
      <w:ind w:right="-164"/>
    </w:pPr>
    <w:rPr>
      <w:rFonts w:eastAsiaTheme="minorEastAsia"/>
      <w:lang w:val="en-US"/>
    </w:rPr>
  </w:style>
  <w:style w:type="paragraph" w:styleId="TOC3">
    <w:name w:val="toc 3"/>
    <w:basedOn w:val="Normal"/>
    <w:next w:val="Normal"/>
    <w:autoRedefine/>
    <w:uiPriority w:val="39"/>
    <w:unhideWhenUsed/>
    <w:qFormat/>
    <w:rsid w:val="00223AE8"/>
    <w:pPr>
      <w:spacing w:after="100"/>
      <w:ind w:left="440" w:right="-24"/>
    </w:pPr>
    <w:rPr>
      <w:rFonts w:eastAsiaTheme="minorEastAsia"/>
      <w:lang w:val="en-US"/>
    </w:rPr>
  </w:style>
  <w:style w:type="paragraph" w:customStyle="1" w:styleId="Itemnumber">
    <w:name w:val="Item number"/>
    <w:basedOn w:val="Normal"/>
    <w:rsid w:val="0095198F"/>
    <w:pPr>
      <w:spacing w:before="120" w:after="120" w:line="240" w:lineRule="auto"/>
      <w:ind w:left="1440" w:hanging="1440"/>
    </w:pPr>
    <w:rPr>
      <w:rFonts w:ascii="Calibri" w:eastAsia="Times New Roman" w:hAnsi="Calibri" w:cs="Times New Roman"/>
      <w:b/>
      <w:bCs/>
      <w:szCs w:val="20"/>
      <w:lang w:eastAsia="en-AU"/>
    </w:rPr>
  </w:style>
  <w:style w:type="paragraph" w:styleId="FootnoteText">
    <w:name w:val="footnote text"/>
    <w:basedOn w:val="Normal"/>
    <w:link w:val="FootnoteTextChar"/>
    <w:rsid w:val="00AE67DB"/>
    <w:pPr>
      <w:spacing w:line="240" w:lineRule="auto"/>
    </w:pPr>
    <w:rPr>
      <w:rFonts w:ascii="Times New Roman" w:eastAsia="Times New Roman" w:hAnsi="Times New Roman" w:cs="Times New Roman"/>
      <w:sz w:val="20"/>
      <w:szCs w:val="20"/>
      <w:lang w:eastAsia="en-AU"/>
    </w:rPr>
  </w:style>
  <w:style w:type="character" w:customStyle="1" w:styleId="FootnoteTextChar">
    <w:name w:val="Footnote Text Char"/>
    <w:basedOn w:val="DefaultParagraphFont"/>
    <w:link w:val="FootnoteText"/>
    <w:rsid w:val="00AE67DB"/>
    <w:rPr>
      <w:rFonts w:ascii="Times New Roman" w:eastAsia="Times New Roman" w:hAnsi="Times New Roman" w:cs="Times New Roman"/>
      <w:sz w:val="20"/>
      <w:szCs w:val="20"/>
      <w:lang w:eastAsia="en-AU"/>
    </w:rPr>
  </w:style>
  <w:style w:type="character" w:styleId="FootnoteReference">
    <w:name w:val="footnote reference"/>
    <w:basedOn w:val="DefaultParagraphFont"/>
    <w:rsid w:val="00AE67DB"/>
    <w:rPr>
      <w:vertAlign w:val="superscript"/>
    </w:rPr>
  </w:style>
  <w:style w:type="paragraph" w:customStyle="1" w:styleId="othertitle">
    <w:name w:val="other title"/>
    <w:basedOn w:val="Heading2"/>
    <w:qFormat/>
    <w:rsid w:val="00C87393"/>
    <w:pPr>
      <w:spacing w:before="120" w:after="0"/>
    </w:pPr>
  </w:style>
  <w:style w:type="character" w:customStyle="1" w:styleId="Heading3Char">
    <w:name w:val="Heading 3 Char"/>
    <w:basedOn w:val="DefaultParagraphFont"/>
    <w:link w:val="Heading3"/>
    <w:uiPriority w:val="9"/>
    <w:rsid w:val="004F4B3E"/>
    <w:rPr>
      <w:rFonts w:ascii="Arial" w:eastAsiaTheme="majorEastAsia" w:hAnsi="Arial" w:cstheme="majorBidi"/>
      <w:b/>
      <w:bCs/>
      <w:u w:val="single"/>
    </w:rPr>
  </w:style>
  <w:style w:type="character" w:styleId="Strong">
    <w:name w:val="Strong"/>
    <w:basedOn w:val="DefaultParagraphFont"/>
    <w:qFormat/>
    <w:rsid w:val="001368B0"/>
    <w:rPr>
      <w:b/>
      <w:bCs/>
    </w:rPr>
  </w:style>
  <w:style w:type="character" w:styleId="CommentReference">
    <w:name w:val="annotation reference"/>
    <w:basedOn w:val="DefaultParagraphFont"/>
    <w:uiPriority w:val="99"/>
    <w:semiHidden/>
    <w:unhideWhenUsed/>
    <w:rsid w:val="00F300BD"/>
    <w:rPr>
      <w:sz w:val="16"/>
      <w:szCs w:val="16"/>
    </w:rPr>
  </w:style>
  <w:style w:type="paragraph" w:styleId="CommentText">
    <w:name w:val="annotation text"/>
    <w:basedOn w:val="Normal"/>
    <w:link w:val="CommentTextChar"/>
    <w:uiPriority w:val="99"/>
    <w:unhideWhenUsed/>
    <w:rsid w:val="00F300BD"/>
    <w:pPr>
      <w:spacing w:line="240" w:lineRule="auto"/>
    </w:pPr>
    <w:rPr>
      <w:sz w:val="20"/>
      <w:szCs w:val="20"/>
    </w:rPr>
  </w:style>
  <w:style w:type="character" w:customStyle="1" w:styleId="CommentTextChar">
    <w:name w:val="Comment Text Char"/>
    <w:basedOn w:val="DefaultParagraphFont"/>
    <w:link w:val="CommentText"/>
    <w:uiPriority w:val="99"/>
    <w:rsid w:val="00F300BD"/>
    <w:rPr>
      <w:sz w:val="20"/>
      <w:szCs w:val="20"/>
    </w:rPr>
  </w:style>
  <w:style w:type="paragraph" w:styleId="CommentSubject">
    <w:name w:val="annotation subject"/>
    <w:basedOn w:val="CommentText"/>
    <w:next w:val="CommentText"/>
    <w:link w:val="CommentSubjectChar"/>
    <w:uiPriority w:val="99"/>
    <w:semiHidden/>
    <w:unhideWhenUsed/>
    <w:rsid w:val="00F300BD"/>
    <w:rPr>
      <w:b/>
      <w:bCs/>
    </w:rPr>
  </w:style>
  <w:style w:type="character" w:customStyle="1" w:styleId="CommentSubjectChar">
    <w:name w:val="Comment Subject Char"/>
    <w:basedOn w:val="CommentTextChar"/>
    <w:link w:val="CommentSubject"/>
    <w:uiPriority w:val="99"/>
    <w:semiHidden/>
    <w:rsid w:val="00F300BD"/>
    <w:rPr>
      <w:b/>
      <w:bCs/>
      <w:sz w:val="20"/>
      <w:szCs w:val="20"/>
    </w:rPr>
  </w:style>
  <w:style w:type="paragraph" w:styleId="BodyText">
    <w:name w:val="Body Text"/>
    <w:basedOn w:val="Normal"/>
    <w:link w:val="BodyTextChar"/>
    <w:uiPriority w:val="99"/>
    <w:unhideWhenUsed/>
    <w:rsid w:val="00646CCE"/>
    <w:pPr>
      <w:spacing w:before="100" w:after="100" w:line="240" w:lineRule="auto"/>
    </w:pPr>
    <w:rPr>
      <w:rFonts w:ascii="Times New Roman" w:hAnsi="Times New Roman" w:cs="Times New Roman"/>
      <w:sz w:val="24"/>
      <w:szCs w:val="24"/>
      <w:lang w:eastAsia="en-AU"/>
    </w:rPr>
  </w:style>
  <w:style w:type="character" w:customStyle="1" w:styleId="BodyTextChar">
    <w:name w:val="Body Text Char"/>
    <w:basedOn w:val="DefaultParagraphFont"/>
    <w:link w:val="BodyText"/>
    <w:uiPriority w:val="99"/>
    <w:rsid w:val="00646CCE"/>
    <w:rPr>
      <w:rFonts w:ascii="Times New Roman" w:hAnsi="Times New Roman" w:cs="Times New Roman"/>
      <w:sz w:val="24"/>
      <w:szCs w:val="24"/>
      <w:lang w:eastAsia="en-AU"/>
    </w:rPr>
  </w:style>
  <w:style w:type="character" w:customStyle="1" w:styleId="Emphasis-Underline">
    <w:name w:val="Emphasis - Underline"/>
    <w:basedOn w:val="DefaultParagraphFont"/>
    <w:rsid w:val="00646CCE"/>
    <w:rPr>
      <w:u w:val="single"/>
    </w:rPr>
  </w:style>
  <w:style w:type="paragraph" w:styleId="NormalWeb">
    <w:name w:val="Normal (Web)"/>
    <w:basedOn w:val="Normal"/>
    <w:uiPriority w:val="99"/>
    <w:semiHidden/>
    <w:unhideWhenUsed/>
    <w:rsid w:val="00B4753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ListBullet">
    <w:name w:val="List Bullet"/>
    <w:basedOn w:val="Normal"/>
    <w:rsid w:val="00173C5A"/>
    <w:pPr>
      <w:numPr>
        <w:numId w:val="10"/>
      </w:numPr>
      <w:spacing w:before="120" w:after="120" w:line="240" w:lineRule="auto"/>
    </w:pPr>
    <w:rPr>
      <w:rFonts w:ascii="Times New Roman" w:eastAsia="Times New Roman" w:hAnsi="Times New Roman" w:cs="Times New Roman"/>
      <w:sz w:val="26"/>
      <w:szCs w:val="24"/>
      <w:lang w:eastAsia="en-AU"/>
    </w:rPr>
  </w:style>
  <w:style w:type="character" w:styleId="FollowedHyperlink">
    <w:name w:val="FollowedHyperlink"/>
    <w:basedOn w:val="DefaultParagraphFont"/>
    <w:uiPriority w:val="99"/>
    <w:semiHidden/>
    <w:unhideWhenUsed/>
    <w:rsid w:val="00111515"/>
    <w:rPr>
      <w:color w:val="800080" w:themeColor="followedHyperlink"/>
      <w:u w:val="single"/>
    </w:rPr>
  </w:style>
  <w:style w:type="paragraph" w:styleId="Revision">
    <w:name w:val="Revision"/>
    <w:hidden/>
    <w:uiPriority w:val="99"/>
    <w:semiHidden/>
    <w:rsid w:val="00F82724"/>
    <w:pPr>
      <w:spacing w:after="0" w:line="240" w:lineRule="auto"/>
    </w:pPr>
  </w:style>
  <w:style w:type="table" w:customStyle="1" w:styleId="TableGrid1">
    <w:name w:val="Table Grid1"/>
    <w:basedOn w:val="TableNormal"/>
    <w:next w:val="TableGrid"/>
    <w:rsid w:val="00DC56C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Caption">
    <w:name w:val="caption"/>
    <w:basedOn w:val="Normal"/>
    <w:next w:val="Normal"/>
    <w:unhideWhenUsed/>
    <w:qFormat/>
    <w:rsid w:val="003957AD"/>
    <w:pPr>
      <w:spacing w:after="200" w:line="240" w:lineRule="auto"/>
    </w:pPr>
    <w:rPr>
      <w:rFonts w:ascii="Calibri" w:eastAsia="Times New Roman" w:hAnsi="Calibri" w:cs="Times New Roman"/>
      <w:b/>
      <w:bCs/>
      <w:color w:val="4F81BD" w:themeColor="accent1"/>
      <w:sz w:val="18"/>
      <w:szCs w:val="18"/>
      <w:lang w:eastAsia="en-AU"/>
    </w:rPr>
  </w:style>
  <w:style w:type="character" w:customStyle="1" w:styleId="Heading4Char">
    <w:name w:val="Heading 4 Char"/>
    <w:basedOn w:val="DefaultParagraphFont"/>
    <w:link w:val="Heading4"/>
    <w:uiPriority w:val="9"/>
    <w:rsid w:val="00DE0473"/>
    <w:rPr>
      <w:rFonts w:ascii="Calibri" w:eastAsiaTheme="majorEastAsia" w:hAnsi="Calibri" w:cstheme="majorBidi"/>
      <w:b/>
      <w:bCs/>
      <w:i/>
      <w:iCs/>
      <w:color w:val="000000" w:themeColor="tex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4AC5"/>
    <w:pPr>
      <w:spacing w:after="0"/>
    </w:pPr>
  </w:style>
  <w:style w:type="paragraph" w:styleId="Heading1">
    <w:name w:val="heading 1"/>
    <w:basedOn w:val="Normal"/>
    <w:next w:val="Normal"/>
    <w:link w:val="Heading1Char"/>
    <w:qFormat/>
    <w:rsid w:val="00421714"/>
    <w:pPr>
      <w:keepNext/>
      <w:keepLines/>
      <w:spacing w:before="480"/>
      <w:outlineLvl w:val="0"/>
    </w:pPr>
    <w:rPr>
      <w:rFonts w:ascii="Arial" w:eastAsiaTheme="majorEastAsia" w:hAnsi="Arial" w:cstheme="majorBidi"/>
      <w:b/>
      <w:bCs/>
      <w:sz w:val="32"/>
      <w:szCs w:val="28"/>
    </w:rPr>
  </w:style>
  <w:style w:type="paragraph" w:styleId="Heading2">
    <w:name w:val="heading 2"/>
    <w:basedOn w:val="Normal"/>
    <w:next w:val="Normal"/>
    <w:link w:val="Heading2Char"/>
    <w:unhideWhenUsed/>
    <w:qFormat/>
    <w:rsid w:val="009A483B"/>
    <w:pPr>
      <w:keepNext/>
      <w:keepLines/>
      <w:spacing w:before="240" w:after="240"/>
      <w:outlineLvl w:val="1"/>
    </w:pPr>
    <w:rPr>
      <w:rFonts w:ascii="Arial" w:eastAsiaTheme="majorEastAsia" w:hAnsi="Arial" w:cstheme="majorBidi"/>
      <w:b/>
      <w:bCs/>
      <w:color w:val="000000" w:themeColor="text1"/>
      <w:sz w:val="28"/>
      <w:szCs w:val="26"/>
    </w:rPr>
  </w:style>
  <w:style w:type="paragraph" w:styleId="Heading3">
    <w:name w:val="heading 3"/>
    <w:basedOn w:val="Normal"/>
    <w:next w:val="Normal"/>
    <w:link w:val="Heading3Char"/>
    <w:uiPriority w:val="9"/>
    <w:unhideWhenUsed/>
    <w:qFormat/>
    <w:rsid w:val="004F4B3E"/>
    <w:pPr>
      <w:keepNext/>
      <w:keepLines/>
      <w:spacing w:before="240" w:after="120"/>
      <w:ind w:left="284"/>
      <w:outlineLvl w:val="2"/>
    </w:pPr>
    <w:rPr>
      <w:rFonts w:ascii="Arial" w:eastAsiaTheme="majorEastAsia" w:hAnsi="Arial" w:cstheme="majorBidi"/>
      <w:b/>
      <w:bCs/>
      <w:u w:val="single"/>
    </w:rPr>
  </w:style>
  <w:style w:type="paragraph" w:styleId="Heading4">
    <w:name w:val="heading 4"/>
    <w:basedOn w:val="Normal"/>
    <w:next w:val="Normal"/>
    <w:link w:val="Heading4Char"/>
    <w:uiPriority w:val="9"/>
    <w:unhideWhenUsed/>
    <w:qFormat/>
    <w:rsid w:val="00DE0473"/>
    <w:pPr>
      <w:keepNext/>
      <w:keepLines/>
      <w:spacing w:before="200"/>
      <w:outlineLvl w:val="3"/>
    </w:pPr>
    <w:rPr>
      <w:rFonts w:ascii="Calibri" w:eastAsiaTheme="majorEastAsia" w:hAnsi="Calibri" w:cstheme="majorBidi"/>
      <w:b/>
      <w:bCs/>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LWGHeader">
    <w:name w:val="MLWG Header"/>
    <w:basedOn w:val="Normal"/>
    <w:rsid w:val="006255E6"/>
    <w:pPr>
      <w:pBdr>
        <w:bottom w:val="single" w:sz="8" w:space="1" w:color="FFFFFF"/>
      </w:pBdr>
      <w:shd w:val="clear" w:color="auto" w:fill="17365D" w:themeFill="text2" w:themeFillShade="BF"/>
      <w:spacing w:line="240" w:lineRule="auto"/>
      <w:jc w:val="right"/>
    </w:pPr>
    <w:rPr>
      <w:rFonts w:ascii="Calibri" w:eastAsia="Times New Roman" w:hAnsi="Calibri" w:cs="Times New Roman"/>
      <w:b/>
      <w:bCs/>
      <w:color w:val="FFFFFF"/>
      <w:szCs w:val="20"/>
      <w:lang w:eastAsia="en-AU"/>
    </w:rPr>
  </w:style>
  <w:style w:type="paragraph" w:customStyle="1" w:styleId="TopLine">
    <w:name w:val="Top Line"/>
    <w:basedOn w:val="Normal"/>
    <w:qFormat/>
    <w:rsid w:val="00BB43CB"/>
    <w:pPr>
      <w:pBdr>
        <w:bottom w:val="single" w:sz="4" w:space="1" w:color="auto"/>
      </w:pBdr>
      <w:spacing w:after="240"/>
    </w:pPr>
    <w:rPr>
      <w:b/>
      <w:sz w:val="24"/>
      <w:szCs w:val="24"/>
    </w:rPr>
  </w:style>
  <w:style w:type="paragraph" w:customStyle="1" w:styleId="Numberedpara">
    <w:name w:val="Numbered para"/>
    <w:basedOn w:val="Normal"/>
    <w:qFormat/>
    <w:rsid w:val="00BB43CB"/>
    <w:pPr>
      <w:ind w:left="567" w:hanging="567"/>
    </w:pPr>
  </w:style>
  <w:style w:type="paragraph" w:customStyle="1" w:styleId="Dots">
    <w:name w:val="Dots"/>
    <w:basedOn w:val="ListParagraph"/>
    <w:qFormat/>
    <w:rsid w:val="00BB43CB"/>
    <w:pPr>
      <w:numPr>
        <w:numId w:val="1"/>
      </w:numPr>
    </w:pPr>
  </w:style>
  <w:style w:type="paragraph" w:styleId="ListParagraph">
    <w:name w:val="List Paragraph"/>
    <w:basedOn w:val="Normal"/>
    <w:uiPriority w:val="34"/>
    <w:qFormat/>
    <w:rsid w:val="00BB43CB"/>
    <w:pPr>
      <w:ind w:left="720"/>
      <w:contextualSpacing/>
    </w:pPr>
  </w:style>
  <w:style w:type="paragraph" w:styleId="BalloonText">
    <w:name w:val="Balloon Text"/>
    <w:basedOn w:val="Normal"/>
    <w:link w:val="BalloonTextChar"/>
    <w:unhideWhenUsed/>
    <w:rsid w:val="006255E6"/>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6255E6"/>
    <w:rPr>
      <w:rFonts w:ascii="Tahoma" w:hAnsi="Tahoma" w:cs="Tahoma"/>
      <w:sz w:val="16"/>
      <w:szCs w:val="16"/>
    </w:rPr>
  </w:style>
  <w:style w:type="character" w:customStyle="1" w:styleId="Heading1Char">
    <w:name w:val="Heading 1 Char"/>
    <w:basedOn w:val="DefaultParagraphFont"/>
    <w:link w:val="Heading1"/>
    <w:rsid w:val="00421714"/>
    <w:rPr>
      <w:rFonts w:ascii="Arial" w:eastAsiaTheme="majorEastAsia" w:hAnsi="Arial" w:cstheme="majorBidi"/>
      <w:b/>
      <w:bCs/>
      <w:sz w:val="32"/>
      <w:szCs w:val="28"/>
    </w:rPr>
  </w:style>
  <w:style w:type="character" w:customStyle="1" w:styleId="Heading2Char">
    <w:name w:val="Heading 2 Char"/>
    <w:basedOn w:val="DefaultParagraphFont"/>
    <w:link w:val="Heading2"/>
    <w:rsid w:val="009A483B"/>
    <w:rPr>
      <w:rFonts w:ascii="Arial" w:eastAsiaTheme="majorEastAsia" w:hAnsi="Arial" w:cstheme="majorBidi"/>
      <w:b/>
      <w:bCs/>
      <w:color w:val="000000" w:themeColor="text1"/>
      <w:sz w:val="28"/>
      <w:szCs w:val="26"/>
    </w:rPr>
  </w:style>
  <w:style w:type="paragraph" w:styleId="Header">
    <w:name w:val="header"/>
    <w:basedOn w:val="Normal"/>
    <w:link w:val="HeaderChar"/>
    <w:unhideWhenUsed/>
    <w:rsid w:val="009D48D6"/>
    <w:pPr>
      <w:pBdr>
        <w:bottom w:val="double" w:sz="6" w:space="0" w:color="004270"/>
      </w:pBdr>
      <w:tabs>
        <w:tab w:val="center" w:pos="4513"/>
        <w:tab w:val="right" w:pos="9026"/>
      </w:tabs>
      <w:spacing w:line="240" w:lineRule="auto"/>
      <w:jc w:val="right"/>
    </w:pPr>
    <w:rPr>
      <w:rFonts w:ascii="Tahoma" w:hAnsi="Tahoma" w:cs="Tahoma"/>
      <w:sz w:val="16"/>
      <w:szCs w:val="16"/>
    </w:rPr>
  </w:style>
  <w:style w:type="character" w:customStyle="1" w:styleId="HeaderChar">
    <w:name w:val="Header Char"/>
    <w:basedOn w:val="DefaultParagraphFont"/>
    <w:link w:val="Header"/>
    <w:rsid w:val="009D48D6"/>
    <w:rPr>
      <w:rFonts w:ascii="Tahoma" w:hAnsi="Tahoma" w:cs="Tahoma"/>
      <w:sz w:val="16"/>
      <w:szCs w:val="16"/>
    </w:rPr>
  </w:style>
  <w:style w:type="paragraph" w:styleId="Footer">
    <w:name w:val="footer"/>
    <w:basedOn w:val="Normal"/>
    <w:link w:val="FooterChar"/>
    <w:uiPriority w:val="99"/>
    <w:unhideWhenUsed/>
    <w:rsid w:val="009D48D6"/>
    <w:pPr>
      <w:pBdr>
        <w:top w:val="double" w:sz="6" w:space="0" w:color="004270"/>
      </w:pBdr>
      <w:tabs>
        <w:tab w:val="right" w:pos="1134"/>
      </w:tabs>
      <w:spacing w:line="240" w:lineRule="auto"/>
      <w:ind w:right="7892"/>
    </w:pPr>
    <w:rPr>
      <w:rFonts w:ascii="Tahoma" w:hAnsi="Tahoma" w:cs="Tahoma"/>
      <w:sz w:val="16"/>
      <w:szCs w:val="16"/>
    </w:rPr>
  </w:style>
  <w:style w:type="character" w:customStyle="1" w:styleId="FooterChar">
    <w:name w:val="Footer Char"/>
    <w:basedOn w:val="DefaultParagraphFont"/>
    <w:link w:val="Footer"/>
    <w:uiPriority w:val="99"/>
    <w:rsid w:val="009D48D6"/>
    <w:rPr>
      <w:rFonts w:ascii="Tahoma" w:hAnsi="Tahoma" w:cs="Tahoma"/>
      <w:sz w:val="16"/>
      <w:szCs w:val="16"/>
    </w:rPr>
  </w:style>
  <w:style w:type="paragraph" w:customStyle="1" w:styleId="Titlepage">
    <w:name w:val="Title page"/>
    <w:basedOn w:val="Normal"/>
    <w:link w:val="TitlepageChar"/>
    <w:qFormat/>
    <w:rsid w:val="009A483B"/>
    <w:pPr>
      <w:jc w:val="center"/>
    </w:pPr>
    <w:rPr>
      <w:rFonts w:ascii="Arial" w:hAnsi="Arial" w:cs="Arial"/>
      <w:b/>
      <w:color w:val="004270"/>
      <w:sz w:val="56"/>
      <w:szCs w:val="56"/>
    </w:rPr>
  </w:style>
  <w:style w:type="paragraph" w:customStyle="1" w:styleId="Default">
    <w:name w:val="Default"/>
    <w:link w:val="DefaultChar"/>
    <w:rsid w:val="009D7F6B"/>
    <w:pPr>
      <w:autoSpaceDE w:val="0"/>
      <w:autoSpaceDN w:val="0"/>
      <w:adjustRightInd w:val="0"/>
      <w:spacing w:after="0" w:line="240" w:lineRule="auto"/>
    </w:pPr>
    <w:rPr>
      <w:rFonts w:ascii="Corbel" w:hAnsi="Corbel" w:cs="Corbel"/>
      <w:color w:val="000000"/>
      <w:sz w:val="24"/>
      <w:szCs w:val="24"/>
    </w:rPr>
  </w:style>
  <w:style w:type="character" w:customStyle="1" w:styleId="TitlepageChar">
    <w:name w:val="Title page Char"/>
    <w:basedOn w:val="DefaultParagraphFont"/>
    <w:link w:val="Titlepage"/>
    <w:rsid w:val="009A483B"/>
    <w:rPr>
      <w:rFonts w:ascii="Arial" w:hAnsi="Arial" w:cs="Arial"/>
      <w:b/>
      <w:color w:val="004270"/>
      <w:sz w:val="56"/>
      <w:szCs w:val="56"/>
    </w:rPr>
  </w:style>
  <w:style w:type="paragraph" w:customStyle="1" w:styleId="FromNP">
    <w:name w:val="From NP"/>
    <w:basedOn w:val="Default"/>
    <w:link w:val="FromNPChar"/>
    <w:qFormat/>
    <w:rsid w:val="009D7F6B"/>
    <w:pPr>
      <w:spacing w:after="195"/>
    </w:pPr>
    <w:rPr>
      <w:sz w:val="23"/>
      <w:szCs w:val="23"/>
    </w:rPr>
  </w:style>
  <w:style w:type="paragraph" w:customStyle="1" w:styleId="TableColumnHeadingCentred">
    <w:name w:val="Table Column Heading Centred"/>
    <w:basedOn w:val="Normal"/>
    <w:rsid w:val="000B6578"/>
    <w:pPr>
      <w:spacing w:before="40" w:after="40" w:line="240" w:lineRule="auto"/>
      <w:jc w:val="center"/>
    </w:pPr>
    <w:rPr>
      <w:rFonts w:ascii="Consolas" w:eastAsia="Times New Roman" w:hAnsi="Consolas" w:cs="Times New Roman"/>
      <w:b/>
      <w:color w:val="3D4B67"/>
      <w:szCs w:val="20"/>
      <w:lang w:eastAsia="en-AU"/>
    </w:rPr>
  </w:style>
  <w:style w:type="character" w:customStyle="1" w:styleId="DefaultChar">
    <w:name w:val="Default Char"/>
    <w:basedOn w:val="DefaultParagraphFont"/>
    <w:link w:val="Default"/>
    <w:rsid w:val="009D7F6B"/>
    <w:rPr>
      <w:rFonts w:ascii="Corbel" w:hAnsi="Corbel" w:cs="Corbel"/>
      <w:color w:val="000000"/>
      <w:sz w:val="24"/>
      <w:szCs w:val="24"/>
    </w:rPr>
  </w:style>
  <w:style w:type="character" w:customStyle="1" w:styleId="FromNPChar">
    <w:name w:val="From NP Char"/>
    <w:basedOn w:val="DefaultChar"/>
    <w:link w:val="FromNP"/>
    <w:rsid w:val="009D7F6B"/>
    <w:rPr>
      <w:rFonts w:ascii="Corbel" w:hAnsi="Corbel" w:cs="Corbel"/>
      <w:color w:val="000000"/>
      <w:sz w:val="24"/>
      <w:szCs w:val="24"/>
    </w:rPr>
  </w:style>
  <w:style w:type="paragraph" w:customStyle="1" w:styleId="TableTextLeft">
    <w:name w:val="Table Text Left"/>
    <w:basedOn w:val="Normal"/>
    <w:rsid w:val="000B6578"/>
    <w:pPr>
      <w:spacing w:before="40" w:after="40" w:line="240" w:lineRule="auto"/>
      <w:jc w:val="both"/>
    </w:pPr>
    <w:rPr>
      <w:rFonts w:ascii="Corbel" w:eastAsia="Times New Roman" w:hAnsi="Corbel" w:cs="Times New Roman"/>
      <w:color w:val="000000"/>
      <w:sz w:val="21"/>
      <w:szCs w:val="20"/>
      <w:lang w:eastAsia="en-AU"/>
    </w:rPr>
  </w:style>
  <w:style w:type="paragraph" w:customStyle="1" w:styleId="Normalnumbered">
    <w:name w:val="Normal numbered"/>
    <w:basedOn w:val="Normal"/>
    <w:link w:val="NormalnumberedChar"/>
    <w:uiPriority w:val="99"/>
    <w:rsid w:val="000B6578"/>
    <w:pPr>
      <w:numPr>
        <w:numId w:val="2"/>
      </w:numPr>
      <w:spacing w:after="240" w:line="260" w:lineRule="exact"/>
      <w:jc w:val="both"/>
    </w:pPr>
    <w:rPr>
      <w:rFonts w:ascii="Corbel" w:eastAsia="Times New Roman" w:hAnsi="Corbel" w:cs="Times New Roman"/>
      <w:color w:val="000000"/>
      <w:sz w:val="23"/>
      <w:szCs w:val="20"/>
      <w:lang w:eastAsia="en-AU"/>
    </w:rPr>
  </w:style>
  <w:style w:type="character" w:customStyle="1" w:styleId="NormalnumberedChar">
    <w:name w:val="Normal numbered Char"/>
    <w:basedOn w:val="DefaultParagraphFont"/>
    <w:link w:val="Normalnumbered"/>
    <w:uiPriority w:val="99"/>
    <w:locked/>
    <w:rsid w:val="000B6578"/>
    <w:rPr>
      <w:rFonts w:ascii="Corbel" w:eastAsia="Times New Roman" w:hAnsi="Corbel" w:cs="Times New Roman"/>
      <w:color w:val="000000"/>
      <w:sz w:val="23"/>
      <w:szCs w:val="20"/>
      <w:lang w:eastAsia="en-AU"/>
    </w:rPr>
  </w:style>
  <w:style w:type="table" w:styleId="TableGrid">
    <w:name w:val="Table Grid"/>
    <w:basedOn w:val="TableNormal"/>
    <w:rsid w:val="00AC682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OCHeading">
    <w:name w:val="TOC Heading"/>
    <w:basedOn w:val="Heading1"/>
    <w:next w:val="Normal"/>
    <w:uiPriority w:val="39"/>
    <w:unhideWhenUsed/>
    <w:qFormat/>
    <w:rsid w:val="00B553AC"/>
    <w:pPr>
      <w:outlineLvl w:val="9"/>
    </w:pPr>
    <w:rPr>
      <w:lang w:val="en-US"/>
    </w:rPr>
  </w:style>
  <w:style w:type="paragraph" w:styleId="TOC2">
    <w:name w:val="toc 2"/>
    <w:basedOn w:val="Normal"/>
    <w:next w:val="Normal"/>
    <w:autoRedefine/>
    <w:uiPriority w:val="39"/>
    <w:unhideWhenUsed/>
    <w:qFormat/>
    <w:rsid w:val="00BB1013"/>
    <w:pPr>
      <w:tabs>
        <w:tab w:val="right" w:leader="dot" w:pos="9607"/>
      </w:tabs>
      <w:spacing w:after="100"/>
      <w:ind w:left="221" w:hanging="221"/>
    </w:pPr>
  </w:style>
  <w:style w:type="character" w:styleId="Hyperlink">
    <w:name w:val="Hyperlink"/>
    <w:basedOn w:val="DefaultParagraphFont"/>
    <w:uiPriority w:val="99"/>
    <w:unhideWhenUsed/>
    <w:rsid w:val="00B553AC"/>
    <w:rPr>
      <w:color w:val="0000FF" w:themeColor="hyperlink"/>
      <w:u w:val="single"/>
    </w:rPr>
  </w:style>
  <w:style w:type="paragraph" w:styleId="TOC1">
    <w:name w:val="toc 1"/>
    <w:basedOn w:val="Normal"/>
    <w:next w:val="Normal"/>
    <w:autoRedefine/>
    <w:uiPriority w:val="39"/>
    <w:unhideWhenUsed/>
    <w:qFormat/>
    <w:rsid w:val="00223AE8"/>
    <w:pPr>
      <w:spacing w:after="100"/>
      <w:ind w:right="-164"/>
    </w:pPr>
    <w:rPr>
      <w:rFonts w:eastAsiaTheme="minorEastAsia"/>
      <w:lang w:val="en-US"/>
    </w:rPr>
  </w:style>
  <w:style w:type="paragraph" w:styleId="TOC3">
    <w:name w:val="toc 3"/>
    <w:basedOn w:val="Normal"/>
    <w:next w:val="Normal"/>
    <w:autoRedefine/>
    <w:uiPriority w:val="39"/>
    <w:unhideWhenUsed/>
    <w:qFormat/>
    <w:rsid w:val="00223AE8"/>
    <w:pPr>
      <w:spacing w:after="100"/>
      <w:ind w:left="440" w:right="-24"/>
    </w:pPr>
    <w:rPr>
      <w:rFonts w:eastAsiaTheme="minorEastAsia"/>
      <w:lang w:val="en-US"/>
    </w:rPr>
  </w:style>
  <w:style w:type="paragraph" w:customStyle="1" w:styleId="Itemnumber">
    <w:name w:val="Item number"/>
    <w:basedOn w:val="Normal"/>
    <w:rsid w:val="0095198F"/>
    <w:pPr>
      <w:spacing w:before="120" w:after="120" w:line="240" w:lineRule="auto"/>
      <w:ind w:left="1440" w:hanging="1440"/>
    </w:pPr>
    <w:rPr>
      <w:rFonts w:ascii="Calibri" w:eastAsia="Times New Roman" w:hAnsi="Calibri" w:cs="Times New Roman"/>
      <w:b/>
      <w:bCs/>
      <w:szCs w:val="20"/>
      <w:lang w:eastAsia="en-AU"/>
    </w:rPr>
  </w:style>
  <w:style w:type="paragraph" w:styleId="FootnoteText">
    <w:name w:val="footnote text"/>
    <w:basedOn w:val="Normal"/>
    <w:link w:val="FootnoteTextChar"/>
    <w:rsid w:val="00AE67DB"/>
    <w:pPr>
      <w:spacing w:line="240" w:lineRule="auto"/>
    </w:pPr>
    <w:rPr>
      <w:rFonts w:ascii="Times New Roman" w:eastAsia="Times New Roman" w:hAnsi="Times New Roman" w:cs="Times New Roman"/>
      <w:sz w:val="20"/>
      <w:szCs w:val="20"/>
      <w:lang w:eastAsia="en-AU"/>
    </w:rPr>
  </w:style>
  <w:style w:type="character" w:customStyle="1" w:styleId="FootnoteTextChar">
    <w:name w:val="Footnote Text Char"/>
    <w:basedOn w:val="DefaultParagraphFont"/>
    <w:link w:val="FootnoteText"/>
    <w:rsid w:val="00AE67DB"/>
    <w:rPr>
      <w:rFonts w:ascii="Times New Roman" w:eastAsia="Times New Roman" w:hAnsi="Times New Roman" w:cs="Times New Roman"/>
      <w:sz w:val="20"/>
      <w:szCs w:val="20"/>
      <w:lang w:eastAsia="en-AU"/>
    </w:rPr>
  </w:style>
  <w:style w:type="character" w:styleId="FootnoteReference">
    <w:name w:val="footnote reference"/>
    <w:basedOn w:val="DefaultParagraphFont"/>
    <w:rsid w:val="00AE67DB"/>
    <w:rPr>
      <w:vertAlign w:val="superscript"/>
    </w:rPr>
  </w:style>
  <w:style w:type="paragraph" w:customStyle="1" w:styleId="othertitle">
    <w:name w:val="other title"/>
    <w:basedOn w:val="Heading2"/>
    <w:qFormat/>
    <w:rsid w:val="00C87393"/>
    <w:pPr>
      <w:spacing w:before="120" w:after="0"/>
    </w:pPr>
  </w:style>
  <w:style w:type="character" w:customStyle="1" w:styleId="Heading3Char">
    <w:name w:val="Heading 3 Char"/>
    <w:basedOn w:val="DefaultParagraphFont"/>
    <w:link w:val="Heading3"/>
    <w:uiPriority w:val="9"/>
    <w:rsid w:val="004F4B3E"/>
    <w:rPr>
      <w:rFonts w:ascii="Arial" w:eastAsiaTheme="majorEastAsia" w:hAnsi="Arial" w:cstheme="majorBidi"/>
      <w:b/>
      <w:bCs/>
      <w:u w:val="single"/>
    </w:rPr>
  </w:style>
  <w:style w:type="character" w:styleId="Strong">
    <w:name w:val="Strong"/>
    <w:basedOn w:val="DefaultParagraphFont"/>
    <w:qFormat/>
    <w:rsid w:val="001368B0"/>
    <w:rPr>
      <w:b/>
      <w:bCs/>
    </w:rPr>
  </w:style>
  <w:style w:type="character" w:styleId="CommentReference">
    <w:name w:val="annotation reference"/>
    <w:basedOn w:val="DefaultParagraphFont"/>
    <w:uiPriority w:val="99"/>
    <w:semiHidden/>
    <w:unhideWhenUsed/>
    <w:rsid w:val="00F300BD"/>
    <w:rPr>
      <w:sz w:val="16"/>
      <w:szCs w:val="16"/>
    </w:rPr>
  </w:style>
  <w:style w:type="paragraph" w:styleId="CommentText">
    <w:name w:val="annotation text"/>
    <w:basedOn w:val="Normal"/>
    <w:link w:val="CommentTextChar"/>
    <w:uiPriority w:val="99"/>
    <w:unhideWhenUsed/>
    <w:rsid w:val="00F300BD"/>
    <w:pPr>
      <w:spacing w:line="240" w:lineRule="auto"/>
    </w:pPr>
    <w:rPr>
      <w:sz w:val="20"/>
      <w:szCs w:val="20"/>
    </w:rPr>
  </w:style>
  <w:style w:type="character" w:customStyle="1" w:styleId="CommentTextChar">
    <w:name w:val="Comment Text Char"/>
    <w:basedOn w:val="DefaultParagraphFont"/>
    <w:link w:val="CommentText"/>
    <w:uiPriority w:val="99"/>
    <w:rsid w:val="00F300BD"/>
    <w:rPr>
      <w:sz w:val="20"/>
      <w:szCs w:val="20"/>
    </w:rPr>
  </w:style>
  <w:style w:type="paragraph" w:styleId="CommentSubject">
    <w:name w:val="annotation subject"/>
    <w:basedOn w:val="CommentText"/>
    <w:next w:val="CommentText"/>
    <w:link w:val="CommentSubjectChar"/>
    <w:uiPriority w:val="99"/>
    <w:semiHidden/>
    <w:unhideWhenUsed/>
    <w:rsid w:val="00F300BD"/>
    <w:rPr>
      <w:b/>
      <w:bCs/>
    </w:rPr>
  </w:style>
  <w:style w:type="character" w:customStyle="1" w:styleId="CommentSubjectChar">
    <w:name w:val="Comment Subject Char"/>
    <w:basedOn w:val="CommentTextChar"/>
    <w:link w:val="CommentSubject"/>
    <w:uiPriority w:val="99"/>
    <w:semiHidden/>
    <w:rsid w:val="00F300BD"/>
    <w:rPr>
      <w:b/>
      <w:bCs/>
      <w:sz w:val="20"/>
      <w:szCs w:val="20"/>
    </w:rPr>
  </w:style>
  <w:style w:type="paragraph" w:styleId="BodyText">
    <w:name w:val="Body Text"/>
    <w:basedOn w:val="Normal"/>
    <w:link w:val="BodyTextChar"/>
    <w:uiPriority w:val="99"/>
    <w:unhideWhenUsed/>
    <w:rsid w:val="00646CCE"/>
    <w:pPr>
      <w:spacing w:before="100" w:after="100" w:line="240" w:lineRule="auto"/>
    </w:pPr>
    <w:rPr>
      <w:rFonts w:ascii="Times New Roman" w:hAnsi="Times New Roman" w:cs="Times New Roman"/>
      <w:sz w:val="24"/>
      <w:szCs w:val="24"/>
      <w:lang w:eastAsia="en-AU"/>
    </w:rPr>
  </w:style>
  <w:style w:type="character" w:customStyle="1" w:styleId="BodyTextChar">
    <w:name w:val="Body Text Char"/>
    <w:basedOn w:val="DefaultParagraphFont"/>
    <w:link w:val="BodyText"/>
    <w:uiPriority w:val="99"/>
    <w:rsid w:val="00646CCE"/>
    <w:rPr>
      <w:rFonts w:ascii="Times New Roman" w:hAnsi="Times New Roman" w:cs="Times New Roman"/>
      <w:sz w:val="24"/>
      <w:szCs w:val="24"/>
      <w:lang w:eastAsia="en-AU"/>
    </w:rPr>
  </w:style>
  <w:style w:type="character" w:customStyle="1" w:styleId="Emphasis-Underline">
    <w:name w:val="Emphasis - Underline"/>
    <w:basedOn w:val="DefaultParagraphFont"/>
    <w:rsid w:val="00646CCE"/>
    <w:rPr>
      <w:u w:val="single"/>
    </w:rPr>
  </w:style>
  <w:style w:type="paragraph" w:styleId="NormalWeb">
    <w:name w:val="Normal (Web)"/>
    <w:basedOn w:val="Normal"/>
    <w:uiPriority w:val="99"/>
    <w:semiHidden/>
    <w:unhideWhenUsed/>
    <w:rsid w:val="00B4753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ListBullet">
    <w:name w:val="List Bullet"/>
    <w:basedOn w:val="Normal"/>
    <w:rsid w:val="00173C5A"/>
    <w:pPr>
      <w:numPr>
        <w:numId w:val="10"/>
      </w:numPr>
      <w:spacing w:before="120" w:after="120" w:line="240" w:lineRule="auto"/>
    </w:pPr>
    <w:rPr>
      <w:rFonts w:ascii="Times New Roman" w:eastAsia="Times New Roman" w:hAnsi="Times New Roman" w:cs="Times New Roman"/>
      <w:sz w:val="26"/>
      <w:szCs w:val="24"/>
      <w:lang w:eastAsia="en-AU"/>
    </w:rPr>
  </w:style>
  <w:style w:type="character" w:styleId="FollowedHyperlink">
    <w:name w:val="FollowedHyperlink"/>
    <w:basedOn w:val="DefaultParagraphFont"/>
    <w:uiPriority w:val="99"/>
    <w:semiHidden/>
    <w:unhideWhenUsed/>
    <w:rsid w:val="00111515"/>
    <w:rPr>
      <w:color w:val="800080" w:themeColor="followedHyperlink"/>
      <w:u w:val="single"/>
    </w:rPr>
  </w:style>
  <w:style w:type="paragraph" w:styleId="Revision">
    <w:name w:val="Revision"/>
    <w:hidden/>
    <w:uiPriority w:val="99"/>
    <w:semiHidden/>
    <w:rsid w:val="00F82724"/>
    <w:pPr>
      <w:spacing w:after="0" w:line="240" w:lineRule="auto"/>
    </w:pPr>
  </w:style>
  <w:style w:type="table" w:customStyle="1" w:styleId="TableGrid1">
    <w:name w:val="Table Grid1"/>
    <w:basedOn w:val="TableNormal"/>
    <w:next w:val="TableGrid"/>
    <w:rsid w:val="00DC56C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Caption">
    <w:name w:val="caption"/>
    <w:basedOn w:val="Normal"/>
    <w:next w:val="Normal"/>
    <w:unhideWhenUsed/>
    <w:qFormat/>
    <w:rsid w:val="003957AD"/>
    <w:pPr>
      <w:spacing w:after="200" w:line="240" w:lineRule="auto"/>
    </w:pPr>
    <w:rPr>
      <w:rFonts w:ascii="Calibri" w:eastAsia="Times New Roman" w:hAnsi="Calibri" w:cs="Times New Roman"/>
      <w:b/>
      <w:bCs/>
      <w:color w:val="4F81BD" w:themeColor="accent1"/>
      <w:sz w:val="18"/>
      <w:szCs w:val="18"/>
      <w:lang w:eastAsia="en-AU"/>
    </w:rPr>
  </w:style>
  <w:style w:type="character" w:customStyle="1" w:styleId="Heading4Char">
    <w:name w:val="Heading 4 Char"/>
    <w:basedOn w:val="DefaultParagraphFont"/>
    <w:link w:val="Heading4"/>
    <w:uiPriority w:val="9"/>
    <w:rsid w:val="00DE0473"/>
    <w:rPr>
      <w:rFonts w:ascii="Calibri" w:eastAsiaTheme="majorEastAsia" w:hAnsi="Calibri" w:cstheme="majorBidi"/>
      <w:b/>
      <w:bCs/>
      <w:i/>
      <w:iCs/>
      <w:color w:val="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443504">
      <w:bodyDiv w:val="1"/>
      <w:marLeft w:val="0"/>
      <w:marRight w:val="0"/>
      <w:marTop w:val="0"/>
      <w:marBottom w:val="0"/>
      <w:divBdr>
        <w:top w:val="none" w:sz="0" w:space="0" w:color="auto"/>
        <w:left w:val="none" w:sz="0" w:space="0" w:color="auto"/>
        <w:bottom w:val="none" w:sz="0" w:space="0" w:color="auto"/>
        <w:right w:val="none" w:sz="0" w:space="0" w:color="auto"/>
      </w:divBdr>
    </w:div>
    <w:div w:id="100884117">
      <w:bodyDiv w:val="1"/>
      <w:marLeft w:val="0"/>
      <w:marRight w:val="0"/>
      <w:marTop w:val="0"/>
      <w:marBottom w:val="0"/>
      <w:divBdr>
        <w:top w:val="none" w:sz="0" w:space="0" w:color="auto"/>
        <w:left w:val="none" w:sz="0" w:space="0" w:color="auto"/>
        <w:bottom w:val="none" w:sz="0" w:space="0" w:color="auto"/>
        <w:right w:val="none" w:sz="0" w:space="0" w:color="auto"/>
      </w:divBdr>
    </w:div>
    <w:div w:id="129520185">
      <w:bodyDiv w:val="1"/>
      <w:marLeft w:val="0"/>
      <w:marRight w:val="0"/>
      <w:marTop w:val="0"/>
      <w:marBottom w:val="0"/>
      <w:divBdr>
        <w:top w:val="none" w:sz="0" w:space="0" w:color="auto"/>
        <w:left w:val="none" w:sz="0" w:space="0" w:color="auto"/>
        <w:bottom w:val="none" w:sz="0" w:space="0" w:color="auto"/>
        <w:right w:val="none" w:sz="0" w:space="0" w:color="auto"/>
      </w:divBdr>
    </w:div>
    <w:div w:id="372923699">
      <w:bodyDiv w:val="1"/>
      <w:marLeft w:val="0"/>
      <w:marRight w:val="0"/>
      <w:marTop w:val="0"/>
      <w:marBottom w:val="0"/>
      <w:divBdr>
        <w:top w:val="none" w:sz="0" w:space="0" w:color="auto"/>
        <w:left w:val="none" w:sz="0" w:space="0" w:color="auto"/>
        <w:bottom w:val="none" w:sz="0" w:space="0" w:color="auto"/>
        <w:right w:val="none" w:sz="0" w:space="0" w:color="auto"/>
      </w:divBdr>
    </w:div>
    <w:div w:id="422726289">
      <w:bodyDiv w:val="1"/>
      <w:marLeft w:val="0"/>
      <w:marRight w:val="0"/>
      <w:marTop w:val="0"/>
      <w:marBottom w:val="0"/>
      <w:divBdr>
        <w:top w:val="none" w:sz="0" w:space="0" w:color="auto"/>
        <w:left w:val="none" w:sz="0" w:space="0" w:color="auto"/>
        <w:bottom w:val="none" w:sz="0" w:space="0" w:color="auto"/>
        <w:right w:val="none" w:sz="0" w:space="0" w:color="auto"/>
      </w:divBdr>
    </w:div>
    <w:div w:id="471563250">
      <w:bodyDiv w:val="1"/>
      <w:marLeft w:val="0"/>
      <w:marRight w:val="0"/>
      <w:marTop w:val="0"/>
      <w:marBottom w:val="0"/>
      <w:divBdr>
        <w:top w:val="none" w:sz="0" w:space="0" w:color="auto"/>
        <w:left w:val="none" w:sz="0" w:space="0" w:color="auto"/>
        <w:bottom w:val="none" w:sz="0" w:space="0" w:color="auto"/>
        <w:right w:val="none" w:sz="0" w:space="0" w:color="auto"/>
      </w:divBdr>
    </w:div>
    <w:div w:id="658926745">
      <w:bodyDiv w:val="1"/>
      <w:marLeft w:val="0"/>
      <w:marRight w:val="0"/>
      <w:marTop w:val="0"/>
      <w:marBottom w:val="0"/>
      <w:divBdr>
        <w:top w:val="none" w:sz="0" w:space="0" w:color="auto"/>
        <w:left w:val="none" w:sz="0" w:space="0" w:color="auto"/>
        <w:bottom w:val="none" w:sz="0" w:space="0" w:color="auto"/>
        <w:right w:val="none" w:sz="0" w:space="0" w:color="auto"/>
      </w:divBdr>
    </w:div>
    <w:div w:id="691999519">
      <w:bodyDiv w:val="1"/>
      <w:marLeft w:val="0"/>
      <w:marRight w:val="0"/>
      <w:marTop w:val="0"/>
      <w:marBottom w:val="0"/>
      <w:divBdr>
        <w:top w:val="none" w:sz="0" w:space="0" w:color="auto"/>
        <w:left w:val="none" w:sz="0" w:space="0" w:color="auto"/>
        <w:bottom w:val="none" w:sz="0" w:space="0" w:color="auto"/>
        <w:right w:val="none" w:sz="0" w:space="0" w:color="auto"/>
      </w:divBdr>
      <w:divsChild>
        <w:div w:id="26026214">
          <w:marLeft w:val="0"/>
          <w:marRight w:val="0"/>
          <w:marTop w:val="0"/>
          <w:marBottom w:val="0"/>
          <w:divBdr>
            <w:top w:val="none" w:sz="0" w:space="0" w:color="auto"/>
            <w:left w:val="none" w:sz="0" w:space="0" w:color="auto"/>
            <w:bottom w:val="none" w:sz="0" w:space="0" w:color="auto"/>
            <w:right w:val="none" w:sz="0" w:space="0" w:color="auto"/>
          </w:divBdr>
          <w:divsChild>
            <w:div w:id="1774934900">
              <w:marLeft w:val="0"/>
              <w:marRight w:val="0"/>
              <w:marTop w:val="0"/>
              <w:marBottom w:val="0"/>
              <w:divBdr>
                <w:top w:val="none" w:sz="0" w:space="0" w:color="auto"/>
                <w:left w:val="none" w:sz="0" w:space="0" w:color="auto"/>
                <w:bottom w:val="none" w:sz="0" w:space="0" w:color="auto"/>
                <w:right w:val="none" w:sz="0" w:space="0" w:color="auto"/>
              </w:divBdr>
              <w:divsChild>
                <w:div w:id="1202018173">
                  <w:marLeft w:val="0"/>
                  <w:marRight w:val="0"/>
                  <w:marTop w:val="0"/>
                  <w:marBottom w:val="0"/>
                  <w:divBdr>
                    <w:top w:val="none" w:sz="0" w:space="0" w:color="auto"/>
                    <w:left w:val="none" w:sz="0" w:space="0" w:color="auto"/>
                    <w:bottom w:val="none" w:sz="0" w:space="0" w:color="auto"/>
                    <w:right w:val="none" w:sz="0" w:space="0" w:color="auto"/>
                  </w:divBdr>
                  <w:divsChild>
                    <w:div w:id="2096197812">
                      <w:marLeft w:val="0"/>
                      <w:marRight w:val="0"/>
                      <w:marTop w:val="0"/>
                      <w:marBottom w:val="0"/>
                      <w:divBdr>
                        <w:top w:val="none" w:sz="0" w:space="0" w:color="auto"/>
                        <w:left w:val="none" w:sz="0" w:space="0" w:color="auto"/>
                        <w:bottom w:val="none" w:sz="0" w:space="0" w:color="auto"/>
                        <w:right w:val="none" w:sz="0" w:space="0" w:color="auto"/>
                      </w:divBdr>
                      <w:divsChild>
                        <w:div w:id="1063453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8836446">
      <w:bodyDiv w:val="1"/>
      <w:marLeft w:val="0"/>
      <w:marRight w:val="0"/>
      <w:marTop w:val="0"/>
      <w:marBottom w:val="0"/>
      <w:divBdr>
        <w:top w:val="none" w:sz="0" w:space="0" w:color="auto"/>
        <w:left w:val="none" w:sz="0" w:space="0" w:color="auto"/>
        <w:bottom w:val="none" w:sz="0" w:space="0" w:color="auto"/>
        <w:right w:val="none" w:sz="0" w:space="0" w:color="auto"/>
      </w:divBdr>
    </w:div>
    <w:div w:id="989476433">
      <w:bodyDiv w:val="1"/>
      <w:marLeft w:val="0"/>
      <w:marRight w:val="0"/>
      <w:marTop w:val="0"/>
      <w:marBottom w:val="0"/>
      <w:divBdr>
        <w:top w:val="none" w:sz="0" w:space="0" w:color="auto"/>
        <w:left w:val="none" w:sz="0" w:space="0" w:color="auto"/>
        <w:bottom w:val="none" w:sz="0" w:space="0" w:color="auto"/>
        <w:right w:val="none" w:sz="0" w:space="0" w:color="auto"/>
      </w:divBdr>
    </w:div>
    <w:div w:id="1239440675">
      <w:bodyDiv w:val="1"/>
      <w:marLeft w:val="0"/>
      <w:marRight w:val="0"/>
      <w:marTop w:val="0"/>
      <w:marBottom w:val="0"/>
      <w:divBdr>
        <w:top w:val="none" w:sz="0" w:space="0" w:color="auto"/>
        <w:left w:val="none" w:sz="0" w:space="0" w:color="auto"/>
        <w:bottom w:val="none" w:sz="0" w:space="0" w:color="auto"/>
        <w:right w:val="none" w:sz="0" w:space="0" w:color="auto"/>
      </w:divBdr>
    </w:div>
    <w:div w:id="1541669938">
      <w:bodyDiv w:val="1"/>
      <w:marLeft w:val="0"/>
      <w:marRight w:val="0"/>
      <w:marTop w:val="0"/>
      <w:marBottom w:val="0"/>
      <w:divBdr>
        <w:top w:val="none" w:sz="0" w:space="0" w:color="auto"/>
        <w:left w:val="none" w:sz="0" w:space="0" w:color="auto"/>
        <w:bottom w:val="none" w:sz="0" w:space="0" w:color="auto"/>
        <w:right w:val="none" w:sz="0" w:space="0" w:color="auto"/>
      </w:divBdr>
    </w:div>
    <w:div w:id="1565215436">
      <w:bodyDiv w:val="1"/>
      <w:marLeft w:val="0"/>
      <w:marRight w:val="0"/>
      <w:marTop w:val="0"/>
      <w:marBottom w:val="0"/>
      <w:divBdr>
        <w:top w:val="none" w:sz="0" w:space="0" w:color="auto"/>
        <w:left w:val="none" w:sz="0" w:space="0" w:color="auto"/>
        <w:bottom w:val="none" w:sz="0" w:space="0" w:color="auto"/>
        <w:right w:val="none" w:sz="0" w:space="0" w:color="auto"/>
      </w:divBdr>
    </w:div>
    <w:div w:id="1812943920">
      <w:bodyDiv w:val="1"/>
      <w:marLeft w:val="0"/>
      <w:marRight w:val="0"/>
      <w:marTop w:val="0"/>
      <w:marBottom w:val="0"/>
      <w:divBdr>
        <w:top w:val="none" w:sz="0" w:space="0" w:color="auto"/>
        <w:left w:val="none" w:sz="0" w:space="0" w:color="auto"/>
        <w:bottom w:val="none" w:sz="0" w:space="0" w:color="auto"/>
        <w:right w:val="none" w:sz="0" w:space="0" w:color="auto"/>
      </w:divBdr>
    </w:div>
    <w:div w:id="1869298602">
      <w:bodyDiv w:val="1"/>
      <w:marLeft w:val="0"/>
      <w:marRight w:val="0"/>
      <w:marTop w:val="0"/>
      <w:marBottom w:val="0"/>
      <w:divBdr>
        <w:top w:val="none" w:sz="0" w:space="0" w:color="auto"/>
        <w:left w:val="none" w:sz="0" w:space="0" w:color="auto"/>
        <w:bottom w:val="none" w:sz="0" w:space="0" w:color="auto"/>
        <w:right w:val="none" w:sz="0" w:space="0" w:color="auto"/>
      </w:divBdr>
    </w:div>
    <w:div w:id="2039314064">
      <w:bodyDiv w:val="1"/>
      <w:marLeft w:val="0"/>
      <w:marRight w:val="0"/>
      <w:marTop w:val="0"/>
      <w:marBottom w:val="0"/>
      <w:divBdr>
        <w:top w:val="none" w:sz="0" w:space="0" w:color="auto"/>
        <w:left w:val="none" w:sz="0" w:space="0" w:color="auto"/>
        <w:bottom w:val="none" w:sz="0" w:space="0" w:color="auto"/>
        <w:right w:val="none" w:sz="0" w:space="0" w:color="auto"/>
      </w:divBdr>
    </w:div>
    <w:div w:id="2072190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chart" Target="charts/chart3.xml"/><Relationship Id="rId26" Type="http://schemas.openxmlformats.org/officeDocument/2006/relationships/chart" Target="charts/chart10.xml"/><Relationship Id="rId39" Type="http://schemas.openxmlformats.org/officeDocument/2006/relationships/chart" Target="charts/chart23.xml"/><Relationship Id="rId3" Type="http://schemas.openxmlformats.org/officeDocument/2006/relationships/styles" Target="styles.xml"/><Relationship Id="rId21" Type="http://schemas.openxmlformats.org/officeDocument/2006/relationships/chart" Target="charts/chart5.xml"/><Relationship Id="rId34" Type="http://schemas.openxmlformats.org/officeDocument/2006/relationships/chart" Target="charts/chart18.xml"/><Relationship Id="rId42"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chart" Target="charts/chart2.xml"/><Relationship Id="rId25" Type="http://schemas.openxmlformats.org/officeDocument/2006/relationships/chart" Target="charts/chart9.xml"/><Relationship Id="rId33" Type="http://schemas.openxmlformats.org/officeDocument/2006/relationships/chart" Target="charts/chart17.xml"/><Relationship Id="rId38" Type="http://schemas.openxmlformats.org/officeDocument/2006/relationships/chart" Target="charts/chart22.xml"/><Relationship Id="rId2" Type="http://schemas.openxmlformats.org/officeDocument/2006/relationships/numbering" Target="numbering.xml"/><Relationship Id="rId16" Type="http://schemas.openxmlformats.org/officeDocument/2006/relationships/chart" Target="charts/chart1.xml"/><Relationship Id="rId20" Type="http://schemas.openxmlformats.org/officeDocument/2006/relationships/chart" Target="charts/chart4.xml"/><Relationship Id="rId29" Type="http://schemas.openxmlformats.org/officeDocument/2006/relationships/chart" Target="charts/chart13.xm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chart" Target="charts/chart8.xml"/><Relationship Id="rId32" Type="http://schemas.openxmlformats.org/officeDocument/2006/relationships/chart" Target="charts/chart16.xml"/><Relationship Id="rId37" Type="http://schemas.openxmlformats.org/officeDocument/2006/relationships/chart" Target="charts/chart21.xml"/><Relationship Id="rId40" Type="http://schemas.openxmlformats.org/officeDocument/2006/relationships/footer" Target="footer5.xml"/><Relationship Id="rId5" Type="http://schemas.openxmlformats.org/officeDocument/2006/relationships/settings" Target="settings.xml"/><Relationship Id="rId15" Type="http://schemas.openxmlformats.org/officeDocument/2006/relationships/image" Target="media/image1.jpeg"/><Relationship Id="rId23" Type="http://schemas.openxmlformats.org/officeDocument/2006/relationships/chart" Target="charts/chart7.xml"/><Relationship Id="rId28" Type="http://schemas.openxmlformats.org/officeDocument/2006/relationships/chart" Target="charts/chart12.xml"/><Relationship Id="rId36" Type="http://schemas.openxmlformats.org/officeDocument/2006/relationships/chart" Target="charts/chart20.xml"/><Relationship Id="rId10" Type="http://schemas.openxmlformats.org/officeDocument/2006/relationships/footer" Target="footer1.xml"/><Relationship Id="rId19" Type="http://schemas.openxmlformats.org/officeDocument/2006/relationships/hyperlink" Target="http://www.transitions.youth.gov.au" TargetMode="External"/><Relationship Id="rId31" Type="http://schemas.openxmlformats.org/officeDocument/2006/relationships/chart" Target="charts/chart15.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4.xml"/><Relationship Id="rId22" Type="http://schemas.openxmlformats.org/officeDocument/2006/relationships/chart" Target="charts/chart6.xml"/><Relationship Id="rId27" Type="http://schemas.openxmlformats.org/officeDocument/2006/relationships/chart" Target="charts/chart11.xml"/><Relationship Id="rId30" Type="http://schemas.openxmlformats.org/officeDocument/2006/relationships/chart" Target="charts/chart14.xml"/><Relationship Id="rId35" Type="http://schemas.openxmlformats.org/officeDocument/2006/relationships/chart" Target="charts/chart19.xml"/></Relationships>
</file>

<file path=word/charts/_rels/chart1.xml.rels><?xml version="1.0" encoding="UTF-8" standalone="yes"?>
<Relationships xmlns="http://schemas.openxmlformats.org/package/2006/relationships"><Relationship Id="rId2" Type="http://schemas.openxmlformats.org/officeDocument/2006/relationships/oleObject" Target="http://localhost:3579/UCdoc~DM/EDUTRACK_nd1056292/EDUTRACK_n1056292_2012_Annual_Report_Partnership_and_Membership_Aggregate_data.XLS" TargetMode="External"/><Relationship Id="rId1" Type="http://schemas.openxmlformats.org/officeDocument/2006/relationships/themeOverride" Target="../theme/themeOverride1.xml"/></Relationships>
</file>

<file path=word/charts/_rels/chart10.xml.rels><?xml version="1.0" encoding="UTF-8" standalone="yes"?>
<Relationships xmlns="http://schemas.openxmlformats.org/package/2006/relationships"><Relationship Id="rId1" Type="http://schemas.openxmlformats.org/officeDocument/2006/relationships/oleObject" Target="file:///\\EPNAS002\50018764\Youth%20Connections\National\Data\State%20and%20national%20reports\Vic\VIC%202012%20Cube%20Queries%20-%20FINAL.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EPNAS002\50018764\Youth%20Connections\National\Data\State%20and%20national%20reports\Vic\VIC%202012%20Cube%20Queries%20-%20Draft.xlsx"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file:///\\EPNAS002\50018764\Youth%20Connections\National\Data\State%20and%20national%20reports\Vic\VIC%202012%20Cube%20Queries%20-%20Draft.xlsx"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file:///\\EPNAS002\50018764\Youth%20Connections\National\Data\State%20and%20national%20reports\Vic\VIC%202012%20Cube%20Queries%20-%20Draft.xlsx" TargetMode="External"/></Relationships>
</file>

<file path=word/charts/_rels/chart14.xml.rels><?xml version="1.0" encoding="UTF-8" standalone="yes"?>
<Relationships xmlns="http://schemas.openxmlformats.org/package/2006/relationships"><Relationship Id="rId1" Type="http://schemas.openxmlformats.org/officeDocument/2006/relationships/oleObject" Target="file:///\\EPNAS002\50018764\Youth%20Connections\National\Data\State%20and%20national%20reports\Vic\VIC%202012%20Cube%20Queries%20-%20Draft.xlsx" TargetMode="External"/></Relationships>
</file>

<file path=word/charts/_rels/chart15.xml.rels><?xml version="1.0" encoding="UTF-8" standalone="yes"?>
<Relationships xmlns="http://schemas.openxmlformats.org/package/2006/relationships"><Relationship Id="rId1" Type="http://schemas.openxmlformats.org/officeDocument/2006/relationships/oleObject" Target="file:///\\EPNAS002\50018764\Youth%20Connections\National\Data\State%20and%20national%20reports\Vic\VIC%202012%20Cube%20Queries%20-%20Draft.xlsx" TargetMode="External"/></Relationships>
</file>

<file path=word/charts/_rels/chart16.xml.rels><?xml version="1.0" encoding="UTF-8" standalone="yes"?>
<Relationships xmlns="http://schemas.openxmlformats.org/package/2006/relationships"><Relationship Id="rId1" Type="http://schemas.openxmlformats.org/officeDocument/2006/relationships/oleObject" Target="file:///\\EPNAS002\50018764\Youth%20Connections\National\Data\State%20and%20national%20reports\Vic\VIC%202012%20Cube%20Queries%20-%20Draft.xlsx" TargetMode="External"/></Relationships>
</file>

<file path=word/charts/_rels/chart17.xml.rels><?xml version="1.0" encoding="UTF-8" standalone="yes"?>
<Relationships xmlns="http://schemas.openxmlformats.org/package/2006/relationships"><Relationship Id="rId1" Type="http://schemas.openxmlformats.org/officeDocument/2006/relationships/oleObject" Target="file:///\\EPNAS002\50018764\Youth%20Connections\National\Data\State%20and%20national%20reports\Vic\VIC%202012%20Cube%20Queries%20-%20Draft.xlsx" TargetMode="External"/></Relationships>
</file>

<file path=word/charts/_rels/chart18.xml.rels><?xml version="1.0" encoding="UTF-8" standalone="yes"?>
<Relationships xmlns="http://schemas.openxmlformats.org/package/2006/relationships"><Relationship Id="rId1" Type="http://schemas.openxmlformats.org/officeDocument/2006/relationships/oleObject" Target="file:///\\EPNAS002\50018764\Youth%20Connections\National\Data\State%20and%20national%20reports\Vic\VIC%202012%20Cube%20Queries%20-%20Draft.xlsx" TargetMode="External"/></Relationships>
</file>

<file path=word/charts/_rels/chart19.xml.rels><?xml version="1.0" encoding="UTF-8" standalone="yes"?>
<Relationships xmlns="http://schemas.openxmlformats.org/package/2006/relationships"><Relationship Id="rId1" Type="http://schemas.openxmlformats.org/officeDocument/2006/relationships/oleObject" Target="file:///\\EPNAS002\50018764\Youth%20Connections\National\Data\State%20and%20national%20reports\Vic\VIC%202012%20Cube%20Queries%20-%20Draft.xlsx" TargetMode="External"/></Relationships>
</file>

<file path=word/charts/_rels/chart2.xml.rels><?xml version="1.0" encoding="UTF-8" standalone="yes"?>
<Relationships xmlns="http://schemas.openxmlformats.org/package/2006/relationships"><Relationship Id="rId2" Type="http://schemas.openxmlformats.org/officeDocument/2006/relationships/oleObject" Target="http://localhost:3579/UCdoc~DM/EDUTRACK_nd1056292/EDUTRACK_n1056292_2012_Annual_Report_Partnership_and_Membership_Aggregate_data.XLS" TargetMode="External"/><Relationship Id="rId1" Type="http://schemas.openxmlformats.org/officeDocument/2006/relationships/themeOverride" Target="../theme/themeOverride2.xml"/></Relationships>
</file>

<file path=word/charts/_rels/chart20.xml.rels><?xml version="1.0" encoding="UTF-8" standalone="yes"?>
<Relationships xmlns="http://schemas.openxmlformats.org/package/2006/relationships"><Relationship Id="rId1" Type="http://schemas.openxmlformats.org/officeDocument/2006/relationships/oleObject" Target="file:///\\EPNAS002\50018764\Youth%20Connections\National\Data\State%20and%20national%20reports\Vic\VIC%202012%20Cube%20Queries%20-%20Draft.xlsx" TargetMode="External"/></Relationships>
</file>

<file path=word/charts/_rels/chart21.xml.rels><?xml version="1.0" encoding="UTF-8" standalone="yes"?>
<Relationships xmlns="http://schemas.openxmlformats.org/package/2006/relationships"><Relationship Id="rId1" Type="http://schemas.openxmlformats.org/officeDocument/2006/relationships/oleObject" Target="file:///\\EPNAS002\50018764\Youth%20Connections\National\Data\State%20and%20national%20reports\Vic\VIC%202012%20Cube%20Queries%20-%20Draft.xlsx" TargetMode="External"/></Relationships>
</file>

<file path=word/charts/_rels/chart22.xml.rels><?xml version="1.0" encoding="UTF-8" standalone="yes"?>
<Relationships xmlns="http://schemas.openxmlformats.org/package/2006/relationships"><Relationship Id="rId1" Type="http://schemas.openxmlformats.org/officeDocument/2006/relationships/oleObject" Target="file:///\\EPNAS002\50018764\Youth%20Connections\National\Data\State%20and%20national%20reports\Vic\VIC%202012%20Cube%20Queries%20-%20Draft.xlsx" TargetMode="External"/></Relationships>
</file>

<file path=word/charts/_rels/chart23.xml.rels><?xml version="1.0" encoding="UTF-8" standalone="yes"?>
<Relationships xmlns="http://schemas.openxmlformats.org/package/2006/relationships"><Relationship Id="rId1" Type="http://schemas.openxmlformats.org/officeDocument/2006/relationships/oleObject" Target="file:///\\EPNAS002\50018764\Youth%20Connections\National\Data\State%20and%20national%20reports\Vic\VIC%202012%20Cube%20Queries%20-%20Draft.xlsx" TargetMode="External"/></Relationships>
</file>

<file path=word/charts/_rels/chart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1" Type="http://schemas.openxmlformats.org/officeDocument/2006/relationships/oleObject" Target="file:///\\EPNAS002\50018764\Youth%20Connections\National\Data\State%20and%20national%20reports\Vic\VIC%202012%20Cube%20Queries%20-%20Draft.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EPNAS002\50018764\Youth%20Connections\National\Data\State%20and%20national%20reports\Vic\VIC%202012%20Cube%20Queries%20-%20Draft.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EPNAS002\50018764\Youth%20Connections\National\Data\State%20and%20national%20reports\Vic\VIC%202012%20Cube%20Queries%20-%20Draft.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EPNAS002\50018764\Youth%20Connections\National\Data\State%20and%20national%20reports\Vic\VIC%202012%20Cube%20Queries%20-%20Draft.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EPNAS002\50018764\Youth%20Connections\National\Data\State%20and%20national%20reports\Vic\VIC%202012%20Cube%20Queries%20-%20Draft.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EPNAS002\50018764\Youth%20Connections\National\Data\State%20and%20national%20reports\Vic\VIC%202012%20Cube%20Queries%20-%20Draft.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en-US"/>
              <a:t>2012 LLEN Members by Stakeholder Category</a:t>
            </a:r>
          </a:p>
        </c:rich>
      </c:tx>
      <c:layout/>
      <c:overlay val="0"/>
    </c:title>
    <c:autoTitleDeleted val="0"/>
    <c:plotArea>
      <c:layout/>
      <c:pieChart>
        <c:varyColors val="1"/>
        <c:ser>
          <c:idx val="0"/>
          <c:order val="0"/>
          <c:tx>
            <c:strRef>
              <c:f>'Membership '!$A$2</c:f>
              <c:strCache>
                <c:ptCount val="1"/>
                <c:pt idx="0">
                  <c:v>Banyule Nillumbik LLEN</c:v>
                </c:pt>
              </c:strCache>
            </c:strRef>
          </c:tx>
          <c:cat>
            <c:strRef>
              <c:f>'Membership '!$B$1:$L$1</c:f>
              <c:strCache>
                <c:ptCount val="11"/>
                <c:pt idx="0">
                  <c:v>Schools (Cat 1)</c:v>
                </c:pt>
                <c:pt idx="1">
                  <c:v> TAFE (Cat 2)</c:v>
                </c:pt>
                <c:pt idx="2">
                  <c:v>Learn Local (Cat 3)</c:v>
                </c:pt>
                <c:pt idx="3">
                  <c:v>Other education/training providers (Cat 4)</c:v>
                </c:pt>
                <c:pt idx="4">
                  <c:v>Unions (Cat 5)</c:v>
                </c:pt>
                <c:pt idx="5">
                  <c:v>Employers (Cat 6)</c:v>
                </c:pt>
                <c:pt idx="6">
                  <c:v>Local Govt (Cat 7)</c:v>
                </c:pt>
                <c:pt idx="7">
                  <c:v>Other community agencies (Cat 8)</c:v>
                </c:pt>
                <c:pt idx="8">
                  <c:v>Koorie (Cat 9)</c:v>
                </c:pt>
                <c:pt idx="9">
                  <c:v>Community members (Cat 10)</c:v>
                </c:pt>
                <c:pt idx="10">
                  <c:v>Co-optees (Cat 11)</c:v>
                </c:pt>
              </c:strCache>
            </c:strRef>
          </c:cat>
          <c:val>
            <c:numRef>
              <c:f>'Membership '!$B$2:$L$2</c:f>
            </c:numRef>
          </c:val>
        </c:ser>
        <c:ser>
          <c:idx val="1"/>
          <c:order val="1"/>
          <c:tx>
            <c:strRef>
              <c:f>'Membership '!$A$3</c:f>
              <c:strCache>
                <c:ptCount val="1"/>
                <c:pt idx="0">
                  <c:v>Baw Baw Latrobe LLEN</c:v>
                </c:pt>
              </c:strCache>
            </c:strRef>
          </c:tx>
          <c:cat>
            <c:strRef>
              <c:f>'Membership '!$B$1:$L$1</c:f>
              <c:strCache>
                <c:ptCount val="11"/>
                <c:pt idx="0">
                  <c:v>Schools (Cat 1)</c:v>
                </c:pt>
                <c:pt idx="1">
                  <c:v> TAFE (Cat 2)</c:v>
                </c:pt>
                <c:pt idx="2">
                  <c:v>Learn Local (Cat 3)</c:v>
                </c:pt>
                <c:pt idx="3">
                  <c:v>Other education/training providers (Cat 4)</c:v>
                </c:pt>
                <c:pt idx="4">
                  <c:v>Unions (Cat 5)</c:v>
                </c:pt>
                <c:pt idx="5">
                  <c:v>Employers (Cat 6)</c:v>
                </c:pt>
                <c:pt idx="6">
                  <c:v>Local Govt (Cat 7)</c:v>
                </c:pt>
                <c:pt idx="7">
                  <c:v>Other community agencies (Cat 8)</c:v>
                </c:pt>
                <c:pt idx="8">
                  <c:v>Koorie (Cat 9)</c:v>
                </c:pt>
                <c:pt idx="9">
                  <c:v>Community members (Cat 10)</c:v>
                </c:pt>
                <c:pt idx="10">
                  <c:v>Co-optees (Cat 11)</c:v>
                </c:pt>
              </c:strCache>
            </c:strRef>
          </c:cat>
          <c:val>
            <c:numRef>
              <c:f>'Membership '!$B$3:$L$3</c:f>
            </c:numRef>
          </c:val>
        </c:ser>
        <c:ser>
          <c:idx val="2"/>
          <c:order val="2"/>
          <c:tx>
            <c:strRef>
              <c:f>'Membership '!$A$4</c:f>
              <c:strCache>
                <c:ptCount val="1"/>
                <c:pt idx="0">
                  <c:v>Bayside Glen Eira Kingston (BGK) LLEN</c:v>
                </c:pt>
              </c:strCache>
            </c:strRef>
          </c:tx>
          <c:cat>
            <c:strRef>
              <c:f>'Membership '!$B$1:$L$1</c:f>
              <c:strCache>
                <c:ptCount val="11"/>
                <c:pt idx="0">
                  <c:v>Schools (Cat 1)</c:v>
                </c:pt>
                <c:pt idx="1">
                  <c:v> TAFE (Cat 2)</c:v>
                </c:pt>
                <c:pt idx="2">
                  <c:v>Learn Local (Cat 3)</c:v>
                </c:pt>
                <c:pt idx="3">
                  <c:v>Other education/training providers (Cat 4)</c:v>
                </c:pt>
                <c:pt idx="4">
                  <c:v>Unions (Cat 5)</c:v>
                </c:pt>
                <c:pt idx="5">
                  <c:v>Employers (Cat 6)</c:v>
                </c:pt>
                <c:pt idx="6">
                  <c:v>Local Govt (Cat 7)</c:v>
                </c:pt>
                <c:pt idx="7">
                  <c:v>Other community agencies (Cat 8)</c:v>
                </c:pt>
                <c:pt idx="8">
                  <c:v>Koorie (Cat 9)</c:v>
                </c:pt>
                <c:pt idx="9">
                  <c:v>Community members (Cat 10)</c:v>
                </c:pt>
                <c:pt idx="10">
                  <c:v>Co-optees (Cat 11)</c:v>
                </c:pt>
              </c:strCache>
            </c:strRef>
          </c:cat>
          <c:val>
            <c:numRef>
              <c:f>'Membership '!$B$4:$L$4</c:f>
            </c:numRef>
          </c:val>
        </c:ser>
        <c:ser>
          <c:idx val="3"/>
          <c:order val="3"/>
          <c:tx>
            <c:strRef>
              <c:f>'Membership '!$A$5</c:f>
              <c:strCache>
                <c:ptCount val="1"/>
                <c:pt idx="0">
                  <c:v>Brimbank Melton LLEN</c:v>
                </c:pt>
              </c:strCache>
            </c:strRef>
          </c:tx>
          <c:cat>
            <c:strRef>
              <c:f>'Membership '!$B$1:$L$1</c:f>
              <c:strCache>
                <c:ptCount val="11"/>
                <c:pt idx="0">
                  <c:v>Schools (Cat 1)</c:v>
                </c:pt>
                <c:pt idx="1">
                  <c:v> TAFE (Cat 2)</c:v>
                </c:pt>
                <c:pt idx="2">
                  <c:v>Learn Local (Cat 3)</c:v>
                </c:pt>
                <c:pt idx="3">
                  <c:v>Other education/training providers (Cat 4)</c:v>
                </c:pt>
                <c:pt idx="4">
                  <c:v>Unions (Cat 5)</c:v>
                </c:pt>
                <c:pt idx="5">
                  <c:v>Employers (Cat 6)</c:v>
                </c:pt>
                <c:pt idx="6">
                  <c:v>Local Govt (Cat 7)</c:v>
                </c:pt>
                <c:pt idx="7">
                  <c:v>Other community agencies (Cat 8)</c:v>
                </c:pt>
                <c:pt idx="8">
                  <c:v>Koorie (Cat 9)</c:v>
                </c:pt>
                <c:pt idx="9">
                  <c:v>Community members (Cat 10)</c:v>
                </c:pt>
                <c:pt idx="10">
                  <c:v>Co-optees (Cat 11)</c:v>
                </c:pt>
              </c:strCache>
            </c:strRef>
          </c:cat>
          <c:val>
            <c:numRef>
              <c:f>'Membership '!$B$5:$L$5</c:f>
            </c:numRef>
          </c:val>
        </c:ser>
        <c:ser>
          <c:idx val="4"/>
          <c:order val="4"/>
          <c:tx>
            <c:strRef>
              <c:f>'Membership '!$A$6</c:f>
              <c:strCache>
                <c:ptCount val="1"/>
                <c:pt idx="0">
                  <c:v>Campaspe Cohuna LLEN</c:v>
                </c:pt>
              </c:strCache>
            </c:strRef>
          </c:tx>
          <c:cat>
            <c:strRef>
              <c:f>'Membership '!$B$1:$L$1</c:f>
              <c:strCache>
                <c:ptCount val="11"/>
                <c:pt idx="0">
                  <c:v>Schools (Cat 1)</c:v>
                </c:pt>
                <c:pt idx="1">
                  <c:v> TAFE (Cat 2)</c:v>
                </c:pt>
                <c:pt idx="2">
                  <c:v>Learn Local (Cat 3)</c:v>
                </c:pt>
                <c:pt idx="3">
                  <c:v>Other education/training providers (Cat 4)</c:v>
                </c:pt>
                <c:pt idx="4">
                  <c:v>Unions (Cat 5)</c:v>
                </c:pt>
                <c:pt idx="5">
                  <c:v>Employers (Cat 6)</c:v>
                </c:pt>
                <c:pt idx="6">
                  <c:v>Local Govt (Cat 7)</c:v>
                </c:pt>
                <c:pt idx="7">
                  <c:v>Other community agencies (Cat 8)</c:v>
                </c:pt>
                <c:pt idx="8">
                  <c:v>Koorie (Cat 9)</c:v>
                </c:pt>
                <c:pt idx="9">
                  <c:v>Community members (Cat 10)</c:v>
                </c:pt>
                <c:pt idx="10">
                  <c:v>Co-optees (Cat 11)</c:v>
                </c:pt>
              </c:strCache>
            </c:strRef>
          </c:cat>
          <c:val>
            <c:numRef>
              <c:f>'Membership '!$B$6:$L$6</c:f>
            </c:numRef>
          </c:val>
        </c:ser>
        <c:ser>
          <c:idx val="5"/>
          <c:order val="5"/>
          <c:tx>
            <c:strRef>
              <c:f>'Membership '!$A$7</c:f>
              <c:strCache>
                <c:ptCount val="1"/>
                <c:pt idx="0">
                  <c:v>Capital City LLEN</c:v>
                </c:pt>
              </c:strCache>
            </c:strRef>
          </c:tx>
          <c:cat>
            <c:strRef>
              <c:f>'Membership '!$B$1:$L$1</c:f>
              <c:strCache>
                <c:ptCount val="11"/>
                <c:pt idx="0">
                  <c:v>Schools (Cat 1)</c:v>
                </c:pt>
                <c:pt idx="1">
                  <c:v> TAFE (Cat 2)</c:v>
                </c:pt>
                <c:pt idx="2">
                  <c:v>Learn Local (Cat 3)</c:v>
                </c:pt>
                <c:pt idx="3">
                  <c:v>Other education/training providers (Cat 4)</c:v>
                </c:pt>
                <c:pt idx="4">
                  <c:v>Unions (Cat 5)</c:v>
                </c:pt>
                <c:pt idx="5">
                  <c:v>Employers (Cat 6)</c:v>
                </c:pt>
                <c:pt idx="6">
                  <c:v>Local Govt (Cat 7)</c:v>
                </c:pt>
                <c:pt idx="7">
                  <c:v>Other community agencies (Cat 8)</c:v>
                </c:pt>
                <c:pt idx="8">
                  <c:v>Koorie (Cat 9)</c:v>
                </c:pt>
                <c:pt idx="9">
                  <c:v>Community members (Cat 10)</c:v>
                </c:pt>
                <c:pt idx="10">
                  <c:v>Co-optees (Cat 11)</c:v>
                </c:pt>
              </c:strCache>
            </c:strRef>
          </c:cat>
          <c:val>
            <c:numRef>
              <c:f>'Membership '!$B$7:$L$7</c:f>
            </c:numRef>
          </c:val>
        </c:ser>
        <c:ser>
          <c:idx val="6"/>
          <c:order val="6"/>
          <c:tx>
            <c:strRef>
              <c:f>'Membership '!$A$8</c:f>
              <c:strCache>
                <c:ptCount val="1"/>
                <c:pt idx="0">
                  <c:v>Central Grampians LLEN</c:v>
                </c:pt>
              </c:strCache>
            </c:strRef>
          </c:tx>
          <c:cat>
            <c:strRef>
              <c:f>'Membership '!$B$1:$L$1</c:f>
              <c:strCache>
                <c:ptCount val="11"/>
                <c:pt idx="0">
                  <c:v>Schools (Cat 1)</c:v>
                </c:pt>
                <c:pt idx="1">
                  <c:v> TAFE (Cat 2)</c:v>
                </c:pt>
                <c:pt idx="2">
                  <c:v>Learn Local (Cat 3)</c:v>
                </c:pt>
                <c:pt idx="3">
                  <c:v>Other education/training providers (Cat 4)</c:v>
                </c:pt>
                <c:pt idx="4">
                  <c:v>Unions (Cat 5)</c:v>
                </c:pt>
                <c:pt idx="5">
                  <c:v>Employers (Cat 6)</c:v>
                </c:pt>
                <c:pt idx="6">
                  <c:v>Local Govt (Cat 7)</c:v>
                </c:pt>
                <c:pt idx="7">
                  <c:v>Other community agencies (Cat 8)</c:v>
                </c:pt>
                <c:pt idx="8">
                  <c:v>Koorie (Cat 9)</c:v>
                </c:pt>
                <c:pt idx="9">
                  <c:v>Community members (Cat 10)</c:v>
                </c:pt>
                <c:pt idx="10">
                  <c:v>Co-optees (Cat 11)</c:v>
                </c:pt>
              </c:strCache>
            </c:strRef>
          </c:cat>
          <c:val>
            <c:numRef>
              <c:f>'Membership '!$B$8:$L$8</c:f>
            </c:numRef>
          </c:val>
        </c:ser>
        <c:ser>
          <c:idx val="7"/>
          <c:order val="7"/>
          <c:tx>
            <c:strRef>
              <c:f>'Membership '!$A$9</c:f>
              <c:strCache>
                <c:ptCount val="1"/>
                <c:pt idx="0">
                  <c:v>Central Ranges LLEN</c:v>
                </c:pt>
              </c:strCache>
            </c:strRef>
          </c:tx>
          <c:cat>
            <c:strRef>
              <c:f>'Membership '!$B$1:$L$1</c:f>
              <c:strCache>
                <c:ptCount val="11"/>
                <c:pt idx="0">
                  <c:v>Schools (Cat 1)</c:v>
                </c:pt>
                <c:pt idx="1">
                  <c:v> TAFE (Cat 2)</c:v>
                </c:pt>
                <c:pt idx="2">
                  <c:v>Learn Local (Cat 3)</c:v>
                </c:pt>
                <c:pt idx="3">
                  <c:v>Other education/training providers (Cat 4)</c:v>
                </c:pt>
                <c:pt idx="4">
                  <c:v>Unions (Cat 5)</c:v>
                </c:pt>
                <c:pt idx="5">
                  <c:v>Employers (Cat 6)</c:v>
                </c:pt>
                <c:pt idx="6">
                  <c:v>Local Govt (Cat 7)</c:v>
                </c:pt>
                <c:pt idx="7">
                  <c:v>Other community agencies (Cat 8)</c:v>
                </c:pt>
                <c:pt idx="8">
                  <c:v>Koorie (Cat 9)</c:v>
                </c:pt>
                <c:pt idx="9">
                  <c:v>Community members (Cat 10)</c:v>
                </c:pt>
                <c:pt idx="10">
                  <c:v>Co-optees (Cat 11)</c:v>
                </c:pt>
              </c:strCache>
            </c:strRef>
          </c:cat>
          <c:val>
            <c:numRef>
              <c:f>'Membership '!$B$9:$L$9</c:f>
            </c:numRef>
          </c:val>
        </c:ser>
        <c:ser>
          <c:idx val="8"/>
          <c:order val="8"/>
          <c:tx>
            <c:strRef>
              <c:f>'Membership '!$A$10</c:f>
              <c:strCache>
                <c:ptCount val="1"/>
                <c:pt idx="0">
                  <c:v>Frankston Mornington Peninsula LLEN</c:v>
                </c:pt>
              </c:strCache>
            </c:strRef>
          </c:tx>
          <c:cat>
            <c:strRef>
              <c:f>'Membership '!$B$1:$L$1</c:f>
              <c:strCache>
                <c:ptCount val="11"/>
                <c:pt idx="0">
                  <c:v>Schools (Cat 1)</c:v>
                </c:pt>
                <c:pt idx="1">
                  <c:v> TAFE (Cat 2)</c:v>
                </c:pt>
                <c:pt idx="2">
                  <c:v>Learn Local (Cat 3)</c:v>
                </c:pt>
                <c:pt idx="3">
                  <c:v>Other education/training providers (Cat 4)</c:v>
                </c:pt>
                <c:pt idx="4">
                  <c:v>Unions (Cat 5)</c:v>
                </c:pt>
                <c:pt idx="5">
                  <c:v>Employers (Cat 6)</c:v>
                </c:pt>
                <c:pt idx="6">
                  <c:v>Local Govt (Cat 7)</c:v>
                </c:pt>
                <c:pt idx="7">
                  <c:v>Other community agencies (Cat 8)</c:v>
                </c:pt>
                <c:pt idx="8">
                  <c:v>Koorie (Cat 9)</c:v>
                </c:pt>
                <c:pt idx="9">
                  <c:v>Community members (Cat 10)</c:v>
                </c:pt>
                <c:pt idx="10">
                  <c:v>Co-optees (Cat 11)</c:v>
                </c:pt>
              </c:strCache>
            </c:strRef>
          </c:cat>
          <c:val>
            <c:numRef>
              <c:f>'Membership '!$B$10:$L$10</c:f>
            </c:numRef>
          </c:val>
        </c:ser>
        <c:ser>
          <c:idx val="9"/>
          <c:order val="9"/>
          <c:tx>
            <c:strRef>
              <c:f>'Membership '!$A$11</c:f>
              <c:strCache>
                <c:ptCount val="1"/>
                <c:pt idx="0">
                  <c:v>Gateway LLEN</c:v>
                </c:pt>
              </c:strCache>
            </c:strRef>
          </c:tx>
          <c:cat>
            <c:strRef>
              <c:f>'Membership '!$B$1:$L$1</c:f>
              <c:strCache>
                <c:ptCount val="11"/>
                <c:pt idx="0">
                  <c:v>Schools (Cat 1)</c:v>
                </c:pt>
                <c:pt idx="1">
                  <c:v> TAFE (Cat 2)</c:v>
                </c:pt>
                <c:pt idx="2">
                  <c:v>Learn Local (Cat 3)</c:v>
                </c:pt>
                <c:pt idx="3">
                  <c:v>Other education/training providers (Cat 4)</c:v>
                </c:pt>
                <c:pt idx="4">
                  <c:v>Unions (Cat 5)</c:v>
                </c:pt>
                <c:pt idx="5">
                  <c:v>Employers (Cat 6)</c:v>
                </c:pt>
                <c:pt idx="6">
                  <c:v>Local Govt (Cat 7)</c:v>
                </c:pt>
                <c:pt idx="7">
                  <c:v>Other community agencies (Cat 8)</c:v>
                </c:pt>
                <c:pt idx="8">
                  <c:v>Koorie (Cat 9)</c:v>
                </c:pt>
                <c:pt idx="9">
                  <c:v>Community members (Cat 10)</c:v>
                </c:pt>
                <c:pt idx="10">
                  <c:v>Co-optees (Cat 11)</c:v>
                </c:pt>
              </c:strCache>
            </c:strRef>
          </c:cat>
          <c:val>
            <c:numRef>
              <c:f>'Membership '!$B$11:$L$11</c:f>
            </c:numRef>
          </c:val>
        </c:ser>
        <c:ser>
          <c:idx val="10"/>
          <c:order val="10"/>
          <c:tx>
            <c:strRef>
              <c:f>'Membership '!$A$12</c:f>
              <c:strCache>
                <c:ptCount val="1"/>
                <c:pt idx="0">
                  <c:v>Geelong Region LLEN</c:v>
                </c:pt>
              </c:strCache>
            </c:strRef>
          </c:tx>
          <c:cat>
            <c:strRef>
              <c:f>'Membership '!$B$1:$L$1</c:f>
              <c:strCache>
                <c:ptCount val="11"/>
                <c:pt idx="0">
                  <c:v>Schools (Cat 1)</c:v>
                </c:pt>
                <c:pt idx="1">
                  <c:v> TAFE (Cat 2)</c:v>
                </c:pt>
                <c:pt idx="2">
                  <c:v>Learn Local (Cat 3)</c:v>
                </c:pt>
                <c:pt idx="3">
                  <c:v>Other education/training providers (Cat 4)</c:v>
                </c:pt>
                <c:pt idx="4">
                  <c:v>Unions (Cat 5)</c:v>
                </c:pt>
                <c:pt idx="5">
                  <c:v>Employers (Cat 6)</c:v>
                </c:pt>
                <c:pt idx="6">
                  <c:v>Local Govt (Cat 7)</c:v>
                </c:pt>
                <c:pt idx="7">
                  <c:v>Other community agencies (Cat 8)</c:v>
                </c:pt>
                <c:pt idx="8">
                  <c:v>Koorie (Cat 9)</c:v>
                </c:pt>
                <c:pt idx="9">
                  <c:v>Community members (Cat 10)</c:v>
                </c:pt>
                <c:pt idx="10">
                  <c:v>Co-optees (Cat 11)</c:v>
                </c:pt>
              </c:strCache>
            </c:strRef>
          </c:cat>
          <c:val>
            <c:numRef>
              <c:f>'Membership '!$B$12:$L$12</c:f>
            </c:numRef>
          </c:val>
        </c:ser>
        <c:ser>
          <c:idx val="11"/>
          <c:order val="11"/>
          <c:tx>
            <c:strRef>
              <c:f>'Membership '!$A$13</c:f>
              <c:strCache>
                <c:ptCount val="1"/>
                <c:pt idx="0">
                  <c:v>Gippsland East LLEN</c:v>
                </c:pt>
              </c:strCache>
            </c:strRef>
          </c:tx>
          <c:cat>
            <c:strRef>
              <c:f>'Membership '!$B$1:$L$1</c:f>
              <c:strCache>
                <c:ptCount val="11"/>
                <c:pt idx="0">
                  <c:v>Schools (Cat 1)</c:v>
                </c:pt>
                <c:pt idx="1">
                  <c:v> TAFE (Cat 2)</c:v>
                </c:pt>
                <c:pt idx="2">
                  <c:v>Learn Local (Cat 3)</c:v>
                </c:pt>
                <c:pt idx="3">
                  <c:v>Other education/training providers (Cat 4)</c:v>
                </c:pt>
                <c:pt idx="4">
                  <c:v>Unions (Cat 5)</c:v>
                </c:pt>
                <c:pt idx="5">
                  <c:v>Employers (Cat 6)</c:v>
                </c:pt>
                <c:pt idx="6">
                  <c:v>Local Govt (Cat 7)</c:v>
                </c:pt>
                <c:pt idx="7">
                  <c:v>Other community agencies (Cat 8)</c:v>
                </c:pt>
                <c:pt idx="8">
                  <c:v>Koorie (Cat 9)</c:v>
                </c:pt>
                <c:pt idx="9">
                  <c:v>Community members (Cat 10)</c:v>
                </c:pt>
                <c:pt idx="10">
                  <c:v>Co-optees (Cat 11)</c:v>
                </c:pt>
              </c:strCache>
            </c:strRef>
          </c:cat>
          <c:val>
            <c:numRef>
              <c:f>'Membership '!$B$13:$L$13</c:f>
            </c:numRef>
          </c:val>
        </c:ser>
        <c:ser>
          <c:idx val="12"/>
          <c:order val="12"/>
          <c:tx>
            <c:strRef>
              <c:f>'Membership '!$A$14</c:f>
              <c:strCache>
                <c:ptCount val="1"/>
                <c:pt idx="0">
                  <c:v>Glenelg and Southern Grampians LLEN</c:v>
                </c:pt>
              </c:strCache>
            </c:strRef>
          </c:tx>
          <c:cat>
            <c:strRef>
              <c:f>'Membership '!$B$1:$L$1</c:f>
              <c:strCache>
                <c:ptCount val="11"/>
                <c:pt idx="0">
                  <c:v>Schools (Cat 1)</c:v>
                </c:pt>
                <c:pt idx="1">
                  <c:v> TAFE (Cat 2)</c:v>
                </c:pt>
                <c:pt idx="2">
                  <c:v>Learn Local (Cat 3)</c:v>
                </c:pt>
                <c:pt idx="3">
                  <c:v>Other education/training providers (Cat 4)</c:v>
                </c:pt>
                <c:pt idx="4">
                  <c:v>Unions (Cat 5)</c:v>
                </c:pt>
                <c:pt idx="5">
                  <c:v>Employers (Cat 6)</c:v>
                </c:pt>
                <c:pt idx="6">
                  <c:v>Local Govt (Cat 7)</c:v>
                </c:pt>
                <c:pt idx="7">
                  <c:v>Other community agencies (Cat 8)</c:v>
                </c:pt>
                <c:pt idx="8">
                  <c:v>Koorie (Cat 9)</c:v>
                </c:pt>
                <c:pt idx="9">
                  <c:v>Community members (Cat 10)</c:v>
                </c:pt>
                <c:pt idx="10">
                  <c:v>Co-optees (Cat 11)</c:v>
                </c:pt>
              </c:strCache>
            </c:strRef>
          </c:cat>
          <c:val>
            <c:numRef>
              <c:f>'Membership '!$B$14:$L$14</c:f>
            </c:numRef>
          </c:val>
        </c:ser>
        <c:ser>
          <c:idx val="13"/>
          <c:order val="13"/>
          <c:tx>
            <c:strRef>
              <c:f>'Membership '!$A$15</c:f>
              <c:strCache>
                <c:ptCount val="1"/>
                <c:pt idx="0">
                  <c:v>Goldfields LLEN</c:v>
                </c:pt>
              </c:strCache>
            </c:strRef>
          </c:tx>
          <c:cat>
            <c:strRef>
              <c:f>'Membership '!$B$1:$L$1</c:f>
              <c:strCache>
                <c:ptCount val="11"/>
                <c:pt idx="0">
                  <c:v>Schools (Cat 1)</c:v>
                </c:pt>
                <c:pt idx="1">
                  <c:v> TAFE (Cat 2)</c:v>
                </c:pt>
                <c:pt idx="2">
                  <c:v>Learn Local (Cat 3)</c:v>
                </c:pt>
                <c:pt idx="3">
                  <c:v>Other education/training providers (Cat 4)</c:v>
                </c:pt>
                <c:pt idx="4">
                  <c:v>Unions (Cat 5)</c:v>
                </c:pt>
                <c:pt idx="5">
                  <c:v>Employers (Cat 6)</c:v>
                </c:pt>
                <c:pt idx="6">
                  <c:v>Local Govt (Cat 7)</c:v>
                </c:pt>
                <c:pt idx="7">
                  <c:v>Other community agencies (Cat 8)</c:v>
                </c:pt>
                <c:pt idx="8">
                  <c:v>Koorie (Cat 9)</c:v>
                </c:pt>
                <c:pt idx="9">
                  <c:v>Community members (Cat 10)</c:v>
                </c:pt>
                <c:pt idx="10">
                  <c:v>Co-optees (Cat 11)</c:v>
                </c:pt>
              </c:strCache>
            </c:strRef>
          </c:cat>
          <c:val>
            <c:numRef>
              <c:f>'Membership '!$B$15:$L$15</c:f>
            </c:numRef>
          </c:val>
        </c:ser>
        <c:ser>
          <c:idx val="14"/>
          <c:order val="14"/>
          <c:tx>
            <c:strRef>
              <c:f>'Membership '!$A$16</c:f>
              <c:strCache>
                <c:ptCount val="1"/>
                <c:pt idx="0">
                  <c:v>Goulburn Murray LLEN</c:v>
                </c:pt>
              </c:strCache>
            </c:strRef>
          </c:tx>
          <c:cat>
            <c:strRef>
              <c:f>'Membership '!$B$1:$L$1</c:f>
              <c:strCache>
                <c:ptCount val="11"/>
                <c:pt idx="0">
                  <c:v>Schools (Cat 1)</c:v>
                </c:pt>
                <c:pt idx="1">
                  <c:v> TAFE (Cat 2)</c:v>
                </c:pt>
                <c:pt idx="2">
                  <c:v>Learn Local (Cat 3)</c:v>
                </c:pt>
                <c:pt idx="3">
                  <c:v>Other education/training providers (Cat 4)</c:v>
                </c:pt>
                <c:pt idx="4">
                  <c:v>Unions (Cat 5)</c:v>
                </c:pt>
                <c:pt idx="5">
                  <c:v>Employers (Cat 6)</c:v>
                </c:pt>
                <c:pt idx="6">
                  <c:v>Local Govt (Cat 7)</c:v>
                </c:pt>
                <c:pt idx="7">
                  <c:v>Other community agencies (Cat 8)</c:v>
                </c:pt>
                <c:pt idx="8">
                  <c:v>Koorie (Cat 9)</c:v>
                </c:pt>
                <c:pt idx="9">
                  <c:v>Community members (Cat 10)</c:v>
                </c:pt>
                <c:pt idx="10">
                  <c:v>Co-optees (Cat 11)</c:v>
                </c:pt>
              </c:strCache>
            </c:strRef>
          </c:cat>
          <c:val>
            <c:numRef>
              <c:f>'Membership '!$B$16:$L$16</c:f>
            </c:numRef>
          </c:val>
        </c:ser>
        <c:ser>
          <c:idx val="15"/>
          <c:order val="15"/>
          <c:tx>
            <c:strRef>
              <c:f>'Membership '!$A$17</c:f>
              <c:strCache>
                <c:ptCount val="1"/>
                <c:pt idx="0">
                  <c:v>Highlands LLEN</c:v>
                </c:pt>
              </c:strCache>
            </c:strRef>
          </c:tx>
          <c:cat>
            <c:strRef>
              <c:f>'Membership '!$B$1:$L$1</c:f>
              <c:strCache>
                <c:ptCount val="11"/>
                <c:pt idx="0">
                  <c:v>Schools (Cat 1)</c:v>
                </c:pt>
                <c:pt idx="1">
                  <c:v> TAFE (Cat 2)</c:v>
                </c:pt>
                <c:pt idx="2">
                  <c:v>Learn Local (Cat 3)</c:v>
                </c:pt>
                <c:pt idx="3">
                  <c:v>Other education/training providers (Cat 4)</c:v>
                </c:pt>
                <c:pt idx="4">
                  <c:v>Unions (Cat 5)</c:v>
                </c:pt>
                <c:pt idx="5">
                  <c:v>Employers (Cat 6)</c:v>
                </c:pt>
                <c:pt idx="6">
                  <c:v>Local Govt (Cat 7)</c:v>
                </c:pt>
                <c:pt idx="7">
                  <c:v>Other community agencies (Cat 8)</c:v>
                </c:pt>
                <c:pt idx="8">
                  <c:v>Koorie (Cat 9)</c:v>
                </c:pt>
                <c:pt idx="9">
                  <c:v>Community members (Cat 10)</c:v>
                </c:pt>
                <c:pt idx="10">
                  <c:v>Co-optees (Cat 11)</c:v>
                </c:pt>
              </c:strCache>
            </c:strRef>
          </c:cat>
          <c:val>
            <c:numRef>
              <c:f>'Membership '!$B$17:$L$17</c:f>
            </c:numRef>
          </c:val>
        </c:ser>
        <c:ser>
          <c:idx val="16"/>
          <c:order val="16"/>
          <c:tx>
            <c:strRef>
              <c:f>'Membership '!$A$18</c:f>
              <c:strCache>
                <c:ptCount val="1"/>
                <c:pt idx="0">
                  <c:v>Hume Whittlesea LLEN</c:v>
                </c:pt>
              </c:strCache>
            </c:strRef>
          </c:tx>
          <c:cat>
            <c:strRef>
              <c:f>'Membership '!$B$1:$L$1</c:f>
              <c:strCache>
                <c:ptCount val="11"/>
                <c:pt idx="0">
                  <c:v>Schools (Cat 1)</c:v>
                </c:pt>
                <c:pt idx="1">
                  <c:v> TAFE (Cat 2)</c:v>
                </c:pt>
                <c:pt idx="2">
                  <c:v>Learn Local (Cat 3)</c:v>
                </c:pt>
                <c:pt idx="3">
                  <c:v>Other education/training providers (Cat 4)</c:v>
                </c:pt>
                <c:pt idx="4">
                  <c:v>Unions (Cat 5)</c:v>
                </c:pt>
                <c:pt idx="5">
                  <c:v>Employers (Cat 6)</c:v>
                </c:pt>
                <c:pt idx="6">
                  <c:v>Local Govt (Cat 7)</c:v>
                </c:pt>
                <c:pt idx="7">
                  <c:v>Other community agencies (Cat 8)</c:v>
                </c:pt>
                <c:pt idx="8">
                  <c:v>Koorie (Cat 9)</c:v>
                </c:pt>
                <c:pt idx="9">
                  <c:v>Community members (Cat 10)</c:v>
                </c:pt>
                <c:pt idx="10">
                  <c:v>Co-optees (Cat 11)</c:v>
                </c:pt>
              </c:strCache>
            </c:strRef>
          </c:cat>
          <c:val>
            <c:numRef>
              <c:f>'Membership '!$B$18:$L$18</c:f>
            </c:numRef>
          </c:val>
        </c:ser>
        <c:ser>
          <c:idx val="17"/>
          <c:order val="17"/>
          <c:tx>
            <c:strRef>
              <c:f>'Membership '!$A$19</c:f>
              <c:strCache>
                <c:ptCount val="1"/>
                <c:pt idx="0">
                  <c:v>Inner Eastern LLEN</c:v>
                </c:pt>
              </c:strCache>
            </c:strRef>
          </c:tx>
          <c:cat>
            <c:strRef>
              <c:f>'Membership '!$B$1:$L$1</c:f>
              <c:strCache>
                <c:ptCount val="11"/>
                <c:pt idx="0">
                  <c:v>Schools (Cat 1)</c:v>
                </c:pt>
                <c:pt idx="1">
                  <c:v> TAFE (Cat 2)</c:v>
                </c:pt>
                <c:pt idx="2">
                  <c:v>Learn Local (Cat 3)</c:v>
                </c:pt>
                <c:pt idx="3">
                  <c:v>Other education/training providers (Cat 4)</c:v>
                </c:pt>
                <c:pt idx="4">
                  <c:v>Unions (Cat 5)</c:v>
                </c:pt>
                <c:pt idx="5">
                  <c:v>Employers (Cat 6)</c:v>
                </c:pt>
                <c:pt idx="6">
                  <c:v>Local Govt (Cat 7)</c:v>
                </c:pt>
                <c:pt idx="7">
                  <c:v>Other community agencies (Cat 8)</c:v>
                </c:pt>
                <c:pt idx="8">
                  <c:v>Koorie (Cat 9)</c:v>
                </c:pt>
                <c:pt idx="9">
                  <c:v>Community members (Cat 10)</c:v>
                </c:pt>
                <c:pt idx="10">
                  <c:v>Co-optees (Cat 11)</c:v>
                </c:pt>
              </c:strCache>
            </c:strRef>
          </c:cat>
          <c:val>
            <c:numRef>
              <c:f>'Membership '!$B$19:$L$19</c:f>
            </c:numRef>
          </c:val>
        </c:ser>
        <c:ser>
          <c:idx val="18"/>
          <c:order val="18"/>
          <c:tx>
            <c:strRef>
              <c:f>'Membership '!$A$20</c:f>
              <c:strCache>
                <c:ptCount val="1"/>
                <c:pt idx="0">
                  <c:v>Inner Northern LLEN</c:v>
                </c:pt>
              </c:strCache>
            </c:strRef>
          </c:tx>
          <c:cat>
            <c:strRef>
              <c:f>'Membership '!$B$1:$L$1</c:f>
              <c:strCache>
                <c:ptCount val="11"/>
                <c:pt idx="0">
                  <c:v>Schools (Cat 1)</c:v>
                </c:pt>
                <c:pt idx="1">
                  <c:v> TAFE (Cat 2)</c:v>
                </c:pt>
                <c:pt idx="2">
                  <c:v>Learn Local (Cat 3)</c:v>
                </c:pt>
                <c:pt idx="3">
                  <c:v>Other education/training providers (Cat 4)</c:v>
                </c:pt>
                <c:pt idx="4">
                  <c:v>Unions (Cat 5)</c:v>
                </c:pt>
                <c:pt idx="5">
                  <c:v>Employers (Cat 6)</c:v>
                </c:pt>
                <c:pt idx="6">
                  <c:v>Local Govt (Cat 7)</c:v>
                </c:pt>
                <c:pt idx="7">
                  <c:v>Other community agencies (Cat 8)</c:v>
                </c:pt>
                <c:pt idx="8">
                  <c:v>Koorie (Cat 9)</c:v>
                </c:pt>
                <c:pt idx="9">
                  <c:v>Community members (Cat 10)</c:v>
                </c:pt>
                <c:pt idx="10">
                  <c:v>Co-optees (Cat 11)</c:v>
                </c:pt>
              </c:strCache>
            </c:strRef>
          </c:cat>
          <c:val>
            <c:numRef>
              <c:f>'Membership '!$B$20:$L$20</c:f>
            </c:numRef>
          </c:val>
        </c:ser>
        <c:ser>
          <c:idx val="19"/>
          <c:order val="19"/>
          <c:tx>
            <c:strRef>
              <c:f>'Membership '!$A$21</c:f>
              <c:strCache>
                <c:ptCount val="1"/>
                <c:pt idx="0">
                  <c:v>Maribyrnong &amp; Moonee Valley LLEN</c:v>
                </c:pt>
              </c:strCache>
            </c:strRef>
          </c:tx>
          <c:cat>
            <c:strRef>
              <c:f>'Membership '!$B$1:$L$1</c:f>
              <c:strCache>
                <c:ptCount val="11"/>
                <c:pt idx="0">
                  <c:v>Schools (Cat 1)</c:v>
                </c:pt>
                <c:pt idx="1">
                  <c:v> TAFE (Cat 2)</c:v>
                </c:pt>
                <c:pt idx="2">
                  <c:v>Learn Local (Cat 3)</c:v>
                </c:pt>
                <c:pt idx="3">
                  <c:v>Other education/training providers (Cat 4)</c:v>
                </c:pt>
                <c:pt idx="4">
                  <c:v>Unions (Cat 5)</c:v>
                </c:pt>
                <c:pt idx="5">
                  <c:v>Employers (Cat 6)</c:v>
                </c:pt>
                <c:pt idx="6">
                  <c:v>Local Govt (Cat 7)</c:v>
                </c:pt>
                <c:pt idx="7">
                  <c:v>Other community agencies (Cat 8)</c:v>
                </c:pt>
                <c:pt idx="8">
                  <c:v>Koorie (Cat 9)</c:v>
                </c:pt>
                <c:pt idx="9">
                  <c:v>Community members (Cat 10)</c:v>
                </c:pt>
                <c:pt idx="10">
                  <c:v>Co-optees (Cat 11)</c:v>
                </c:pt>
              </c:strCache>
            </c:strRef>
          </c:cat>
          <c:val>
            <c:numRef>
              <c:f>'Membership '!$B$21:$L$21</c:f>
            </c:numRef>
          </c:val>
        </c:ser>
        <c:ser>
          <c:idx val="20"/>
          <c:order val="20"/>
          <c:tx>
            <c:strRef>
              <c:f>'Membership '!$A$22</c:f>
              <c:strCache>
                <c:ptCount val="1"/>
                <c:pt idx="0">
                  <c:v>Murray Mallee LLEN</c:v>
                </c:pt>
              </c:strCache>
            </c:strRef>
          </c:tx>
          <c:cat>
            <c:strRef>
              <c:f>'Membership '!$B$1:$L$1</c:f>
              <c:strCache>
                <c:ptCount val="11"/>
                <c:pt idx="0">
                  <c:v>Schools (Cat 1)</c:v>
                </c:pt>
                <c:pt idx="1">
                  <c:v> TAFE (Cat 2)</c:v>
                </c:pt>
                <c:pt idx="2">
                  <c:v>Learn Local (Cat 3)</c:v>
                </c:pt>
                <c:pt idx="3">
                  <c:v>Other education/training providers (Cat 4)</c:v>
                </c:pt>
                <c:pt idx="4">
                  <c:v>Unions (Cat 5)</c:v>
                </c:pt>
                <c:pt idx="5">
                  <c:v>Employers (Cat 6)</c:v>
                </c:pt>
                <c:pt idx="6">
                  <c:v>Local Govt (Cat 7)</c:v>
                </c:pt>
                <c:pt idx="7">
                  <c:v>Other community agencies (Cat 8)</c:v>
                </c:pt>
                <c:pt idx="8">
                  <c:v>Koorie (Cat 9)</c:v>
                </c:pt>
                <c:pt idx="9">
                  <c:v>Community members (Cat 10)</c:v>
                </c:pt>
                <c:pt idx="10">
                  <c:v>Co-optees (Cat 11)</c:v>
                </c:pt>
              </c:strCache>
            </c:strRef>
          </c:cat>
          <c:val>
            <c:numRef>
              <c:f>'Membership '!$B$22:$L$22</c:f>
            </c:numRef>
          </c:val>
        </c:ser>
        <c:ser>
          <c:idx val="21"/>
          <c:order val="21"/>
          <c:tx>
            <c:strRef>
              <c:f>'Membership '!$A$23</c:f>
              <c:strCache>
                <c:ptCount val="1"/>
                <c:pt idx="0">
                  <c:v>NE TRACKS LLEN</c:v>
                </c:pt>
              </c:strCache>
            </c:strRef>
          </c:tx>
          <c:cat>
            <c:strRef>
              <c:f>'Membership '!$B$1:$L$1</c:f>
              <c:strCache>
                <c:ptCount val="11"/>
                <c:pt idx="0">
                  <c:v>Schools (Cat 1)</c:v>
                </c:pt>
                <c:pt idx="1">
                  <c:v> TAFE (Cat 2)</c:v>
                </c:pt>
                <c:pt idx="2">
                  <c:v>Learn Local (Cat 3)</c:v>
                </c:pt>
                <c:pt idx="3">
                  <c:v>Other education/training providers (Cat 4)</c:v>
                </c:pt>
                <c:pt idx="4">
                  <c:v>Unions (Cat 5)</c:v>
                </c:pt>
                <c:pt idx="5">
                  <c:v>Employers (Cat 6)</c:v>
                </c:pt>
                <c:pt idx="6">
                  <c:v>Local Govt (Cat 7)</c:v>
                </c:pt>
                <c:pt idx="7">
                  <c:v>Other community agencies (Cat 8)</c:v>
                </c:pt>
                <c:pt idx="8">
                  <c:v>Koorie (Cat 9)</c:v>
                </c:pt>
                <c:pt idx="9">
                  <c:v>Community members (Cat 10)</c:v>
                </c:pt>
                <c:pt idx="10">
                  <c:v>Co-optees (Cat 11)</c:v>
                </c:pt>
              </c:strCache>
            </c:strRef>
          </c:cat>
          <c:val>
            <c:numRef>
              <c:f>'Membership '!$B$23:$L$23</c:f>
            </c:numRef>
          </c:val>
        </c:ser>
        <c:ser>
          <c:idx val="22"/>
          <c:order val="22"/>
          <c:tx>
            <c:strRef>
              <c:f>'Membership '!$A$24</c:f>
              <c:strCache>
                <c:ptCount val="1"/>
                <c:pt idx="0">
                  <c:v>North Central LLEN</c:v>
                </c:pt>
              </c:strCache>
            </c:strRef>
          </c:tx>
          <c:cat>
            <c:strRef>
              <c:f>'Membership '!$B$1:$L$1</c:f>
              <c:strCache>
                <c:ptCount val="11"/>
                <c:pt idx="0">
                  <c:v>Schools (Cat 1)</c:v>
                </c:pt>
                <c:pt idx="1">
                  <c:v> TAFE (Cat 2)</c:v>
                </c:pt>
                <c:pt idx="2">
                  <c:v>Learn Local (Cat 3)</c:v>
                </c:pt>
                <c:pt idx="3">
                  <c:v>Other education/training providers (Cat 4)</c:v>
                </c:pt>
                <c:pt idx="4">
                  <c:v>Unions (Cat 5)</c:v>
                </c:pt>
                <c:pt idx="5">
                  <c:v>Employers (Cat 6)</c:v>
                </c:pt>
                <c:pt idx="6">
                  <c:v>Local Govt (Cat 7)</c:v>
                </c:pt>
                <c:pt idx="7">
                  <c:v>Other community agencies (Cat 8)</c:v>
                </c:pt>
                <c:pt idx="8">
                  <c:v>Koorie (Cat 9)</c:v>
                </c:pt>
                <c:pt idx="9">
                  <c:v>Community members (Cat 10)</c:v>
                </c:pt>
                <c:pt idx="10">
                  <c:v>Co-optees (Cat 11)</c:v>
                </c:pt>
              </c:strCache>
            </c:strRef>
          </c:cat>
          <c:val>
            <c:numRef>
              <c:f>'Membership '!$B$24:$L$24</c:f>
            </c:numRef>
          </c:val>
        </c:ser>
        <c:ser>
          <c:idx val="23"/>
          <c:order val="23"/>
          <c:tx>
            <c:strRef>
              <c:f>'Membership '!$A$25</c:f>
              <c:strCache>
                <c:ptCount val="1"/>
                <c:pt idx="0">
                  <c:v>North East LLEN</c:v>
                </c:pt>
              </c:strCache>
            </c:strRef>
          </c:tx>
          <c:cat>
            <c:strRef>
              <c:f>'Membership '!$B$1:$L$1</c:f>
              <c:strCache>
                <c:ptCount val="11"/>
                <c:pt idx="0">
                  <c:v>Schools (Cat 1)</c:v>
                </c:pt>
                <c:pt idx="1">
                  <c:v> TAFE (Cat 2)</c:v>
                </c:pt>
                <c:pt idx="2">
                  <c:v>Learn Local (Cat 3)</c:v>
                </c:pt>
                <c:pt idx="3">
                  <c:v>Other education/training providers (Cat 4)</c:v>
                </c:pt>
                <c:pt idx="4">
                  <c:v>Unions (Cat 5)</c:v>
                </c:pt>
                <c:pt idx="5">
                  <c:v>Employers (Cat 6)</c:v>
                </c:pt>
                <c:pt idx="6">
                  <c:v>Local Govt (Cat 7)</c:v>
                </c:pt>
                <c:pt idx="7">
                  <c:v>Other community agencies (Cat 8)</c:v>
                </c:pt>
                <c:pt idx="8">
                  <c:v>Koorie (Cat 9)</c:v>
                </c:pt>
                <c:pt idx="9">
                  <c:v>Community members (Cat 10)</c:v>
                </c:pt>
                <c:pt idx="10">
                  <c:v>Co-optees (Cat 11)</c:v>
                </c:pt>
              </c:strCache>
            </c:strRef>
          </c:cat>
          <c:val>
            <c:numRef>
              <c:f>'Membership '!$B$25:$L$25</c:f>
            </c:numRef>
          </c:val>
        </c:ser>
        <c:ser>
          <c:idx val="24"/>
          <c:order val="24"/>
          <c:tx>
            <c:strRef>
              <c:f>'Membership '!$A$26</c:f>
              <c:strCache>
                <c:ptCount val="1"/>
                <c:pt idx="0">
                  <c:v>Northern Mallee LLEN</c:v>
                </c:pt>
              </c:strCache>
            </c:strRef>
          </c:tx>
          <c:cat>
            <c:strRef>
              <c:f>'Membership '!$B$1:$L$1</c:f>
              <c:strCache>
                <c:ptCount val="11"/>
                <c:pt idx="0">
                  <c:v>Schools (Cat 1)</c:v>
                </c:pt>
                <c:pt idx="1">
                  <c:v> TAFE (Cat 2)</c:v>
                </c:pt>
                <c:pt idx="2">
                  <c:v>Learn Local (Cat 3)</c:v>
                </c:pt>
                <c:pt idx="3">
                  <c:v>Other education/training providers (Cat 4)</c:v>
                </c:pt>
                <c:pt idx="4">
                  <c:v>Unions (Cat 5)</c:v>
                </c:pt>
                <c:pt idx="5">
                  <c:v>Employers (Cat 6)</c:v>
                </c:pt>
                <c:pt idx="6">
                  <c:v>Local Govt (Cat 7)</c:v>
                </c:pt>
                <c:pt idx="7">
                  <c:v>Other community agencies (Cat 8)</c:v>
                </c:pt>
                <c:pt idx="8">
                  <c:v>Koorie (Cat 9)</c:v>
                </c:pt>
                <c:pt idx="9">
                  <c:v>Community members (Cat 10)</c:v>
                </c:pt>
                <c:pt idx="10">
                  <c:v>Co-optees (Cat 11)</c:v>
                </c:pt>
              </c:strCache>
            </c:strRef>
          </c:cat>
          <c:val>
            <c:numRef>
              <c:f>'Membership '!$B$26:$L$26</c:f>
            </c:numRef>
          </c:val>
        </c:ser>
        <c:ser>
          <c:idx val="25"/>
          <c:order val="25"/>
          <c:tx>
            <c:strRef>
              <c:f>'Membership '!$A$27</c:f>
              <c:strCache>
                <c:ptCount val="1"/>
                <c:pt idx="0">
                  <c:v>Outer Eastern LLEN</c:v>
                </c:pt>
              </c:strCache>
            </c:strRef>
          </c:tx>
          <c:cat>
            <c:strRef>
              <c:f>'Membership '!$B$1:$L$1</c:f>
              <c:strCache>
                <c:ptCount val="11"/>
                <c:pt idx="0">
                  <c:v>Schools (Cat 1)</c:v>
                </c:pt>
                <c:pt idx="1">
                  <c:v> TAFE (Cat 2)</c:v>
                </c:pt>
                <c:pt idx="2">
                  <c:v>Learn Local (Cat 3)</c:v>
                </c:pt>
                <c:pt idx="3">
                  <c:v>Other education/training providers (Cat 4)</c:v>
                </c:pt>
                <c:pt idx="4">
                  <c:v>Unions (Cat 5)</c:v>
                </c:pt>
                <c:pt idx="5">
                  <c:v>Employers (Cat 6)</c:v>
                </c:pt>
                <c:pt idx="6">
                  <c:v>Local Govt (Cat 7)</c:v>
                </c:pt>
                <c:pt idx="7">
                  <c:v>Other community agencies (Cat 8)</c:v>
                </c:pt>
                <c:pt idx="8">
                  <c:v>Koorie (Cat 9)</c:v>
                </c:pt>
                <c:pt idx="9">
                  <c:v>Community members (Cat 10)</c:v>
                </c:pt>
                <c:pt idx="10">
                  <c:v>Co-optees (Cat 11)</c:v>
                </c:pt>
              </c:strCache>
            </c:strRef>
          </c:cat>
          <c:val>
            <c:numRef>
              <c:f>'Membership '!$B$27:$L$27</c:f>
            </c:numRef>
          </c:val>
        </c:ser>
        <c:ser>
          <c:idx val="26"/>
          <c:order val="26"/>
          <c:tx>
            <c:strRef>
              <c:f>'Membership '!$A$28</c:f>
              <c:strCache>
                <c:ptCount val="1"/>
                <c:pt idx="0">
                  <c:v>South East LLEN</c:v>
                </c:pt>
              </c:strCache>
            </c:strRef>
          </c:tx>
          <c:cat>
            <c:strRef>
              <c:f>'Membership '!$B$1:$L$1</c:f>
              <c:strCache>
                <c:ptCount val="11"/>
                <c:pt idx="0">
                  <c:v>Schools (Cat 1)</c:v>
                </c:pt>
                <c:pt idx="1">
                  <c:v> TAFE (Cat 2)</c:v>
                </c:pt>
                <c:pt idx="2">
                  <c:v>Learn Local (Cat 3)</c:v>
                </c:pt>
                <c:pt idx="3">
                  <c:v>Other education/training providers (Cat 4)</c:v>
                </c:pt>
                <c:pt idx="4">
                  <c:v>Unions (Cat 5)</c:v>
                </c:pt>
                <c:pt idx="5">
                  <c:v>Employers (Cat 6)</c:v>
                </c:pt>
                <c:pt idx="6">
                  <c:v>Local Govt (Cat 7)</c:v>
                </c:pt>
                <c:pt idx="7">
                  <c:v>Other community agencies (Cat 8)</c:v>
                </c:pt>
                <c:pt idx="8">
                  <c:v>Koorie (Cat 9)</c:v>
                </c:pt>
                <c:pt idx="9">
                  <c:v>Community members (Cat 10)</c:v>
                </c:pt>
                <c:pt idx="10">
                  <c:v>Co-optees (Cat 11)</c:v>
                </c:pt>
              </c:strCache>
            </c:strRef>
          </c:cat>
          <c:val>
            <c:numRef>
              <c:f>'Membership '!$B$28:$L$28</c:f>
            </c:numRef>
          </c:val>
        </c:ser>
        <c:ser>
          <c:idx val="27"/>
          <c:order val="27"/>
          <c:tx>
            <c:strRef>
              <c:f>'Membership '!$A$29</c:f>
              <c:strCache>
                <c:ptCount val="1"/>
                <c:pt idx="0">
                  <c:v>South Gippsland Bass Coast LLEN</c:v>
                </c:pt>
              </c:strCache>
            </c:strRef>
          </c:tx>
          <c:cat>
            <c:strRef>
              <c:f>'Membership '!$B$1:$L$1</c:f>
              <c:strCache>
                <c:ptCount val="11"/>
                <c:pt idx="0">
                  <c:v>Schools (Cat 1)</c:v>
                </c:pt>
                <c:pt idx="1">
                  <c:v> TAFE (Cat 2)</c:v>
                </c:pt>
                <c:pt idx="2">
                  <c:v>Learn Local (Cat 3)</c:v>
                </c:pt>
                <c:pt idx="3">
                  <c:v>Other education/training providers (Cat 4)</c:v>
                </c:pt>
                <c:pt idx="4">
                  <c:v>Unions (Cat 5)</c:v>
                </c:pt>
                <c:pt idx="5">
                  <c:v>Employers (Cat 6)</c:v>
                </c:pt>
                <c:pt idx="6">
                  <c:v>Local Govt (Cat 7)</c:v>
                </c:pt>
                <c:pt idx="7">
                  <c:v>Other community agencies (Cat 8)</c:v>
                </c:pt>
                <c:pt idx="8">
                  <c:v>Koorie (Cat 9)</c:v>
                </c:pt>
                <c:pt idx="9">
                  <c:v>Community members (Cat 10)</c:v>
                </c:pt>
                <c:pt idx="10">
                  <c:v>Co-optees (Cat 11)</c:v>
                </c:pt>
              </c:strCache>
            </c:strRef>
          </c:cat>
          <c:val>
            <c:numRef>
              <c:f>'Membership '!$B$29:$L$29</c:f>
            </c:numRef>
          </c:val>
        </c:ser>
        <c:ser>
          <c:idx val="28"/>
          <c:order val="28"/>
          <c:tx>
            <c:strRef>
              <c:f>'Membership '!$A$30</c:f>
              <c:strCache>
                <c:ptCount val="1"/>
                <c:pt idx="0">
                  <c:v>South West LLEN</c:v>
                </c:pt>
              </c:strCache>
            </c:strRef>
          </c:tx>
          <c:cat>
            <c:strRef>
              <c:f>'Membership '!$B$1:$L$1</c:f>
              <c:strCache>
                <c:ptCount val="11"/>
                <c:pt idx="0">
                  <c:v>Schools (Cat 1)</c:v>
                </c:pt>
                <c:pt idx="1">
                  <c:v> TAFE (Cat 2)</c:v>
                </c:pt>
                <c:pt idx="2">
                  <c:v>Learn Local (Cat 3)</c:v>
                </c:pt>
                <c:pt idx="3">
                  <c:v>Other education/training providers (Cat 4)</c:v>
                </c:pt>
                <c:pt idx="4">
                  <c:v>Unions (Cat 5)</c:v>
                </c:pt>
                <c:pt idx="5">
                  <c:v>Employers (Cat 6)</c:v>
                </c:pt>
                <c:pt idx="6">
                  <c:v>Local Govt (Cat 7)</c:v>
                </c:pt>
                <c:pt idx="7">
                  <c:v>Other community agencies (Cat 8)</c:v>
                </c:pt>
                <c:pt idx="8">
                  <c:v>Koorie (Cat 9)</c:v>
                </c:pt>
                <c:pt idx="9">
                  <c:v>Community members (Cat 10)</c:v>
                </c:pt>
                <c:pt idx="10">
                  <c:v>Co-optees (Cat 11)</c:v>
                </c:pt>
              </c:strCache>
            </c:strRef>
          </c:cat>
          <c:val>
            <c:numRef>
              <c:f>'Membership '!$B$30:$L$30</c:f>
            </c:numRef>
          </c:val>
        </c:ser>
        <c:ser>
          <c:idx val="29"/>
          <c:order val="29"/>
          <c:tx>
            <c:strRef>
              <c:f>'Membership '!$A$31</c:f>
              <c:strCache>
                <c:ptCount val="1"/>
                <c:pt idx="0">
                  <c:v>Wimmera Southern Mallee LLEN</c:v>
                </c:pt>
              </c:strCache>
            </c:strRef>
          </c:tx>
          <c:cat>
            <c:strRef>
              <c:f>'Membership '!$B$1:$L$1</c:f>
              <c:strCache>
                <c:ptCount val="11"/>
                <c:pt idx="0">
                  <c:v>Schools (Cat 1)</c:v>
                </c:pt>
                <c:pt idx="1">
                  <c:v> TAFE (Cat 2)</c:v>
                </c:pt>
                <c:pt idx="2">
                  <c:v>Learn Local (Cat 3)</c:v>
                </c:pt>
                <c:pt idx="3">
                  <c:v>Other education/training providers (Cat 4)</c:v>
                </c:pt>
                <c:pt idx="4">
                  <c:v>Unions (Cat 5)</c:v>
                </c:pt>
                <c:pt idx="5">
                  <c:v>Employers (Cat 6)</c:v>
                </c:pt>
                <c:pt idx="6">
                  <c:v>Local Govt (Cat 7)</c:v>
                </c:pt>
                <c:pt idx="7">
                  <c:v>Other community agencies (Cat 8)</c:v>
                </c:pt>
                <c:pt idx="8">
                  <c:v>Koorie (Cat 9)</c:v>
                </c:pt>
                <c:pt idx="9">
                  <c:v>Community members (Cat 10)</c:v>
                </c:pt>
                <c:pt idx="10">
                  <c:v>Co-optees (Cat 11)</c:v>
                </c:pt>
              </c:strCache>
            </c:strRef>
          </c:cat>
          <c:val>
            <c:numRef>
              <c:f>'Membership '!$B$31:$L$31</c:f>
            </c:numRef>
          </c:val>
        </c:ser>
        <c:ser>
          <c:idx val="30"/>
          <c:order val="30"/>
          <c:tx>
            <c:strRef>
              <c:f>'Membership '!$A$32</c:f>
              <c:strCache>
                <c:ptCount val="1"/>
                <c:pt idx="0">
                  <c:v>WynBay LLEN</c:v>
                </c:pt>
              </c:strCache>
            </c:strRef>
          </c:tx>
          <c:cat>
            <c:strRef>
              <c:f>'Membership '!$B$1:$L$1</c:f>
              <c:strCache>
                <c:ptCount val="11"/>
                <c:pt idx="0">
                  <c:v>Schools (Cat 1)</c:v>
                </c:pt>
                <c:pt idx="1">
                  <c:v> TAFE (Cat 2)</c:v>
                </c:pt>
                <c:pt idx="2">
                  <c:v>Learn Local (Cat 3)</c:v>
                </c:pt>
                <c:pt idx="3">
                  <c:v>Other education/training providers (Cat 4)</c:v>
                </c:pt>
                <c:pt idx="4">
                  <c:v>Unions (Cat 5)</c:v>
                </c:pt>
                <c:pt idx="5">
                  <c:v>Employers (Cat 6)</c:v>
                </c:pt>
                <c:pt idx="6">
                  <c:v>Local Govt (Cat 7)</c:v>
                </c:pt>
                <c:pt idx="7">
                  <c:v>Other community agencies (Cat 8)</c:v>
                </c:pt>
                <c:pt idx="8">
                  <c:v>Koorie (Cat 9)</c:v>
                </c:pt>
                <c:pt idx="9">
                  <c:v>Community members (Cat 10)</c:v>
                </c:pt>
                <c:pt idx="10">
                  <c:v>Co-optees (Cat 11)</c:v>
                </c:pt>
              </c:strCache>
            </c:strRef>
          </c:cat>
          <c:val>
            <c:numRef>
              <c:f>'Membership '!$B$32:$L$32</c:f>
            </c:numRef>
          </c:val>
        </c:ser>
        <c:ser>
          <c:idx val="31"/>
          <c:order val="31"/>
          <c:tx>
            <c:strRef>
              <c:f>'Membership '!$A$33</c:f>
              <c:strCache>
                <c:ptCount val="1"/>
                <c:pt idx="0">
                  <c:v>Total</c:v>
                </c:pt>
              </c:strCache>
            </c:strRef>
          </c:tx>
          <c:dLbls>
            <c:dLblPos val="inEnd"/>
            <c:showLegendKey val="0"/>
            <c:showVal val="1"/>
            <c:showCatName val="0"/>
            <c:showSerName val="0"/>
            <c:showPercent val="1"/>
            <c:showBubbleSize val="0"/>
            <c:separator>
</c:separator>
            <c:showLeaderLines val="1"/>
          </c:dLbls>
          <c:cat>
            <c:strRef>
              <c:f>'Membership '!$B$1:$L$1</c:f>
              <c:strCache>
                <c:ptCount val="11"/>
                <c:pt idx="0">
                  <c:v>Schools (Cat 1)</c:v>
                </c:pt>
                <c:pt idx="1">
                  <c:v> TAFE (Cat 2)</c:v>
                </c:pt>
                <c:pt idx="2">
                  <c:v>Learn Local (Cat 3)</c:v>
                </c:pt>
                <c:pt idx="3">
                  <c:v>Other education/training providers (Cat 4)</c:v>
                </c:pt>
                <c:pt idx="4">
                  <c:v>Unions (Cat 5)</c:v>
                </c:pt>
                <c:pt idx="5">
                  <c:v>Employers (Cat 6)</c:v>
                </c:pt>
                <c:pt idx="6">
                  <c:v>Local Govt (Cat 7)</c:v>
                </c:pt>
                <c:pt idx="7">
                  <c:v>Other community agencies (Cat 8)</c:v>
                </c:pt>
                <c:pt idx="8">
                  <c:v>Koorie (Cat 9)</c:v>
                </c:pt>
                <c:pt idx="9">
                  <c:v>Community members (Cat 10)</c:v>
                </c:pt>
                <c:pt idx="10">
                  <c:v>Co-optees (Cat 11)</c:v>
                </c:pt>
              </c:strCache>
            </c:strRef>
          </c:cat>
          <c:val>
            <c:numRef>
              <c:f>'Membership '!$B$33:$L$33</c:f>
              <c:numCache>
                <c:formatCode>0</c:formatCode>
                <c:ptCount val="11"/>
                <c:pt idx="0">
                  <c:v>759</c:v>
                </c:pt>
                <c:pt idx="1">
                  <c:v>120</c:v>
                </c:pt>
                <c:pt idx="2">
                  <c:v>236</c:v>
                </c:pt>
                <c:pt idx="3">
                  <c:v>370</c:v>
                </c:pt>
                <c:pt idx="4">
                  <c:v>52</c:v>
                </c:pt>
                <c:pt idx="5">
                  <c:v>754</c:v>
                </c:pt>
                <c:pt idx="6">
                  <c:v>106</c:v>
                </c:pt>
                <c:pt idx="7">
                  <c:v>605</c:v>
                </c:pt>
                <c:pt idx="8">
                  <c:v>101</c:v>
                </c:pt>
                <c:pt idx="9">
                  <c:v>2436</c:v>
                </c:pt>
                <c:pt idx="10">
                  <c:v>53</c:v>
                </c:pt>
              </c:numCache>
            </c:numRef>
          </c:val>
        </c:ser>
        <c:dLbls>
          <c:showLegendKey val="0"/>
          <c:showVal val="0"/>
          <c:showCatName val="0"/>
          <c:showSerName val="0"/>
          <c:showPercent val="0"/>
          <c:showBubbleSize val="0"/>
          <c:showLeaderLines val="1"/>
        </c:dLbls>
        <c:firstSliceAng val="0"/>
      </c:pieChart>
    </c:plotArea>
    <c:legend>
      <c:legendPos val="r"/>
      <c:layout>
        <c:manualLayout>
          <c:xMode val="edge"/>
          <c:yMode val="edge"/>
          <c:x val="0.63889058110504193"/>
          <c:y val="0.12512366317627535"/>
          <c:w val="0.35924067628987383"/>
          <c:h val="0.85061713053443644"/>
        </c:manualLayout>
      </c:layout>
      <c:overlay val="0"/>
      <c:txPr>
        <a:bodyPr/>
        <a:lstStyle/>
        <a:p>
          <a:pPr>
            <a:defRPr sz="1000" b="1"/>
          </a:pPr>
          <a:endParaRPr lang="en-US"/>
        </a:p>
      </c:txPr>
    </c:legend>
    <c:plotVisOnly val="1"/>
    <c:dispBlanksAs val="gap"/>
    <c:showDLblsOverMax val="0"/>
  </c:chart>
  <c:externalData r:id="rId2">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18"/>
    </mc:Choice>
    <mc:Fallback>
      <c:style val="18"/>
    </mc:Fallback>
  </mc:AlternateContent>
  <c:chart>
    <c:title>
      <c:tx>
        <c:rich>
          <a:bodyPr/>
          <a:lstStyle/>
          <a:p>
            <a:pPr>
              <a:defRPr/>
            </a:pPr>
            <a:r>
              <a:rPr lang="en-AU"/>
              <a:t>VIC Participant Barriers</a:t>
            </a:r>
          </a:p>
        </c:rich>
      </c:tx>
      <c:layout>
        <c:manualLayout>
          <c:xMode val="edge"/>
          <c:yMode val="edge"/>
          <c:x val="0.14255271749567888"/>
          <c:y val="1.2537428728851573E-2"/>
        </c:manualLayout>
      </c:layout>
      <c:overlay val="0"/>
    </c:title>
    <c:autoTitleDeleted val="0"/>
    <c:plotArea>
      <c:layout/>
      <c:barChart>
        <c:barDir val="col"/>
        <c:grouping val="percentStacked"/>
        <c:varyColors val="0"/>
        <c:ser>
          <c:idx val="0"/>
          <c:order val="0"/>
          <c:tx>
            <c:strRef>
              <c:f>Barriers!$A$3</c:f>
              <c:strCache>
                <c:ptCount val="1"/>
                <c:pt idx="0">
                  <c:v>Abuse/Domestic Violence issue</c:v>
                </c:pt>
              </c:strCache>
            </c:strRef>
          </c:tx>
          <c:invertIfNegative val="0"/>
          <c:cat>
            <c:strRef>
              <c:f>Barriers!$E$2:$G$2</c:f>
              <c:strCache>
                <c:ptCount val="3"/>
                <c:pt idx="0">
                  <c:v>Level 1</c:v>
                </c:pt>
                <c:pt idx="1">
                  <c:v>Level 2a</c:v>
                </c:pt>
                <c:pt idx="2">
                  <c:v>Level 2b</c:v>
                </c:pt>
              </c:strCache>
            </c:strRef>
          </c:cat>
          <c:val>
            <c:numRef>
              <c:f>Barriers!$E$3:$G$3</c:f>
              <c:numCache>
                <c:formatCode>0%</c:formatCode>
                <c:ptCount val="3"/>
                <c:pt idx="0">
                  <c:v>7.4900133155792276E-2</c:v>
                </c:pt>
                <c:pt idx="1">
                  <c:v>0.12292879534258845</c:v>
                </c:pt>
                <c:pt idx="2">
                  <c:v>0.12894218134034166</c:v>
                </c:pt>
              </c:numCache>
            </c:numRef>
          </c:val>
        </c:ser>
        <c:ser>
          <c:idx val="1"/>
          <c:order val="1"/>
          <c:tx>
            <c:strRef>
              <c:f>Barriers!$A$4</c:f>
              <c:strCache>
                <c:ptCount val="1"/>
                <c:pt idx="0">
                  <c:v>Alcohol and/or drug misuse</c:v>
                </c:pt>
              </c:strCache>
            </c:strRef>
          </c:tx>
          <c:invertIfNegative val="0"/>
          <c:cat>
            <c:strRef>
              <c:f>Barriers!$E$2:$G$2</c:f>
              <c:strCache>
                <c:ptCount val="3"/>
                <c:pt idx="0">
                  <c:v>Level 1</c:v>
                </c:pt>
                <c:pt idx="1">
                  <c:v>Level 2a</c:v>
                </c:pt>
                <c:pt idx="2">
                  <c:v>Level 2b</c:v>
                </c:pt>
              </c:strCache>
            </c:strRef>
          </c:cat>
          <c:val>
            <c:numRef>
              <c:f>Barriers!$E$4:$G$4</c:f>
              <c:numCache>
                <c:formatCode>0%</c:formatCode>
                <c:ptCount val="3"/>
                <c:pt idx="0">
                  <c:v>9.1877496671105188E-2</c:v>
                </c:pt>
                <c:pt idx="1">
                  <c:v>0.17689207344379759</c:v>
                </c:pt>
                <c:pt idx="2">
                  <c:v>0.2373521681997372</c:v>
                </c:pt>
              </c:numCache>
            </c:numRef>
          </c:val>
        </c:ser>
        <c:ser>
          <c:idx val="2"/>
          <c:order val="2"/>
          <c:tx>
            <c:strRef>
              <c:f>Barriers!$A$5</c:f>
              <c:strCache>
                <c:ptCount val="1"/>
                <c:pt idx="0">
                  <c:v>Anger management issues</c:v>
                </c:pt>
              </c:strCache>
            </c:strRef>
          </c:tx>
          <c:invertIfNegative val="0"/>
          <c:cat>
            <c:strRef>
              <c:f>Barriers!$E$2:$G$2</c:f>
              <c:strCache>
                <c:ptCount val="3"/>
                <c:pt idx="0">
                  <c:v>Level 1</c:v>
                </c:pt>
                <c:pt idx="1">
                  <c:v>Level 2a</c:v>
                </c:pt>
                <c:pt idx="2">
                  <c:v>Level 2b</c:v>
                </c:pt>
              </c:strCache>
            </c:strRef>
          </c:cat>
          <c:val>
            <c:numRef>
              <c:f>Barriers!$E$5:$G$5</c:f>
              <c:numCache>
                <c:formatCode>0%</c:formatCode>
                <c:ptCount val="3"/>
                <c:pt idx="0">
                  <c:v>0.28395472703062585</c:v>
                </c:pt>
                <c:pt idx="1">
                  <c:v>0.31751007613076576</c:v>
                </c:pt>
                <c:pt idx="2">
                  <c:v>0.26478318002628121</c:v>
                </c:pt>
              </c:numCache>
            </c:numRef>
          </c:val>
        </c:ser>
        <c:ser>
          <c:idx val="3"/>
          <c:order val="3"/>
          <c:tx>
            <c:strRef>
              <c:f>Barriers!$A$6</c:f>
              <c:strCache>
                <c:ptCount val="1"/>
                <c:pt idx="0">
                  <c:v>Behavioural problems</c:v>
                </c:pt>
              </c:strCache>
            </c:strRef>
          </c:tx>
          <c:invertIfNegative val="0"/>
          <c:cat>
            <c:strRef>
              <c:f>Barriers!$E$2:$G$2</c:f>
              <c:strCache>
                <c:ptCount val="3"/>
                <c:pt idx="0">
                  <c:v>Level 1</c:v>
                </c:pt>
                <c:pt idx="1">
                  <c:v>Level 2a</c:v>
                </c:pt>
                <c:pt idx="2">
                  <c:v>Level 2b</c:v>
                </c:pt>
              </c:strCache>
            </c:strRef>
          </c:cat>
          <c:val>
            <c:numRef>
              <c:f>Barriers!$E$6:$G$6</c:f>
              <c:numCache>
                <c:formatCode>0%</c:formatCode>
                <c:ptCount val="3"/>
                <c:pt idx="0">
                  <c:v>0.51930758988015979</c:v>
                </c:pt>
                <c:pt idx="1">
                  <c:v>0.49596954769368562</c:v>
                </c:pt>
                <c:pt idx="2">
                  <c:v>0.36448751642575561</c:v>
                </c:pt>
              </c:numCache>
            </c:numRef>
          </c:val>
        </c:ser>
        <c:ser>
          <c:idx val="4"/>
          <c:order val="4"/>
          <c:tx>
            <c:strRef>
              <c:f>Barriers!$A$7</c:f>
              <c:strCache>
                <c:ptCount val="1"/>
                <c:pt idx="0">
                  <c:v>Bullying</c:v>
                </c:pt>
              </c:strCache>
            </c:strRef>
          </c:tx>
          <c:invertIfNegative val="0"/>
          <c:cat>
            <c:strRef>
              <c:f>Barriers!$E$2:$G$2</c:f>
              <c:strCache>
                <c:ptCount val="3"/>
                <c:pt idx="0">
                  <c:v>Level 1</c:v>
                </c:pt>
                <c:pt idx="1">
                  <c:v>Level 2a</c:v>
                </c:pt>
                <c:pt idx="2">
                  <c:v>Level 2b</c:v>
                </c:pt>
              </c:strCache>
            </c:strRef>
          </c:cat>
          <c:val>
            <c:numRef>
              <c:f>Barriers!$E$7:$G$7</c:f>
              <c:numCache>
                <c:formatCode>0%</c:formatCode>
                <c:ptCount val="3"/>
                <c:pt idx="0">
                  <c:v>0.2569906790945406</c:v>
                </c:pt>
                <c:pt idx="1">
                  <c:v>0.26175548589341691</c:v>
                </c:pt>
                <c:pt idx="2">
                  <c:v>0.23193166885676741</c:v>
                </c:pt>
              </c:numCache>
            </c:numRef>
          </c:val>
        </c:ser>
        <c:ser>
          <c:idx val="5"/>
          <c:order val="5"/>
          <c:tx>
            <c:strRef>
              <c:f>Barriers!$A$8</c:f>
              <c:strCache>
                <c:ptCount val="1"/>
                <c:pt idx="0">
                  <c:v>Critical life event</c:v>
                </c:pt>
              </c:strCache>
            </c:strRef>
          </c:tx>
          <c:invertIfNegative val="0"/>
          <c:cat>
            <c:strRef>
              <c:f>Barriers!$E$2:$G$2</c:f>
              <c:strCache>
                <c:ptCount val="3"/>
                <c:pt idx="0">
                  <c:v>Level 1</c:v>
                </c:pt>
                <c:pt idx="1">
                  <c:v>Level 2a</c:v>
                </c:pt>
                <c:pt idx="2">
                  <c:v>Level 2b</c:v>
                </c:pt>
              </c:strCache>
            </c:strRef>
          </c:cat>
          <c:val>
            <c:numRef>
              <c:f>Barriers!$E$8:$G$8</c:f>
              <c:numCache>
                <c:formatCode>0%</c:formatCode>
                <c:ptCount val="3"/>
                <c:pt idx="0">
                  <c:v>0.17942743009320905</c:v>
                </c:pt>
                <c:pt idx="1">
                  <c:v>0.2321988356471115</c:v>
                </c:pt>
                <c:pt idx="2">
                  <c:v>0.2261826544021025</c:v>
                </c:pt>
              </c:numCache>
            </c:numRef>
          </c:val>
        </c:ser>
        <c:ser>
          <c:idx val="6"/>
          <c:order val="6"/>
          <c:tx>
            <c:strRef>
              <c:f>Barriers!$A$9</c:f>
              <c:strCache>
                <c:ptCount val="1"/>
                <c:pt idx="0">
                  <c:v>Current or previous Juvenile Justice Orders</c:v>
                </c:pt>
              </c:strCache>
            </c:strRef>
          </c:tx>
          <c:invertIfNegative val="0"/>
          <c:cat>
            <c:strRef>
              <c:f>Barriers!$E$2:$G$2</c:f>
              <c:strCache>
                <c:ptCount val="3"/>
                <c:pt idx="0">
                  <c:v>Level 1</c:v>
                </c:pt>
                <c:pt idx="1">
                  <c:v>Level 2a</c:v>
                </c:pt>
                <c:pt idx="2">
                  <c:v>Level 2b</c:v>
                </c:pt>
              </c:strCache>
            </c:strRef>
          </c:cat>
          <c:val>
            <c:numRef>
              <c:f>Barriers!$E$9:$G$9</c:f>
              <c:numCache>
                <c:formatCode>0%</c:formatCode>
                <c:ptCount val="3"/>
                <c:pt idx="0">
                  <c:v>3.1291611185086554E-2</c:v>
                </c:pt>
                <c:pt idx="1">
                  <c:v>6.9413345275414234E-2</c:v>
                </c:pt>
                <c:pt idx="2">
                  <c:v>0.13912614980289092</c:v>
                </c:pt>
              </c:numCache>
            </c:numRef>
          </c:val>
        </c:ser>
        <c:ser>
          <c:idx val="7"/>
          <c:order val="7"/>
          <c:tx>
            <c:strRef>
              <c:f>Barriers!$A$10</c:f>
              <c:strCache>
                <c:ptCount val="1"/>
                <c:pt idx="0">
                  <c:v>Disability</c:v>
                </c:pt>
              </c:strCache>
            </c:strRef>
          </c:tx>
          <c:invertIfNegative val="0"/>
          <c:cat>
            <c:strRef>
              <c:f>Barriers!$E$2:$G$2</c:f>
              <c:strCache>
                <c:ptCount val="3"/>
                <c:pt idx="0">
                  <c:v>Level 1</c:v>
                </c:pt>
                <c:pt idx="1">
                  <c:v>Level 2a</c:v>
                </c:pt>
                <c:pt idx="2">
                  <c:v>Level 2b</c:v>
                </c:pt>
              </c:strCache>
            </c:strRef>
          </c:cat>
          <c:val>
            <c:numRef>
              <c:f>Barriers!$E$10:$G$10</c:f>
              <c:numCache>
                <c:formatCode>0%</c:formatCode>
                <c:ptCount val="3"/>
                <c:pt idx="0">
                  <c:v>5.0932090545938745E-2</c:v>
                </c:pt>
                <c:pt idx="1">
                  <c:v>5.5306762203313931E-2</c:v>
                </c:pt>
                <c:pt idx="2">
                  <c:v>5.9789750328515114E-2</c:v>
                </c:pt>
              </c:numCache>
            </c:numRef>
          </c:val>
        </c:ser>
        <c:ser>
          <c:idx val="8"/>
          <c:order val="8"/>
          <c:tx>
            <c:strRef>
              <c:f>Barriers!$A$11</c:f>
              <c:strCache>
                <c:ptCount val="1"/>
                <c:pt idx="0">
                  <c:v>Disconnection from cultural heritage</c:v>
                </c:pt>
              </c:strCache>
            </c:strRef>
          </c:tx>
          <c:invertIfNegative val="0"/>
          <c:cat>
            <c:strRef>
              <c:f>Barriers!$E$2:$G$2</c:f>
              <c:strCache>
                <c:ptCount val="3"/>
                <c:pt idx="0">
                  <c:v>Level 1</c:v>
                </c:pt>
                <c:pt idx="1">
                  <c:v>Level 2a</c:v>
                </c:pt>
                <c:pt idx="2">
                  <c:v>Level 2b</c:v>
                </c:pt>
              </c:strCache>
            </c:strRef>
          </c:cat>
          <c:val>
            <c:numRef>
              <c:f>Barriers!$E$11:$G$11</c:f>
              <c:numCache>
                <c:formatCode>0%</c:formatCode>
                <c:ptCount val="3"/>
                <c:pt idx="0">
                  <c:v>4.0612516644474038E-2</c:v>
                </c:pt>
                <c:pt idx="1">
                  <c:v>3.2243618450515002E-2</c:v>
                </c:pt>
                <c:pt idx="2">
                  <c:v>4.6320630749014456E-2</c:v>
                </c:pt>
              </c:numCache>
            </c:numRef>
          </c:val>
        </c:ser>
        <c:ser>
          <c:idx val="9"/>
          <c:order val="9"/>
          <c:tx>
            <c:strRef>
              <c:f>Barriers!$A$12</c:f>
              <c:strCache>
                <c:ptCount val="1"/>
                <c:pt idx="0">
                  <c:v>Financial distress</c:v>
                </c:pt>
              </c:strCache>
            </c:strRef>
          </c:tx>
          <c:invertIfNegative val="0"/>
          <c:cat>
            <c:strRef>
              <c:f>Barriers!$E$2:$G$2</c:f>
              <c:strCache>
                <c:ptCount val="3"/>
                <c:pt idx="0">
                  <c:v>Level 1</c:v>
                </c:pt>
                <c:pt idx="1">
                  <c:v>Level 2a</c:v>
                </c:pt>
                <c:pt idx="2">
                  <c:v>Level 2b</c:v>
                </c:pt>
              </c:strCache>
            </c:strRef>
          </c:cat>
          <c:val>
            <c:numRef>
              <c:f>Barriers!$E$12:$G$12</c:f>
              <c:numCache>
                <c:formatCode>0%</c:formatCode>
                <c:ptCount val="3"/>
                <c:pt idx="0">
                  <c:v>0.17343541944074567</c:v>
                </c:pt>
                <c:pt idx="1">
                  <c:v>0.27989252127183162</c:v>
                </c:pt>
                <c:pt idx="2">
                  <c:v>0.4724047306176084</c:v>
                </c:pt>
              </c:numCache>
            </c:numRef>
          </c:val>
        </c:ser>
        <c:ser>
          <c:idx val="10"/>
          <c:order val="10"/>
          <c:tx>
            <c:strRef>
              <c:f>Barriers!$A$13</c:f>
              <c:strCache>
                <c:ptCount val="1"/>
                <c:pt idx="0">
                  <c:v>Gifted</c:v>
                </c:pt>
              </c:strCache>
            </c:strRef>
          </c:tx>
          <c:invertIfNegative val="0"/>
          <c:cat>
            <c:strRef>
              <c:f>Barriers!$E$2:$G$2</c:f>
              <c:strCache>
                <c:ptCount val="3"/>
                <c:pt idx="0">
                  <c:v>Level 1</c:v>
                </c:pt>
                <c:pt idx="1">
                  <c:v>Level 2a</c:v>
                </c:pt>
                <c:pt idx="2">
                  <c:v>Level 2b</c:v>
                </c:pt>
              </c:strCache>
            </c:strRef>
          </c:cat>
          <c:val>
            <c:numRef>
              <c:f>Barriers!$E$13:$G$13</c:f>
              <c:numCache>
                <c:formatCode>0%</c:formatCode>
                <c:ptCount val="3"/>
                <c:pt idx="0">
                  <c:v>1.5312916111850865E-2</c:v>
                </c:pt>
                <c:pt idx="1">
                  <c:v>1.0747872816838333E-2</c:v>
                </c:pt>
                <c:pt idx="2">
                  <c:v>7.0630749014454668E-3</c:v>
                </c:pt>
              </c:numCache>
            </c:numRef>
          </c:val>
        </c:ser>
        <c:ser>
          <c:idx val="11"/>
          <c:order val="11"/>
          <c:tx>
            <c:strRef>
              <c:f>Barriers!$A$14</c:f>
              <c:strCache>
                <c:ptCount val="1"/>
                <c:pt idx="0">
                  <c:v>Homelessness</c:v>
                </c:pt>
              </c:strCache>
            </c:strRef>
          </c:tx>
          <c:invertIfNegative val="0"/>
          <c:cat>
            <c:strRef>
              <c:f>Barriers!$E$2:$G$2</c:f>
              <c:strCache>
                <c:ptCount val="3"/>
                <c:pt idx="0">
                  <c:v>Level 1</c:v>
                </c:pt>
                <c:pt idx="1">
                  <c:v>Level 2a</c:v>
                </c:pt>
                <c:pt idx="2">
                  <c:v>Level 2b</c:v>
                </c:pt>
              </c:strCache>
            </c:strRef>
          </c:cat>
          <c:val>
            <c:numRef>
              <c:f>Barriers!$E$14:$G$14</c:f>
              <c:numCache>
                <c:formatCode>0%</c:formatCode>
                <c:ptCount val="3"/>
                <c:pt idx="0">
                  <c:v>2.0972037283621837E-2</c:v>
                </c:pt>
                <c:pt idx="1">
                  <c:v>4.5454545454545456E-2</c:v>
                </c:pt>
                <c:pt idx="2">
                  <c:v>8.9848883048620237E-2</c:v>
                </c:pt>
              </c:numCache>
            </c:numRef>
          </c:val>
        </c:ser>
        <c:ser>
          <c:idx val="12"/>
          <c:order val="12"/>
          <c:tx>
            <c:strRef>
              <c:f>Barriers!$A$15</c:f>
              <c:strCache>
                <c:ptCount val="1"/>
                <c:pt idx="0">
                  <c:v>In detention/previously in detention</c:v>
                </c:pt>
              </c:strCache>
            </c:strRef>
          </c:tx>
          <c:invertIfNegative val="0"/>
          <c:cat>
            <c:strRef>
              <c:f>Barriers!$E$2:$G$2</c:f>
              <c:strCache>
                <c:ptCount val="3"/>
                <c:pt idx="0">
                  <c:v>Level 1</c:v>
                </c:pt>
                <c:pt idx="1">
                  <c:v>Level 2a</c:v>
                </c:pt>
                <c:pt idx="2">
                  <c:v>Level 2b</c:v>
                </c:pt>
              </c:strCache>
            </c:strRef>
          </c:cat>
          <c:val>
            <c:numRef>
              <c:f>Barriers!$E$15:$G$15</c:f>
              <c:numCache>
                <c:formatCode>0%</c:formatCode>
                <c:ptCount val="3"/>
                <c:pt idx="0">
                  <c:v>1.2649800266311585E-2</c:v>
                </c:pt>
                <c:pt idx="1">
                  <c:v>1.2763098969995522E-2</c:v>
                </c:pt>
                <c:pt idx="2">
                  <c:v>2.0860709592641261E-2</c:v>
                </c:pt>
              </c:numCache>
            </c:numRef>
          </c:val>
        </c:ser>
        <c:ser>
          <c:idx val="13"/>
          <c:order val="13"/>
          <c:tx>
            <c:strRef>
              <c:f>Barriers!$A$16</c:f>
              <c:strCache>
                <c:ptCount val="1"/>
                <c:pt idx="0">
                  <c:v>Inadequate family support</c:v>
                </c:pt>
              </c:strCache>
            </c:strRef>
          </c:tx>
          <c:invertIfNegative val="0"/>
          <c:cat>
            <c:strRef>
              <c:f>Barriers!$E$2:$G$2</c:f>
              <c:strCache>
                <c:ptCount val="3"/>
                <c:pt idx="0">
                  <c:v>Level 1</c:v>
                </c:pt>
                <c:pt idx="1">
                  <c:v>Level 2a</c:v>
                </c:pt>
                <c:pt idx="2">
                  <c:v>Level 2b</c:v>
                </c:pt>
              </c:strCache>
            </c:strRef>
          </c:cat>
          <c:val>
            <c:numRef>
              <c:f>Barriers!$E$16:$G$16</c:f>
              <c:numCache>
                <c:formatCode>0%</c:formatCode>
                <c:ptCount val="3"/>
                <c:pt idx="0">
                  <c:v>0.27363515312916115</c:v>
                </c:pt>
                <c:pt idx="1">
                  <c:v>0.33206448723690102</c:v>
                </c:pt>
                <c:pt idx="2">
                  <c:v>0.42477003942181341</c:v>
                </c:pt>
              </c:numCache>
            </c:numRef>
          </c:val>
        </c:ser>
        <c:ser>
          <c:idx val="14"/>
          <c:order val="14"/>
          <c:tx>
            <c:strRef>
              <c:f>Barriers!$A$17</c:f>
              <c:strCache>
                <c:ptCount val="1"/>
                <c:pt idx="0">
                  <c:v>Learning Difficulty</c:v>
                </c:pt>
              </c:strCache>
            </c:strRef>
          </c:tx>
          <c:invertIfNegative val="0"/>
          <c:cat>
            <c:strRef>
              <c:f>Barriers!$E$2:$G$2</c:f>
              <c:strCache>
                <c:ptCount val="3"/>
                <c:pt idx="0">
                  <c:v>Level 1</c:v>
                </c:pt>
                <c:pt idx="1">
                  <c:v>Level 2a</c:v>
                </c:pt>
                <c:pt idx="2">
                  <c:v>Level 2b</c:v>
                </c:pt>
              </c:strCache>
            </c:strRef>
          </c:cat>
          <c:val>
            <c:numRef>
              <c:f>Barriers!$E$17:$G$17</c:f>
              <c:numCache>
                <c:formatCode>0%</c:formatCode>
                <c:ptCount val="3"/>
                <c:pt idx="0">
                  <c:v>0.10785619174434088</c:v>
                </c:pt>
                <c:pt idx="1">
                  <c:v>0.10367218987908643</c:v>
                </c:pt>
                <c:pt idx="2">
                  <c:v>0.10594612352168199</c:v>
                </c:pt>
              </c:numCache>
            </c:numRef>
          </c:val>
        </c:ser>
        <c:ser>
          <c:idx val="15"/>
          <c:order val="15"/>
          <c:tx>
            <c:strRef>
              <c:f>Barriers!$A$18</c:f>
              <c:strCache>
                <c:ptCount val="1"/>
                <c:pt idx="0">
                  <c:v>Low literacy and/or numeracy</c:v>
                </c:pt>
              </c:strCache>
            </c:strRef>
          </c:tx>
          <c:invertIfNegative val="0"/>
          <c:cat>
            <c:strRef>
              <c:f>Barriers!$E$2:$G$2</c:f>
              <c:strCache>
                <c:ptCount val="3"/>
                <c:pt idx="0">
                  <c:v>Level 1</c:v>
                </c:pt>
                <c:pt idx="1">
                  <c:v>Level 2a</c:v>
                </c:pt>
                <c:pt idx="2">
                  <c:v>Level 2b</c:v>
                </c:pt>
              </c:strCache>
            </c:strRef>
          </c:cat>
          <c:val>
            <c:numRef>
              <c:f>Barriers!$E$18:$G$18</c:f>
              <c:numCache>
                <c:formatCode>0%</c:formatCode>
                <c:ptCount val="3"/>
                <c:pt idx="0">
                  <c:v>0.48535286284953394</c:v>
                </c:pt>
                <c:pt idx="1">
                  <c:v>0.51589789520824003</c:v>
                </c:pt>
                <c:pt idx="2">
                  <c:v>0.52398160315374509</c:v>
                </c:pt>
              </c:numCache>
            </c:numRef>
          </c:val>
        </c:ser>
        <c:ser>
          <c:idx val="16"/>
          <c:order val="16"/>
          <c:tx>
            <c:strRef>
              <c:f>Barriers!$A$19</c:f>
              <c:strCache>
                <c:ptCount val="1"/>
                <c:pt idx="0">
                  <c:v>Low Self Esteem</c:v>
                </c:pt>
              </c:strCache>
            </c:strRef>
          </c:tx>
          <c:invertIfNegative val="0"/>
          <c:cat>
            <c:strRef>
              <c:f>Barriers!$E$2:$G$2</c:f>
              <c:strCache>
                <c:ptCount val="3"/>
                <c:pt idx="0">
                  <c:v>Level 1</c:v>
                </c:pt>
                <c:pt idx="1">
                  <c:v>Level 2a</c:v>
                </c:pt>
                <c:pt idx="2">
                  <c:v>Level 2b</c:v>
                </c:pt>
              </c:strCache>
            </c:strRef>
          </c:cat>
          <c:val>
            <c:numRef>
              <c:f>Barriers!$E$19:$G$19</c:f>
              <c:numCache>
                <c:formatCode>0%</c:formatCode>
                <c:ptCount val="3"/>
                <c:pt idx="0">
                  <c:v>0.52862849533954726</c:v>
                </c:pt>
                <c:pt idx="1">
                  <c:v>0.57613076578593825</c:v>
                </c:pt>
                <c:pt idx="2">
                  <c:v>0.58689224704336396</c:v>
                </c:pt>
              </c:numCache>
            </c:numRef>
          </c:val>
        </c:ser>
        <c:ser>
          <c:idx val="17"/>
          <c:order val="17"/>
          <c:tx>
            <c:strRef>
              <c:f>Barriers!$A$20</c:f>
              <c:strCache>
                <c:ptCount val="1"/>
                <c:pt idx="0">
                  <c:v>Medical or other health issue</c:v>
                </c:pt>
              </c:strCache>
            </c:strRef>
          </c:tx>
          <c:invertIfNegative val="0"/>
          <c:cat>
            <c:strRef>
              <c:f>Barriers!$E$2:$G$2</c:f>
              <c:strCache>
                <c:ptCount val="3"/>
                <c:pt idx="0">
                  <c:v>Level 1</c:v>
                </c:pt>
                <c:pt idx="1">
                  <c:v>Level 2a</c:v>
                </c:pt>
                <c:pt idx="2">
                  <c:v>Level 2b</c:v>
                </c:pt>
              </c:strCache>
            </c:strRef>
          </c:cat>
          <c:val>
            <c:numRef>
              <c:f>Barriers!$E$20:$G$20</c:f>
              <c:numCache>
                <c:formatCode>0%</c:formatCode>
                <c:ptCount val="3"/>
                <c:pt idx="0">
                  <c:v>8.3222370173102536E-2</c:v>
                </c:pt>
                <c:pt idx="1">
                  <c:v>0.11553963278101209</c:v>
                </c:pt>
                <c:pt idx="2">
                  <c:v>0.13436268068331142</c:v>
                </c:pt>
              </c:numCache>
            </c:numRef>
          </c:val>
        </c:ser>
        <c:ser>
          <c:idx val="18"/>
          <c:order val="18"/>
          <c:tx>
            <c:strRef>
              <c:f>Barriers!$A$21</c:f>
              <c:strCache>
                <c:ptCount val="1"/>
                <c:pt idx="0">
                  <c:v>Negative experience(s) with education and training</c:v>
                </c:pt>
              </c:strCache>
            </c:strRef>
          </c:tx>
          <c:invertIfNegative val="0"/>
          <c:cat>
            <c:strRef>
              <c:f>Barriers!$E$2:$G$2</c:f>
              <c:strCache>
                <c:ptCount val="3"/>
                <c:pt idx="0">
                  <c:v>Level 1</c:v>
                </c:pt>
                <c:pt idx="1">
                  <c:v>Level 2a</c:v>
                </c:pt>
                <c:pt idx="2">
                  <c:v>Level 2b</c:v>
                </c:pt>
              </c:strCache>
            </c:strRef>
          </c:cat>
          <c:val>
            <c:numRef>
              <c:f>Barriers!$E$21:$G$21</c:f>
              <c:numCache>
                <c:formatCode>0%</c:formatCode>
                <c:ptCount val="3"/>
                <c:pt idx="0">
                  <c:v>0.16378162450066577</c:v>
                </c:pt>
                <c:pt idx="1">
                  <c:v>0.15808329601433049</c:v>
                </c:pt>
                <c:pt idx="2">
                  <c:v>0.16327201051248358</c:v>
                </c:pt>
              </c:numCache>
            </c:numRef>
          </c:val>
        </c:ser>
        <c:ser>
          <c:idx val="19"/>
          <c:order val="19"/>
          <c:tx>
            <c:strRef>
              <c:f>Barriers!$A$22</c:f>
              <c:strCache>
                <c:ptCount val="1"/>
                <c:pt idx="0">
                  <c:v>Out of home care</c:v>
                </c:pt>
              </c:strCache>
            </c:strRef>
          </c:tx>
          <c:invertIfNegative val="0"/>
          <c:cat>
            <c:strRef>
              <c:f>Barriers!$E$2:$G$2</c:f>
              <c:strCache>
                <c:ptCount val="3"/>
                <c:pt idx="0">
                  <c:v>Level 1</c:v>
                </c:pt>
                <c:pt idx="1">
                  <c:v>Level 2a</c:v>
                </c:pt>
                <c:pt idx="2">
                  <c:v>Level 2b</c:v>
                </c:pt>
              </c:strCache>
            </c:strRef>
          </c:cat>
          <c:val>
            <c:numRef>
              <c:f>Barriers!$E$22:$G$22</c:f>
              <c:numCache>
                <c:formatCode>0%</c:formatCode>
                <c:ptCount val="3"/>
                <c:pt idx="0">
                  <c:v>2.829560585885486E-2</c:v>
                </c:pt>
                <c:pt idx="1">
                  <c:v>3.1124048365427676E-2</c:v>
                </c:pt>
                <c:pt idx="2">
                  <c:v>5.5190538764783179E-2</c:v>
                </c:pt>
              </c:numCache>
            </c:numRef>
          </c:val>
        </c:ser>
        <c:ser>
          <c:idx val="20"/>
          <c:order val="20"/>
          <c:tx>
            <c:strRef>
              <c:f>Barriers!$A$23</c:f>
              <c:strCache>
                <c:ptCount val="1"/>
                <c:pt idx="0">
                  <c:v>Parent/Pregnancy</c:v>
                </c:pt>
              </c:strCache>
            </c:strRef>
          </c:tx>
          <c:invertIfNegative val="0"/>
          <c:cat>
            <c:strRef>
              <c:f>Barriers!$E$2:$G$2</c:f>
              <c:strCache>
                <c:ptCount val="3"/>
                <c:pt idx="0">
                  <c:v>Level 1</c:v>
                </c:pt>
                <c:pt idx="1">
                  <c:v>Level 2a</c:v>
                </c:pt>
                <c:pt idx="2">
                  <c:v>Level 2b</c:v>
                </c:pt>
              </c:strCache>
            </c:strRef>
          </c:cat>
          <c:val>
            <c:numRef>
              <c:f>Barriers!$E$23:$G$23</c:f>
              <c:numCache>
                <c:formatCode>0%</c:formatCode>
                <c:ptCount val="3"/>
                <c:pt idx="0">
                  <c:v>7.6564580559254324E-3</c:v>
                </c:pt>
                <c:pt idx="1">
                  <c:v>1.7913121361397222E-2</c:v>
                </c:pt>
                <c:pt idx="2">
                  <c:v>6.4060446780551908E-2</c:v>
                </c:pt>
              </c:numCache>
            </c:numRef>
          </c:val>
        </c:ser>
        <c:ser>
          <c:idx val="21"/>
          <c:order val="21"/>
          <c:tx>
            <c:strRef>
              <c:f>Barriers!$A$24</c:f>
              <c:strCache>
                <c:ptCount val="1"/>
                <c:pt idx="0">
                  <c:v>Petrol sniffing</c:v>
                </c:pt>
              </c:strCache>
            </c:strRef>
          </c:tx>
          <c:invertIfNegative val="0"/>
          <c:cat>
            <c:strRef>
              <c:f>Barriers!$E$2:$G$2</c:f>
              <c:strCache>
                <c:ptCount val="3"/>
                <c:pt idx="0">
                  <c:v>Level 1</c:v>
                </c:pt>
                <c:pt idx="1">
                  <c:v>Level 2a</c:v>
                </c:pt>
                <c:pt idx="2">
                  <c:v>Level 2b</c:v>
                </c:pt>
              </c:strCache>
            </c:strRef>
          </c:cat>
          <c:val>
            <c:numRef>
              <c:f>Barriers!$E$24:$G$24</c:f>
              <c:numCache>
                <c:formatCode>0%</c:formatCode>
                <c:ptCount val="3"/>
                <c:pt idx="0">
                  <c:v>3.3288948069241014E-4</c:v>
                </c:pt>
                <c:pt idx="1">
                  <c:v>4.4782803403493058E-4</c:v>
                </c:pt>
                <c:pt idx="2">
                  <c:v>4.9277266754270692E-4</c:v>
                </c:pt>
              </c:numCache>
            </c:numRef>
          </c:val>
        </c:ser>
        <c:ser>
          <c:idx val="22"/>
          <c:order val="22"/>
          <c:tx>
            <c:strRef>
              <c:f>Barriers!$A$25</c:f>
              <c:strCache>
                <c:ptCount val="1"/>
                <c:pt idx="0">
                  <c:v>Socialisation issues</c:v>
                </c:pt>
              </c:strCache>
            </c:strRef>
          </c:tx>
          <c:invertIfNegative val="0"/>
          <c:cat>
            <c:strRef>
              <c:f>Barriers!$E$2:$G$2</c:f>
              <c:strCache>
                <c:ptCount val="3"/>
                <c:pt idx="0">
                  <c:v>Level 1</c:v>
                </c:pt>
                <c:pt idx="1">
                  <c:v>Level 2a</c:v>
                </c:pt>
                <c:pt idx="2">
                  <c:v>Level 2b</c:v>
                </c:pt>
              </c:strCache>
            </c:strRef>
          </c:cat>
          <c:val>
            <c:numRef>
              <c:f>Barriers!$E$25:$G$25</c:f>
              <c:numCache>
                <c:formatCode>0%</c:formatCode>
                <c:ptCount val="3"/>
                <c:pt idx="0">
                  <c:v>0.35752330226364848</c:v>
                </c:pt>
                <c:pt idx="1">
                  <c:v>0.37147335423197492</c:v>
                </c:pt>
                <c:pt idx="2">
                  <c:v>0.41967805519053875</c:v>
                </c:pt>
              </c:numCache>
            </c:numRef>
          </c:val>
        </c:ser>
        <c:ser>
          <c:idx val="23"/>
          <c:order val="23"/>
          <c:tx>
            <c:strRef>
              <c:f>Barriers!$A$26</c:f>
              <c:strCache>
                <c:ptCount val="1"/>
                <c:pt idx="0">
                  <c:v>Suspected or diagnosed mental health issue</c:v>
                </c:pt>
              </c:strCache>
            </c:strRef>
          </c:tx>
          <c:invertIfNegative val="0"/>
          <c:cat>
            <c:strRef>
              <c:f>Barriers!$E$2:$G$2</c:f>
              <c:strCache>
                <c:ptCount val="3"/>
                <c:pt idx="0">
                  <c:v>Level 1</c:v>
                </c:pt>
                <c:pt idx="1">
                  <c:v>Level 2a</c:v>
                </c:pt>
                <c:pt idx="2">
                  <c:v>Level 2b</c:v>
                </c:pt>
              </c:strCache>
            </c:strRef>
          </c:cat>
          <c:val>
            <c:numRef>
              <c:f>Barriers!$E$26:$G$26</c:f>
              <c:numCache>
                <c:formatCode>0%</c:formatCode>
                <c:ptCount val="3"/>
                <c:pt idx="0">
                  <c:v>0.26597869507323568</c:v>
                </c:pt>
                <c:pt idx="1">
                  <c:v>0.37617554858934171</c:v>
                </c:pt>
                <c:pt idx="2">
                  <c:v>0.38682654402102495</c:v>
                </c:pt>
              </c:numCache>
            </c:numRef>
          </c:val>
        </c:ser>
        <c:ser>
          <c:idx val="24"/>
          <c:order val="24"/>
          <c:tx>
            <c:strRef>
              <c:f>Barriers!$A$27</c:f>
              <c:strCache>
                <c:ptCount val="1"/>
                <c:pt idx="0">
                  <c:v>Unstable living arrangements</c:v>
                </c:pt>
              </c:strCache>
            </c:strRef>
          </c:tx>
          <c:invertIfNegative val="0"/>
          <c:cat>
            <c:strRef>
              <c:f>Barriers!$E$2:$G$2</c:f>
              <c:strCache>
                <c:ptCount val="3"/>
                <c:pt idx="0">
                  <c:v>Level 1</c:v>
                </c:pt>
                <c:pt idx="1">
                  <c:v>Level 2a</c:v>
                </c:pt>
                <c:pt idx="2">
                  <c:v>Level 2b</c:v>
                </c:pt>
              </c:strCache>
            </c:strRef>
          </c:cat>
          <c:val>
            <c:numRef>
              <c:f>Barriers!$E$27:$G$27</c:f>
              <c:numCache>
                <c:formatCode>0%</c:formatCode>
                <c:ptCount val="3"/>
                <c:pt idx="0">
                  <c:v>0.12649800266311584</c:v>
                </c:pt>
                <c:pt idx="1">
                  <c:v>0.21003134796238246</c:v>
                </c:pt>
                <c:pt idx="2">
                  <c:v>0.28334428383705651</c:v>
                </c:pt>
              </c:numCache>
            </c:numRef>
          </c:val>
        </c:ser>
        <c:ser>
          <c:idx val="25"/>
          <c:order val="25"/>
          <c:tx>
            <c:strRef>
              <c:f>Barriers!$A$28</c:f>
              <c:strCache>
                <c:ptCount val="1"/>
                <c:pt idx="0">
                  <c:v>Volatile substance misuse</c:v>
                </c:pt>
              </c:strCache>
            </c:strRef>
          </c:tx>
          <c:invertIfNegative val="0"/>
          <c:cat>
            <c:strRef>
              <c:f>Barriers!$E$2:$G$2</c:f>
              <c:strCache>
                <c:ptCount val="3"/>
                <c:pt idx="0">
                  <c:v>Level 1</c:v>
                </c:pt>
                <c:pt idx="1">
                  <c:v>Level 2a</c:v>
                </c:pt>
                <c:pt idx="2">
                  <c:v>Level 2b</c:v>
                </c:pt>
              </c:strCache>
            </c:strRef>
          </c:cat>
          <c:val>
            <c:numRef>
              <c:f>Barriers!$E$28:$G$28</c:f>
              <c:numCache>
                <c:formatCode>0%</c:formatCode>
                <c:ptCount val="3"/>
                <c:pt idx="0">
                  <c:v>3.3288948069241014E-4</c:v>
                </c:pt>
                <c:pt idx="1">
                  <c:v>2.9108822212270489E-3</c:v>
                </c:pt>
                <c:pt idx="2">
                  <c:v>7.3915900131406049E-3</c:v>
                </c:pt>
              </c:numCache>
            </c:numRef>
          </c:val>
        </c:ser>
        <c:ser>
          <c:idx val="26"/>
          <c:order val="26"/>
          <c:tx>
            <c:strRef>
              <c:f>Barriers!$A$29</c:f>
              <c:strCache>
                <c:ptCount val="1"/>
                <c:pt idx="0">
                  <c:v>Young Carer responsibilities</c:v>
                </c:pt>
              </c:strCache>
            </c:strRef>
          </c:tx>
          <c:invertIfNegative val="0"/>
          <c:cat>
            <c:strRef>
              <c:f>Barriers!$E$2:$G$2</c:f>
              <c:strCache>
                <c:ptCount val="3"/>
                <c:pt idx="0">
                  <c:v>Level 1</c:v>
                </c:pt>
                <c:pt idx="1">
                  <c:v>Level 2a</c:v>
                </c:pt>
                <c:pt idx="2">
                  <c:v>Level 2b</c:v>
                </c:pt>
              </c:strCache>
            </c:strRef>
          </c:cat>
          <c:val>
            <c:numRef>
              <c:f>Barriers!$E$29:$G$29</c:f>
              <c:numCache>
                <c:formatCode>0%</c:formatCode>
                <c:ptCount val="3"/>
                <c:pt idx="0">
                  <c:v>4.7270306258322237E-2</c:v>
                </c:pt>
                <c:pt idx="1">
                  <c:v>4.0080609046126286E-2</c:v>
                </c:pt>
                <c:pt idx="2">
                  <c:v>4.50065703022339E-2</c:v>
                </c:pt>
              </c:numCache>
            </c:numRef>
          </c:val>
        </c:ser>
        <c:dLbls>
          <c:showLegendKey val="0"/>
          <c:showVal val="0"/>
          <c:showCatName val="0"/>
          <c:showSerName val="0"/>
          <c:showPercent val="0"/>
          <c:showBubbleSize val="0"/>
        </c:dLbls>
        <c:gapWidth val="55"/>
        <c:overlap val="100"/>
        <c:axId val="169891328"/>
        <c:axId val="169892864"/>
      </c:barChart>
      <c:catAx>
        <c:axId val="169891328"/>
        <c:scaling>
          <c:orientation val="minMax"/>
        </c:scaling>
        <c:delete val="0"/>
        <c:axPos val="b"/>
        <c:majorTickMark val="none"/>
        <c:minorTickMark val="none"/>
        <c:tickLblPos val="nextTo"/>
        <c:crossAx val="169892864"/>
        <c:crosses val="autoZero"/>
        <c:auto val="1"/>
        <c:lblAlgn val="ctr"/>
        <c:lblOffset val="100"/>
        <c:noMultiLvlLbl val="0"/>
      </c:catAx>
      <c:valAx>
        <c:axId val="169892864"/>
        <c:scaling>
          <c:orientation val="minMax"/>
        </c:scaling>
        <c:delete val="0"/>
        <c:axPos val="l"/>
        <c:majorGridlines/>
        <c:numFmt formatCode="0%" sourceLinked="1"/>
        <c:majorTickMark val="none"/>
        <c:minorTickMark val="none"/>
        <c:tickLblPos val="nextTo"/>
        <c:crossAx val="169891328"/>
        <c:crosses val="autoZero"/>
        <c:crossBetween val="between"/>
      </c:valAx>
    </c:plotArea>
    <c:legend>
      <c:legendPos val="r"/>
      <c:layout>
        <c:manualLayout>
          <c:xMode val="edge"/>
          <c:yMode val="edge"/>
          <c:x val="0.64887005530962605"/>
          <c:y val="5.9472330141769565E-2"/>
          <c:w val="0.33926553711901353"/>
          <c:h val="0.8869298324926489"/>
        </c:manualLayout>
      </c:layout>
      <c:overlay val="0"/>
    </c:legend>
    <c:plotVisOnly val="1"/>
    <c:dispBlanksAs val="gap"/>
    <c:showDLblsOverMax val="0"/>
  </c:chart>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18"/>
    </mc:Choice>
    <mc:Fallback>
      <c:style val="18"/>
    </mc:Fallback>
  </mc:AlternateContent>
  <c:chart>
    <c:title>
      <c:tx>
        <c:rich>
          <a:bodyPr/>
          <a:lstStyle/>
          <a:p>
            <a:pPr>
              <a:defRPr/>
            </a:pPr>
            <a:r>
              <a:rPr lang="en-AU"/>
              <a:t>National Participant Barriers</a:t>
            </a:r>
          </a:p>
        </c:rich>
      </c:tx>
      <c:layout/>
      <c:overlay val="0"/>
    </c:title>
    <c:autoTitleDeleted val="0"/>
    <c:plotArea>
      <c:layout>
        <c:manualLayout>
          <c:layoutTarget val="inner"/>
          <c:xMode val="edge"/>
          <c:yMode val="edge"/>
          <c:x val="0.10593285214348207"/>
          <c:y val="6.5749842387888696E-2"/>
          <c:w val="0.47269356955380576"/>
          <c:h val="0.89510477206655681"/>
        </c:manualLayout>
      </c:layout>
      <c:barChart>
        <c:barDir val="col"/>
        <c:grouping val="percentStacked"/>
        <c:varyColors val="0"/>
        <c:ser>
          <c:idx val="0"/>
          <c:order val="0"/>
          <c:tx>
            <c:strRef>
              <c:f>Barriers!$J$3</c:f>
              <c:strCache>
                <c:ptCount val="1"/>
                <c:pt idx="0">
                  <c:v>Abuse/Domestic Violence issue</c:v>
                </c:pt>
              </c:strCache>
            </c:strRef>
          </c:tx>
          <c:invertIfNegative val="0"/>
          <c:cat>
            <c:strRef>
              <c:f>Barriers!$K$2:$M$2</c:f>
              <c:strCache>
                <c:ptCount val="3"/>
                <c:pt idx="0">
                  <c:v>Level 1</c:v>
                </c:pt>
                <c:pt idx="1">
                  <c:v>Level 2a</c:v>
                </c:pt>
                <c:pt idx="2">
                  <c:v>Level 2b</c:v>
                </c:pt>
              </c:strCache>
            </c:strRef>
          </c:cat>
          <c:val>
            <c:numRef>
              <c:f>Barriers!$K$3:$M$3</c:f>
              <c:numCache>
                <c:formatCode>General</c:formatCode>
                <c:ptCount val="3"/>
                <c:pt idx="0">
                  <c:v>916</c:v>
                </c:pt>
                <c:pt idx="1">
                  <c:v>2159</c:v>
                </c:pt>
                <c:pt idx="2">
                  <c:v>2829</c:v>
                </c:pt>
              </c:numCache>
            </c:numRef>
          </c:val>
        </c:ser>
        <c:ser>
          <c:idx val="1"/>
          <c:order val="1"/>
          <c:tx>
            <c:strRef>
              <c:f>Barriers!$J$4</c:f>
              <c:strCache>
                <c:ptCount val="1"/>
                <c:pt idx="0">
                  <c:v>Alcohol and/or drug misuse</c:v>
                </c:pt>
              </c:strCache>
            </c:strRef>
          </c:tx>
          <c:invertIfNegative val="0"/>
          <c:cat>
            <c:strRef>
              <c:f>Barriers!$K$2:$M$2</c:f>
              <c:strCache>
                <c:ptCount val="3"/>
                <c:pt idx="0">
                  <c:v>Level 1</c:v>
                </c:pt>
                <c:pt idx="1">
                  <c:v>Level 2a</c:v>
                </c:pt>
                <c:pt idx="2">
                  <c:v>Level 2b</c:v>
                </c:pt>
              </c:strCache>
            </c:strRef>
          </c:cat>
          <c:val>
            <c:numRef>
              <c:f>Barriers!$K$4:$M$4</c:f>
              <c:numCache>
                <c:formatCode>General</c:formatCode>
                <c:ptCount val="3"/>
                <c:pt idx="0">
                  <c:v>1359</c:v>
                </c:pt>
                <c:pt idx="1">
                  <c:v>3749</c:v>
                </c:pt>
                <c:pt idx="2">
                  <c:v>6069</c:v>
                </c:pt>
              </c:numCache>
            </c:numRef>
          </c:val>
        </c:ser>
        <c:ser>
          <c:idx val="2"/>
          <c:order val="2"/>
          <c:tx>
            <c:strRef>
              <c:f>Barriers!$J$5</c:f>
              <c:strCache>
                <c:ptCount val="1"/>
                <c:pt idx="0">
                  <c:v>Anger management issues</c:v>
                </c:pt>
              </c:strCache>
            </c:strRef>
          </c:tx>
          <c:invertIfNegative val="0"/>
          <c:cat>
            <c:strRef>
              <c:f>Barriers!$K$2:$M$2</c:f>
              <c:strCache>
                <c:ptCount val="3"/>
                <c:pt idx="0">
                  <c:v>Level 1</c:v>
                </c:pt>
                <c:pt idx="1">
                  <c:v>Level 2a</c:v>
                </c:pt>
                <c:pt idx="2">
                  <c:v>Level 2b</c:v>
                </c:pt>
              </c:strCache>
            </c:strRef>
          </c:cat>
          <c:val>
            <c:numRef>
              <c:f>Barriers!$K$5:$M$5</c:f>
              <c:numCache>
                <c:formatCode>General</c:formatCode>
                <c:ptCount val="3"/>
                <c:pt idx="0">
                  <c:v>4230</c:v>
                </c:pt>
                <c:pt idx="1">
                  <c:v>7406</c:v>
                </c:pt>
                <c:pt idx="2">
                  <c:v>6621</c:v>
                </c:pt>
              </c:numCache>
            </c:numRef>
          </c:val>
        </c:ser>
        <c:ser>
          <c:idx val="3"/>
          <c:order val="3"/>
          <c:tx>
            <c:strRef>
              <c:f>Barriers!$J$6</c:f>
              <c:strCache>
                <c:ptCount val="1"/>
                <c:pt idx="0">
                  <c:v>Behavioural problems</c:v>
                </c:pt>
              </c:strCache>
            </c:strRef>
          </c:tx>
          <c:invertIfNegative val="0"/>
          <c:cat>
            <c:strRef>
              <c:f>Barriers!$K$2:$M$2</c:f>
              <c:strCache>
                <c:ptCount val="3"/>
                <c:pt idx="0">
                  <c:v>Level 1</c:v>
                </c:pt>
                <c:pt idx="1">
                  <c:v>Level 2a</c:v>
                </c:pt>
                <c:pt idx="2">
                  <c:v>Level 2b</c:v>
                </c:pt>
              </c:strCache>
            </c:strRef>
          </c:cat>
          <c:val>
            <c:numRef>
              <c:f>Barriers!$K$6:$M$6</c:f>
              <c:numCache>
                <c:formatCode>General</c:formatCode>
                <c:ptCount val="3"/>
                <c:pt idx="0">
                  <c:v>8477</c:v>
                </c:pt>
                <c:pt idx="1">
                  <c:v>12439</c:v>
                </c:pt>
                <c:pt idx="2">
                  <c:v>9634</c:v>
                </c:pt>
              </c:numCache>
            </c:numRef>
          </c:val>
        </c:ser>
        <c:ser>
          <c:idx val="4"/>
          <c:order val="4"/>
          <c:tx>
            <c:strRef>
              <c:f>Barriers!$J$7</c:f>
              <c:strCache>
                <c:ptCount val="1"/>
                <c:pt idx="0">
                  <c:v>Bullying</c:v>
                </c:pt>
              </c:strCache>
            </c:strRef>
          </c:tx>
          <c:invertIfNegative val="0"/>
          <c:cat>
            <c:strRef>
              <c:f>Barriers!$K$2:$M$2</c:f>
              <c:strCache>
                <c:ptCount val="3"/>
                <c:pt idx="0">
                  <c:v>Level 1</c:v>
                </c:pt>
                <c:pt idx="1">
                  <c:v>Level 2a</c:v>
                </c:pt>
                <c:pt idx="2">
                  <c:v>Level 2b</c:v>
                </c:pt>
              </c:strCache>
            </c:strRef>
          </c:cat>
          <c:val>
            <c:numRef>
              <c:f>Barriers!$K$7:$M$7</c:f>
              <c:numCache>
                <c:formatCode>General</c:formatCode>
                <c:ptCount val="3"/>
                <c:pt idx="0">
                  <c:v>4399</c:v>
                </c:pt>
                <c:pt idx="1">
                  <c:v>5655</c:v>
                </c:pt>
                <c:pt idx="2">
                  <c:v>4921</c:v>
                </c:pt>
              </c:numCache>
            </c:numRef>
          </c:val>
        </c:ser>
        <c:ser>
          <c:idx val="5"/>
          <c:order val="5"/>
          <c:tx>
            <c:strRef>
              <c:f>Barriers!$J$8</c:f>
              <c:strCache>
                <c:ptCount val="1"/>
                <c:pt idx="0">
                  <c:v>Critical life event</c:v>
                </c:pt>
              </c:strCache>
            </c:strRef>
          </c:tx>
          <c:invertIfNegative val="0"/>
          <c:cat>
            <c:strRef>
              <c:f>Barriers!$K$2:$M$2</c:f>
              <c:strCache>
                <c:ptCount val="3"/>
                <c:pt idx="0">
                  <c:v>Level 1</c:v>
                </c:pt>
                <c:pt idx="1">
                  <c:v>Level 2a</c:v>
                </c:pt>
                <c:pt idx="2">
                  <c:v>Level 2b</c:v>
                </c:pt>
              </c:strCache>
            </c:strRef>
          </c:cat>
          <c:val>
            <c:numRef>
              <c:f>Barriers!$K$8:$M$8</c:f>
              <c:numCache>
                <c:formatCode>General</c:formatCode>
                <c:ptCount val="3"/>
                <c:pt idx="0">
                  <c:v>1925</c:v>
                </c:pt>
                <c:pt idx="1">
                  <c:v>3494</c:v>
                </c:pt>
                <c:pt idx="2">
                  <c:v>4277</c:v>
                </c:pt>
              </c:numCache>
            </c:numRef>
          </c:val>
        </c:ser>
        <c:ser>
          <c:idx val="6"/>
          <c:order val="6"/>
          <c:tx>
            <c:strRef>
              <c:f>Barriers!$J$9</c:f>
              <c:strCache>
                <c:ptCount val="1"/>
                <c:pt idx="0">
                  <c:v>Current or previous Juvenile Justice Orders</c:v>
                </c:pt>
              </c:strCache>
            </c:strRef>
          </c:tx>
          <c:invertIfNegative val="0"/>
          <c:cat>
            <c:strRef>
              <c:f>Barriers!$K$2:$M$2</c:f>
              <c:strCache>
                <c:ptCount val="3"/>
                <c:pt idx="0">
                  <c:v>Level 1</c:v>
                </c:pt>
                <c:pt idx="1">
                  <c:v>Level 2a</c:v>
                </c:pt>
                <c:pt idx="2">
                  <c:v>Level 2b</c:v>
                </c:pt>
              </c:strCache>
            </c:strRef>
          </c:cat>
          <c:val>
            <c:numRef>
              <c:f>Barriers!$K$9:$M$9</c:f>
              <c:numCache>
                <c:formatCode>General</c:formatCode>
                <c:ptCount val="3"/>
                <c:pt idx="0">
                  <c:v>399</c:v>
                </c:pt>
                <c:pt idx="1">
                  <c:v>1528</c:v>
                </c:pt>
                <c:pt idx="2">
                  <c:v>3947</c:v>
                </c:pt>
              </c:numCache>
            </c:numRef>
          </c:val>
        </c:ser>
        <c:ser>
          <c:idx val="7"/>
          <c:order val="7"/>
          <c:tx>
            <c:strRef>
              <c:f>Barriers!$J$10</c:f>
              <c:strCache>
                <c:ptCount val="1"/>
                <c:pt idx="0">
                  <c:v>Disability</c:v>
                </c:pt>
              </c:strCache>
            </c:strRef>
          </c:tx>
          <c:invertIfNegative val="0"/>
          <c:cat>
            <c:strRef>
              <c:f>Barriers!$K$2:$M$2</c:f>
              <c:strCache>
                <c:ptCount val="3"/>
                <c:pt idx="0">
                  <c:v>Level 1</c:v>
                </c:pt>
                <c:pt idx="1">
                  <c:v>Level 2a</c:v>
                </c:pt>
                <c:pt idx="2">
                  <c:v>Level 2b</c:v>
                </c:pt>
              </c:strCache>
            </c:strRef>
          </c:cat>
          <c:val>
            <c:numRef>
              <c:f>Barriers!$K$10:$M$10</c:f>
              <c:numCache>
                <c:formatCode>General</c:formatCode>
                <c:ptCount val="3"/>
                <c:pt idx="0">
                  <c:v>555</c:v>
                </c:pt>
                <c:pt idx="1">
                  <c:v>1011</c:v>
                </c:pt>
                <c:pt idx="2">
                  <c:v>1134</c:v>
                </c:pt>
              </c:numCache>
            </c:numRef>
          </c:val>
        </c:ser>
        <c:ser>
          <c:idx val="8"/>
          <c:order val="8"/>
          <c:tx>
            <c:strRef>
              <c:f>Barriers!$J$11</c:f>
              <c:strCache>
                <c:ptCount val="1"/>
                <c:pt idx="0">
                  <c:v>Disconnection from cultural heritage</c:v>
                </c:pt>
              </c:strCache>
            </c:strRef>
          </c:tx>
          <c:invertIfNegative val="0"/>
          <c:cat>
            <c:strRef>
              <c:f>Barriers!$K$2:$M$2</c:f>
              <c:strCache>
                <c:ptCount val="3"/>
                <c:pt idx="0">
                  <c:v>Level 1</c:v>
                </c:pt>
                <c:pt idx="1">
                  <c:v>Level 2a</c:v>
                </c:pt>
                <c:pt idx="2">
                  <c:v>Level 2b</c:v>
                </c:pt>
              </c:strCache>
            </c:strRef>
          </c:cat>
          <c:val>
            <c:numRef>
              <c:f>Barriers!$K$11:$M$11</c:f>
              <c:numCache>
                <c:formatCode>General</c:formatCode>
                <c:ptCount val="3"/>
                <c:pt idx="0">
                  <c:v>835</c:v>
                </c:pt>
                <c:pt idx="1">
                  <c:v>908</c:v>
                </c:pt>
                <c:pt idx="2">
                  <c:v>1197</c:v>
                </c:pt>
              </c:numCache>
            </c:numRef>
          </c:val>
        </c:ser>
        <c:ser>
          <c:idx val="9"/>
          <c:order val="9"/>
          <c:tx>
            <c:strRef>
              <c:f>Barriers!$J$12</c:f>
              <c:strCache>
                <c:ptCount val="1"/>
                <c:pt idx="0">
                  <c:v>Financial distress</c:v>
                </c:pt>
              </c:strCache>
            </c:strRef>
          </c:tx>
          <c:invertIfNegative val="0"/>
          <c:cat>
            <c:strRef>
              <c:f>Barriers!$K$2:$M$2</c:f>
              <c:strCache>
                <c:ptCount val="3"/>
                <c:pt idx="0">
                  <c:v>Level 1</c:v>
                </c:pt>
                <c:pt idx="1">
                  <c:v>Level 2a</c:v>
                </c:pt>
                <c:pt idx="2">
                  <c:v>Level 2b</c:v>
                </c:pt>
              </c:strCache>
            </c:strRef>
          </c:cat>
          <c:val>
            <c:numRef>
              <c:f>Barriers!$K$12:$M$12</c:f>
              <c:numCache>
                <c:formatCode>General</c:formatCode>
                <c:ptCount val="3"/>
                <c:pt idx="0">
                  <c:v>2284</c:v>
                </c:pt>
                <c:pt idx="1">
                  <c:v>4845</c:v>
                </c:pt>
                <c:pt idx="2">
                  <c:v>9914</c:v>
                </c:pt>
              </c:numCache>
            </c:numRef>
          </c:val>
        </c:ser>
        <c:ser>
          <c:idx val="10"/>
          <c:order val="10"/>
          <c:tx>
            <c:strRef>
              <c:f>Barriers!$J$13</c:f>
              <c:strCache>
                <c:ptCount val="1"/>
                <c:pt idx="0">
                  <c:v>Gifted</c:v>
                </c:pt>
              </c:strCache>
            </c:strRef>
          </c:tx>
          <c:invertIfNegative val="0"/>
          <c:cat>
            <c:strRef>
              <c:f>Barriers!$K$2:$M$2</c:f>
              <c:strCache>
                <c:ptCount val="3"/>
                <c:pt idx="0">
                  <c:v>Level 1</c:v>
                </c:pt>
                <c:pt idx="1">
                  <c:v>Level 2a</c:v>
                </c:pt>
                <c:pt idx="2">
                  <c:v>Level 2b</c:v>
                </c:pt>
              </c:strCache>
            </c:strRef>
          </c:cat>
          <c:val>
            <c:numRef>
              <c:f>Barriers!$K$13:$M$13</c:f>
              <c:numCache>
                <c:formatCode>General</c:formatCode>
                <c:ptCount val="3"/>
                <c:pt idx="0">
                  <c:v>193</c:v>
                </c:pt>
                <c:pt idx="1">
                  <c:v>244</c:v>
                </c:pt>
                <c:pt idx="2">
                  <c:v>224</c:v>
                </c:pt>
              </c:numCache>
            </c:numRef>
          </c:val>
        </c:ser>
        <c:ser>
          <c:idx val="11"/>
          <c:order val="11"/>
          <c:tx>
            <c:strRef>
              <c:f>Barriers!$J$14</c:f>
              <c:strCache>
                <c:ptCount val="1"/>
                <c:pt idx="0">
                  <c:v>Homelessness</c:v>
                </c:pt>
              </c:strCache>
            </c:strRef>
          </c:tx>
          <c:invertIfNegative val="0"/>
          <c:cat>
            <c:strRef>
              <c:f>Barriers!$K$2:$M$2</c:f>
              <c:strCache>
                <c:ptCount val="3"/>
                <c:pt idx="0">
                  <c:v>Level 1</c:v>
                </c:pt>
                <c:pt idx="1">
                  <c:v>Level 2a</c:v>
                </c:pt>
                <c:pt idx="2">
                  <c:v>Level 2b</c:v>
                </c:pt>
              </c:strCache>
            </c:strRef>
          </c:cat>
          <c:val>
            <c:numRef>
              <c:f>Barriers!$K$14:$M$14</c:f>
              <c:numCache>
                <c:formatCode>General</c:formatCode>
                <c:ptCount val="3"/>
                <c:pt idx="0">
                  <c:v>193</c:v>
                </c:pt>
                <c:pt idx="1">
                  <c:v>657</c:v>
                </c:pt>
                <c:pt idx="2">
                  <c:v>1829</c:v>
                </c:pt>
              </c:numCache>
            </c:numRef>
          </c:val>
        </c:ser>
        <c:ser>
          <c:idx val="12"/>
          <c:order val="12"/>
          <c:tx>
            <c:strRef>
              <c:f>Barriers!$J$15</c:f>
              <c:strCache>
                <c:ptCount val="1"/>
                <c:pt idx="0">
                  <c:v>In detention/previously in detention</c:v>
                </c:pt>
              </c:strCache>
            </c:strRef>
          </c:tx>
          <c:invertIfNegative val="0"/>
          <c:cat>
            <c:strRef>
              <c:f>Barriers!$K$2:$M$2</c:f>
              <c:strCache>
                <c:ptCount val="3"/>
                <c:pt idx="0">
                  <c:v>Level 1</c:v>
                </c:pt>
                <c:pt idx="1">
                  <c:v>Level 2a</c:v>
                </c:pt>
                <c:pt idx="2">
                  <c:v>Level 2b</c:v>
                </c:pt>
              </c:strCache>
            </c:strRef>
          </c:cat>
          <c:val>
            <c:numRef>
              <c:f>Barriers!$K$15:$M$15</c:f>
              <c:numCache>
                <c:formatCode>General</c:formatCode>
                <c:ptCount val="3"/>
                <c:pt idx="0">
                  <c:v>175</c:v>
                </c:pt>
                <c:pt idx="1">
                  <c:v>426</c:v>
                </c:pt>
                <c:pt idx="2">
                  <c:v>1138</c:v>
                </c:pt>
              </c:numCache>
            </c:numRef>
          </c:val>
        </c:ser>
        <c:ser>
          <c:idx val="13"/>
          <c:order val="13"/>
          <c:tx>
            <c:strRef>
              <c:f>Barriers!$J$16</c:f>
              <c:strCache>
                <c:ptCount val="1"/>
                <c:pt idx="0">
                  <c:v>Inadequate family support</c:v>
                </c:pt>
              </c:strCache>
            </c:strRef>
          </c:tx>
          <c:invertIfNegative val="0"/>
          <c:cat>
            <c:strRef>
              <c:f>Barriers!$K$2:$M$2</c:f>
              <c:strCache>
                <c:ptCount val="3"/>
                <c:pt idx="0">
                  <c:v>Level 1</c:v>
                </c:pt>
                <c:pt idx="1">
                  <c:v>Level 2a</c:v>
                </c:pt>
                <c:pt idx="2">
                  <c:v>Level 2b</c:v>
                </c:pt>
              </c:strCache>
            </c:strRef>
          </c:cat>
          <c:val>
            <c:numRef>
              <c:f>Barriers!$K$16:$M$16</c:f>
              <c:numCache>
                <c:formatCode>General</c:formatCode>
                <c:ptCount val="3"/>
                <c:pt idx="0">
                  <c:v>2638</c:v>
                </c:pt>
                <c:pt idx="1">
                  <c:v>5419</c:v>
                </c:pt>
                <c:pt idx="2">
                  <c:v>8569</c:v>
                </c:pt>
              </c:numCache>
            </c:numRef>
          </c:val>
        </c:ser>
        <c:ser>
          <c:idx val="14"/>
          <c:order val="14"/>
          <c:tx>
            <c:strRef>
              <c:f>Barriers!$J$17</c:f>
              <c:strCache>
                <c:ptCount val="1"/>
                <c:pt idx="0">
                  <c:v>Learning Difficulty</c:v>
                </c:pt>
              </c:strCache>
            </c:strRef>
          </c:tx>
          <c:invertIfNegative val="0"/>
          <c:cat>
            <c:strRef>
              <c:f>Barriers!$K$2:$M$2</c:f>
              <c:strCache>
                <c:ptCount val="3"/>
                <c:pt idx="0">
                  <c:v>Level 1</c:v>
                </c:pt>
                <c:pt idx="1">
                  <c:v>Level 2a</c:v>
                </c:pt>
                <c:pt idx="2">
                  <c:v>Level 2b</c:v>
                </c:pt>
              </c:strCache>
            </c:strRef>
          </c:cat>
          <c:val>
            <c:numRef>
              <c:f>Barriers!$K$17:$M$17</c:f>
              <c:numCache>
                <c:formatCode>General</c:formatCode>
                <c:ptCount val="3"/>
                <c:pt idx="0">
                  <c:v>1118</c:v>
                </c:pt>
                <c:pt idx="1">
                  <c:v>1862</c:v>
                </c:pt>
                <c:pt idx="2">
                  <c:v>2091</c:v>
                </c:pt>
              </c:numCache>
            </c:numRef>
          </c:val>
        </c:ser>
        <c:ser>
          <c:idx val="15"/>
          <c:order val="15"/>
          <c:tx>
            <c:strRef>
              <c:f>Barriers!$J$18</c:f>
              <c:strCache>
                <c:ptCount val="1"/>
                <c:pt idx="0">
                  <c:v>Low literacy and/or numeracy</c:v>
                </c:pt>
              </c:strCache>
            </c:strRef>
          </c:tx>
          <c:invertIfNegative val="0"/>
          <c:cat>
            <c:strRef>
              <c:f>Barriers!$K$2:$M$2</c:f>
              <c:strCache>
                <c:ptCount val="3"/>
                <c:pt idx="0">
                  <c:v>Level 1</c:v>
                </c:pt>
                <c:pt idx="1">
                  <c:v>Level 2a</c:v>
                </c:pt>
                <c:pt idx="2">
                  <c:v>Level 2b</c:v>
                </c:pt>
              </c:strCache>
            </c:strRef>
          </c:cat>
          <c:val>
            <c:numRef>
              <c:f>Barriers!$K$18:$M$18</c:f>
              <c:numCache>
                <c:formatCode>General</c:formatCode>
                <c:ptCount val="3"/>
                <c:pt idx="0">
                  <c:v>6785</c:v>
                </c:pt>
                <c:pt idx="1">
                  <c:v>10774</c:v>
                </c:pt>
                <c:pt idx="2">
                  <c:v>12255</c:v>
                </c:pt>
              </c:numCache>
            </c:numRef>
          </c:val>
        </c:ser>
        <c:ser>
          <c:idx val="16"/>
          <c:order val="16"/>
          <c:tx>
            <c:strRef>
              <c:f>Barriers!$J$19</c:f>
              <c:strCache>
                <c:ptCount val="1"/>
                <c:pt idx="0">
                  <c:v>Low Self Esteem</c:v>
                </c:pt>
              </c:strCache>
            </c:strRef>
          </c:tx>
          <c:invertIfNegative val="0"/>
          <c:cat>
            <c:strRef>
              <c:f>Barriers!$K$2:$M$2</c:f>
              <c:strCache>
                <c:ptCount val="3"/>
                <c:pt idx="0">
                  <c:v>Level 1</c:v>
                </c:pt>
                <c:pt idx="1">
                  <c:v>Level 2a</c:v>
                </c:pt>
                <c:pt idx="2">
                  <c:v>Level 2b</c:v>
                </c:pt>
              </c:strCache>
            </c:strRef>
          </c:cat>
          <c:val>
            <c:numRef>
              <c:f>Barriers!$K$19:$M$19</c:f>
              <c:numCache>
                <c:formatCode>General</c:formatCode>
                <c:ptCount val="3"/>
                <c:pt idx="0">
                  <c:v>8531</c:v>
                </c:pt>
                <c:pt idx="1">
                  <c:v>12059</c:v>
                </c:pt>
                <c:pt idx="2">
                  <c:v>13174</c:v>
                </c:pt>
              </c:numCache>
            </c:numRef>
          </c:val>
        </c:ser>
        <c:ser>
          <c:idx val="17"/>
          <c:order val="17"/>
          <c:tx>
            <c:strRef>
              <c:f>Barriers!$J$20</c:f>
              <c:strCache>
                <c:ptCount val="1"/>
                <c:pt idx="0">
                  <c:v>Medical or other health issue</c:v>
                </c:pt>
              </c:strCache>
            </c:strRef>
          </c:tx>
          <c:invertIfNegative val="0"/>
          <c:cat>
            <c:strRef>
              <c:f>Barriers!$K$2:$M$2</c:f>
              <c:strCache>
                <c:ptCount val="3"/>
                <c:pt idx="0">
                  <c:v>Level 1</c:v>
                </c:pt>
                <c:pt idx="1">
                  <c:v>Level 2a</c:v>
                </c:pt>
                <c:pt idx="2">
                  <c:v>Level 2b</c:v>
                </c:pt>
              </c:strCache>
            </c:strRef>
          </c:cat>
          <c:val>
            <c:numRef>
              <c:f>Barriers!$K$20:$M$20</c:f>
              <c:numCache>
                <c:formatCode>General</c:formatCode>
                <c:ptCount val="3"/>
                <c:pt idx="0">
                  <c:v>1098</c:v>
                </c:pt>
                <c:pt idx="1">
                  <c:v>2069</c:v>
                </c:pt>
                <c:pt idx="2">
                  <c:v>2725</c:v>
                </c:pt>
              </c:numCache>
            </c:numRef>
          </c:val>
        </c:ser>
        <c:ser>
          <c:idx val="18"/>
          <c:order val="18"/>
          <c:tx>
            <c:strRef>
              <c:f>Barriers!$J$21</c:f>
              <c:strCache>
                <c:ptCount val="1"/>
                <c:pt idx="0">
                  <c:v>Negative experience(s) with education and training</c:v>
                </c:pt>
              </c:strCache>
            </c:strRef>
          </c:tx>
          <c:invertIfNegative val="0"/>
          <c:cat>
            <c:strRef>
              <c:f>Barriers!$K$2:$M$2</c:f>
              <c:strCache>
                <c:ptCount val="3"/>
                <c:pt idx="0">
                  <c:v>Level 1</c:v>
                </c:pt>
                <c:pt idx="1">
                  <c:v>Level 2a</c:v>
                </c:pt>
                <c:pt idx="2">
                  <c:v>Level 2b</c:v>
                </c:pt>
              </c:strCache>
            </c:strRef>
          </c:cat>
          <c:val>
            <c:numRef>
              <c:f>Barriers!$K$21:$M$21</c:f>
              <c:numCache>
                <c:formatCode>General</c:formatCode>
                <c:ptCount val="3"/>
                <c:pt idx="0">
                  <c:v>1591</c:v>
                </c:pt>
                <c:pt idx="1">
                  <c:v>2921</c:v>
                </c:pt>
                <c:pt idx="2">
                  <c:v>3546</c:v>
                </c:pt>
              </c:numCache>
            </c:numRef>
          </c:val>
        </c:ser>
        <c:ser>
          <c:idx val="19"/>
          <c:order val="19"/>
          <c:tx>
            <c:strRef>
              <c:f>Barriers!$J$22</c:f>
              <c:strCache>
                <c:ptCount val="1"/>
                <c:pt idx="0">
                  <c:v>Out of home care</c:v>
                </c:pt>
              </c:strCache>
            </c:strRef>
          </c:tx>
          <c:invertIfNegative val="0"/>
          <c:cat>
            <c:strRef>
              <c:f>Barriers!$K$2:$M$2</c:f>
              <c:strCache>
                <c:ptCount val="3"/>
                <c:pt idx="0">
                  <c:v>Level 1</c:v>
                </c:pt>
                <c:pt idx="1">
                  <c:v>Level 2a</c:v>
                </c:pt>
                <c:pt idx="2">
                  <c:v>Level 2b</c:v>
                </c:pt>
              </c:strCache>
            </c:strRef>
          </c:cat>
          <c:val>
            <c:numRef>
              <c:f>Barriers!$K$22:$M$22</c:f>
              <c:numCache>
                <c:formatCode>General</c:formatCode>
                <c:ptCount val="3"/>
                <c:pt idx="0">
                  <c:v>361</c:v>
                </c:pt>
                <c:pt idx="1">
                  <c:v>657</c:v>
                </c:pt>
                <c:pt idx="2">
                  <c:v>1159</c:v>
                </c:pt>
              </c:numCache>
            </c:numRef>
          </c:val>
        </c:ser>
        <c:ser>
          <c:idx val="20"/>
          <c:order val="20"/>
          <c:tx>
            <c:strRef>
              <c:f>Barriers!$J$23</c:f>
              <c:strCache>
                <c:ptCount val="1"/>
                <c:pt idx="0">
                  <c:v>Parent/Pregnancy</c:v>
                </c:pt>
              </c:strCache>
            </c:strRef>
          </c:tx>
          <c:invertIfNegative val="0"/>
          <c:cat>
            <c:strRef>
              <c:f>Barriers!$K$2:$M$2</c:f>
              <c:strCache>
                <c:ptCount val="3"/>
                <c:pt idx="0">
                  <c:v>Level 1</c:v>
                </c:pt>
                <c:pt idx="1">
                  <c:v>Level 2a</c:v>
                </c:pt>
                <c:pt idx="2">
                  <c:v>Level 2b</c:v>
                </c:pt>
              </c:strCache>
            </c:strRef>
          </c:cat>
          <c:val>
            <c:numRef>
              <c:f>Barriers!$K$23:$M$23</c:f>
              <c:numCache>
                <c:formatCode>General</c:formatCode>
                <c:ptCount val="3"/>
                <c:pt idx="0">
                  <c:v>87</c:v>
                </c:pt>
                <c:pt idx="1">
                  <c:v>341</c:v>
                </c:pt>
                <c:pt idx="2">
                  <c:v>1687</c:v>
                </c:pt>
              </c:numCache>
            </c:numRef>
          </c:val>
        </c:ser>
        <c:ser>
          <c:idx val="21"/>
          <c:order val="21"/>
          <c:tx>
            <c:strRef>
              <c:f>Barriers!$J$24</c:f>
              <c:strCache>
                <c:ptCount val="1"/>
                <c:pt idx="0">
                  <c:v>Petrol sniffing</c:v>
                </c:pt>
              </c:strCache>
            </c:strRef>
          </c:tx>
          <c:invertIfNegative val="0"/>
          <c:cat>
            <c:strRef>
              <c:f>Barriers!$K$2:$M$2</c:f>
              <c:strCache>
                <c:ptCount val="3"/>
                <c:pt idx="0">
                  <c:v>Level 1</c:v>
                </c:pt>
                <c:pt idx="1">
                  <c:v>Level 2a</c:v>
                </c:pt>
                <c:pt idx="2">
                  <c:v>Level 2b</c:v>
                </c:pt>
              </c:strCache>
            </c:strRef>
          </c:cat>
          <c:val>
            <c:numRef>
              <c:f>Barriers!$K$24:$M$24</c:f>
              <c:numCache>
                <c:formatCode>General</c:formatCode>
                <c:ptCount val="3"/>
                <c:pt idx="0">
                  <c:v>3</c:v>
                </c:pt>
                <c:pt idx="1">
                  <c:v>9</c:v>
                </c:pt>
                <c:pt idx="2">
                  <c:v>32</c:v>
                </c:pt>
              </c:numCache>
            </c:numRef>
          </c:val>
        </c:ser>
        <c:ser>
          <c:idx val="22"/>
          <c:order val="22"/>
          <c:tx>
            <c:strRef>
              <c:f>Barriers!$J$25</c:f>
              <c:strCache>
                <c:ptCount val="1"/>
                <c:pt idx="0">
                  <c:v>Socialisation issues</c:v>
                </c:pt>
              </c:strCache>
            </c:strRef>
          </c:tx>
          <c:invertIfNegative val="0"/>
          <c:cat>
            <c:strRef>
              <c:f>Barriers!$K$2:$M$2</c:f>
              <c:strCache>
                <c:ptCount val="3"/>
                <c:pt idx="0">
                  <c:v>Level 1</c:v>
                </c:pt>
                <c:pt idx="1">
                  <c:v>Level 2a</c:v>
                </c:pt>
                <c:pt idx="2">
                  <c:v>Level 2b</c:v>
                </c:pt>
              </c:strCache>
            </c:strRef>
          </c:cat>
          <c:val>
            <c:numRef>
              <c:f>Barriers!$K$25:$M$25</c:f>
              <c:numCache>
                <c:formatCode>General</c:formatCode>
                <c:ptCount val="3"/>
                <c:pt idx="0">
                  <c:v>6060</c:v>
                </c:pt>
                <c:pt idx="1">
                  <c:v>8851</c:v>
                </c:pt>
                <c:pt idx="2">
                  <c:v>10330</c:v>
                </c:pt>
              </c:numCache>
            </c:numRef>
          </c:val>
        </c:ser>
        <c:ser>
          <c:idx val="23"/>
          <c:order val="23"/>
          <c:tx>
            <c:strRef>
              <c:f>Barriers!$J$26</c:f>
              <c:strCache>
                <c:ptCount val="1"/>
                <c:pt idx="0">
                  <c:v>Suspected or diagnosed mental health issue</c:v>
                </c:pt>
              </c:strCache>
            </c:strRef>
          </c:tx>
          <c:invertIfNegative val="0"/>
          <c:cat>
            <c:strRef>
              <c:f>Barriers!$K$2:$M$2</c:f>
              <c:strCache>
                <c:ptCount val="3"/>
                <c:pt idx="0">
                  <c:v>Level 1</c:v>
                </c:pt>
                <c:pt idx="1">
                  <c:v>Level 2a</c:v>
                </c:pt>
                <c:pt idx="2">
                  <c:v>Level 2b</c:v>
                </c:pt>
              </c:strCache>
            </c:strRef>
          </c:cat>
          <c:val>
            <c:numRef>
              <c:f>Barriers!$K$26:$M$26</c:f>
              <c:numCache>
                <c:formatCode>General</c:formatCode>
                <c:ptCount val="3"/>
                <c:pt idx="0">
                  <c:v>2534</c:v>
                </c:pt>
                <c:pt idx="1">
                  <c:v>6165</c:v>
                </c:pt>
                <c:pt idx="2">
                  <c:v>7524</c:v>
                </c:pt>
              </c:numCache>
            </c:numRef>
          </c:val>
        </c:ser>
        <c:ser>
          <c:idx val="24"/>
          <c:order val="24"/>
          <c:tx>
            <c:strRef>
              <c:f>Barriers!$J$27</c:f>
              <c:strCache>
                <c:ptCount val="1"/>
                <c:pt idx="0">
                  <c:v>Unstable living arrangements</c:v>
                </c:pt>
              </c:strCache>
            </c:strRef>
          </c:tx>
          <c:invertIfNegative val="0"/>
          <c:cat>
            <c:strRef>
              <c:f>Barriers!$K$2:$M$2</c:f>
              <c:strCache>
                <c:ptCount val="3"/>
                <c:pt idx="0">
                  <c:v>Level 1</c:v>
                </c:pt>
                <c:pt idx="1">
                  <c:v>Level 2a</c:v>
                </c:pt>
                <c:pt idx="2">
                  <c:v>Level 2b</c:v>
                </c:pt>
              </c:strCache>
            </c:strRef>
          </c:cat>
          <c:val>
            <c:numRef>
              <c:f>Barriers!$K$27:$M$27</c:f>
              <c:numCache>
                <c:formatCode>General</c:formatCode>
                <c:ptCount val="3"/>
                <c:pt idx="0">
                  <c:v>1193</c:v>
                </c:pt>
                <c:pt idx="1">
                  <c:v>3258</c:v>
                </c:pt>
                <c:pt idx="2">
                  <c:v>6161</c:v>
                </c:pt>
              </c:numCache>
            </c:numRef>
          </c:val>
        </c:ser>
        <c:ser>
          <c:idx val="25"/>
          <c:order val="25"/>
          <c:tx>
            <c:strRef>
              <c:f>Barriers!$J$28</c:f>
              <c:strCache>
                <c:ptCount val="1"/>
                <c:pt idx="0">
                  <c:v>Volatile substance misuse</c:v>
                </c:pt>
              </c:strCache>
            </c:strRef>
          </c:tx>
          <c:invertIfNegative val="0"/>
          <c:cat>
            <c:strRef>
              <c:f>Barriers!$K$2:$M$2</c:f>
              <c:strCache>
                <c:ptCount val="3"/>
                <c:pt idx="0">
                  <c:v>Level 1</c:v>
                </c:pt>
                <c:pt idx="1">
                  <c:v>Level 2a</c:v>
                </c:pt>
                <c:pt idx="2">
                  <c:v>Level 2b</c:v>
                </c:pt>
              </c:strCache>
            </c:strRef>
          </c:cat>
          <c:val>
            <c:numRef>
              <c:f>Barriers!$K$28:$M$28</c:f>
              <c:numCache>
                <c:formatCode>General</c:formatCode>
                <c:ptCount val="3"/>
                <c:pt idx="0">
                  <c:v>22</c:v>
                </c:pt>
                <c:pt idx="1">
                  <c:v>71</c:v>
                </c:pt>
                <c:pt idx="2">
                  <c:v>176</c:v>
                </c:pt>
              </c:numCache>
            </c:numRef>
          </c:val>
        </c:ser>
        <c:ser>
          <c:idx val="26"/>
          <c:order val="26"/>
          <c:tx>
            <c:strRef>
              <c:f>Barriers!$J$29</c:f>
              <c:strCache>
                <c:ptCount val="1"/>
                <c:pt idx="0">
                  <c:v>Young Carer responsibilities</c:v>
                </c:pt>
              </c:strCache>
            </c:strRef>
          </c:tx>
          <c:invertIfNegative val="0"/>
          <c:cat>
            <c:strRef>
              <c:f>Barriers!$K$2:$M$2</c:f>
              <c:strCache>
                <c:ptCount val="3"/>
                <c:pt idx="0">
                  <c:v>Level 1</c:v>
                </c:pt>
                <c:pt idx="1">
                  <c:v>Level 2a</c:v>
                </c:pt>
                <c:pt idx="2">
                  <c:v>Level 2b</c:v>
                </c:pt>
              </c:strCache>
            </c:strRef>
          </c:cat>
          <c:val>
            <c:numRef>
              <c:f>Barriers!$K$29:$M$29</c:f>
              <c:numCache>
                <c:formatCode>General</c:formatCode>
                <c:ptCount val="3"/>
                <c:pt idx="0">
                  <c:v>482</c:v>
                </c:pt>
                <c:pt idx="1">
                  <c:v>734</c:v>
                </c:pt>
                <c:pt idx="2">
                  <c:v>920</c:v>
                </c:pt>
              </c:numCache>
            </c:numRef>
          </c:val>
        </c:ser>
        <c:dLbls>
          <c:showLegendKey val="0"/>
          <c:showVal val="0"/>
          <c:showCatName val="0"/>
          <c:showSerName val="0"/>
          <c:showPercent val="0"/>
          <c:showBubbleSize val="0"/>
        </c:dLbls>
        <c:gapWidth val="55"/>
        <c:overlap val="100"/>
        <c:axId val="170517248"/>
        <c:axId val="170518784"/>
      </c:barChart>
      <c:catAx>
        <c:axId val="170517248"/>
        <c:scaling>
          <c:orientation val="minMax"/>
        </c:scaling>
        <c:delete val="0"/>
        <c:axPos val="b"/>
        <c:majorTickMark val="none"/>
        <c:minorTickMark val="none"/>
        <c:tickLblPos val="nextTo"/>
        <c:crossAx val="170518784"/>
        <c:crosses val="autoZero"/>
        <c:auto val="1"/>
        <c:lblAlgn val="ctr"/>
        <c:lblOffset val="100"/>
        <c:noMultiLvlLbl val="0"/>
      </c:catAx>
      <c:valAx>
        <c:axId val="170518784"/>
        <c:scaling>
          <c:orientation val="minMax"/>
        </c:scaling>
        <c:delete val="0"/>
        <c:axPos val="l"/>
        <c:majorGridlines/>
        <c:numFmt formatCode="0%" sourceLinked="1"/>
        <c:majorTickMark val="none"/>
        <c:minorTickMark val="none"/>
        <c:tickLblPos val="nextTo"/>
        <c:crossAx val="170517248"/>
        <c:crosses val="autoZero"/>
        <c:crossBetween val="between"/>
      </c:valAx>
    </c:plotArea>
    <c:legend>
      <c:legendPos val="r"/>
      <c:layout>
        <c:manualLayout>
          <c:xMode val="edge"/>
          <c:yMode val="edge"/>
          <c:x val="0.59251531058617668"/>
          <c:y val="4.996722258668912E-2"/>
          <c:w val="0.35748468941382328"/>
          <c:h val="0.91721488448914723"/>
        </c:manualLayout>
      </c:layout>
      <c:overlay val="0"/>
      <c:txPr>
        <a:bodyPr/>
        <a:lstStyle/>
        <a:p>
          <a:pPr>
            <a:defRPr spc="-100" baseline="0"/>
          </a:pPr>
          <a:endParaRPr lang="en-US"/>
        </a:p>
      </c:txPr>
    </c:legend>
    <c:plotVisOnly val="1"/>
    <c:dispBlanksAs val="gap"/>
    <c:showDLblsOverMax val="0"/>
  </c:chart>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18"/>
    </mc:Choice>
    <mc:Fallback>
      <c:style val="18"/>
    </mc:Fallback>
  </mc:AlternateContent>
  <c:chart>
    <c:title>
      <c:tx>
        <c:rich>
          <a:bodyPr/>
          <a:lstStyle/>
          <a:p>
            <a:pPr>
              <a:defRPr sz="1400"/>
            </a:pPr>
            <a:r>
              <a:rPr lang="en-AU" sz="1400" b="1" i="0" baseline="0">
                <a:effectLst/>
              </a:rPr>
              <a:t>VIC - Number of young people achieving outcomes</a:t>
            </a:r>
            <a:endParaRPr lang="en-AU" sz="1400">
              <a:effectLst/>
            </a:endParaRPr>
          </a:p>
        </c:rich>
      </c:tx>
      <c:layout/>
      <c:overlay val="0"/>
    </c:title>
    <c:autoTitleDeleted val="0"/>
    <c:plotArea>
      <c:layout/>
      <c:barChart>
        <c:barDir val="col"/>
        <c:grouping val="clustered"/>
        <c:varyColors val="0"/>
        <c:ser>
          <c:idx val="0"/>
          <c:order val="0"/>
          <c:tx>
            <c:strRef>
              <c:f>Outcomes!$L$2</c:f>
              <c:strCache>
                <c:ptCount val="1"/>
                <c:pt idx="0">
                  <c:v>Achieved a final outcome</c:v>
                </c:pt>
              </c:strCache>
            </c:strRef>
          </c:tx>
          <c:invertIfNegative val="0"/>
          <c:dLbls>
            <c:showLegendKey val="0"/>
            <c:showVal val="1"/>
            <c:showCatName val="0"/>
            <c:showSerName val="0"/>
            <c:showPercent val="0"/>
            <c:showBubbleSize val="0"/>
            <c:showLeaderLines val="0"/>
          </c:dLbls>
          <c:cat>
            <c:strRef>
              <c:f>Outcomes!$H$3:$H$5</c:f>
              <c:strCache>
                <c:ptCount val="3"/>
                <c:pt idx="0">
                  <c:v>Level 1</c:v>
                </c:pt>
                <c:pt idx="1">
                  <c:v>Level 2a</c:v>
                </c:pt>
                <c:pt idx="2">
                  <c:v>Level 2b</c:v>
                </c:pt>
              </c:strCache>
            </c:strRef>
          </c:cat>
          <c:val>
            <c:numRef>
              <c:f>Outcomes!$L$3:$L$5</c:f>
              <c:numCache>
                <c:formatCode>0%</c:formatCode>
                <c:ptCount val="3"/>
                <c:pt idx="0">
                  <c:v>0.68918469217970046</c:v>
                </c:pt>
                <c:pt idx="1">
                  <c:v>0.61831206626371171</c:v>
                </c:pt>
                <c:pt idx="2">
                  <c:v>0.57558330594807761</c:v>
                </c:pt>
              </c:numCache>
            </c:numRef>
          </c:val>
        </c:ser>
        <c:ser>
          <c:idx val="1"/>
          <c:order val="1"/>
          <c:tx>
            <c:strRef>
              <c:f>Outcomes!$M$2</c:f>
              <c:strCache>
                <c:ptCount val="1"/>
                <c:pt idx="0">
                  <c:v>Achieved a progressive outcome</c:v>
                </c:pt>
              </c:strCache>
            </c:strRef>
          </c:tx>
          <c:invertIfNegative val="0"/>
          <c:dLbls>
            <c:showLegendKey val="0"/>
            <c:showVal val="1"/>
            <c:showCatName val="0"/>
            <c:showSerName val="0"/>
            <c:showPercent val="0"/>
            <c:showBubbleSize val="0"/>
            <c:showLeaderLines val="0"/>
          </c:dLbls>
          <c:cat>
            <c:strRef>
              <c:f>Outcomes!$H$3:$H$5</c:f>
              <c:strCache>
                <c:ptCount val="3"/>
                <c:pt idx="0">
                  <c:v>Level 1</c:v>
                </c:pt>
                <c:pt idx="1">
                  <c:v>Level 2a</c:v>
                </c:pt>
                <c:pt idx="2">
                  <c:v>Level 2b</c:v>
                </c:pt>
              </c:strCache>
            </c:strRef>
          </c:cat>
          <c:val>
            <c:numRef>
              <c:f>Outcomes!$M$3:$M$5</c:f>
              <c:numCache>
                <c:formatCode>0%</c:formatCode>
                <c:ptCount val="3"/>
                <c:pt idx="0">
                  <c:v>0.76605657237936775</c:v>
                </c:pt>
                <c:pt idx="1">
                  <c:v>0.74792925901052165</c:v>
                </c:pt>
                <c:pt idx="2">
                  <c:v>0.71524811041735126</c:v>
                </c:pt>
              </c:numCache>
            </c:numRef>
          </c:val>
        </c:ser>
        <c:dLbls>
          <c:showLegendKey val="0"/>
          <c:showVal val="0"/>
          <c:showCatName val="0"/>
          <c:showSerName val="0"/>
          <c:showPercent val="0"/>
          <c:showBubbleSize val="0"/>
        </c:dLbls>
        <c:gapWidth val="150"/>
        <c:axId val="170766336"/>
        <c:axId val="170767872"/>
      </c:barChart>
      <c:catAx>
        <c:axId val="170766336"/>
        <c:scaling>
          <c:orientation val="minMax"/>
        </c:scaling>
        <c:delete val="0"/>
        <c:axPos val="b"/>
        <c:majorTickMark val="none"/>
        <c:minorTickMark val="none"/>
        <c:tickLblPos val="nextTo"/>
        <c:crossAx val="170767872"/>
        <c:crosses val="autoZero"/>
        <c:auto val="1"/>
        <c:lblAlgn val="ctr"/>
        <c:lblOffset val="100"/>
        <c:noMultiLvlLbl val="0"/>
      </c:catAx>
      <c:valAx>
        <c:axId val="170767872"/>
        <c:scaling>
          <c:orientation val="minMax"/>
          <c:max val="1"/>
        </c:scaling>
        <c:delete val="0"/>
        <c:axPos val="l"/>
        <c:majorGridlines/>
        <c:numFmt formatCode="0%" sourceLinked="1"/>
        <c:majorTickMark val="none"/>
        <c:minorTickMark val="none"/>
        <c:tickLblPos val="nextTo"/>
        <c:crossAx val="170766336"/>
        <c:crosses val="autoZero"/>
        <c:crossBetween val="between"/>
        <c:minorUnit val="0.2"/>
      </c:valAx>
    </c:plotArea>
    <c:legend>
      <c:legendPos val="r"/>
      <c:layout/>
      <c:overlay val="0"/>
    </c:legend>
    <c:plotVisOnly val="1"/>
    <c:dispBlanksAs val="gap"/>
    <c:showDLblsOverMax val="0"/>
  </c:chart>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18"/>
    </mc:Choice>
    <mc:Fallback>
      <c:style val="18"/>
    </mc:Fallback>
  </mc:AlternateContent>
  <c:chart>
    <c:title>
      <c:tx>
        <c:rich>
          <a:bodyPr/>
          <a:lstStyle/>
          <a:p>
            <a:pPr>
              <a:defRPr sz="1400"/>
            </a:pPr>
            <a:r>
              <a:rPr lang="en-AU" sz="1400"/>
              <a:t>National - Number of young people achieving outcomes</a:t>
            </a:r>
          </a:p>
        </c:rich>
      </c:tx>
      <c:layout/>
      <c:overlay val="0"/>
    </c:title>
    <c:autoTitleDeleted val="0"/>
    <c:plotArea>
      <c:layout/>
      <c:barChart>
        <c:barDir val="col"/>
        <c:grouping val="clustered"/>
        <c:varyColors val="0"/>
        <c:ser>
          <c:idx val="0"/>
          <c:order val="0"/>
          <c:tx>
            <c:strRef>
              <c:f>Outcomes!$L$9</c:f>
              <c:strCache>
                <c:ptCount val="1"/>
                <c:pt idx="0">
                  <c:v>Achieved a final outcome</c:v>
                </c:pt>
              </c:strCache>
            </c:strRef>
          </c:tx>
          <c:invertIfNegative val="0"/>
          <c:dLbls>
            <c:showLegendKey val="0"/>
            <c:showVal val="1"/>
            <c:showCatName val="0"/>
            <c:showSerName val="0"/>
            <c:showPercent val="0"/>
            <c:showBubbleSize val="0"/>
            <c:showLeaderLines val="0"/>
          </c:dLbls>
          <c:cat>
            <c:strRef>
              <c:f>Outcomes!$H$10:$H$12</c:f>
              <c:strCache>
                <c:ptCount val="3"/>
                <c:pt idx="0">
                  <c:v>Level 1</c:v>
                </c:pt>
                <c:pt idx="1">
                  <c:v>Level 2a</c:v>
                </c:pt>
                <c:pt idx="2">
                  <c:v>Level 2b</c:v>
                </c:pt>
              </c:strCache>
            </c:strRef>
          </c:cat>
          <c:val>
            <c:numRef>
              <c:f>Outcomes!$L$10:$L$12</c:f>
              <c:numCache>
                <c:formatCode>0%</c:formatCode>
                <c:ptCount val="3"/>
                <c:pt idx="0">
                  <c:v>0.68412738531530393</c:v>
                </c:pt>
                <c:pt idx="1">
                  <c:v>0.63288682728262413</c:v>
                </c:pt>
                <c:pt idx="2">
                  <c:v>0.54217380202570431</c:v>
                </c:pt>
              </c:numCache>
            </c:numRef>
          </c:val>
        </c:ser>
        <c:ser>
          <c:idx val="1"/>
          <c:order val="1"/>
          <c:tx>
            <c:strRef>
              <c:f>Outcomes!$M$9</c:f>
              <c:strCache>
                <c:ptCount val="1"/>
                <c:pt idx="0">
                  <c:v>Achieved a progressive outcome</c:v>
                </c:pt>
              </c:strCache>
            </c:strRef>
          </c:tx>
          <c:invertIfNegative val="0"/>
          <c:dLbls>
            <c:showLegendKey val="0"/>
            <c:showVal val="1"/>
            <c:showCatName val="0"/>
            <c:showSerName val="0"/>
            <c:showPercent val="0"/>
            <c:showBubbleSize val="0"/>
            <c:showLeaderLines val="0"/>
          </c:dLbls>
          <c:cat>
            <c:strRef>
              <c:f>Outcomes!$H$10:$H$12</c:f>
              <c:strCache>
                <c:ptCount val="3"/>
                <c:pt idx="0">
                  <c:v>Level 1</c:v>
                </c:pt>
                <c:pt idx="1">
                  <c:v>Level 2a</c:v>
                </c:pt>
                <c:pt idx="2">
                  <c:v>Level 2b</c:v>
                </c:pt>
              </c:strCache>
            </c:strRef>
          </c:cat>
          <c:val>
            <c:numRef>
              <c:f>Outcomes!$M$10:$M$12</c:f>
              <c:numCache>
                <c:formatCode>0%</c:formatCode>
                <c:ptCount val="3"/>
                <c:pt idx="0">
                  <c:v>0.79539997472513591</c:v>
                </c:pt>
                <c:pt idx="1">
                  <c:v>0.76896861835565866</c:v>
                </c:pt>
                <c:pt idx="2">
                  <c:v>0.69980423865860919</c:v>
                </c:pt>
              </c:numCache>
            </c:numRef>
          </c:val>
        </c:ser>
        <c:dLbls>
          <c:showLegendKey val="0"/>
          <c:showVal val="0"/>
          <c:showCatName val="0"/>
          <c:showSerName val="0"/>
          <c:showPercent val="0"/>
          <c:showBubbleSize val="0"/>
        </c:dLbls>
        <c:gapWidth val="150"/>
        <c:axId val="170822656"/>
        <c:axId val="170844928"/>
      </c:barChart>
      <c:catAx>
        <c:axId val="170822656"/>
        <c:scaling>
          <c:orientation val="minMax"/>
        </c:scaling>
        <c:delete val="0"/>
        <c:axPos val="b"/>
        <c:numFmt formatCode="0%" sourceLinked="1"/>
        <c:majorTickMark val="none"/>
        <c:minorTickMark val="none"/>
        <c:tickLblPos val="nextTo"/>
        <c:crossAx val="170844928"/>
        <c:crosses val="autoZero"/>
        <c:auto val="1"/>
        <c:lblAlgn val="ctr"/>
        <c:lblOffset val="100"/>
        <c:noMultiLvlLbl val="0"/>
      </c:catAx>
      <c:valAx>
        <c:axId val="170844928"/>
        <c:scaling>
          <c:orientation val="minMax"/>
          <c:max val="1"/>
        </c:scaling>
        <c:delete val="0"/>
        <c:axPos val="l"/>
        <c:majorGridlines/>
        <c:numFmt formatCode="0%" sourceLinked="1"/>
        <c:majorTickMark val="none"/>
        <c:minorTickMark val="none"/>
        <c:tickLblPos val="nextTo"/>
        <c:crossAx val="170822656"/>
        <c:crosses val="autoZero"/>
        <c:crossBetween val="between"/>
        <c:minorUnit val="0.2"/>
      </c:valAx>
    </c:plotArea>
    <c:legend>
      <c:legendPos val="r"/>
      <c:layout/>
      <c:overlay val="0"/>
    </c:legend>
    <c:plotVisOnly val="1"/>
    <c:dispBlanksAs val="gap"/>
    <c:showDLblsOverMax val="0"/>
  </c:chart>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18"/>
    </mc:Choice>
    <mc:Fallback>
      <c:style val="18"/>
    </mc:Fallback>
  </mc:AlternateContent>
  <c:chart>
    <c:title>
      <c:tx>
        <c:rich>
          <a:bodyPr/>
          <a:lstStyle/>
          <a:p>
            <a:pPr>
              <a:defRPr sz="1400"/>
            </a:pPr>
            <a:r>
              <a:rPr lang="en-AU" sz="1400"/>
              <a:t>% Achieving an outcome (progressive or final) by characteristic</a:t>
            </a:r>
          </a:p>
        </c:rich>
      </c:tx>
      <c:layout/>
      <c:overlay val="0"/>
    </c:title>
    <c:autoTitleDeleted val="0"/>
    <c:plotArea>
      <c:layout>
        <c:manualLayout>
          <c:layoutTarget val="inner"/>
          <c:xMode val="edge"/>
          <c:yMode val="edge"/>
          <c:x val="0.13683340487837459"/>
          <c:y val="0.13410068678776127"/>
          <c:w val="0.71014974089777239"/>
          <c:h val="0.41842089516998915"/>
        </c:manualLayout>
      </c:layout>
      <c:barChart>
        <c:barDir val="col"/>
        <c:grouping val="clustered"/>
        <c:varyColors val="0"/>
        <c:ser>
          <c:idx val="0"/>
          <c:order val="0"/>
          <c:tx>
            <c:strRef>
              <c:f>'Outcomes by Characteristic'!$B$2</c:f>
              <c:strCache>
                <c:ptCount val="1"/>
                <c:pt idx="0">
                  <c:v>VIC %</c:v>
                </c:pt>
              </c:strCache>
            </c:strRef>
          </c:tx>
          <c:invertIfNegative val="0"/>
          <c:dLbls>
            <c:showLegendKey val="0"/>
            <c:showVal val="1"/>
            <c:showCatName val="0"/>
            <c:showSerName val="0"/>
            <c:showPercent val="0"/>
            <c:showBubbleSize val="0"/>
            <c:showLeaderLines val="0"/>
          </c:dLbls>
          <c:cat>
            <c:strRef>
              <c:f>'Outcomes by Characteristic'!$A$3:$A$12</c:f>
              <c:strCache>
                <c:ptCount val="10"/>
                <c:pt idx="0">
                  <c:v>Culturally and linguistically diverse</c:v>
                </c:pt>
                <c:pt idx="1">
                  <c:v>Disability</c:v>
                </c:pt>
                <c:pt idx="2">
                  <c:v>Humanitarian Refugee</c:v>
                </c:pt>
                <c:pt idx="3">
                  <c:v>Indigenous Australian</c:v>
                </c:pt>
                <c:pt idx="4">
                  <c:v>Parent</c:v>
                </c:pt>
                <c:pt idx="5">
                  <c:v>Receiving Centrelink Income Support</c:v>
                </c:pt>
                <c:pt idx="6">
                  <c:v>Refugee Background</c:v>
                </c:pt>
                <c:pt idx="7">
                  <c:v>Suspected or diagnosed mental health issue</c:v>
                </c:pt>
                <c:pt idx="8">
                  <c:v>Young Carer</c:v>
                </c:pt>
                <c:pt idx="9">
                  <c:v>All participants</c:v>
                </c:pt>
              </c:strCache>
            </c:strRef>
          </c:cat>
          <c:val>
            <c:numRef>
              <c:f>'Outcomes by Characteristic'!$B$3:$B$12</c:f>
              <c:numCache>
                <c:formatCode>0%</c:formatCode>
                <c:ptCount val="10"/>
                <c:pt idx="0">
                  <c:v>0.79402677651905251</c:v>
                </c:pt>
                <c:pt idx="1">
                  <c:v>0.8</c:v>
                </c:pt>
                <c:pt idx="2">
                  <c:v>0.79842931937172779</c:v>
                </c:pt>
                <c:pt idx="3">
                  <c:v>0.68724832214765097</c:v>
                </c:pt>
                <c:pt idx="4">
                  <c:v>0.7303754266211604</c:v>
                </c:pt>
                <c:pt idx="5">
                  <c:v>0.73543591803937325</c:v>
                </c:pt>
                <c:pt idx="6">
                  <c:v>0.81283422459893051</c:v>
                </c:pt>
                <c:pt idx="7">
                  <c:v>0.7813069513147618</c:v>
                </c:pt>
                <c:pt idx="8">
                  <c:v>0.7583081570996979</c:v>
                </c:pt>
                <c:pt idx="9">
                  <c:v>0.77521040550879883</c:v>
                </c:pt>
              </c:numCache>
            </c:numRef>
          </c:val>
        </c:ser>
        <c:ser>
          <c:idx val="1"/>
          <c:order val="1"/>
          <c:tx>
            <c:strRef>
              <c:f>'Outcomes by Characteristic'!$C$2</c:f>
              <c:strCache>
                <c:ptCount val="1"/>
                <c:pt idx="0">
                  <c:v>National %</c:v>
                </c:pt>
              </c:strCache>
            </c:strRef>
          </c:tx>
          <c:invertIfNegative val="0"/>
          <c:dLbls>
            <c:dLbl>
              <c:idx val="0"/>
              <c:layout>
                <c:manualLayout>
                  <c:x val="4.2735042735042739E-3"/>
                  <c:y val="-1.2307692307692308E-2"/>
                </c:manualLayout>
              </c:layout>
              <c:showLegendKey val="0"/>
              <c:showVal val="1"/>
              <c:showCatName val="0"/>
              <c:showSerName val="0"/>
              <c:showPercent val="0"/>
              <c:showBubbleSize val="0"/>
            </c:dLbl>
            <c:dLbl>
              <c:idx val="1"/>
              <c:layout>
                <c:manualLayout>
                  <c:x val="8.5470085470085479E-3"/>
                  <c:y val="-1.2307692307692308E-2"/>
                </c:manualLayout>
              </c:layout>
              <c:showLegendKey val="0"/>
              <c:showVal val="1"/>
              <c:showCatName val="0"/>
              <c:showSerName val="0"/>
              <c:showPercent val="0"/>
              <c:showBubbleSize val="0"/>
            </c:dLbl>
            <c:dLbl>
              <c:idx val="2"/>
              <c:layout>
                <c:manualLayout>
                  <c:x val="6.41025641025641E-3"/>
                  <c:y val="0"/>
                </c:manualLayout>
              </c:layout>
              <c:showLegendKey val="0"/>
              <c:showVal val="1"/>
              <c:showCatName val="0"/>
              <c:showSerName val="0"/>
              <c:showPercent val="0"/>
              <c:showBubbleSize val="0"/>
            </c:dLbl>
            <c:dLbl>
              <c:idx val="3"/>
              <c:layout>
                <c:manualLayout>
                  <c:x val="1.282051282051282E-2"/>
                  <c:y val="-1.641025641025641E-2"/>
                </c:manualLayout>
              </c:layout>
              <c:showLegendKey val="0"/>
              <c:showVal val="1"/>
              <c:showCatName val="0"/>
              <c:showSerName val="0"/>
              <c:showPercent val="0"/>
              <c:showBubbleSize val="0"/>
            </c:dLbl>
            <c:dLbl>
              <c:idx val="4"/>
              <c:layout>
                <c:manualLayout>
                  <c:x val="6.41025641025641E-3"/>
                  <c:y val="8.2051282051282051E-3"/>
                </c:manualLayout>
              </c:layout>
              <c:showLegendKey val="0"/>
              <c:showVal val="1"/>
              <c:showCatName val="0"/>
              <c:showSerName val="0"/>
              <c:showPercent val="0"/>
              <c:showBubbleSize val="0"/>
            </c:dLbl>
            <c:dLbl>
              <c:idx val="5"/>
              <c:layout>
                <c:manualLayout>
                  <c:x val="6.41025641025641E-3"/>
                  <c:y val="1.2307692307692308E-2"/>
                </c:manualLayout>
              </c:layout>
              <c:showLegendKey val="0"/>
              <c:showVal val="1"/>
              <c:showCatName val="0"/>
              <c:showSerName val="0"/>
              <c:showPercent val="0"/>
              <c:showBubbleSize val="0"/>
            </c:dLbl>
            <c:dLbl>
              <c:idx val="6"/>
              <c:layout>
                <c:manualLayout>
                  <c:x val="8.5470085470085479E-3"/>
                  <c:y val="0"/>
                </c:manualLayout>
              </c:layout>
              <c:showLegendKey val="0"/>
              <c:showVal val="1"/>
              <c:showCatName val="0"/>
              <c:showSerName val="0"/>
              <c:showPercent val="0"/>
              <c:showBubbleSize val="0"/>
            </c:dLbl>
            <c:dLbl>
              <c:idx val="7"/>
              <c:layout>
                <c:manualLayout>
                  <c:x val="1.0683760683760684E-2"/>
                  <c:y val="0"/>
                </c:manualLayout>
              </c:layout>
              <c:showLegendKey val="0"/>
              <c:showVal val="1"/>
              <c:showCatName val="0"/>
              <c:showSerName val="0"/>
              <c:showPercent val="0"/>
              <c:showBubbleSize val="0"/>
            </c:dLbl>
            <c:dLbl>
              <c:idx val="8"/>
              <c:layout>
                <c:manualLayout>
                  <c:x val="5.3015223439686135E-3"/>
                  <c:y val="-3.3970262378817109E-3"/>
                </c:manualLayout>
              </c:layout>
              <c:showLegendKey val="0"/>
              <c:showVal val="1"/>
              <c:showCatName val="0"/>
              <c:showSerName val="0"/>
              <c:showPercent val="0"/>
              <c:showBubbleSize val="0"/>
            </c:dLbl>
            <c:dLbl>
              <c:idx val="9"/>
              <c:layout>
                <c:manualLayout>
                  <c:x val="1.282051282051282E-2"/>
                  <c:y val="1.8803201587229527E-17"/>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strRef>
              <c:f>'Outcomes by Characteristic'!$A$3:$A$12</c:f>
              <c:strCache>
                <c:ptCount val="10"/>
                <c:pt idx="0">
                  <c:v>Culturally and linguistically diverse</c:v>
                </c:pt>
                <c:pt idx="1">
                  <c:v>Disability</c:v>
                </c:pt>
                <c:pt idx="2">
                  <c:v>Humanitarian Refugee</c:v>
                </c:pt>
                <c:pt idx="3">
                  <c:v>Indigenous Australian</c:v>
                </c:pt>
                <c:pt idx="4">
                  <c:v>Parent</c:v>
                </c:pt>
                <c:pt idx="5">
                  <c:v>Receiving Centrelink Income Support</c:v>
                </c:pt>
                <c:pt idx="6">
                  <c:v>Refugee Background</c:v>
                </c:pt>
                <c:pt idx="7">
                  <c:v>Suspected or diagnosed mental health issue</c:v>
                </c:pt>
                <c:pt idx="8">
                  <c:v>Young Carer</c:v>
                </c:pt>
                <c:pt idx="9">
                  <c:v>All participants</c:v>
                </c:pt>
              </c:strCache>
            </c:strRef>
          </c:cat>
          <c:val>
            <c:numRef>
              <c:f>'Outcomes by Characteristic'!$C$3:$C$12</c:f>
              <c:numCache>
                <c:formatCode>0%</c:formatCode>
                <c:ptCount val="10"/>
                <c:pt idx="0">
                  <c:v>0.81636271529888549</c:v>
                </c:pt>
                <c:pt idx="1">
                  <c:v>0.8041357783847054</c:v>
                </c:pt>
                <c:pt idx="2">
                  <c:v>0.8565022421524664</c:v>
                </c:pt>
                <c:pt idx="3">
                  <c:v>0.7122912674514098</c:v>
                </c:pt>
                <c:pt idx="4">
                  <c:v>0.72128514056224902</c:v>
                </c:pt>
                <c:pt idx="5">
                  <c:v>0.69984794178342569</c:v>
                </c:pt>
                <c:pt idx="6">
                  <c:v>0.83615819209039544</c:v>
                </c:pt>
                <c:pt idx="7">
                  <c:v>0.78293354305937868</c:v>
                </c:pt>
                <c:pt idx="8">
                  <c:v>0.77741673436230707</c:v>
                </c:pt>
                <c:pt idx="9">
                  <c:v>0.77378384855020366</c:v>
                </c:pt>
              </c:numCache>
            </c:numRef>
          </c:val>
        </c:ser>
        <c:dLbls>
          <c:showLegendKey val="0"/>
          <c:showVal val="0"/>
          <c:showCatName val="0"/>
          <c:showSerName val="0"/>
          <c:showPercent val="0"/>
          <c:showBubbleSize val="0"/>
        </c:dLbls>
        <c:gapWidth val="150"/>
        <c:axId val="170862848"/>
        <c:axId val="170889216"/>
      </c:barChart>
      <c:catAx>
        <c:axId val="170862848"/>
        <c:scaling>
          <c:orientation val="minMax"/>
        </c:scaling>
        <c:delete val="0"/>
        <c:axPos val="b"/>
        <c:majorTickMark val="none"/>
        <c:minorTickMark val="none"/>
        <c:tickLblPos val="nextTo"/>
        <c:crossAx val="170889216"/>
        <c:crosses val="autoZero"/>
        <c:auto val="1"/>
        <c:lblAlgn val="ctr"/>
        <c:lblOffset val="100"/>
        <c:noMultiLvlLbl val="0"/>
      </c:catAx>
      <c:valAx>
        <c:axId val="170889216"/>
        <c:scaling>
          <c:orientation val="minMax"/>
          <c:max val="1"/>
        </c:scaling>
        <c:delete val="0"/>
        <c:axPos val="l"/>
        <c:majorGridlines/>
        <c:numFmt formatCode="0%" sourceLinked="1"/>
        <c:majorTickMark val="none"/>
        <c:minorTickMark val="none"/>
        <c:tickLblPos val="nextTo"/>
        <c:crossAx val="170862848"/>
        <c:crosses val="autoZero"/>
        <c:crossBetween val="between"/>
        <c:majorUnit val="0.2"/>
      </c:valAx>
    </c:plotArea>
    <c:legend>
      <c:legendPos val="r"/>
      <c:layout>
        <c:manualLayout>
          <c:xMode val="edge"/>
          <c:yMode val="edge"/>
          <c:x val="0.87513476680799518"/>
          <c:y val="0.18438554700070994"/>
          <c:w val="0.12257756242008211"/>
          <c:h val="0.18872959734007372"/>
        </c:manualLayout>
      </c:layout>
      <c:overlay val="0"/>
    </c:legend>
    <c:plotVisOnly val="1"/>
    <c:dispBlanksAs val="gap"/>
    <c:showDLblsOverMax val="0"/>
  </c:chart>
  <c:externalData r:id="rId1">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18"/>
    </mc:Choice>
    <mc:Fallback>
      <c:style val="18"/>
    </mc:Fallback>
  </mc:AlternateContent>
  <c:chart>
    <c:title>
      <c:tx>
        <c:rich>
          <a:bodyPr/>
          <a:lstStyle/>
          <a:p>
            <a:pPr>
              <a:defRPr sz="1400"/>
            </a:pPr>
            <a:r>
              <a:rPr lang="en-AU" sz="1400" b="1" i="0" baseline="0">
                <a:effectLst/>
              </a:rPr>
              <a:t>% Achieving a final outcome by characteristic</a:t>
            </a:r>
            <a:endParaRPr lang="en-AU" sz="1400">
              <a:effectLst/>
            </a:endParaRPr>
          </a:p>
        </c:rich>
      </c:tx>
      <c:layout>
        <c:manualLayout>
          <c:xMode val="edge"/>
          <c:yMode val="edge"/>
          <c:x val="0.2997125017834531"/>
          <c:y val="3.529883228329625E-2"/>
        </c:manualLayout>
      </c:layout>
      <c:overlay val="0"/>
    </c:title>
    <c:autoTitleDeleted val="0"/>
    <c:plotArea>
      <c:layout>
        <c:manualLayout>
          <c:layoutTarget val="inner"/>
          <c:xMode val="edge"/>
          <c:yMode val="edge"/>
          <c:x val="0.15163712636657095"/>
          <c:y val="0.13502624545246433"/>
          <c:w val="0.73292179823675885"/>
          <c:h val="0.45052948598437403"/>
        </c:manualLayout>
      </c:layout>
      <c:barChart>
        <c:barDir val="col"/>
        <c:grouping val="clustered"/>
        <c:varyColors val="0"/>
        <c:ser>
          <c:idx val="0"/>
          <c:order val="0"/>
          <c:tx>
            <c:strRef>
              <c:f>'Outcomes by Characteristic'!$D$2</c:f>
              <c:strCache>
                <c:ptCount val="1"/>
                <c:pt idx="0">
                  <c:v>VIC %</c:v>
                </c:pt>
              </c:strCache>
            </c:strRef>
          </c:tx>
          <c:invertIfNegative val="0"/>
          <c:dLbls>
            <c:dLbl>
              <c:idx val="9"/>
              <c:layout>
                <c:manualLayout>
                  <c:x val="-4.2735042735042739E-3"/>
                  <c:y val="0"/>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strRef>
              <c:f>'Outcomes by Characteristic'!$A$3:$A$12</c:f>
              <c:strCache>
                <c:ptCount val="10"/>
                <c:pt idx="0">
                  <c:v>Culturally and linguistically diverse</c:v>
                </c:pt>
                <c:pt idx="1">
                  <c:v>Disability</c:v>
                </c:pt>
                <c:pt idx="2">
                  <c:v>Humanitarian Refugee</c:v>
                </c:pt>
                <c:pt idx="3">
                  <c:v>Indigenous Australian</c:v>
                </c:pt>
                <c:pt idx="4">
                  <c:v>Parent</c:v>
                </c:pt>
                <c:pt idx="5">
                  <c:v>Receiving Centrelink Income Support</c:v>
                </c:pt>
                <c:pt idx="6">
                  <c:v>Refugee Background</c:v>
                </c:pt>
                <c:pt idx="7">
                  <c:v>Suspected or diagnosed mental health issue</c:v>
                </c:pt>
                <c:pt idx="8">
                  <c:v>Young Carer</c:v>
                </c:pt>
                <c:pt idx="9">
                  <c:v>All participants</c:v>
                </c:pt>
              </c:strCache>
            </c:strRef>
          </c:cat>
          <c:val>
            <c:numRef>
              <c:f>'Outcomes by Characteristic'!$D$3:$D$12</c:f>
              <c:numCache>
                <c:formatCode>0%</c:formatCode>
                <c:ptCount val="10"/>
                <c:pt idx="0">
                  <c:v>0.62924819773429452</c:v>
                </c:pt>
                <c:pt idx="1">
                  <c:v>0.61151079136690645</c:v>
                </c:pt>
                <c:pt idx="2">
                  <c:v>0.67277486910994766</c:v>
                </c:pt>
                <c:pt idx="3">
                  <c:v>0.49395973154362416</c:v>
                </c:pt>
                <c:pt idx="4">
                  <c:v>0.49146757679180886</c:v>
                </c:pt>
                <c:pt idx="5">
                  <c:v>0.54682475884244375</c:v>
                </c:pt>
                <c:pt idx="6">
                  <c:v>0.65240641711229952</c:v>
                </c:pt>
                <c:pt idx="7">
                  <c:v>0.58552460296797704</c:v>
                </c:pt>
                <c:pt idx="8">
                  <c:v>0.56797583081571001</c:v>
                </c:pt>
                <c:pt idx="9">
                  <c:v>0.60024487297214568</c:v>
                </c:pt>
              </c:numCache>
            </c:numRef>
          </c:val>
        </c:ser>
        <c:ser>
          <c:idx val="1"/>
          <c:order val="1"/>
          <c:tx>
            <c:strRef>
              <c:f>'Outcomes by Characteristic'!$E$2</c:f>
              <c:strCache>
                <c:ptCount val="1"/>
                <c:pt idx="0">
                  <c:v>National %</c:v>
                </c:pt>
              </c:strCache>
            </c:strRef>
          </c:tx>
          <c:invertIfNegative val="0"/>
          <c:dLbls>
            <c:dLbl>
              <c:idx val="1"/>
              <c:layout>
                <c:manualLayout>
                  <c:x val="1.282051282051282E-2"/>
                  <c:y val="0"/>
                </c:manualLayout>
              </c:layout>
              <c:showLegendKey val="0"/>
              <c:showVal val="1"/>
              <c:showCatName val="0"/>
              <c:showSerName val="0"/>
              <c:showPercent val="0"/>
              <c:showBubbleSize val="0"/>
            </c:dLbl>
            <c:dLbl>
              <c:idx val="3"/>
              <c:layout>
                <c:manualLayout>
                  <c:x val="1.282051282051282E-2"/>
                  <c:y val="-3.8759689922480975E-3"/>
                </c:manualLayout>
              </c:layout>
              <c:showLegendKey val="0"/>
              <c:showVal val="1"/>
              <c:showCatName val="0"/>
              <c:showSerName val="0"/>
              <c:showPercent val="0"/>
              <c:showBubbleSize val="0"/>
            </c:dLbl>
            <c:dLbl>
              <c:idx val="4"/>
              <c:layout>
                <c:manualLayout>
                  <c:x val="2.136752136752137E-3"/>
                  <c:y val="1.1627906976744222E-2"/>
                </c:manualLayout>
              </c:layout>
              <c:showLegendKey val="0"/>
              <c:showVal val="1"/>
              <c:showCatName val="0"/>
              <c:showSerName val="0"/>
              <c:showPercent val="0"/>
              <c:showBubbleSize val="0"/>
            </c:dLbl>
            <c:dLbl>
              <c:idx val="7"/>
              <c:layout>
                <c:manualLayout>
                  <c:x val="6.41025641025641E-3"/>
                  <c:y val="-1.1627906976744186E-2"/>
                </c:manualLayout>
              </c:layout>
              <c:showLegendKey val="0"/>
              <c:showVal val="1"/>
              <c:showCatName val="0"/>
              <c:showSerName val="0"/>
              <c:showPercent val="0"/>
              <c:showBubbleSize val="0"/>
            </c:dLbl>
            <c:dLbl>
              <c:idx val="8"/>
              <c:layout>
                <c:manualLayout>
                  <c:x val="0"/>
                  <c:y val="-1.1627906976744186E-2"/>
                </c:manualLayout>
              </c:layout>
              <c:showLegendKey val="0"/>
              <c:showVal val="1"/>
              <c:showCatName val="0"/>
              <c:showSerName val="0"/>
              <c:showPercent val="0"/>
              <c:showBubbleSize val="0"/>
            </c:dLbl>
            <c:dLbl>
              <c:idx val="9"/>
              <c:layout>
                <c:manualLayout>
                  <c:x val="8.5470085470085479E-3"/>
                  <c:y val="0"/>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strRef>
              <c:f>'Outcomes by Characteristic'!$A$3:$A$12</c:f>
              <c:strCache>
                <c:ptCount val="10"/>
                <c:pt idx="0">
                  <c:v>Culturally and linguistically diverse</c:v>
                </c:pt>
                <c:pt idx="1">
                  <c:v>Disability</c:v>
                </c:pt>
                <c:pt idx="2">
                  <c:v>Humanitarian Refugee</c:v>
                </c:pt>
                <c:pt idx="3">
                  <c:v>Indigenous Australian</c:v>
                </c:pt>
                <c:pt idx="4">
                  <c:v>Parent</c:v>
                </c:pt>
                <c:pt idx="5">
                  <c:v>Receiving Centrelink Income Support</c:v>
                </c:pt>
                <c:pt idx="6">
                  <c:v>Refugee Background</c:v>
                </c:pt>
                <c:pt idx="7">
                  <c:v>Suspected or diagnosed mental health issue</c:v>
                </c:pt>
                <c:pt idx="8">
                  <c:v>Young Carer</c:v>
                </c:pt>
                <c:pt idx="9">
                  <c:v>All participants</c:v>
                </c:pt>
              </c:strCache>
            </c:strRef>
          </c:cat>
          <c:val>
            <c:numRef>
              <c:f>'Outcomes by Characteristic'!$E$3:$E$12</c:f>
              <c:numCache>
                <c:formatCode>0%</c:formatCode>
                <c:ptCount val="10"/>
                <c:pt idx="0">
                  <c:v>0.66717325227963531</c:v>
                </c:pt>
                <c:pt idx="1">
                  <c:v>0.61880608661724545</c:v>
                </c:pt>
                <c:pt idx="2">
                  <c:v>0.69730941704035876</c:v>
                </c:pt>
                <c:pt idx="3">
                  <c:v>0.49621177544500228</c:v>
                </c:pt>
                <c:pt idx="4">
                  <c:v>0.46827309236947789</c:v>
                </c:pt>
                <c:pt idx="5">
                  <c:v>0.49959259058069422</c:v>
                </c:pt>
                <c:pt idx="6">
                  <c:v>0.59887005649717517</c:v>
                </c:pt>
                <c:pt idx="7">
                  <c:v>0.59164568911264948</c:v>
                </c:pt>
                <c:pt idx="8">
                  <c:v>0.59496753246753242</c:v>
                </c:pt>
                <c:pt idx="9">
                  <c:v>0.59568894671962747</c:v>
                </c:pt>
              </c:numCache>
            </c:numRef>
          </c:val>
        </c:ser>
        <c:dLbls>
          <c:showLegendKey val="0"/>
          <c:showVal val="0"/>
          <c:showCatName val="0"/>
          <c:showSerName val="0"/>
          <c:showPercent val="0"/>
          <c:showBubbleSize val="0"/>
        </c:dLbls>
        <c:gapWidth val="150"/>
        <c:axId val="170919424"/>
        <c:axId val="170920960"/>
      </c:barChart>
      <c:catAx>
        <c:axId val="170919424"/>
        <c:scaling>
          <c:orientation val="minMax"/>
        </c:scaling>
        <c:delete val="0"/>
        <c:axPos val="b"/>
        <c:majorTickMark val="none"/>
        <c:minorTickMark val="none"/>
        <c:tickLblPos val="nextTo"/>
        <c:crossAx val="170920960"/>
        <c:crosses val="autoZero"/>
        <c:auto val="1"/>
        <c:lblAlgn val="ctr"/>
        <c:lblOffset val="100"/>
        <c:noMultiLvlLbl val="0"/>
      </c:catAx>
      <c:valAx>
        <c:axId val="170920960"/>
        <c:scaling>
          <c:orientation val="minMax"/>
          <c:max val="1"/>
        </c:scaling>
        <c:delete val="0"/>
        <c:axPos val="l"/>
        <c:majorGridlines/>
        <c:numFmt formatCode="0%" sourceLinked="1"/>
        <c:majorTickMark val="none"/>
        <c:minorTickMark val="none"/>
        <c:tickLblPos val="nextTo"/>
        <c:crossAx val="170919424"/>
        <c:crosses val="autoZero"/>
        <c:crossBetween val="between"/>
        <c:majorUnit val="0.2"/>
      </c:valAx>
    </c:plotArea>
    <c:legend>
      <c:legendPos val="r"/>
      <c:layout>
        <c:manualLayout>
          <c:xMode val="edge"/>
          <c:yMode val="edge"/>
          <c:x val="0.86966686856450637"/>
          <c:y val="0.23926114544730542"/>
          <c:w val="0.12913066155192141"/>
          <c:h val="0.1741614501248766"/>
        </c:manualLayout>
      </c:layout>
      <c:overlay val="0"/>
    </c:legend>
    <c:plotVisOnly val="1"/>
    <c:dispBlanksAs val="gap"/>
    <c:showDLblsOverMax val="0"/>
  </c:chart>
  <c:externalData r:id="rId1">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18"/>
    </mc:Choice>
    <mc:Fallback>
      <c:style val="18"/>
    </mc:Fallback>
  </mc:AlternateContent>
  <c:chart>
    <c:title>
      <c:tx>
        <c:rich>
          <a:bodyPr/>
          <a:lstStyle/>
          <a:p>
            <a:pPr>
              <a:defRPr sz="1400"/>
            </a:pPr>
            <a:r>
              <a:rPr lang="en-US" sz="1400"/>
              <a:t>VIC - Final Outcomes Achieved</a:t>
            </a:r>
          </a:p>
        </c:rich>
      </c:tx>
      <c:layout>
        <c:manualLayout>
          <c:xMode val="edge"/>
          <c:yMode val="edge"/>
          <c:x val="0.3727940921175979"/>
          <c:y val="2.9477556728339363E-2"/>
        </c:manualLayout>
      </c:layout>
      <c:overlay val="0"/>
    </c:title>
    <c:autoTitleDeleted val="0"/>
    <c:plotArea>
      <c:layout/>
      <c:barChart>
        <c:barDir val="col"/>
        <c:grouping val="clustered"/>
        <c:varyColors val="0"/>
        <c:ser>
          <c:idx val="0"/>
          <c:order val="0"/>
          <c:tx>
            <c:strRef>
              <c:f>'Final outcomes achieved'!$E$2</c:f>
              <c:strCache>
                <c:ptCount val="1"/>
                <c:pt idx="0">
                  <c:v>Total</c:v>
                </c:pt>
              </c:strCache>
            </c:strRef>
          </c:tx>
          <c:invertIfNegative val="0"/>
          <c:dLbls>
            <c:showLegendKey val="0"/>
            <c:showVal val="1"/>
            <c:showCatName val="0"/>
            <c:showSerName val="0"/>
            <c:showPercent val="0"/>
            <c:showBubbleSize val="0"/>
            <c:showLeaderLines val="0"/>
          </c:dLbls>
          <c:cat>
            <c:strRef>
              <c:f>'Final outcomes achieved'!$A$26:$A$32</c:f>
              <c:strCache>
                <c:ptCount val="7"/>
                <c:pt idx="0">
                  <c:v>Attendance</c:v>
                </c:pt>
                <c:pt idx="1">
                  <c:v>Behaviour</c:v>
                </c:pt>
                <c:pt idx="2">
                  <c:v>Educational performance</c:v>
                </c:pt>
                <c:pt idx="3">
                  <c:v>Strengthened engagement</c:v>
                </c:pt>
                <c:pt idx="4">
                  <c:v>Engaged in employment</c:v>
                </c:pt>
                <c:pt idx="5">
                  <c:v>Re-engaged in education</c:v>
                </c:pt>
                <c:pt idx="6">
                  <c:v>Commenced in education</c:v>
                </c:pt>
              </c:strCache>
            </c:strRef>
          </c:cat>
          <c:val>
            <c:numRef>
              <c:f>'Final outcomes achieved'!$E$3:$E$9</c:f>
              <c:numCache>
                <c:formatCode>General</c:formatCode>
                <c:ptCount val="7"/>
                <c:pt idx="0">
                  <c:v>1736</c:v>
                </c:pt>
                <c:pt idx="1">
                  <c:v>1328</c:v>
                </c:pt>
                <c:pt idx="2">
                  <c:v>1464</c:v>
                </c:pt>
                <c:pt idx="3">
                  <c:v>1560</c:v>
                </c:pt>
                <c:pt idx="4">
                  <c:v>707</c:v>
                </c:pt>
                <c:pt idx="5">
                  <c:v>2219</c:v>
                </c:pt>
                <c:pt idx="6">
                  <c:v>3144</c:v>
                </c:pt>
              </c:numCache>
            </c:numRef>
          </c:val>
        </c:ser>
        <c:dLbls>
          <c:showLegendKey val="0"/>
          <c:showVal val="0"/>
          <c:showCatName val="0"/>
          <c:showSerName val="0"/>
          <c:showPercent val="0"/>
          <c:showBubbleSize val="0"/>
        </c:dLbls>
        <c:gapWidth val="150"/>
        <c:axId val="170971136"/>
        <c:axId val="170972672"/>
      </c:barChart>
      <c:catAx>
        <c:axId val="170971136"/>
        <c:scaling>
          <c:orientation val="minMax"/>
        </c:scaling>
        <c:delete val="0"/>
        <c:axPos val="b"/>
        <c:majorTickMark val="none"/>
        <c:minorTickMark val="none"/>
        <c:tickLblPos val="nextTo"/>
        <c:crossAx val="170972672"/>
        <c:crosses val="autoZero"/>
        <c:auto val="1"/>
        <c:lblAlgn val="ctr"/>
        <c:lblOffset val="100"/>
        <c:noMultiLvlLbl val="0"/>
      </c:catAx>
      <c:valAx>
        <c:axId val="170972672"/>
        <c:scaling>
          <c:orientation val="minMax"/>
        </c:scaling>
        <c:delete val="0"/>
        <c:axPos val="l"/>
        <c:majorGridlines/>
        <c:numFmt formatCode="General" sourceLinked="1"/>
        <c:majorTickMark val="none"/>
        <c:minorTickMark val="none"/>
        <c:tickLblPos val="nextTo"/>
        <c:crossAx val="170971136"/>
        <c:crosses val="autoZero"/>
        <c:crossBetween val="between"/>
      </c:valAx>
    </c:plotArea>
    <c:plotVisOnly val="1"/>
    <c:dispBlanksAs val="gap"/>
    <c:showDLblsOverMax val="0"/>
  </c:chart>
  <c:externalData r:id="rId1">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18"/>
    </mc:Choice>
    <mc:Fallback>
      <c:style val="18"/>
    </mc:Fallback>
  </mc:AlternateContent>
  <c:chart>
    <c:title>
      <c:tx>
        <c:rich>
          <a:bodyPr/>
          <a:lstStyle/>
          <a:p>
            <a:pPr>
              <a:defRPr sz="1400"/>
            </a:pPr>
            <a:r>
              <a:rPr lang="en-US" sz="1400"/>
              <a:t>National - Final Outcomes</a:t>
            </a:r>
            <a:r>
              <a:rPr lang="en-US" sz="1400" baseline="0"/>
              <a:t> Achieved</a:t>
            </a:r>
            <a:endParaRPr lang="en-US" sz="1400"/>
          </a:p>
        </c:rich>
      </c:tx>
      <c:layout/>
      <c:overlay val="0"/>
    </c:title>
    <c:autoTitleDeleted val="0"/>
    <c:plotArea>
      <c:layout/>
      <c:barChart>
        <c:barDir val="col"/>
        <c:grouping val="clustered"/>
        <c:varyColors val="0"/>
        <c:ser>
          <c:idx val="0"/>
          <c:order val="0"/>
          <c:tx>
            <c:strRef>
              <c:f>'Final outcomes achieved'!$E$12</c:f>
              <c:strCache>
                <c:ptCount val="1"/>
                <c:pt idx="0">
                  <c:v>Total</c:v>
                </c:pt>
              </c:strCache>
            </c:strRef>
          </c:tx>
          <c:invertIfNegative val="0"/>
          <c:dLbls>
            <c:dLbl>
              <c:idx val="6"/>
              <c:layout/>
              <c:tx>
                <c:rich>
                  <a:bodyPr/>
                  <a:lstStyle/>
                  <a:p>
                    <a:r>
                      <a:rPr lang="en-US"/>
                      <a:t>11,460</a:t>
                    </a:r>
                  </a:p>
                </c:rich>
              </c:tx>
              <c:showLegendKey val="0"/>
              <c:showVal val="1"/>
              <c:showCatName val="0"/>
              <c:showSerName val="0"/>
              <c:showPercent val="0"/>
              <c:showBubbleSize val="0"/>
            </c:dLbl>
            <c:showLegendKey val="0"/>
            <c:showVal val="1"/>
            <c:showCatName val="0"/>
            <c:showSerName val="0"/>
            <c:showPercent val="0"/>
            <c:showBubbleSize val="0"/>
            <c:showLeaderLines val="0"/>
          </c:dLbls>
          <c:cat>
            <c:strRef>
              <c:f>'Final outcomes achieved'!$A$26:$A$32</c:f>
              <c:strCache>
                <c:ptCount val="7"/>
                <c:pt idx="0">
                  <c:v>Attendance</c:v>
                </c:pt>
                <c:pt idx="1">
                  <c:v>Behaviour</c:v>
                </c:pt>
                <c:pt idx="2">
                  <c:v>Educational performance</c:v>
                </c:pt>
                <c:pt idx="3">
                  <c:v>Strengthened engagement</c:v>
                </c:pt>
                <c:pt idx="4">
                  <c:v>Engaged in employment</c:v>
                </c:pt>
                <c:pt idx="5">
                  <c:v>Re-engaged in education</c:v>
                </c:pt>
                <c:pt idx="6">
                  <c:v>Commenced in education</c:v>
                </c:pt>
              </c:strCache>
            </c:strRef>
          </c:cat>
          <c:val>
            <c:numRef>
              <c:f>'Final outcomes achieved'!$E$13:$E$19</c:f>
              <c:numCache>
                <c:formatCode>General</c:formatCode>
                <c:ptCount val="7"/>
                <c:pt idx="0">
                  <c:v>8484</c:v>
                </c:pt>
                <c:pt idx="1">
                  <c:v>9604</c:v>
                </c:pt>
                <c:pt idx="2">
                  <c:v>7648</c:v>
                </c:pt>
                <c:pt idx="3">
                  <c:v>9380</c:v>
                </c:pt>
                <c:pt idx="4">
                  <c:v>2888</c:v>
                </c:pt>
                <c:pt idx="5">
                  <c:v>8143</c:v>
                </c:pt>
                <c:pt idx="6">
                  <c:v>11460</c:v>
                </c:pt>
              </c:numCache>
            </c:numRef>
          </c:val>
        </c:ser>
        <c:dLbls>
          <c:showLegendKey val="0"/>
          <c:showVal val="0"/>
          <c:showCatName val="0"/>
          <c:showSerName val="0"/>
          <c:showPercent val="0"/>
          <c:showBubbleSize val="0"/>
        </c:dLbls>
        <c:gapWidth val="150"/>
        <c:axId val="170993152"/>
        <c:axId val="170994688"/>
      </c:barChart>
      <c:catAx>
        <c:axId val="170993152"/>
        <c:scaling>
          <c:orientation val="minMax"/>
        </c:scaling>
        <c:delete val="0"/>
        <c:axPos val="b"/>
        <c:majorTickMark val="out"/>
        <c:minorTickMark val="none"/>
        <c:tickLblPos val="nextTo"/>
        <c:crossAx val="170994688"/>
        <c:crosses val="autoZero"/>
        <c:auto val="1"/>
        <c:lblAlgn val="ctr"/>
        <c:lblOffset val="100"/>
        <c:noMultiLvlLbl val="0"/>
      </c:catAx>
      <c:valAx>
        <c:axId val="170994688"/>
        <c:scaling>
          <c:orientation val="minMax"/>
        </c:scaling>
        <c:delete val="0"/>
        <c:axPos val="l"/>
        <c:majorGridlines/>
        <c:numFmt formatCode="General" sourceLinked="1"/>
        <c:majorTickMark val="out"/>
        <c:minorTickMark val="none"/>
        <c:tickLblPos val="nextTo"/>
        <c:crossAx val="170993152"/>
        <c:crosses val="autoZero"/>
        <c:crossBetween val="between"/>
      </c:valAx>
    </c:plotArea>
    <c:plotVisOnly val="1"/>
    <c:dispBlanksAs val="gap"/>
    <c:showDLblsOverMax val="0"/>
  </c:chart>
  <c:externalData r:id="rId1">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18"/>
    </mc:Choice>
    <mc:Fallback>
      <c:style val="18"/>
    </mc:Fallback>
  </mc:AlternateContent>
  <c:chart>
    <c:title>
      <c:tx>
        <c:rich>
          <a:bodyPr/>
          <a:lstStyle/>
          <a:p>
            <a:pPr>
              <a:defRPr sz="1400"/>
            </a:pPr>
            <a:r>
              <a:rPr lang="en-AU" sz="1400"/>
              <a:t>VIC - Final outcomes acheived by connection level</a:t>
            </a:r>
          </a:p>
        </c:rich>
      </c:tx>
      <c:layout/>
      <c:overlay val="0"/>
    </c:title>
    <c:autoTitleDeleted val="0"/>
    <c:plotArea>
      <c:layout/>
      <c:barChart>
        <c:barDir val="col"/>
        <c:grouping val="clustered"/>
        <c:varyColors val="0"/>
        <c:ser>
          <c:idx val="0"/>
          <c:order val="0"/>
          <c:tx>
            <c:strRef>
              <c:f>'Final outcomes achieved'!$B$2</c:f>
              <c:strCache>
                <c:ptCount val="1"/>
                <c:pt idx="0">
                  <c:v>Level 1</c:v>
                </c:pt>
              </c:strCache>
            </c:strRef>
          </c:tx>
          <c:invertIfNegative val="0"/>
          <c:dLbls>
            <c:showLegendKey val="0"/>
            <c:showVal val="1"/>
            <c:showCatName val="0"/>
            <c:showSerName val="0"/>
            <c:showPercent val="0"/>
            <c:showBubbleSize val="0"/>
            <c:showLeaderLines val="0"/>
          </c:dLbls>
          <c:cat>
            <c:strRef>
              <c:f>'Final outcomes achieved'!$A$3:$A$9</c:f>
              <c:strCache>
                <c:ptCount val="7"/>
                <c:pt idx="0">
                  <c:v>Attendance: The participant’s attendance at school or education setting improved consistently over the whole school term, or for 13 weeks.</c:v>
                </c:pt>
                <c:pt idx="1">
                  <c:v>Behaviour: The participant’s behaviour at school or educational setting improved consistently over the whole school term, or for 13 weeks.</c:v>
                </c:pt>
                <c:pt idx="2">
                  <c:v>Educational performance: The participant’s educational performance improved consistently over the whole school term, or for 13 weeks.</c:v>
                </c:pt>
                <c:pt idx="3">
                  <c:v>Strengthened engagement: The participant’s engagement was strengthened and they remained engaged in education over the whole school term, or for 13 weeks.</c:v>
                </c:pt>
                <c:pt idx="4">
                  <c:v>Engaged in employment: The participant started employment and has remained in that employment for 13 weeks.</c:v>
                </c:pt>
                <c:pt idx="5">
                  <c:v>Re-engaged in education: The participant re-engaged in education and sustained that engagement for 13 weeks.</c:v>
                </c:pt>
                <c:pt idx="6">
                  <c:v>Commenced in education: The participant commenced in education.</c:v>
                </c:pt>
              </c:strCache>
            </c:strRef>
          </c:cat>
          <c:val>
            <c:numRef>
              <c:f>'Final outcomes achieved'!$B$3:$B$9</c:f>
              <c:numCache>
                <c:formatCode>General</c:formatCode>
                <c:ptCount val="7"/>
                <c:pt idx="0">
                  <c:v>828</c:v>
                </c:pt>
                <c:pt idx="1">
                  <c:v>765</c:v>
                </c:pt>
                <c:pt idx="2">
                  <c:v>878</c:v>
                </c:pt>
                <c:pt idx="3">
                  <c:v>615</c:v>
                </c:pt>
                <c:pt idx="4">
                  <c:v>15</c:v>
                </c:pt>
                <c:pt idx="5">
                  <c:v>167</c:v>
                </c:pt>
                <c:pt idx="6">
                  <c:v>27</c:v>
                </c:pt>
              </c:numCache>
            </c:numRef>
          </c:val>
        </c:ser>
        <c:ser>
          <c:idx val="1"/>
          <c:order val="1"/>
          <c:tx>
            <c:strRef>
              <c:f>'Final outcomes achieved'!$C$2</c:f>
              <c:strCache>
                <c:ptCount val="1"/>
                <c:pt idx="0">
                  <c:v>Level 2a</c:v>
                </c:pt>
              </c:strCache>
            </c:strRef>
          </c:tx>
          <c:invertIfNegative val="0"/>
          <c:dLbls>
            <c:showLegendKey val="0"/>
            <c:showVal val="1"/>
            <c:showCatName val="0"/>
            <c:showSerName val="0"/>
            <c:showPercent val="0"/>
            <c:showBubbleSize val="0"/>
            <c:showLeaderLines val="0"/>
          </c:dLbls>
          <c:cat>
            <c:strRef>
              <c:f>'Final outcomes achieved'!$A$3:$A$9</c:f>
              <c:strCache>
                <c:ptCount val="7"/>
                <c:pt idx="0">
                  <c:v>Attendance: The participant’s attendance at school or education setting improved consistently over the whole school term, or for 13 weeks.</c:v>
                </c:pt>
                <c:pt idx="1">
                  <c:v>Behaviour: The participant’s behaviour at school or educational setting improved consistently over the whole school term, or for 13 weeks.</c:v>
                </c:pt>
                <c:pt idx="2">
                  <c:v>Educational performance: The participant’s educational performance improved consistently over the whole school term, or for 13 weeks.</c:v>
                </c:pt>
                <c:pt idx="3">
                  <c:v>Strengthened engagement: The participant’s engagement was strengthened and they remained engaged in education over the whole school term, or for 13 weeks.</c:v>
                </c:pt>
                <c:pt idx="4">
                  <c:v>Engaged in employment: The participant started employment and has remained in that employment for 13 weeks.</c:v>
                </c:pt>
                <c:pt idx="5">
                  <c:v>Re-engaged in education: The participant re-engaged in education and sustained that engagement for 13 weeks.</c:v>
                </c:pt>
                <c:pt idx="6">
                  <c:v>Commenced in education: The participant commenced in education.</c:v>
                </c:pt>
              </c:strCache>
            </c:strRef>
          </c:cat>
          <c:val>
            <c:numRef>
              <c:f>'Final outcomes achieved'!$C$3:$C$9</c:f>
              <c:numCache>
                <c:formatCode>General</c:formatCode>
                <c:ptCount val="7"/>
                <c:pt idx="0">
                  <c:v>839</c:v>
                </c:pt>
                <c:pt idx="1">
                  <c:v>534</c:v>
                </c:pt>
                <c:pt idx="2">
                  <c:v>574</c:v>
                </c:pt>
                <c:pt idx="3">
                  <c:v>861</c:v>
                </c:pt>
                <c:pt idx="4">
                  <c:v>228</c:v>
                </c:pt>
                <c:pt idx="5">
                  <c:v>959</c:v>
                </c:pt>
                <c:pt idx="6">
                  <c:v>569</c:v>
                </c:pt>
              </c:numCache>
            </c:numRef>
          </c:val>
        </c:ser>
        <c:ser>
          <c:idx val="2"/>
          <c:order val="2"/>
          <c:tx>
            <c:strRef>
              <c:f>'Final outcomes achieved'!$D$2</c:f>
              <c:strCache>
                <c:ptCount val="1"/>
                <c:pt idx="0">
                  <c:v>Level 2b</c:v>
                </c:pt>
              </c:strCache>
            </c:strRef>
          </c:tx>
          <c:invertIfNegative val="0"/>
          <c:dLbls>
            <c:showLegendKey val="0"/>
            <c:showVal val="1"/>
            <c:showCatName val="0"/>
            <c:showSerName val="0"/>
            <c:showPercent val="0"/>
            <c:showBubbleSize val="0"/>
            <c:showLeaderLines val="0"/>
          </c:dLbls>
          <c:cat>
            <c:strRef>
              <c:f>'Final outcomes achieved'!$A$3:$A$9</c:f>
              <c:strCache>
                <c:ptCount val="7"/>
                <c:pt idx="0">
                  <c:v>Attendance: The participant’s attendance at school or education setting improved consistently over the whole school term, or for 13 weeks.</c:v>
                </c:pt>
                <c:pt idx="1">
                  <c:v>Behaviour: The participant’s behaviour at school or educational setting improved consistently over the whole school term, or for 13 weeks.</c:v>
                </c:pt>
                <c:pt idx="2">
                  <c:v>Educational performance: The participant’s educational performance improved consistently over the whole school term, or for 13 weeks.</c:v>
                </c:pt>
                <c:pt idx="3">
                  <c:v>Strengthened engagement: The participant’s engagement was strengthened and they remained engaged in education over the whole school term, or for 13 weeks.</c:v>
                </c:pt>
                <c:pt idx="4">
                  <c:v>Engaged in employment: The participant started employment and has remained in that employment for 13 weeks.</c:v>
                </c:pt>
                <c:pt idx="5">
                  <c:v>Re-engaged in education: The participant re-engaged in education and sustained that engagement for 13 weeks.</c:v>
                </c:pt>
                <c:pt idx="6">
                  <c:v>Commenced in education: The participant commenced in education.</c:v>
                </c:pt>
              </c:strCache>
            </c:strRef>
          </c:cat>
          <c:val>
            <c:numRef>
              <c:f>'Final outcomes achieved'!$D$3:$D$9</c:f>
              <c:numCache>
                <c:formatCode>General</c:formatCode>
                <c:ptCount val="7"/>
                <c:pt idx="0">
                  <c:v>136</c:v>
                </c:pt>
                <c:pt idx="1">
                  <c:v>67</c:v>
                </c:pt>
                <c:pt idx="2">
                  <c:v>68</c:v>
                </c:pt>
                <c:pt idx="3">
                  <c:v>154</c:v>
                </c:pt>
                <c:pt idx="4">
                  <c:v>487</c:v>
                </c:pt>
                <c:pt idx="5">
                  <c:v>1187</c:v>
                </c:pt>
                <c:pt idx="6">
                  <c:v>2656</c:v>
                </c:pt>
              </c:numCache>
            </c:numRef>
          </c:val>
        </c:ser>
        <c:dLbls>
          <c:showLegendKey val="0"/>
          <c:showVal val="0"/>
          <c:showCatName val="0"/>
          <c:showSerName val="0"/>
          <c:showPercent val="0"/>
          <c:showBubbleSize val="0"/>
        </c:dLbls>
        <c:gapWidth val="150"/>
        <c:axId val="171034112"/>
        <c:axId val="171035648"/>
      </c:barChart>
      <c:catAx>
        <c:axId val="171034112"/>
        <c:scaling>
          <c:orientation val="minMax"/>
        </c:scaling>
        <c:delete val="0"/>
        <c:axPos val="b"/>
        <c:majorTickMark val="none"/>
        <c:minorTickMark val="none"/>
        <c:tickLblPos val="nextTo"/>
        <c:txPr>
          <a:bodyPr/>
          <a:lstStyle/>
          <a:p>
            <a:pPr>
              <a:defRPr sz="800"/>
            </a:pPr>
            <a:endParaRPr lang="en-US"/>
          </a:p>
        </c:txPr>
        <c:crossAx val="171035648"/>
        <c:crosses val="autoZero"/>
        <c:auto val="1"/>
        <c:lblAlgn val="ctr"/>
        <c:lblOffset val="100"/>
        <c:noMultiLvlLbl val="0"/>
      </c:catAx>
      <c:valAx>
        <c:axId val="171035648"/>
        <c:scaling>
          <c:orientation val="minMax"/>
        </c:scaling>
        <c:delete val="0"/>
        <c:axPos val="l"/>
        <c:majorGridlines/>
        <c:numFmt formatCode="General" sourceLinked="1"/>
        <c:majorTickMark val="none"/>
        <c:minorTickMark val="none"/>
        <c:tickLblPos val="nextTo"/>
        <c:crossAx val="171034112"/>
        <c:crosses val="autoZero"/>
        <c:crossBetween val="between"/>
      </c:valAx>
    </c:plotArea>
    <c:legend>
      <c:legendPos val="r"/>
      <c:layout/>
      <c:overlay val="0"/>
    </c:legend>
    <c:plotVisOnly val="1"/>
    <c:dispBlanksAs val="gap"/>
    <c:showDLblsOverMax val="0"/>
  </c:chart>
  <c:externalData r:id="rId1">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18"/>
    </mc:Choice>
    <mc:Fallback>
      <c:style val="18"/>
    </mc:Fallback>
  </mc:AlternateContent>
  <c:chart>
    <c:title>
      <c:tx>
        <c:rich>
          <a:bodyPr/>
          <a:lstStyle/>
          <a:p>
            <a:pPr>
              <a:defRPr sz="1400"/>
            </a:pPr>
            <a:r>
              <a:rPr lang="en-AU" sz="1400"/>
              <a:t>National - Final outcomes achieved by Connection Level</a:t>
            </a:r>
          </a:p>
        </c:rich>
      </c:tx>
      <c:layout>
        <c:manualLayout>
          <c:xMode val="edge"/>
          <c:yMode val="edge"/>
          <c:x val="0.27564197054420553"/>
          <c:y val="2.5898943139584088E-2"/>
        </c:manualLayout>
      </c:layout>
      <c:overlay val="0"/>
    </c:title>
    <c:autoTitleDeleted val="0"/>
    <c:plotArea>
      <c:layout/>
      <c:barChart>
        <c:barDir val="col"/>
        <c:grouping val="clustered"/>
        <c:varyColors val="0"/>
        <c:ser>
          <c:idx val="0"/>
          <c:order val="0"/>
          <c:tx>
            <c:strRef>
              <c:f>'Final outcomes achieved'!$B$12</c:f>
              <c:strCache>
                <c:ptCount val="1"/>
                <c:pt idx="0">
                  <c:v>Level 1</c:v>
                </c:pt>
              </c:strCache>
            </c:strRef>
          </c:tx>
          <c:invertIfNegative val="0"/>
          <c:dLbls>
            <c:showLegendKey val="0"/>
            <c:showVal val="1"/>
            <c:showCatName val="0"/>
            <c:showSerName val="0"/>
            <c:showPercent val="0"/>
            <c:showBubbleSize val="0"/>
            <c:showLeaderLines val="0"/>
          </c:dLbls>
          <c:cat>
            <c:strRef>
              <c:f>'Final outcomes achieved'!$A$13:$A$19</c:f>
              <c:strCache>
                <c:ptCount val="7"/>
                <c:pt idx="0">
                  <c:v>Attendance: The participant’s attendance at school or education setting improved consistently over the whole school term, or for 13 weeks.</c:v>
                </c:pt>
                <c:pt idx="1">
                  <c:v>Behaviour: The participant’s behaviour at school or educational setting improved consistently over the whole school term, or for 13 weeks.</c:v>
                </c:pt>
                <c:pt idx="2">
                  <c:v>Educational performance: The participant’s educational performance improved consistently over the whole school term, or for 13 weeks.</c:v>
                </c:pt>
                <c:pt idx="3">
                  <c:v>Strengthened engagement: The participant’s engagement was strengthened and they remained engaged in education over the whole school term, or for 13 weeks.</c:v>
                </c:pt>
                <c:pt idx="4">
                  <c:v>Engaged in employment: The participant started employment and has remained in that employment for 13 weeks.</c:v>
                </c:pt>
                <c:pt idx="5">
                  <c:v>Re-engaged in education: The participant re-engaged in education and sustained that engagement for 13 weeks.</c:v>
                </c:pt>
                <c:pt idx="6">
                  <c:v>Commenced in education: The participant commenced in education.</c:v>
                </c:pt>
              </c:strCache>
            </c:strRef>
          </c:cat>
          <c:val>
            <c:numRef>
              <c:f>'Final outcomes achieved'!$B$13:$B$19</c:f>
              <c:numCache>
                <c:formatCode>General</c:formatCode>
                <c:ptCount val="7"/>
                <c:pt idx="0">
                  <c:v>3730</c:v>
                </c:pt>
                <c:pt idx="1">
                  <c:v>5352</c:v>
                </c:pt>
                <c:pt idx="2">
                  <c:v>4335</c:v>
                </c:pt>
                <c:pt idx="3">
                  <c:v>3180</c:v>
                </c:pt>
                <c:pt idx="4">
                  <c:v>54</c:v>
                </c:pt>
                <c:pt idx="5">
                  <c:v>576</c:v>
                </c:pt>
                <c:pt idx="6">
                  <c:v>69</c:v>
                </c:pt>
              </c:numCache>
            </c:numRef>
          </c:val>
        </c:ser>
        <c:ser>
          <c:idx val="1"/>
          <c:order val="1"/>
          <c:tx>
            <c:strRef>
              <c:f>'Final outcomes achieved'!$C$12</c:f>
              <c:strCache>
                <c:ptCount val="1"/>
                <c:pt idx="0">
                  <c:v>Level 2a</c:v>
                </c:pt>
              </c:strCache>
            </c:strRef>
          </c:tx>
          <c:invertIfNegative val="0"/>
          <c:dLbls>
            <c:showLegendKey val="0"/>
            <c:showVal val="1"/>
            <c:showCatName val="0"/>
            <c:showSerName val="0"/>
            <c:showPercent val="0"/>
            <c:showBubbleSize val="0"/>
            <c:showLeaderLines val="0"/>
          </c:dLbls>
          <c:cat>
            <c:strRef>
              <c:f>'Final outcomes achieved'!$A$13:$A$19</c:f>
              <c:strCache>
                <c:ptCount val="7"/>
                <c:pt idx="0">
                  <c:v>Attendance: The participant’s attendance at school or education setting improved consistently over the whole school term, or for 13 weeks.</c:v>
                </c:pt>
                <c:pt idx="1">
                  <c:v>Behaviour: The participant’s behaviour at school or educational setting improved consistently over the whole school term, or for 13 weeks.</c:v>
                </c:pt>
                <c:pt idx="2">
                  <c:v>Educational performance: The participant’s educational performance improved consistently over the whole school term, or for 13 weeks.</c:v>
                </c:pt>
                <c:pt idx="3">
                  <c:v>Strengthened engagement: The participant’s engagement was strengthened and they remained engaged in education over the whole school term, or for 13 weeks.</c:v>
                </c:pt>
                <c:pt idx="4">
                  <c:v>Engaged in employment: The participant started employment and has remained in that employment for 13 weeks.</c:v>
                </c:pt>
                <c:pt idx="5">
                  <c:v>Re-engaged in education: The participant re-engaged in education and sustained that engagement for 13 weeks.</c:v>
                </c:pt>
                <c:pt idx="6">
                  <c:v>Commenced in education: The participant commenced in education.</c:v>
                </c:pt>
              </c:strCache>
            </c:strRef>
          </c:cat>
          <c:val>
            <c:numRef>
              <c:f>'Final outcomes achieved'!$C$13:$C$19</c:f>
              <c:numCache>
                <c:formatCode>General</c:formatCode>
                <c:ptCount val="7"/>
                <c:pt idx="0">
                  <c:v>4412</c:v>
                </c:pt>
                <c:pt idx="1">
                  <c:v>4123</c:v>
                </c:pt>
                <c:pt idx="2">
                  <c:v>3153</c:v>
                </c:pt>
                <c:pt idx="3">
                  <c:v>5817</c:v>
                </c:pt>
                <c:pt idx="4">
                  <c:v>1031</c:v>
                </c:pt>
                <c:pt idx="5">
                  <c:v>3566</c:v>
                </c:pt>
                <c:pt idx="6">
                  <c:v>2201</c:v>
                </c:pt>
              </c:numCache>
            </c:numRef>
          </c:val>
        </c:ser>
        <c:ser>
          <c:idx val="2"/>
          <c:order val="2"/>
          <c:tx>
            <c:strRef>
              <c:f>'Final outcomes achieved'!$D$12</c:f>
              <c:strCache>
                <c:ptCount val="1"/>
                <c:pt idx="0">
                  <c:v>Level 2b</c:v>
                </c:pt>
              </c:strCache>
            </c:strRef>
          </c:tx>
          <c:invertIfNegative val="0"/>
          <c:dLbls>
            <c:showLegendKey val="0"/>
            <c:showVal val="1"/>
            <c:showCatName val="0"/>
            <c:showSerName val="0"/>
            <c:showPercent val="0"/>
            <c:showBubbleSize val="0"/>
            <c:showLeaderLines val="0"/>
          </c:dLbls>
          <c:cat>
            <c:strRef>
              <c:f>'Final outcomes achieved'!$A$13:$A$19</c:f>
              <c:strCache>
                <c:ptCount val="7"/>
                <c:pt idx="0">
                  <c:v>Attendance: The participant’s attendance at school or education setting improved consistently over the whole school term, or for 13 weeks.</c:v>
                </c:pt>
                <c:pt idx="1">
                  <c:v>Behaviour: The participant’s behaviour at school or educational setting improved consistently over the whole school term, or for 13 weeks.</c:v>
                </c:pt>
                <c:pt idx="2">
                  <c:v>Educational performance: The participant’s educational performance improved consistently over the whole school term, or for 13 weeks.</c:v>
                </c:pt>
                <c:pt idx="3">
                  <c:v>Strengthened engagement: The participant’s engagement was strengthened and they remained engaged in education over the whole school term, or for 13 weeks.</c:v>
                </c:pt>
                <c:pt idx="4">
                  <c:v>Engaged in employment: The participant started employment and has remained in that employment for 13 weeks.</c:v>
                </c:pt>
                <c:pt idx="5">
                  <c:v>Re-engaged in education: The participant re-engaged in education and sustained that engagement for 13 weeks.</c:v>
                </c:pt>
                <c:pt idx="6">
                  <c:v>Commenced in education: The participant commenced in education.</c:v>
                </c:pt>
              </c:strCache>
            </c:strRef>
          </c:cat>
          <c:val>
            <c:numRef>
              <c:f>'Final outcomes achieved'!$D$13:$D$19</c:f>
              <c:numCache>
                <c:formatCode>General</c:formatCode>
                <c:ptCount val="7"/>
                <c:pt idx="0">
                  <c:v>611</c:v>
                </c:pt>
                <c:pt idx="1">
                  <c:v>392</c:v>
                </c:pt>
                <c:pt idx="2">
                  <c:v>405</c:v>
                </c:pt>
                <c:pt idx="3">
                  <c:v>687</c:v>
                </c:pt>
                <c:pt idx="4">
                  <c:v>1903</c:v>
                </c:pt>
                <c:pt idx="5">
                  <c:v>4298</c:v>
                </c:pt>
                <c:pt idx="6">
                  <c:v>9554</c:v>
                </c:pt>
              </c:numCache>
            </c:numRef>
          </c:val>
        </c:ser>
        <c:dLbls>
          <c:showLegendKey val="0"/>
          <c:showVal val="0"/>
          <c:showCatName val="0"/>
          <c:showSerName val="0"/>
          <c:showPercent val="0"/>
          <c:showBubbleSize val="0"/>
        </c:dLbls>
        <c:gapWidth val="150"/>
        <c:axId val="171095936"/>
        <c:axId val="171097472"/>
      </c:barChart>
      <c:catAx>
        <c:axId val="171095936"/>
        <c:scaling>
          <c:orientation val="minMax"/>
        </c:scaling>
        <c:delete val="0"/>
        <c:axPos val="b"/>
        <c:majorTickMark val="none"/>
        <c:minorTickMark val="none"/>
        <c:tickLblPos val="nextTo"/>
        <c:txPr>
          <a:bodyPr/>
          <a:lstStyle/>
          <a:p>
            <a:pPr>
              <a:defRPr sz="800"/>
            </a:pPr>
            <a:endParaRPr lang="en-US"/>
          </a:p>
        </c:txPr>
        <c:crossAx val="171097472"/>
        <c:crosses val="autoZero"/>
        <c:auto val="1"/>
        <c:lblAlgn val="ctr"/>
        <c:lblOffset val="100"/>
        <c:noMultiLvlLbl val="0"/>
      </c:catAx>
      <c:valAx>
        <c:axId val="171097472"/>
        <c:scaling>
          <c:orientation val="minMax"/>
        </c:scaling>
        <c:delete val="0"/>
        <c:axPos val="l"/>
        <c:majorGridlines/>
        <c:numFmt formatCode="General" sourceLinked="1"/>
        <c:majorTickMark val="none"/>
        <c:minorTickMark val="none"/>
        <c:tickLblPos val="nextTo"/>
        <c:crossAx val="171095936"/>
        <c:crosses val="autoZero"/>
        <c:crossBetween val="between"/>
      </c:valAx>
    </c:plotArea>
    <c:legend>
      <c:legendPos val="r"/>
      <c:layout/>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en-US"/>
              <a:t>2012</a:t>
            </a:r>
            <a:r>
              <a:rPr lang="en-US" baseline="0"/>
              <a:t> LLEN COM/Board by </a:t>
            </a:r>
          </a:p>
          <a:p>
            <a:pPr>
              <a:defRPr/>
            </a:pPr>
            <a:r>
              <a:rPr lang="en-US" baseline="0"/>
              <a:t>Stakeholder Category</a:t>
            </a:r>
            <a:endParaRPr lang="en-US"/>
          </a:p>
        </c:rich>
      </c:tx>
      <c:layout/>
      <c:overlay val="0"/>
    </c:title>
    <c:autoTitleDeleted val="0"/>
    <c:plotArea>
      <c:layout/>
      <c:pieChart>
        <c:varyColors val="1"/>
        <c:ser>
          <c:idx val="0"/>
          <c:order val="0"/>
          <c:tx>
            <c:strRef>
              <c:f>'CoM- Board'!$A$2</c:f>
              <c:strCache>
                <c:ptCount val="1"/>
                <c:pt idx="0">
                  <c:v>Banyule Nillumbik LLEN</c:v>
                </c:pt>
              </c:strCache>
            </c:strRef>
          </c:tx>
          <c:cat>
            <c:strRef>
              <c:f>'CoM- Board'!$B$1:$L$1</c:f>
              <c:strCache>
                <c:ptCount val="11"/>
                <c:pt idx="0">
                  <c:v>Schools (Cat 1)</c:v>
                </c:pt>
                <c:pt idx="1">
                  <c:v>TAFE (Cat 2)</c:v>
                </c:pt>
                <c:pt idx="2">
                  <c:v>Learn Local (Cat 3)</c:v>
                </c:pt>
                <c:pt idx="3">
                  <c:v>Other education/training providers (Cat 4)</c:v>
                </c:pt>
                <c:pt idx="4">
                  <c:v>Unions (Cat 5)</c:v>
                </c:pt>
                <c:pt idx="5">
                  <c:v>Employers (Cat 6)</c:v>
                </c:pt>
                <c:pt idx="6">
                  <c:v>Local Govt (Cat 7)</c:v>
                </c:pt>
                <c:pt idx="7">
                  <c:v>Other community agencies (Cat 8)</c:v>
                </c:pt>
                <c:pt idx="8">
                  <c:v>Koorie (Cat 9)</c:v>
                </c:pt>
                <c:pt idx="9">
                  <c:v>Community members (Cat 10)</c:v>
                </c:pt>
                <c:pt idx="10">
                  <c:v>Co-optees (Cat 11)</c:v>
                </c:pt>
              </c:strCache>
            </c:strRef>
          </c:cat>
          <c:val>
            <c:numRef>
              <c:f>'CoM- Board'!$B$2:$L$2</c:f>
            </c:numRef>
          </c:val>
        </c:ser>
        <c:ser>
          <c:idx val="1"/>
          <c:order val="1"/>
          <c:tx>
            <c:strRef>
              <c:f>'CoM- Board'!$A$3</c:f>
              <c:strCache>
                <c:ptCount val="1"/>
                <c:pt idx="0">
                  <c:v>Baw Baw Latrobe LLEN</c:v>
                </c:pt>
              </c:strCache>
            </c:strRef>
          </c:tx>
          <c:cat>
            <c:strRef>
              <c:f>'CoM- Board'!$B$1:$L$1</c:f>
              <c:strCache>
                <c:ptCount val="11"/>
                <c:pt idx="0">
                  <c:v>Schools (Cat 1)</c:v>
                </c:pt>
                <c:pt idx="1">
                  <c:v>TAFE (Cat 2)</c:v>
                </c:pt>
                <c:pt idx="2">
                  <c:v>Learn Local (Cat 3)</c:v>
                </c:pt>
                <c:pt idx="3">
                  <c:v>Other education/training providers (Cat 4)</c:v>
                </c:pt>
                <c:pt idx="4">
                  <c:v>Unions (Cat 5)</c:v>
                </c:pt>
                <c:pt idx="5">
                  <c:v>Employers (Cat 6)</c:v>
                </c:pt>
                <c:pt idx="6">
                  <c:v>Local Govt (Cat 7)</c:v>
                </c:pt>
                <c:pt idx="7">
                  <c:v>Other community agencies (Cat 8)</c:v>
                </c:pt>
                <c:pt idx="8">
                  <c:v>Koorie (Cat 9)</c:v>
                </c:pt>
                <c:pt idx="9">
                  <c:v>Community members (Cat 10)</c:v>
                </c:pt>
                <c:pt idx="10">
                  <c:v>Co-optees (Cat 11)</c:v>
                </c:pt>
              </c:strCache>
            </c:strRef>
          </c:cat>
          <c:val>
            <c:numRef>
              <c:f>'CoM- Board'!$B$3:$L$3</c:f>
            </c:numRef>
          </c:val>
        </c:ser>
        <c:ser>
          <c:idx val="2"/>
          <c:order val="2"/>
          <c:tx>
            <c:strRef>
              <c:f>'CoM- Board'!$A$4</c:f>
              <c:strCache>
                <c:ptCount val="1"/>
                <c:pt idx="0">
                  <c:v>Bayside Glen Eira Kingston (BGK) LLEN</c:v>
                </c:pt>
              </c:strCache>
            </c:strRef>
          </c:tx>
          <c:cat>
            <c:strRef>
              <c:f>'CoM- Board'!$B$1:$L$1</c:f>
              <c:strCache>
                <c:ptCount val="11"/>
                <c:pt idx="0">
                  <c:v>Schools (Cat 1)</c:v>
                </c:pt>
                <c:pt idx="1">
                  <c:v>TAFE (Cat 2)</c:v>
                </c:pt>
                <c:pt idx="2">
                  <c:v>Learn Local (Cat 3)</c:v>
                </c:pt>
                <c:pt idx="3">
                  <c:v>Other education/training providers (Cat 4)</c:v>
                </c:pt>
                <c:pt idx="4">
                  <c:v>Unions (Cat 5)</c:v>
                </c:pt>
                <c:pt idx="5">
                  <c:v>Employers (Cat 6)</c:v>
                </c:pt>
                <c:pt idx="6">
                  <c:v>Local Govt (Cat 7)</c:v>
                </c:pt>
                <c:pt idx="7">
                  <c:v>Other community agencies (Cat 8)</c:v>
                </c:pt>
                <c:pt idx="8">
                  <c:v>Koorie (Cat 9)</c:v>
                </c:pt>
                <c:pt idx="9">
                  <c:v>Community members (Cat 10)</c:v>
                </c:pt>
                <c:pt idx="10">
                  <c:v>Co-optees (Cat 11)</c:v>
                </c:pt>
              </c:strCache>
            </c:strRef>
          </c:cat>
          <c:val>
            <c:numRef>
              <c:f>'CoM- Board'!$B$4:$L$4</c:f>
            </c:numRef>
          </c:val>
        </c:ser>
        <c:ser>
          <c:idx val="3"/>
          <c:order val="3"/>
          <c:tx>
            <c:strRef>
              <c:f>'CoM- Board'!$A$5</c:f>
              <c:strCache>
                <c:ptCount val="1"/>
                <c:pt idx="0">
                  <c:v>Brimbank Melton LLEN</c:v>
                </c:pt>
              </c:strCache>
            </c:strRef>
          </c:tx>
          <c:cat>
            <c:strRef>
              <c:f>'CoM- Board'!$B$1:$L$1</c:f>
              <c:strCache>
                <c:ptCount val="11"/>
                <c:pt idx="0">
                  <c:v>Schools (Cat 1)</c:v>
                </c:pt>
                <c:pt idx="1">
                  <c:v>TAFE (Cat 2)</c:v>
                </c:pt>
                <c:pt idx="2">
                  <c:v>Learn Local (Cat 3)</c:v>
                </c:pt>
                <c:pt idx="3">
                  <c:v>Other education/training providers (Cat 4)</c:v>
                </c:pt>
                <c:pt idx="4">
                  <c:v>Unions (Cat 5)</c:v>
                </c:pt>
                <c:pt idx="5">
                  <c:v>Employers (Cat 6)</c:v>
                </c:pt>
                <c:pt idx="6">
                  <c:v>Local Govt (Cat 7)</c:v>
                </c:pt>
                <c:pt idx="7">
                  <c:v>Other community agencies (Cat 8)</c:v>
                </c:pt>
                <c:pt idx="8">
                  <c:v>Koorie (Cat 9)</c:v>
                </c:pt>
                <c:pt idx="9">
                  <c:v>Community members (Cat 10)</c:v>
                </c:pt>
                <c:pt idx="10">
                  <c:v>Co-optees (Cat 11)</c:v>
                </c:pt>
              </c:strCache>
            </c:strRef>
          </c:cat>
          <c:val>
            <c:numRef>
              <c:f>'CoM- Board'!$B$5:$L$5</c:f>
            </c:numRef>
          </c:val>
        </c:ser>
        <c:ser>
          <c:idx val="4"/>
          <c:order val="4"/>
          <c:tx>
            <c:strRef>
              <c:f>'CoM- Board'!$A$6</c:f>
              <c:strCache>
                <c:ptCount val="1"/>
                <c:pt idx="0">
                  <c:v>Campaspe Cohuna LLEN</c:v>
                </c:pt>
              </c:strCache>
            </c:strRef>
          </c:tx>
          <c:cat>
            <c:strRef>
              <c:f>'CoM- Board'!$B$1:$L$1</c:f>
              <c:strCache>
                <c:ptCount val="11"/>
                <c:pt idx="0">
                  <c:v>Schools (Cat 1)</c:v>
                </c:pt>
                <c:pt idx="1">
                  <c:v>TAFE (Cat 2)</c:v>
                </c:pt>
                <c:pt idx="2">
                  <c:v>Learn Local (Cat 3)</c:v>
                </c:pt>
                <c:pt idx="3">
                  <c:v>Other education/training providers (Cat 4)</c:v>
                </c:pt>
                <c:pt idx="4">
                  <c:v>Unions (Cat 5)</c:v>
                </c:pt>
                <c:pt idx="5">
                  <c:v>Employers (Cat 6)</c:v>
                </c:pt>
                <c:pt idx="6">
                  <c:v>Local Govt (Cat 7)</c:v>
                </c:pt>
                <c:pt idx="7">
                  <c:v>Other community agencies (Cat 8)</c:v>
                </c:pt>
                <c:pt idx="8">
                  <c:v>Koorie (Cat 9)</c:v>
                </c:pt>
                <c:pt idx="9">
                  <c:v>Community members (Cat 10)</c:v>
                </c:pt>
                <c:pt idx="10">
                  <c:v>Co-optees (Cat 11)</c:v>
                </c:pt>
              </c:strCache>
            </c:strRef>
          </c:cat>
          <c:val>
            <c:numRef>
              <c:f>'CoM- Board'!$B$6:$L$6</c:f>
            </c:numRef>
          </c:val>
        </c:ser>
        <c:ser>
          <c:idx val="5"/>
          <c:order val="5"/>
          <c:tx>
            <c:strRef>
              <c:f>'CoM- Board'!$A$7</c:f>
              <c:strCache>
                <c:ptCount val="1"/>
                <c:pt idx="0">
                  <c:v>Capital City LLEN</c:v>
                </c:pt>
              </c:strCache>
            </c:strRef>
          </c:tx>
          <c:cat>
            <c:strRef>
              <c:f>'CoM- Board'!$B$1:$L$1</c:f>
              <c:strCache>
                <c:ptCount val="11"/>
                <c:pt idx="0">
                  <c:v>Schools (Cat 1)</c:v>
                </c:pt>
                <c:pt idx="1">
                  <c:v>TAFE (Cat 2)</c:v>
                </c:pt>
                <c:pt idx="2">
                  <c:v>Learn Local (Cat 3)</c:v>
                </c:pt>
                <c:pt idx="3">
                  <c:v>Other education/training providers (Cat 4)</c:v>
                </c:pt>
                <c:pt idx="4">
                  <c:v>Unions (Cat 5)</c:v>
                </c:pt>
                <c:pt idx="5">
                  <c:v>Employers (Cat 6)</c:v>
                </c:pt>
                <c:pt idx="6">
                  <c:v>Local Govt (Cat 7)</c:v>
                </c:pt>
                <c:pt idx="7">
                  <c:v>Other community agencies (Cat 8)</c:v>
                </c:pt>
                <c:pt idx="8">
                  <c:v>Koorie (Cat 9)</c:v>
                </c:pt>
                <c:pt idx="9">
                  <c:v>Community members (Cat 10)</c:v>
                </c:pt>
                <c:pt idx="10">
                  <c:v>Co-optees (Cat 11)</c:v>
                </c:pt>
              </c:strCache>
            </c:strRef>
          </c:cat>
          <c:val>
            <c:numRef>
              <c:f>'CoM- Board'!$B$7:$L$7</c:f>
            </c:numRef>
          </c:val>
        </c:ser>
        <c:ser>
          <c:idx val="6"/>
          <c:order val="6"/>
          <c:tx>
            <c:strRef>
              <c:f>'CoM- Board'!$A$8</c:f>
              <c:strCache>
                <c:ptCount val="1"/>
                <c:pt idx="0">
                  <c:v>Central Grampians LLEN</c:v>
                </c:pt>
              </c:strCache>
            </c:strRef>
          </c:tx>
          <c:cat>
            <c:strRef>
              <c:f>'CoM- Board'!$B$1:$L$1</c:f>
              <c:strCache>
                <c:ptCount val="11"/>
                <c:pt idx="0">
                  <c:v>Schools (Cat 1)</c:v>
                </c:pt>
                <c:pt idx="1">
                  <c:v>TAFE (Cat 2)</c:v>
                </c:pt>
                <c:pt idx="2">
                  <c:v>Learn Local (Cat 3)</c:v>
                </c:pt>
                <c:pt idx="3">
                  <c:v>Other education/training providers (Cat 4)</c:v>
                </c:pt>
                <c:pt idx="4">
                  <c:v>Unions (Cat 5)</c:v>
                </c:pt>
                <c:pt idx="5">
                  <c:v>Employers (Cat 6)</c:v>
                </c:pt>
                <c:pt idx="6">
                  <c:v>Local Govt (Cat 7)</c:v>
                </c:pt>
                <c:pt idx="7">
                  <c:v>Other community agencies (Cat 8)</c:v>
                </c:pt>
                <c:pt idx="8">
                  <c:v>Koorie (Cat 9)</c:v>
                </c:pt>
                <c:pt idx="9">
                  <c:v>Community members (Cat 10)</c:v>
                </c:pt>
                <c:pt idx="10">
                  <c:v>Co-optees (Cat 11)</c:v>
                </c:pt>
              </c:strCache>
            </c:strRef>
          </c:cat>
          <c:val>
            <c:numRef>
              <c:f>'CoM- Board'!$B$8:$L$8</c:f>
            </c:numRef>
          </c:val>
        </c:ser>
        <c:ser>
          <c:idx val="7"/>
          <c:order val="7"/>
          <c:tx>
            <c:strRef>
              <c:f>'CoM- Board'!$A$9</c:f>
              <c:strCache>
                <c:ptCount val="1"/>
                <c:pt idx="0">
                  <c:v>Central Ranges LLEN</c:v>
                </c:pt>
              </c:strCache>
            </c:strRef>
          </c:tx>
          <c:cat>
            <c:strRef>
              <c:f>'CoM- Board'!$B$1:$L$1</c:f>
              <c:strCache>
                <c:ptCount val="11"/>
                <c:pt idx="0">
                  <c:v>Schools (Cat 1)</c:v>
                </c:pt>
                <c:pt idx="1">
                  <c:v>TAFE (Cat 2)</c:v>
                </c:pt>
                <c:pt idx="2">
                  <c:v>Learn Local (Cat 3)</c:v>
                </c:pt>
                <c:pt idx="3">
                  <c:v>Other education/training providers (Cat 4)</c:v>
                </c:pt>
                <c:pt idx="4">
                  <c:v>Unions (Cat 5)</c:v>
                </c:pt>
                <c:pt idx="5">
                  <c:v>Employers (Cat 6)</c:v>
                </c:pt>
                <c:pt idx="6">
                  <c:v>Local Govt (Cat 7)</c:v>
                </c:pt>
                <c:pt idx="7">
                  <c:v>Other community agencies (Cat 8)</c:v>
                </c:pt>
                <c:pt idx="8">
                  <c:v>Koorie (Cat 9)</c:v>
                </c:pt>
                <c:pt idx="9">
                  <c:v>Community members (Cat 10)</c:v>
                </c:pt>
                <c:pt idx="10">
                  <c:v>Co-optees (Cat 11)</c:v>
                </c:pt>
              </c:strCache>
            </c:strRef>
          </c:cat>
          <c:val>
            <c:numRef>
              <c:f>'CoM- Board'!$B$9:$L$9</c:f>
            </c:numRef>
          </c:val>
        </c:ser>
        <c:ser>
          <c:idx val="8"/>
          <c:order val="8"/>
          <c:tx>
            <c:strRef>
              <c:f>'CoM- Board'!$A$10</c:f>
              <c:strCache>
                <c:ptCount val="1"/>
                <c:pt idx="0">
                  <c:v>Frankston Mornington Peninsula LLEN</c:v>
                </c:pt>
              </c:strCache>
            </c:strRef>
          </c:tx>
          <c:cat>
            <c:strRef>
              <c:f>'CoM- Board'!$B$1:$L$1</c:f>
              <c:strCache>
                <c:ptCount val="11"/>
                <c:pt idx="0">
                  <c:v>Schools (Cat 1)</c:v>
                </c:pt>
                <c:pt idx="1">
                  <c:v>TAFE (Cat 2)</c:v>
                </c:pt>
                <c:pt idx="2">
                  <c:v>Learn Local (Cat 3)</c:v>
                </c:pt>
                <c:pt idx="3">
                  <c:v>Other education/training providers (Cat 4)</c:v>
                </c:pt>
                <c:pt idx="4">
                  <c:v>Unions (Cat 5)</c:v>
                </c:pt>
                <c:pt idx="5">
                  <c:v>Employers (Cat 6)</c:v>
                </c:pt>
                <c:pt idx="6">
                  <c:v>Local Govt (Cat 7)</c:v>
                </c:pt>
                <c:pt idx="7">
                  <c:v>Other community agencies (Cat 8)</c:v>
                </c:pt>
                <c:pt idx="8">
                  <c:v>Koorie (Cat 9)</c:v>
                </c:pt>
                <c:pt idx="9">
                  <c:v>Community members (Cat 10)</c:v>
                </c:pt>
                <c:pt idx="10">
                  <c:v>Co-optees (Cat 11)</c:v>
                </c:pt>
              </c:strCache>
            </c:strRef>
          </c:cat>
          <c:val>
            <c:numRef>
              <c:f>'CoM- Board'!$B$10:$L$10</c:f>
            </c:numRef>
          </c:val>
        </c:ser>
        <c:ser>
          <c:idx val="9"/>
          <c:order val="9"/>
          <c:tx>
            <c:strRef>
              <c:f>'CoM- Board'!$A$11</c:f>
              <c:strCache>
                <c:ptCount val="1"/>
                <c:pt idx="0">
                  <c:v>Gateway LLEN</c:v>
                </c:pt>
              </c:strCache>
            </c:strRef>
          </c:tx>
          <c:cat>
            <c:strRef>
              <c:f>'CoM- Board'!$B$1:$L$1</c:f>
              <c:strCache>
                <c:ptCount val="11"/>
                <c:pt idx="0">
                  <c:v>Schools (Cat 1)</c:v>
                </c:pt>
                <c:pt idx="1">
                  <c:v>TAFE (Cat 2)</c:v>
                </c:pt>
                <c:pt idx="2">
                  <c:v>Learn Local (Cat 3)</c:v>
                </c:pt>
                <c:pt idx="3">
                  <c:v>Other education/training providers (Cat 4)</c:v>
                </c:pt>
                <c:pt idx="4">
                  <c:v>Unions (Cat 5)</c:v>
                </c:pt>
                <c:pt idx="5">
                  <c:v>Employers (Cat 6)</c:v>
                </c:pt>
                <c:pt idx="6">
                  <c:v>Local Govt (Cat 7)</c:v>
                </c:pt>
                <c:pt idx="7">
                  <c:v>Other community agencies (Cat 8)</c:v>
                </c:pt>
                <c:pt idx="8">
                  <c:v>Koorie (Cat 9)</c:v>
                </c:pt>
                <c:pt idx="9">
                  <c:v>Community members (Cat 10)</c:v>
                </c:pt>
                <c:pt idx="10">
                  <c:v>Co-optees (Cat 11)</c:v>
                </c:pt>
              </c:strCache>
            </c:strRef>
          </c:cat>
          <c:val>
            <c:numRef>
              <c:f>'CoM- Board'!$B$11:$L$11</c:f>
            </c:numRef>
          </c:val>
        </c:ser>
        <c:ser>
          <c:idx val="10"/>
          <c:order val="10"/>
          <c:tx>
            <c:strRef>
              <c:f>'CoM- Board'!$A$12</c:f>
              <c:strCache>
                <c:ptCount val="1"/>
                <c:pt idx="0">
                  <c:v>Geelong Region LLEN</c:v>
                </c:pt>
              </c:strCache>
            </c:strRef>
          </c:tx>
          <c:cat>
            <c:strRef>
              <c:f>'CoM- Board'!$B$1:$L$1</c:f>
              <c:strCache>
                <c:ptCount val="11"/>
                <c:pt idx="0">
                  <c:v>Schools (Cat 1)</c:v>
                </c:pt>
                <c:pt idx="1">
                  <c:v>TAFE (Cat 2)</c:v>
                </c:pt>
                <c:pt idx="2">
                  <c:v>Learn Local (Cat 3)</c:v>
                </c:pt>
                <c:pt idx="3">
                  <c:v>Other education/training providers (Cat 4)</c:v>
                </c:pt>
                <c:pt idx="4">
                  <c:v>Unions (Cat 5)</c:v>
                </c:pt>
                <c:pt idx="5">
                  <c:v>Employers (Cat 6)</c:v>
                </c:pt>
                <c:pt idx="6">
                  <c:v>Local Govt (Cat 7)</c:v>
                </c:pt>
                <c:pt idx="7">
                  <c:v>Other community agencies (Cat 8)</c:v>
                </c:pt>
                <c:pt idx="8">
                  <c:v>Koorie (Cat 9)</c:v>
                </c:pt>
                <c:pt idx="9">
                  <c:v>Community members (Cat 10)</c:v>
                </c:pt>
                <c:pt idx="10">
                  <c:v>Co-optees (Cat 11)</c:v>
                </c:pt>
              </c:strCache>
            </c:strRef>
          </c:cat>
          <c:val>
            <c:numRef>
              <c:f>'CoM- Board'!$B$12:$L$12</c:f>
            </c:numRef>
          </c:val>
        </c:ser>
        <c:ser>
          <c:idx val="11"/>
          <c:order val="11"/>
          <c:tx>
            <c:strRef>
              <c:f>'CoM- Board'!$A$13</c:f>
              <c:strCache>
                <c:ptCount val="1"/>
                <c:pt idx="0">
                  <c:v>Gippsland East LLEN</c:v>
                </c:pt>
              </c:strCache>
            </c:strRef>
          </c:tx>
          <c:cat>
            <c:strRef>
              <c:f>'CoM- Board'!$B$1:$L$1</c:f>
              <c:strCache>
                <c:ptCount val="11"/>
                <c:pt idx="0">
                  <c:v>Schools (Cat 1)</c:v>
                </c:pt>
                <c:pt idx="1">
                  <c:v>TAFE (Cat 2)</c:v>
                </c:pt>
                <c:pt idx="2">
                  <c:v>Learn Local (Cat 3)</c:v>
                </c:pt>
                <c:pt idx="3">
                  <c:v>Other education/training providers (Cat 4)</c:v>
                </c:pt>
                <c:pt idx="4">
                  <c:v>Unions (Cat 5)</c:v>
                </c:pt>
                <c:pt idx="5">
                  <c:v>Employers (Cat 6)</c:v>
                </c:pt>
                <c:pt idx="6">
                  <c:v>Local Govt (Cat 7)</c:v>
                </c:pt>
                <c:pt idx="7">
                  <c:v>Other community agencies (Cat 8)</c:v>
                </c:pt>
                <c:pt idx="8">
                  <c:v>Koorie (Cat 9)</c:v>
                </c:pt>
                <c:pt idx="9">
                  <c:v>Community members (Cat 10)</c:v>
                </c:pt>
                <c:pt idx="10">
                  <c:v>Co-optees (Cat 11)</c:v>
                </c:pt>
              </c:strCache>
            </c:strRef>
          </c:cat>
          <c:val>
            <c:numRef>
              <c:f>'CoM- Board'!$B$13:$L$13</c:f>
            </c:numRef>
          </c:val>
        </c:ser>
        <c:ser>
          <c:idx val="12"/>
          <c:order val="12"/>
          <c:tx>
            <c:strRef>
              <c:f>'CoM- Board'!$A$14</c:f>
              <c:strCache>
                <c:ptCount val="1"/>
                <c:pt idx="0">
                  <c:v>Glenelg and Southern Grampians LLEN</c:v>
                </c:pt>
              </c:strCache>
            </c:strRef>
          </c:tx>
          <c:cat>
            <c:strRef>
              <c:f>'CoM- Board'!$B$1:$L$1</c:f>
              <c:strCache>
                <c:ptCount val="11"/>
                <c:pt idx="0">
                  <c:v>Schools (Cat 1)</c:v>
                </c:pt>
                <c:pt idx="1">
                  <c:v>TAFE (Cat 2)</c:v>
                </c:pt>
                <c:pt idx="2">
                  <c:v>Learn Local (Cat 3)</c:v>
                </c:pt>
                <c:pt idx="3">
                  <c:v>Other education/training providers (Cat 4)</c:v>
                </c:pt>
                <c:pt idx="4">
                  <c:v>Unions (Cat 5)</c:v>
                </c:pt>
                <c:pt idx="5">
                  <c:v>Employers (Cat 6)</c:v>
                </c:pt>
                <c:pt idx="6">
                  <c:v>Local Govt (Cat 7)</c:v>
                </c:pt>
                <c:pt idx="7">
                  <c:v>Other community agencies (Cat 8)</c:v>
                </c:pt>
                <c:pt idx="8">
                  <c:v>Koorie (Cat 9)</c:v>
                </c:pt>
                <c:pt idx="9">
                  <c:v>Community members (Cat 10)</c:v>
                </c:pt>
                <c:pt idx="10">
                  <c:v>Co-optees (Cat 11)</c:v>
                </c:pt>
              </c:strCache>
            </c:strRef>
          </c:cat>
          <c:val>
            <c:numRef>
              <c:f>'CoM- Board'!$B$14:$L$14</c:f>
            </c:numRef>
          </c:val>
        </c:ser>
        <c:ser>
          <c:idx val="13"/>
          <c:order val="13"/>
          <c:tx>
            <c:strRef>
              <c:f>'CoM- Board'!$A$15</c:f>
              <c:strCache>
                <c:ptCount val="1"/>
                <c:pt idx="0">
                  <c:v>Goldfields LLEN</c:v>
                </c:pt>
              </c:strCache>
            </c:strRef>
          </c:tx>
          <c:cat>
            <c:strRef>
              <c:f>'CoM- Board'!$B$1:$L$1</c:f>
              <c:strCache>
                <c:ptCount val="11"/>
                <c:pt idx="0">
                  <c:v>Schools (Cat 1)</c:v>
                </c:pt>
                <c:pt idx="1">
                  <c:v>TAFE (Cat 2)</c:v>
                </c:pt>
                <c:pt idx="2">
                  <c:v>Learn Local (Cat 3)</c:v>
                </c:pt>
                <c:pt idx="3">
                  <c:v>Other education/training providers (Cat 4)</c:v>
                </c:pt>
                <c:pt idx="4">
                  <c:v>Unions (Cat 5)</c:v>
                </c:pt>
                <c:pt idx="5">
                  <c:v>Employers (Cat 6)</c:v>
                </c:pt>
                <c:pt idx="6">
                  <c:v>Local Govt (Cat 7)</c:v>
                </c:pt>
                <c:pt idx="7">
                  <c:v>Other community agencies (Cat 8)</c:v>
                </c:pt>
                <c:pt idx="8">
                  <c:v>Koorie (Cat 9)</c:v>
                </c:pt>
                <c:pt idx="9">
                  <c:v>Community members (Cat 10)</c:v>
                </c:pt>
                <c:pt idx="10">
                  <c:v>Co-optees (Cat 11)</c:v>
                </c:pt>
              </c:strCache>
            </c:strRef>
          </c:cat>
          <c:val>
            <c:numRef>
              <c:f>'CoM- Board'!$B$15:$L$15</c:f>
            </c:numRef>
          </c:val>
        </c:ser>
        <c:ser>
          <c:idx val="14"/>
          <c:order val="14"/>
          <c:tx>
            <c:strRef>
              <c:f>'CoM- Board'!$A$16</c:f>
              <c:strCache>
                <c:ptCount val="1"/>
                <c:pt idx="0">
                  <c:v>Goulburn Murray LLEN</c:v>
                </c:pt>
              </c:strCache>
            </c:strRef>
          </c:tx>
          <c:cat>
            <c:strRef>
              <c:f>'CoM- Board'!$B$1:$L$1</c:f>
              <c:strCache>
                <c:ptCount val="11"/>
                <c:pt idx="0">
                  <c:v>Schools (Cat 1)</c:v>
                </c:pt>
                <c:pt idx="1">
                  <c:v>TAFE (Cat 2)</c:v>
                </c:pt>
                <c:pt idx="2">
                  <c:v>Learn Local (Cat 3)</c:v>
                </c:pt>
                <c:pt idx="3">
                  <c:v>Other education/training providers (Cat 4)</c:v>
                </c:pt>
                <c:pt idx="4">
                  <c:v>Unions (Cat 5)</c:v>
                </c:pt>
                <c:pt idx="5">
                  <c:v>Employers (Cat 6)</c:v>
                </c:pt>
                <c:pt idx="6">
                  <c:v>Local Govt (Cat 7)</c:v>
                </c:pt>
                <c:pt idx="7">
                  <c:v>Other community agencies (Cat 8)</c:v>
                </c:pt>
                <c:pt idx="8">
                  <c:v>Koorie (Cat 9)</c:v>
                </c:pt>
                <c:pt idx="9">
                  <c:v>Community members (Cat 10)</c:v>
                </c:pt>
                <c:pt idx="10">
                  <c:v>Co-optees (Cat 11)</c:v>
                </c:pt>
              </c:strCache>
            </c:strRef>
          </c:cat>
          <c:val>
            <c:numRef>
              <c:f>'CoM- Board'!$B$16:$L$16</c:f>
            </c:numRef>
          </c:val>
        </c:ser>
        <c:ser>
          <c:idx val="15"/>
          <c:order val="15"/>
          <c:tx>
            <c:strRef>
              <c:f>'CoM- Board'!$A$17</c:f>
              <c:strCache>
                <c:ptCount val="1"/>
                <c:pt idx="0">
                  <c:v>Highlands LLEN</c:v>
                </c:pt>
              </c:strCache>
            </c:strRef>
          </c:tx>
          <c:cat>
            <c:strRef>
              <c:f>'CoM- Board'!$B$1:$L$1</c:f>
              <c:strCache>
                <c:ptCount val="11"/>
                <c:pt idx="0">
                  <c:v>Schools (Cat 1)</c:v>
                </c:pt>
                <c:pt idx="1">
                  <c:v>TAFE (Cat 2)</c:v>
                </c:pt>
                <c:pt idx="2">
                  <c:v>Learn Local (Cat 3)</c:v>
                </c:pt>
                <c:pt idx="3">
                  <c:v>Other education/training providers (Cat 4)</c:v>
                </c:pt>
                <c:pt idx="4">
                  <c:v>Unions (Cat 5)</c:v>
                </c:pt>
                <c:pt idx="5">
                  <c:v>Employers (Cat 6)</c:v>
                </c:pt>
                <c:pt idx="6">
                  <c:v>Local Govt (Cat 7)</c:v>
                </c:pt>
                <c:pt idx="7">
                  <c:v>Other community agencies (Cat 8)</c:v>
                </c:pt>
                <c:pt idx="8">
                  <c:v>Koorie (Cat 9)</c:v>
                </c:pt>
                <c:pt idx="9">
                  <c:v>Community members (Cat 10)</c:v>
                </c:pt>
                <c:pt idx="10">
                  <c:v>Co-optees (Cat 11)</c:v>
                </c:pt>
              </c:strCache>
            </c:strRef>
          </c:cat>
          <c:val>
            <c:numRef>
              <c:f>'CoM- Board'!$B$17:$L$17</c:f>
            </c:numRef>
          </c:val>
        </c:ser>
        <c:ser>
          <c:idx val="16"/>
          <c:order val="16"/>
          <c:tx>
            <c:strRef>
              <c:f>'CoM- Board'!$A$18</c:f>
              <c:strCache>
                <c:ptCount val="1"/>
                <c:pt idx="0">
                  <c:v>Hume Whittlesea LLEN</c:v>
                </c:pt>
              </c:strCache>
            </c:strRef>
          </c:tx>
          <c:cat>
            <c:strRef>
              <c:f>'CoM- Board'!$B$1:$L$1</c:f>
              <c:strCache>
                <c:ptCount val="11"/>
                <c:pt idx="0">
                  <c:v>Schools (Cat 1)</c:v>
                </c:pt>
                <c:pt idx="1">
                  <c:v>TAFE (Cat 2)</c:v>
                </c:pt>
                <c:pt idx="2">
                  <c:v>Learn Local (Cat 3)</c:v>
                </c:pt>
                <c:pt idx="3">
                  <c:v>Other education/training providers (Cat 4)</c:v>
                </c:pt>
                <c:pt idx="4">
                  <c:v>Unions (Cat 5)</c:v>
                </c:pt>
                <c:pt idx="5">
                  <c:v>Employers (Cat 6)</c:v>
                </c:pt>
                <c:pt idx="6">
                  <c:v>Local Govt (Cat 7)</c:v>
                </c:pt>
                <c:pt idx="7">
                  <c:v>Other community agencies (Cat 8)</c:v>
                </c:pt>
                <c:pt idx="8">
                  <c:v>Koorie (Cat 9)</c:v>
                </c:pt>
                <c:pt idx="9">
                  <c:v>Community members (Cat 10)</c:v>
                </c:pt>
                <c:pt idx="10">
                  <c:v>Co-optees (Cat 11)</c:v>
                </c:pt>
              </c:strCache>
            </c:strRef>
          </c:cat>
          <c:val>
            <c:numRef>
              <c:f>'CoM- Board'!$B$18:$L$18</c:f>
            </c:numRef>
          </c:val>
        </c:ser>
        <c:ser>
          <c:idx val="17"/>
          <c:order val="17"/>
          <c:tx>
            <c:strRef>
              <c:f>'CoM- Board'!$A$19</c:f>
              <c:strCache>
                <c:ptCount val="1"/>
                <c:pt idx="0">
                  <c:v>Inner Eastern LLEN</c:v>
                </c:pt>
              </c:strCache>
            </c:strRef>
          </c:tx>
          <c:cat>
            <c:strRef>
              <c:f>'CoM- Board'!$B$1:$L$1</c:f>
              <c:strCache>
                <c:ptCount val="11"/>
                <c:pt idx="0">
                  <c:v>Schools (Cat 1)</c:v>
                </c:pt>
                <c:pt idx="1">
                  <c:v>TAFE (Cat 2)</c:v>
                </c:pt>
                <c:pt idx="2">
                  <c:v>Learn Local (Cat 3)</c:v>
                </c:pt>
                <c:pt idx="3">
                  <c:v>Other education/training providers (Cat 4)</c:v>
                </c:pt>
                <c:pt idx="4">
                  <c:v>Unions (Cat 5)</c:v>
                </c:pt>
                <c:pt idx="5">
                  <c:v>Employers (Cat 6)</c:v>
                </c:pt>
                <c:pt idx="6">
                  <c:v>Local Govt (Cat 7)</c:v>
                </c:pt>
                <c:pt idx="7">
                  <c:v>Other community agencies (Cat 8)</c:v>
                </c:pt>
                <c:pt idx="8">
                  <c:v>Koorie (Cat 9)</c:v>
                </c:pt>
                <c:pt idx="9">
                  <c:v>Community members (Cat 10)</c:v>
                </c:pt>
                <c:pt idx="10">
                  <c:v>Co-optees (Cat 11)</c:v>
                </c:pt>
              </c:strCache>
            </c:strRef>
          </c:cat>
          <c:val>
            <c:numRef>
              <c:f>'CoM- Board'!$B$19:$L$19</c:f>
            </c:numRef>
          </c:val>
        </c:ser>
        <c:ser>
          <c:idx val="18"/>
          <c:order val="18"/>
          <c:tx>
            <c:strRef>
              <c:f>'CoM- Board'!$A$20</c:f>
              <c:strCache>
                <c:ptCount val="1"/>
                <c:pt idx="0">
                  <c:v>Inner Northern LLEN</c:v>
                </c:pt>
              </c:strCache>
            </c:strRef>
          </c:tx>
          <c:cat>
            <c:strRef>
              <c:f>'CoM- Board'!$B$1:$L$1</c:f>
              <c:strCache>
                <c:ptCount val="11"/>
                <c:pt idx="0">
                  <c:v>Schools (Cat 1)</c:v>
                </c:pt>
                <c:pt idx="1">
                  <c:v>TAFE (Cat 2)</c:v>
                </c:pt>
                <c:pt idx="2">
                  <c:v>Learn Local (Cat 3)</c:v>
                </c:pt>
                <c:pt idx="3">
                  <c:v>Other education/training providers (Cat 4)</c:v>
                </c:pt>
                <c:pt idx="4">
                  <c:v>Unions (Cat 5)</c:v>
                </c:pt>
                <c:pt idx="5">
                  <c:v>Employers (Cat 6)</c:v>
                </c:pt>
                <c:pt idx="6">
                  <c:v>Local Govt (Cat 7)</c:v>
                </c:pt>
                <c:pt idx="7">
                  <c:v>Other community agencies (Cat 8)</c:v>
                </c:pt>
                <c:pt idx="8">
                  <c:v>Koorie (Cat 9)</c:v>
                </c:pt>
                <c:pt idx="9">
                  <c:v>Community members (Cat 10)</c:v>
                </c:pt>
                <c:pt idx="10">
                  <c:v>Co-optees (Cat 11)</c:v>
                </c:pt>
              </c:strCache>
            </c:strRef>
          </c:cat>
          <c:val>
            <c:numRef>
              <c:f>'CoM- Board'!$B$20:$L$20</c:f>
            </c:numRef>
          </c:val>
        </c:ser>
        <c:ser>
          <c:idx val="19"/>
          <c:order val="19"/>
          <c:tx>
            <c:strRef>
              <c:f>'CoM- Board'!$A$21</c:f>
              <c:strCache>
                <c:ptCount val="1"/>
                <c:pt idx="0">
                  <c:v>Maribyrnong &amp; Moonee Valley LLEN</c:v>
                </c:pt>
              </c:strCache>
            </c:strRef>
          </c:tx>
          <c:cat>
            <c:strRef>
              <c:f>'CoM- Board'!$B$1:$L$1</c:f>
              <c:strCache>
                <c:ptCount val="11"/>
                <c:pt idx="0">
                  <c:v>Schools (Cat 1)</c:v>
                </c:pt>
                <c:pt idx="1">
                  <c:v>TAFE (Cat 2)</c:v>
                </c:pt>
                <c:pt idx="2">
                  <c:v>Learn Local (Cat 3)</c:v>
                </c:pt>
                <c:pt idx="3">
                  <c:v>Other education/training providers (Cat 4)</c:v>
                </c:pt>
                <c:pt idx="4">
                  <c:v>Unions (Cat 5)</c:v>
                </c:pt>
                <c:pt idx="5">
                  <c:v>Employers (Cat 6)</c:v>
                </c:pt>
                <c:pt idx="6">
                  <c:v>Local Govt (Cat 7)</c:v>
                </c:pt>
                <c:pt idx="7">
                  <c:v>Other community agencies (Cat 8)</c:v>
                </c:pt>
                <c:pt idx="8">
                  <c:v>Koorie (Cat 9)</c:v>
                </c:pt>
                <c:pt idx="9">
                  <c:v>Community members (Cat 10)</c:v>
                </c:pt>
                <c:pt idx="10">
                  <c:v>Co-optees (Cat 11)</c:v>
                </c:pt>
              </c:strCache>
            </c:strRef>
          </c:cat>
          <c:val>
            <c:numRef>
              <c:f>'CoM- Board'!$B$21:$L$21</c:f>
            </c:numRef>
          </c:val>
        </c:ser>
        <c:ser>
          <c:idx val="20"/>
          <c:order val="20"/>
          <c:tx>
            <c:strRef>
              <c:f>'CoM- Board'!$A$22</c:f>
              <c:strCache>
                <c:ptCount val="1"/>
                <c:pt idx="0">
                  <c:v>Murray Mallee LLEN</c:v>
                </c:pt>
              </c:strCache>
            </c:strRef>
          </c:tx>
          <c:cat>
            <c:strRef>
              <c:f>'CoM- Board'!$B$1:$L$1</c:f>
              <c:strCache>
                <c:ptCount val="11"/>
                <c:pt idx="0">
                  <c:v>Schools (Cat 1)</c:v>
                </c:pt>
                <c:pt idx="1">
                  <c:v>TAFE (Cat 2)</c:v>
                </c:pt>
                <c:pt idx="2">
                  <c:v>Learn Local (Cat 3)</c:v>
                </c:pt>
                <c:pt idx="3">
                  <c:v>Other education/training providers (Cat 4)</c:v>
                </c:pt>
                <c:pt idx="4">
                  <c:v>Unions (Cat 5)</c:v>
                </c:pt>
                <c:pt idx="5">
                  <c:v>Employers (Cat 6)</c:v>
                </c:pt>
                <c:pt idx="6">
                  <c:v>Local Govt (Cat 7)</c:v>
                </c:pt>
                <c:pt idx="7">
                  <c:v>Other community agencies (Cat 8)</c:v>
                </c:pt>
                <c:pt idx="8">
                  <c:v>Koorie (Cat 9)</c:v>
                </c:pt>
                <c:pt idx="9">
                  <c:v>Community members (Cat 10)</c:v>
                </c:pt>
                <c:pt idx="10">
                  <c:v>Co-optees (Cat 11)</c:v>
                </c:pt>
              </c:strCache>
            </c:strRef>
          </c:cat>
          <c:val>
            <c:numRef>
              <c:f>'CoM- Board'!$B$22:$L$22</c:f>
            </c:numRef>
          </c:val>
        </c:ser>
        <c:ser>
          <c:idx val="21"/>
          <c:order val="21"/>
          <c:tx>
            <c:strRef>
              <c:f>'CoM- Board'!$A$23</c:f>
              <c:strCache>
                <c:ptCount val="1"/>
                <c:pt idx="0">
                  <c:v>NE TRACKS LLEN</c:v>
                </c:pt>
              </c:strCache>
            </c:strRef>
          </c:tx>
          <c:cat>
            <c:strRef>
              <c:f>'CoM- Board'!$B$1:$L$1</c:f>
              <c:strCache>
                <c:ptCount val="11"/>
                <c:pt idx="0">
                  <c:v>Schools (Cat 1)</c:v>
                </c:pt>
                <c:pt idx="1">
                  <c:v>TAFE (Cat 2)</c:v>
                </c:pt>
                <c:pt idx="2">
                  <c:v>Learn Local (Cat 3)</c:v>
                </c:pt>
                <c:pt idx="3">
                  <c:v>Other education/training providers (Cat 4)</c:v>
                </c:pt>
                <c:pt idx="4">
                  <c:v>Unions (Cat 5)</c:v>
                </c:pt>
                <c:pt idx="5">
                  <c:v>Employers (Cat 6)</c:v>
                </c:pt>
                <c:pt idx="6">
                  <c:v>Local Govt (Cat 7)</c:v>
                </c:pt>
                <c:pt idx="7">
                  <c:v>Other community agencies (Cat 8)</c:v>
                </c:pt>
                <c:pt idx="8">
                  <c:v>Koorie (Cat 9)</c:v>
                </c:pt>
                <c:pt idx="9">
                  <c:v>Community members (Cat 10)</c:v>
                </c:pt>
                <c:pt idx="10">
                  <c:v>Co-optees (Cat 11)</c:v>
                </c:pt>
              </c:strCache>
            </c:strRef>
          </c:cat>
          <c:val>
            <c:numRef>
              <c:f>'CoM- Board'!$B$23:$L$23</c:f>
            </c:numRef>
          </c:val>
        </c:ser>
        <c:ser>
          <c:idx val="22"/>
          <c:order val="22"/>
          <c:tx>
            <c:strRef>
              <c:f>'CoM- Board'!$A$24</c:f>
              <c:strCache>
                <c:ptCount val="1"/>
                <c:pt idx="0">
                  <c:v>North Central LLEN</c:v>
                </c:pt>
              </c:strCache>
            </c:strRef>
          </c:tx>
          <c:cat>
            <c:strRef>
              <c:f>'CoM- Board'!$B$1:$L$1</c:f>
              <c:strCache>
                <c:ptCount val="11"/>
                <c:pt idx="0">
                  <c:v>Schools (Cat 1)</c:v>
                </c:pt>
                <c:pt idx="1">
                  <c:v>TAFE (Cat 2)</c:v>
                </c:pt>
                <c:pt idx="2">
                  <c:v>Learn Local (Cat 3)</c:v>
                </c:pt>
                <c:pt idx="3">
                  <c:v>Other education/training providers (Cat 4)</c:v>
                </c:pt>
                <c:pt idx="4">
                  <c:v>Unions (Cat 5)</c:v>
                </c:pt>
                <c:pt idx="5">
                  <c:v>Employers (Cat 6)</c:v>
                </c:pt>
                <c:pt idx="6">
                  <c:v>Local Govt (Cat 7)</c:v>
                </c:pt>
                <c:pt idx="7">
                  <c:v>Other community agencies (Cat 8)</c:v>
                </c:pt>
                <c:pt idx="8">
                  <c:v>Koorie (Cat 9)</c:v>
                </c:pt>
                <c:pt idx="9">
                  <c:v>Community members (Cat 10)</c:v>
                </c:pt>
                <c:pt idx="10">
                  <c:v>Co-optees (Cat 11)</c:v>
                </c:pt>
              </c:strCache>
            </c:strRef>
          </c:cat>
          <c:val>
            <c:numRef>
              <c:f>'CoM- Board'!$B$24:$L$24</c:f>
            </c:numRef>
          </c:val>
        </c:ser>
        <c:ser>
          <c:idx val="23"/>
          <c:order val="23"/>
          <c:tx>
            <c:strRef>
              <c:f>'CoM- Board'!$A$25</c:f>
              <c:strCache>
                <c:ptCount val="1"/>
                <c:pt idx="0">
                  <c:v>North East LLEN</c:v>
                </c:pt>
              </c:strCache>
            </c:strRef>
          </c:tx>
          <c:cat>
            <c:strRef>
              <c:f>'CoM- Board'!$B$1:$L$1</c:f>
              <c:strCache>
                <c:ptCount val="11"/>
                <c:pt idx="0">
                  <c:v>Schools (Cat 1)</c:v>
                </c:pt>
                <c:pt idx="1">
                  <c:v>TAFE (Cat 2)</c:v>
                </c:pt>
                <c:pt idx="2">
                  <c:v>Learn Local (Cat 3)</c:v>
                </c:pt>
                <c:pt idx="3">
                  <c:v>Other education/training providers (Cat 4)</c:v>
                </c:pt>
                <c:pt idx="4">
                  <c:v>Unions (Cat 5)</c:v>
                </c:pt>
                <c:pt idx="5">
                  <c:v>Employers (Cat 6)</c:v>
                </c:pt>
                <c:pt idx="6">
                  <c:v>Local Govt (Cat 7)</c:v>
                </c:pt>
                <c:pt idx="7">
                  <c:v>Other community agencies (Cat 8)</c:v>
                </c:pt>
                <c:pt idx="8">
                  <c:v>Koorie (Cat 9)</c:v>
                </c:pt>
                <c:pt idx="9">
                  <c:v>Community members (Cat 10)</c:v>
                </c:pt>
                <c:pt idx="10">
                  <c:v>Co-optees (Cat 11)</c:v>
                </c:pt>
              </c:strCache>
            </c:strRef>
          </c:cat>
          <c:val>
            <c:numRef>
              <c:f>'CoM- Board'!$B$25:$L$25</c:f>
            </c:numRef>
          </c:val>
        </c:ser>
        <c:ser>
          <c:idx val="24"/>
          <c:order val="24"/>
          <c:tx>
            <c:strRef>
              <c:f>'CoM- Board'!$A$26</c:f>
              <c:strCache>
                <c:ptCount val="1"/>
                <c:pt idx="0">
                  <c:v>Northern Mallee LLEN</c:v>
                </c:pt>
              </c:strCache>
            </c:strRef>
          </c:tx>
          <c:cat>
            <c:strRef>
              <c:f>'CoM- Board'!$B$1:$L$1</c:f>
              <c:strCache>
                <c:ptCount val="11"/>
                <c:pt idx="0">
                  <c:v>Schools (Cat 1)</c:v>
                </c:pt>
                <c:pt idx="1">
                  <c:v>TAFE (Cat 2)</c:v>
                </c:pt>
                <c:pt idx="2">
                  <c:v>Learn Local (Cat 3)</c:v>
                </c:pt>
                <c:pt idx="3">
                  <c:v>Other education/training providers (Cat 4)</c:v>
                </c:pt>
                <c:pt idx="4">
                  <c:v>Unions (Cat 5)</c:v>
                </c:pt>
                <c:pt idx="5">
                  <c:v>Employers (Cat 6)</c:v>
                </c:pt>
                <c:pt idx="6">
                  <c:v>Local Govt (Cat 7)</c:v>
                </c:pt>
                <c:pt idx="7">
                  <c:v>Other community agencies (Cat 8)</c:v>
                </c:pt>
                <c:pt idx="8">
                  <c:v>Koorie (Cat 9)</c:v>
                </c:pt>
                <c:pt idx="9">
                  <c:v>Community members (Cat 10)</c:v>
                </c:pt>
                <c:pt idx="10">
                  <c:v>Co-optees (Cat 11)</c:v>
                </c:pt>
              </c:strCache>
            </c:strRef>
          </c:cat>
          <c:val>
            <c:numRef>
              <c:f>'CoM- Board'!$B$26:$L$26</c:f>
            </c:numRef>
          </c:val>
        </c:ser>
        <c:ser>
          <c:idx val="25"/>
          <c:order val="25"/>
          <c:tx>
            <c:strRef>
              <c:f>'CoM- Board'!$A$27</c:f>
              <c:strCache>
                <c:ptCount val="1"/>
                <c:pt idx="0">
                  <c:v>Outer Eastern LLEN</c:v>
                </c:pt>
              </c:strCache>
            </c:strRef>
          </c:tx>
          <c:cat>
            <c:strRef>
              <c:f>'CoM- Board'!$B$1:$L$1</c:f>
              <c:strCache>
                <c:ptCount val="11"/>
                <c:pt idx="0">
                  <c:v>Schools (Cat 1)</c:v>
                </c:pt>
                <c:pt idx="1">
                  <c:v>TAFE (Cat 2)</c:v>
                </c:pt>
                <c:pt idx="2">
                  <c:v>Learn Local (Cat 3)</c:v>
                </c:pt>
                <c:pt idx="3">
                  <c:v>Other education/training providers (Cat 4)</c:v>
                </c:pt>
                <c:pt idx="4">
                  <c:v>Unions (Cat 5)</c:v>
                </c:pt>
                <c:pt idx="5">
                  <c:v>Employers (Cat 6)</c:v>
                </c:pt>
                <c:pt idx="6">
                  <c:v>Local Govt (Cat 7)</c:v>
                </c:pt>
                <c:pt idx="7">
                  <c:v>Other community agencies (Cat 8)</c:v>
                </c:pt>
                <c:pt idx="8">
                  <c:v>Koorie (Cat 9)</c:v>
                </c:pt>
                <c:pt idx="9">
                  <c:v>Community members (Cat 10)</c:v>
                </c:pt>
                <c:pt idx="10">
                  <c:v>Co-optees (Cat 11)</c:v>
                </c:pt>
              </c:strCache>
            </c:strRef>
          </c:cat>
          <c:val>
            <c:numRef>
              <c:f>'CoM- Board'!$B$27:$L$27</c:f>
            </c:numRef>
          </c:val>
        </c:ser>
        <c:ser>
          <c:idx val="26"/>
          <c:order val="26"/>
          <c:tx>
            <c:strRef>
              <c:f>'CoM- Board'!$A$28</c:f>
              <c:strCache>
                <c:ptCount val="1"/>
                <c:pt idx="0">
                  <c:v>South East LLEN</c:v>
                </c:pt>
              </c:strCache>
            </c:strRef>
          </c:tx>
          <c:cat>
            <c:strRef>
              <c:f>'CoM- Board'!$B$1:$L$1</c:f>
              <c:strCache>
                <c:ptCount val="11"/>
                <c:pt idx="0">
                  <c:v>Schools (Cat 1)</c:v>
                </c:pt>
                <c:pt idx="1">
                  <c:v>TAFE (Cat 2)</c:v>
                </c:pt>
                <c:pt idx="2">
                  <c:v>Learn Local (Cat 3)</c:v>
                </c:pt>
                <c:pt idx="3">
                  <c:v>Other education/training providers (Cat 4)</c:v>
                </c:pt>
                <c:pt idx="4">
                  <c:v>Unions (Cat 5)</c:v>
                </c:pt>
                <c:pt idx="5">
                  <c:v>Employers (Cat 6)</c:v>
                </c:pt>
                <c:pt idx="6">
                  <c:v>Local Govt (Cat 7)</c:v>
                </c:pt>
                <c:pt idx="7">
                  <c:v>Other community agencies (Cat 8)</c:v>
                </c:pt>
                <c:pt idx="8">
                  <c:v>Koorie (Cat 9)</c:v>
                </c:pt>
                <c:pt idx="9">
                  <c:v>Community members (Cat 10)</c:v>
                </c:pt>
                <c:pt idx="10">
                  <c:v>Co-optees (Cat 11)</c:v>
                </c:pt>
              </c:strCache>
            </c:strRef>
          </c:cat>
          <c:val>
            <c:numRef>
              <c:f>'CoM- Board'!$B$28:$L$28</c:f>
            </c:numRef>
          </c:val>
        </c:ser>
        <c:ser>
          <c:idx val="27"/>
          <c:order val="27"/>
          <c:tx>
            <c:strRef>
              <c:f>'CoM- Board'!$A$29</c:f>
              <c:strCache>
                <c:ptCount val="1"/>
                <c:pt idx="0">
                  <c:v>South Gippsland Bass Coast LLEN</c:v>
                </c:pt>
              </c:strCache>
            </c:strRef>
          </c:tx>
          <c:cat>
            <c:strRef>
              <c:f>'CoM- Board'!$B$1:$L$1</c:f>
              <c:strCache>
                <c:ptCount val="11"/>
                <c:pt idx="0">
                  <c:v>Schools (Cat 1)</c:v>
                </c:pt>
                <c:pt idx="1">
                  <c:v>TAFE (Cat 2)</c:v>
                </c:pt>
                <c:pt idx="2">
                  <c:v>Learn Local (Cat 3)</c:v>
                </c:pt>
                <c:pt idx="3">
                  <c:v>Other education/training providers (Cat 4)</c:v>
                </c:pt>
                <c:pt idx="4">
                  <c:v>Unions (Cat 5)</c:v>
                </c:pt>
                <c:pt idx="5">
                  <c:v>Employers (Cat 6)</c:v>
                </c:pt>
                <c:pt idx="6">
                  <c:v>Local Govt (Cat 7)</c:v>
                </c:pt>
                <c:pt idx="7">
                  <c:v>Other community agencies (Cat 8)</c:v>
                </c:pt>
                <c:pt idx="8">
                  <c:v>Koorie (Cat 9)</c:v>
                </c:pt>
                <c:pt idx="9">
                  <c:v>Community members (Cat 10)</c:v>
                </c:pt>
                <c:pt idx="10">
                  <c:v>Co-optees (Cat 11)</c:v>
                </c:pt>
              </c:strCache>
            </c:strRef>
          </c:cat>
          <c:val>
            <c:numRef>
              <c:f>'CoM- Board'!$B$29:$L$29</c:f>
            </c:numRef>
          </c:val>
        </c:ser>
        <c:ser>
          <c:idx val="28"/>
          <c:order val="28"/>
          <c:tx>
            <c:strRef>
              <c:f>'CoM- Board'!$A$30</c:f>
              <c:strCache>
                <c:ptCount val="1"/>
                <c:pt idx="0">
                  <c:v>South West LLEN</c:v>
                </c:pt>
              </c:strCache>
            </c:strRef>
          </c:tx>
          <c:cat>
            <c:strRef>
              <c:f>'CoM- Board'!$B$1:$L$1</c:f>
              <c:strCache>
                <c:ptCount val="11"/>
                <c:pt idx="0">
                  <c:v>Schools (Cat 1)</c:v>
                </c:pt>
                <c:pt idx="1">
                  <c:v>TAFE (Cat 2)</c:v>
                </c:pt>
                <c:pt idx="2">
                  <c:v>Learn Local (Cat 3)</c:v>
                </c:pt>
                <c:pt idx="3">
                  <c:v>Other education/training providers (Cat 4)</c:v>
                </c:pt>
                <c:pt idx="4">
                  <c:v>Unions (Cat 5)</c:v>
                </c:pt>
                <c:pt idx="5">
                  <c:v>Employers (Cat 6)</c:v>
                </c:pt>
                <c:pt idx="6">
                  <c:v>Local Govt (Cat 7)</c:v>
                </c:pt>
                <c:pt idx="7">
                  <c:v>Other community agencies (Cat 8)</c:v>
                </c:pt>
                <c:pt idx="8">
                  <c:v>Koorie (Cat 9)</c:v>
                </c:pt>
                <c:pt idx="9">
                  <c:v>Community members (Cat 10)</c:v>
                </c:pt>
                <c:pt idx="10">
                  <c:v>Co-optees (Cat 11)</c:v>
                </c:pt>
              </c:strCache>
            </c:strRef>
          </c:cat>
          <c:val>
            <c:numRef>
              <c:f>'CoM- Board'!$B$30:$L$30</c:f>
            </c:numRef>
          </c:val>
        </c:ser>
        <c:ser>
          <c:idx val="29"/>
          <c:order val="29"/>
          <c:tx>
            <c:strRef>
              <c:f>'CoM- Board'!$A$31</c:f>
              <c:strCache>
                <c:ptCount val="1"/>
                <c:pt idx="0">
                  <c:v>Wimmera Southern Mallee LLEN</c:v>
                </c:pt>
              </c:strCache>
            </c:strRef>
          </c:tx>
          <c:cat>
            <c:strRef>
              <c:f>'CoM- Board'!$B$1:$L$1</c:f>
              <c:strCache>
                <c:ptCount val="11"/>
                <c:pt idx="0">
                  <c:v>Schools (Cat 1)</c:v>
                </c:pt>
                <c:pt idx="1">
                  <c:v>TAFE (Cat 2)</c:v>
                </c:pt>
                <c:pt idx="2">
                  <c:v>Learn Local (Cat 3)</c:v>
                </c:pt>
                <c:pt idx="3">
                  <c:v>Other education/training providers (Cat 4)</c:v>
                </c:pt>
                <c:pt idx="4">
                  <c:v>Unions (Cat 5)</c:v>
                </c:pt>
                <c:pt idx="5">
                  <c:v>Employers (Cat 6)</c:v>
                </c:pt>
                <c:pt idx="6">
                  <c:v>Local Govt (Cat 7)</c:v>
                </c:pt>
                <c:pt idx="7">
                  <c:v>Other community agencies (Cat 8)</c:v>
                </c:pt>
                <c:pt idx="8">
                  <c:v>Koorie (Cat 9)</c:v>
                </c:pt>
                <c:pt idx="9">
                  <c:v>Community members (Cat 10)</c:v>
                </c:pt>
                <c:pt idx="10">
                  <c:v>Co-optees (Cat 11)</c:v>
                </c:pt>
              </c:strCache>
            </c:strRef>
          </c:cat>
          <c:val>
            <c:numRef>
              <c:f>'CoM- Board'!$B$31:$L$31</c:f>
            </c:numRef>
          </c:val>
        </c:ser>
        <c:ser>
          <c:idx val="30"/>
          <c:order val="30"/>
          <c:tx>
            <c:strRef>
              <c:f>'CoM- Board'!$A$32</c:f>
              <c:strCache>
                <c:ptCount val="1"/>
                <c:pt idx="0">
                  <c:v>WynBay LLEN</c:v>
                </c:pt>
              </c:strCache>
            </c:strRef>
          </c:tx>
          <c:cat>
            <c:strRef>
              <c:f>'CoM- Board'!$B$1:$L$1</c:f>
              <c:strCache>
                <c:ptCount val="11"/>
                <c:pt idx="0">
                  <c:v>Schools (Cat 1)</c:v>
                </c:pt>
                <c:pt idx="1">
                  <c:v>TAFE (Cat 2)</c:v>
                </c:pt>
                <c:pt idx="2">
                  <c:v>Learn Local (Cat 3)</c:v>
                </c:pt>
                <c:pt idx="3">
                  <c:v>Other education/training providers (Cat 4)</c:v>
                </c:pt>
                <c:pt idx="4">
                  <c:v>Unions (Cat 5)</c:v>
                </c:pt>
                <c:pt idx="5">
                  <c:v>Employers (Cat 6)</c:v>
                </c:pt>
                <c:pt idx="6">
                  <c:v>Local Govt (Cat 7)</c:v>
                </c:pt>
                <c:pt idx="7">
                  <c:v>Other community agencies (Cat 8)</c:v>
                </c:pt>
                <c:pt idx="8">
                  <c:v>Koorie (Cat 9)</c:v>
                </c:pt>
                <c:pt idx="9">
                  <c:v>Community members (Cat 10)</c:v>
                </c:pt>
                <c:pt idx="10">
                  <c:v>Co-optees (Cat 11)</c:v>
                </c:pt>
              </c:strCache>
            </c:strRef>
          </c:cat>
          <c:val>
            <c:numRef>
              <c:f>'CoM- Board'!$B$32:$L$32</c:f>
            </c:numRef>
          </c:val>
        </c:ser>
        <c:ser>
          <c:idx val="31"/>
          <c:order val="31"/>
          <c:tx>
            <c:strRef>
              <c:f>'CoM- Board'!$A$33</c:f>
              <c:strCache>
                <c:ptCount val="1"/>
                <c:pt idx="0">
                  <c:v>Total</c:v>
                </c:pt>
              </c:strCache>
            </c:strRef>
          </c:tx>
          <c:explosion val="3"/>
          <c:dLbls>
            <c:dLblPos val="inEnd"/>
            <c:showLegendKey val="0"/>
            <c:showVal val="1"/>
            <c:showCatName val="0"/>
            <c:showSerName val="0"/>
            <c:showPercent val="1"/>
            <c:showBubbleSize val="0"/>
            <c:separator>
</c:separator>
            <c:showLeaderLines val="1"/>
          </c:dLbls>
          <c:cat>
            <c:strRef>
              <c:f>'CoM- Board'!$B$1:$L$1</c:f>
              <c:strCache>
                <c:ptCount val="11"/>
                <c:pt idx="0">
                  <c:v>Schools (Cat 1)</c:v>
                </c:pt>
                <c:pt idx="1">
                  <c:v>TAFE (Cat 2)</c:v>
                </c:pt>
                <c:pt idx="2">
                  <c:v>Learn Local (Cat 3)</c:v>
                </c:pt>
                <c:pt idx="3">
                  <c:v>Other education/training providers (Cat 4)</c:v>
                </c:pt>
                <c:pt idx="4">
                  <c:v>Unions (Cat 5)</c:v>
                </c:pt>
                <c:pt idx="5">
                  <c:v>Employers (Cat 6)</c:v>
                </c:pt>
                <c:pt idx="6">
                  <c:v>Local Govt (Cat 7)</c:v>
                </c:pt>
                <c:pt idx="7">
                  <c:v>Other community agencies (Cat 8)</c:v>
                </c:pt>
                <c:pt idx="8">
                  <c:v>Koorie (Cat 9)</c:v>
                </c:pt>
                <c:pt idx="9">
                  <c:v>Community members (Cat 10)</c:v>
                </c:pt>
                <c:pt idx="10">
                  <c:v>Co-optees (Cat 11)</c:v>
                </c:pt>
              </c:strCache>
            </c:strRef>
          </c:cat>
          <c:val>
            <c:numRef>
              <c:f>'CoM- Board'!$B$33:$L$33</c:f>
              <c:numCache>
                <c:formatCode>0</c:formatCode>
                <c:ptCount val="11"/>
                <c:pt idx="0">
                  <c:v>81</c:v>
                </c:pt>
                <c:pt idx="1">
                  <c:v>37</c:v>
                </c:pt>
                <c:pt idx="2">
                  <c:v>25</c:v>
                </c:pt>
                <c:pt idx="3">
                  <c:v>40</c:v>
                </c:pt>
                <c:pt idx="4">
                  <c:v>16</c:v>
                </c:pt>
                <c:pt idx="5">
                  <c:v>67</c:v>
                </c:pt>
                <c:pt idx="6">
                  <c:v>61</c:v>
                </c:pt>
                <c:pt idx="7">
                  <c:v>51</c:v>
                </c:pt>
                <c:pt idx="8">
                  <c:v>17</c:v>
                </c:pt>
                <c:pt idx="9">
                  <c:v>34</c:v>
                </c:pt>
                <c:pt idx="10">
                  <c:v>36</c:v>
                </c:pt>
              </c:numCache>
            </c:numRef>
          </c:val>
        </c:ser>
        <c:dLbls>
          <c:showLegendKey val="0"/>
          <c:showVal val="0"/>
          <c:showCatName val="0"/>
          <c:showSerName val="0"/>
          <c:showPercent val="0"/>
          <c:showBubbleSize val="0"/>
          <c:showLeaderLines val="1"/>
        </c:dLbls>
        <c:firstSliceAng val="0"/>
      </c:pieChart>
    </c:plotArea>
    <c:legend>
      <c:legendPos val="r"/>
      <c:layout>
        <c:manualLayout>
          <c:xMode val="edge"/>
          <c:yMode val="edge"/>
          <c:x val="0.64076766751153957"/>
          <c:y val="0.17481792578308109"/>
          <c:w val="0.35733569929612508"/>
          <c:h val="0.80907963706859976"/>
        </c:manualLayout>
      </c:layout>
      <c:overlay val="0"/>
      <c:txPr>
        <a:bodyPr/>
        <a:lstStyle/>
        <a:p>
          <a:pPr>
            <a:defRPr sz="1000" b="1"/>
          </a:pPr>
          <a:endParaRPr lang="en-US"/>
        </a:p>
      </c:txPr>
    </c:legend>
    <c:plotVisOnly val="1"/>
    <c:dispBlanksAs val="gap"/>
    <c:showDLblsOverMax val="0"/>
  </c:chart>
  <c:externalData r:id="rId2">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18"/>
    </mc:Choice>
    <mc:Fallback>
      <c:style val="18"/>
    </mc:Fallback>
  </mc:AlternateContent>
  <c:chart>
    <c:title>
      <c:tx>
        <c:rich>
          <a:bodyPr/>
          <a:lstStyle/>
          <a:p>
            <a:pPr>
              <a:defRPr sz="1400"/>
            </a:pPr>
            <a:r>
              <a:rPr lang="en-AU" sz="1400"/>
              <a:t>% of total Indigenous participants by state</a:t>
            </a:r>
          </a:p>
        </c:rich>
      </c:tx>
      <c:layout/>
      <c:overlay val="0"/>
    </c:title>
    <c:autoTitleDeleted val="0"/>
    <c:plotArea>
      <c:layout/>
      <c:pieChart>
        <c:varyColors val="1"/>
        <c:ser>
          <c:idx val="0"/>
          <c:order val="0"/>
          <c:dPt>
            <c:idx val="0"/>
            <c:bubble3D val="0"/>
          </c:dPt>
          <c:dPt>
            <c:idx val="1"/>
            <c:bubble3D val="0"/>
          </c:dPt>
          <c:dPt>
            <c:idx val="2"/>
            <c:bubble3D val="0"/>
          </c:dPt>
          <c:dPt>
            <c:idx val="6"/>
            <c:bubble3D val="0"/>
            <c:explosion val="20"/>
          </c:dPt>
          <c:dLbls>
            <c:dLbl>
              <c:idx val="0"/>
              <c:layout>
                <c:manualLayout>
                  <c:x val="1.9497594050743656E-2"/>
                  <c:y val="2.5753864100320795E-2"/>
                </c:manualLayout>
              </c:layout>
              <c:showLegendKey val="0"/>
              <c:showVal val="0"/>
              <c:showCatName val="1"/>
              <c:showSerName val="0"/>
              <c:showPercent val="1"/>
              <c:showBubbleSize val="0"/>
            </c:dLbl>
            <c:showLegendKey val="0"/>
            <c:showVal val="0"/>
            <c:showCatName val="1"/>
            <c:showSerName val="0"/>
            <c:showPercent val="1"/>
            <c:showBubbleSize val="0"/>
            <c:showLeaderLines val="1"/>
          </c:dLbls>
          <c:cat>
            <c:strRef>
              <c:f>Indigenous!$A$3:$A$11</c:f>
              <c:strCache>
                <c:ptCount val="9"/>
                <c:pt idx="0">
                  <c:v>ACT</c:v>
                </c:pt>
                <c:pt idx="1">
                  <c:v>NSW</c:v>
                </c:pt>
                <c:pt idx="2">
                  <c:v>NT</c:v>
                </c:pt>
                <c:pt idx="3">
                  <c:v>QLD</c:v>
                </c:pt>
                <c:pt idx="4">
                  <c:v>SA</c:v>
                </c:pt>
                <c:pt idx="5">
                  <c:v>TAS</c:v>
                </c:pt>
                <c:pt idx="6">
                  <c:v>VIC</c:v>
                </c:pt>
                <c:pt idx="7">
                  <c:v>WA</c:v>
                </c:pt>
                <c:pt idx="8">
                  <c:v>National</c:v>
                </c:pt>
              </c:strCache>
            </c:strRef>
          </c:cat>
          <c:val>
            <c:numRef>
              <c:f>Indigenous!$E$3:$E$10</c:f>
              <c:numCache>
                <c:formatCode>0%</c:formatCode>
                <c:ptCount val="8"/>
                <c:pt idx="0">
                  <c:v>8.8511725522401677E-3</c:v>
                </c:pt>
                <c:pt idx="1">
                  <c:v>0.43963865316178485</c:v>
                </c:pt>
                <c:pt idx="2">
                  <c:v>8.0938041792134319E-2</c:v>
                </c:pt>
                <c:pt idx="3">
                  <c:v>0.20850442558627613</c:v>
                </c:pt>
                <c:pt idx="4">
                  <c:v>4.45296103659093E-2</c:v>
                </c:pt>
                <c:pt idx="5">
                  <c:v>1.7884843507619309E-2</c:v>
                </c:pt>
                <c:pt idx="6">
                  <c:v>6.7980655169267268E-2</c:v>
                </c:pt>
                <c:pt idx="7">
                  <c:v>0.13167259786476868</c:v>
                </c:pt>
              </c:numCache>
            </c:numRef>
          </c:val>
        </c:ser>
        <c:dLbls>
          <c:showLegendKey val="0"/>
          <c:showVal val="0"/>
          <c:showCatName val="1"/>
          <c:showSerName val="0"/>
          <c:showPercent val="1"/>
          <c:showBubbleSize val="0"/>
          <c:showLeaderLines val="1"/>
        </c:dLbls>
        <c:firstSliceAng val="0"/>
      </c:pieChart>
    </c:plotArea>
    <c:plotVisOnly val="1"/>
    <c:dispBlanksAs val="gap"/>
    <c:showDLblsOverMax val="0"/>
  </c:chart>
  <c:externalData r:id="rId1">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18"/>
    </mc:Choice>
    <mc:Fallback>
      <c:style val="18"/>
    </mc:Fallback>
  </mc:AlternateContent>
  <c:chart>
    <c:title>
      <c:tx>
        <c:rich>
          <a:bodyPr/>
          <a:lstStyle/>
          <a:p>
            <a:pPr>
              <a:defRPr sz="1400"/>
            </a:pPr>
            <a:r>
              <a:rPr lang="en-AU" sz="1400"/>
              <a:t>% of caseload that is Indigenous by state</a:t>
            </a:r>
          </a:p>
        </c:rich>
      </c:tx>
      <c:layout/>
      <c:overlay val="0"/>
    </c:title>
    <c:autoTitleDeleted val="0"/>
    <c:plotArea>
      <c:layout/>
      <c:barChart>
        <c:barDir val="bar"/>
        <c:grouping val="clustered"/>
        <c:varyColors val="0"/>
        <c:ser>
          <c:idx val="0"/>
          <c:order val="0"/>
          <c:tx>
            <c:strRef>
              <c:f>Indigenous!$C$2</c:f>
              <c:strCache>
                <c:ptCount val="1"/>
                <c:pt idx="0">
                  <c:v>% of caseload that is Indigenous</c:v>
                </c:pt>
              </c:strCache>
            </c:strRef>
          </c:tx>
          <c:invertIfNegative val="0"/>
          <c:dLbls>
            <c:showLegendKey val="0"/>
            <c:showVal val="1"/>
            <c:showCatName val="0"/>
            <c:showSerName val="0"/>
            <c:showPercent val="0"/>
            <c:showBubbleSize val="0"/>
            <c:showLeaderLines val="0"/>
          </c:dLbls>
          <c:cat>
            <c:strRef>
              <c:f>Indigenous!$A$3:$A$11</c:f>
              <c:strCache>
                <c:ptCount val="9"/>
                <c:pt idx="0">
                  <c:v>ACT</c:v>
                </c:pt>
                <c:pt idx="1">
                  <c:v>NSW</c:v>
                </c:pt>
                <c:pt idx="2">
                  <c:v>NT</c:v>
                </c:pt>
                <c:pt idx="3">
                  <c:v>QLD</c:v>
                </c:pt>
                <c:pt idx="4">
                  <c:v>SA</c:v>
                </c:pt>
                <c:pt idx="5">
                  <c:v>TAS</c:v>
                </c:pt>
                <c:pt idx="6">
                  <c:v>VIC</c:v>
                </c:pt>
                <c:pt idx="7">
                  <c:v>WA</c:v>
                </c:pt>
                <c:pt idx="8">
                  <c:v>National</c:v>
                </c:pt>
              </c:strCache>
            </c:strRef>
          </c:cat>
          <c:val>
            <c:numRef>
              <c:f>Indigenous!$C$3:$C$11</c:f>
              <c:numCache>
                <c:formatCode>0%</c:formatCode>
                <c:ptCount val="9"/>
                <c:pt idx="0">
                  <c:v>0.11200923787528869</c:v>
                </c:pt>
                <c:pt idx="1">
                  <c:v>0.22505605381165919</c:v>
                </c:pt>
                <c:pt idx="2">
                  <c:v>0.77130434782608692</c:v>
                </c:pt>
                <c:pt idx="3">
                  <c:v>0.2115544856957689</c:v>
                </c:pt>
                <c:pt idx="4">
                  <c:v>0.14386792452830188</c:v>
                </c:pt>
                <c:pt idx="5">
                  <c:v>0.11951219512195121</c:v>
                </c:pt>
                <c:pt idx="6">
                  <c:v>5.7000765110941085E-2</c:v>
                </c:pt>
                <c:pt idx="7">
                  <c:v>0.23675143560295325</c:v>
                </c:pt>
                <c:pt idx="8">
                  <c:v>0.18758344459279039</c:v>
                </c:pt>
              </c:numCache>
            </c:numRef>
          </c:val>
        </c:ser>
        <c:dLbls>
          <c:showLegendKey val="0"/>
          <c:showVal val="0"/>
          <c:showCatName val="0"/>
          <c:showSerName val="0"/>
          <c:showPercent val="0"/>
          <c:showBubbleSize val="0"/>
        </c:dLbls>
        <c:gapWidth val="150"/>
        <c:axId val="171174144"/>
        <c:axId val="171175936"/>
      </c:barChart>
      <c:catAx>
        <c:axId val="171174144"/>
        <c:scaling>
          <c:orientation val="minMax"/>
        </c:scaling>
        <c:delete val="0"/>
        <c:axPos val="l"/>
        <c:majorTickMark val="out"/>
        <c:minorTickMark val="none"/>
        <c:tickLblPos val="nextTo"/>
        <c:crossAx val="171175936"/>
        <c:crosses val="autoZero"/>
        <c:auto val="1"/>
        <c:lblAlgn val="ctr"/>
        <c:lblOffset val="100"/>
        <c:noMultiLvlLbl val="0"/>
      </c:catAx>
      <c:valAx>
        <c:axId val="171175936"/>
        <c:scaling>
          <c:orientation val="minMax"/>
        </c:scaling>
        <c:delete val="0"/>
        <c:axPos val="b"/>
        <c:majorGridlines/>
        <c:numFmt formatCode="0%" sourceLinked="1"/>
        <c:majorTickMark val="out"/>
        <c:minorTickMark val="none"/>
        <c:tickLblPos val="nextTo"/>
        <c:crossAx val="171174144"/>
        <c:crosses val="autoZero"/>
        <c:crossBetween val="between"/>
      </c:valAx>
    </c:plotArea>
    <c:plotVisOnly val="1"/>
    <c:dispBlanksAs val="gap"/>
    <c:showDLblsOverMax val="0"/>
  </c:chart>
  <c:externalData r:id="rId1">
    <c:autoUpdate val="0"/>
  </c:externalData>
</c:chartSpace>
</file>

<file path=word/charts/chart22.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18"/>
    </mc:Choice>
    <mc:Fallback>
      <c:style val="18"/>
    </mc:Fallback>
  </mc:AlternateContent>
  <c:chart>
    <c:title>
      <c:tx>
        <c:rich>
          <a:bodyPr/>
          <a:lstStyle/>
          <a:p>
            <a:pPr>
              <a:defRPr sz="1400"/>
            </a:pPr>
            <a:r>
              <a:rPr lang="en-AU" sz="1400"/>
              <a:t>% of </a:t>
            </a:r>
            <a:r>
              <a:rPr lang="en-AU" sz="1400" b="1" i="0" u="none" strike="noStrike" baseline="0">
                <a:effectLst/>
              </a:rPr>
              <a:t>Humanitarian Refugee </a:t>
            </a:r>
            <a:r>
              <a:rPr lang="en-AU" sz="1400"/>
              <a:t> participants by state</a:t>
            </a:r>
          </a:p>
        </c:rich>
      </c:tx>
      <c:layout/>
      <c:overlay val="0"/>
    </c:title>
    <c:autoTitleDeleted val="0"/>
    <c:plotArea>
      <c:layout/>
      <c:pieChart>
        <c:varyColors val="1"/>
        <c:ser>
          <c:idx val="0"/>
          <c:order val="0"/>
          <c:dPt>
            <c:idx val="0"/>
            <c:bubble3D val="0"/>
          </c:dPt>
          <c:dPt>
            <c:idx val="1"/>
            <c:bubble3D val="0"/>
          </c:dPt>
          <c:dPt>
            <c:idx val="2"/>
            <c:bubble3D val="0"/>
          </c:dPt>
          <c:dPt>
            <c:idx val="6"/>
            <c:bubble3D val="0"/>
            <c:explosion val="12"/>
          </c:dPt>
          <c:dLbls>
            <c:dLbl>
              <c:idx val="0"/>
              <c:layout>
                <c:manualLayout>
                  <c:x val="2.5739215395130487E-2"/>
                  <c:y val="1.6494604841061512E-2"/>
                </c:manualLayout>
              </c:layout>
              <c:showLegendKey val="0"/>
              <c:showVal val="0"/>
              <c:showCatName val="1"/>
              <c:showSerName val="0"/>
              <c:showPercent val="1"/>
              <c:showBubbleSize val="0"/>
            </c:dLbl>
            <c:showLegendKey val="0"/>
            <c:showVal val="0"/>
            <c:showCatName val="1"/>
            <c:showSerName val="0"/>
            <c:showPercent val="1"/>
            <c:showBubbleSize val="0"/>
            <c:showLeaderLines val="1"/>
          </c:dLbls>
          <c:cat>
            <c:strRef>
              <c:f>'Humanitarian Refugee'!$A$3:$A$11</c:f>
              <c:strCache>
                <c:ptCount val="9"/>
                <c:pt idx="0">
                  <c:v>ACT</c:v>
                </c:pt>
                <c:pt idx="1">
                  <c:v>NSW</c:v>
                </c:pt>
                <c:pt idx="2">
                  <c:v>NT</c:v>
                </c:pt>
                <c:pt idx="3">
                  <c:v>QLD</c:v>
                </c:pt>
                <c:pt idx="4">
                  <c:v>SA</c:v>
                </c:pt>
                <c:pt idx="5">
                  <c:v>TAS</c:v>
                </c:pt>
                <c:pt idx="6">
                  <c:v>VIC</c:v>
                </c:pt>
                <c:pt idx="7">
                  <c:v>WA</c:v>
                </c:pt>
                <c:pt idx="8">
                  <c:v>National</c:v>
                </c:pt>
              </c:strCache>
            </c:strRef>
          </c:cat>
          <c:val>
            <c:numRef>
              <c:f>'Humanitarian Refugee'!$E$3:$E$10</c:f>
              <c:numCache>
                <c:formatCode>0%</c:formatCode>
                <c:ptCount val="8"/>
                <c:pt idx="0">
                  <c:v>3.6995515695067267E-2</c:v>
                </c:pt>
                <c:pt idx="1">
                  <c:v>0.27690582959641258</c:v>
                </c:pt>
                <c:pt idx="2">
                  <c:v>4.4843049327354259E-3</c:v>
                </c:pt>
                <c:pt idx="3">
                  <c:v>9.417040358744394E-2</c:v>
                </c:pt>
                <c:pt idx="4">
                  <c:v>5.4932735426008968E-2</c:v>
                </c:pt>
                <c:pt idx="5">
                  <c:v>3.2511210762331835E-2</c:v>
                </c:pt>
                <c:pt idx="6">
                  <c:v>0.4282511210762332</c:v>
                </c:pt>
                <c:pt idx="7">
                  <c:v>7.1748878923766815E-2</c:v>
                </c:pt>
              </c:numCache>
            </c:numRef>
          </c:val>
        </c:ser>
        <c:dLbls>
          <c:showLegendKey val="0"/>
          <c:showVal val="0"/>
          <c:showCatName val="1"/>
          <c:showSerName val="0"/>
          <c:showPercent val="1"/>
          <c:showBubbleSize val="0"/>
          <c:showLeaderLines val="1"/>
        </c:dLbls>
        <c:firstSliceAng val="0"/>
      </c:pieChart>
    </c:plotArea>
    <c:plotVisOnly val="1"/>
    <c:dispBlanksAs val="gap"/>
    <c:showDLblsOverMax val="0"/>
  </c:chart>
  <c:externalData r:id="rId1">
    <c:autoUpdate val="0"/>
  </c:externalData>
</c:chartSpace>
</file>

<file path=word/charts/chart23.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18"/>
    </mc:Choice>
    <mc:Fallback>
      <c:style val="18"/>
    </mc:Fallback>
  </mc:AlternateContent>
  <c:chart>
    <c:title>
      <c:tx>
        <c:rich>
          <a:bodyPr/>
          <a:lstStyle/>
          <a:p>
            <a:pPr>
              <a:defRPr sz="1400"/>
            </a:pPr>
            <a:r>
              <a:rPr lang="en-AU" sz="1400"/>
              <a:t>% of caseload that is Humanitarian</a:t>
            </a:r>
            <a:r>
              <a:rPr lang="en-AU" sz="1400" baseline="0"/>
              <a:t> Refugee </a:t>
            </a:r>
            <a:r>
              <a:rPr lang="en-AU" sz="1400"/>
              <a:t>by state</a:t>
            </a:r>
          </a:p>
        </c:rich>
      </c:tx>
      <c:layout/>
      <c:overlay val="0"/>
    </c:title>
    <c:autoTitleDeleted val="0"/>
    <c:plotArea>
      <c:layout/>
      <c:barChart>
        <c:barDir val="bar"/>
        <c:grouping val="clustered"/>
        <c:varyColors val="0"/>
        <c:ser>
          <c:idx val="0"/>
          <c:order val="0"/>
          <c:tx>
            <c:strRef>
              <c:f>'Humanitarian Refugee'!$C$2</c:f>
              <c:strCache>
                <c:ptCount val="1"/>
                <c:pt idx="0">
                  <c:v>% of caseload that is Indigenous</c:v>
                </c:pt>
              </c:strCache>
            </c:strRef>
          </c:tx>
          <c:invertIfNegative val="0"/>
          <c:dLbls>
            <c:showLegendKey val="0"/>
            <c:showVal val="1"/>
            <c:showCatName val="0"/>
            <c:showSerName val="0"/>
            <c:showPercent val="0"/>
            <c:showBubbleSize val="0"/>
            <c:showLeaderLines val="0"/>
          </c:dLbls>
          <c:cat>
            <c:strRef>
              <c:f>'Humanitarian Refugee'!$A$3:$A$11</c:f>
              <c:strCache>
                <c:ptCount val="9"/>
                <c:pt idx="0">
                  <c:v>ACT</c:v>
                </c:pt>
                <c:pt idx="1">
                  <c:v>NSW</c:v>
                </c:pt>
                <c:pt idx="2">
                  <c:v>NT</c:v>
                </c:pt>
                <c:pt idx="3">
                  <c:v>QLD</c:v>
                </c:pt>
                <c:pt idx="4">
                  <c:v>SA</c:v>
                </c:pt>
                <c:pt idx="5">
                  <c:v>TAS</c:v>
                </c:pt>
                <c:pt idx="6">
                  <c:v>VIC</c:v>
                </c:pt>
                <c:pt idx="7">
                  <c:v>WA</c:v>
                </c:pt>
                <c:pt idx="8">
                  <c:v>National</c:v>
                </c:pt>
              </c:strCache>
            </c:strRef>
          </c:cat>
          <c:val>
            <c:numRef>
              <c:f>'Humanitarian Refugee'!$C$3:$C$11</c:f>
              <c:numCache>
                <c:formatCode>0%</c:formatCode>
                <c:ptCount val="9"/>
                <c:pt idx="0">
                  <c:v>3.8106235565819858E-2</c:v>
                </c:pt>
                <c:pt idx="1">
                  <c:v>1.1537742899850522E-2</c:v>
                </c:pt>
                <c:pt idx="2">
                  <c:v>3.4782608695652175E-3</c:v>
                </c:pt>
                <c:pt idx="3">
                  <c:v>7.7770576798444589E-3</c:v>
                </c:pt>
                <c:pt idx="4">
                  <c:v>1.4445754716981132E-2</c:v>
                </c:pt>
                <c:pt idx="5">
                  <c:v>1.7682926829268291E-2</c:v>
                </c:pt>
                <c:pt idx="6">
                  <c:v>2.9227237949502678E-2</c:v>
                </c:pt>
                <c:pt idx="7">
                  <c:v>1.0500410172272354E-2</c:v>
                </c:pt>
                <c:pt idx="8">
                  <c:v>1.5268220875697512E-2</c:v>
                </c:pt>
              </c:numCache>
            </c:numRef>
          </c:val>
        </c:ser>
        <c:dLbls>
          <c:showLegendKey val="0"/>
          <c:showVal val="0"/>
          <c:showCatName val="0"/>
          <c:showSerName val="0"/>
          <c:showPercent val="0"/>
          <c:showBubbleSize val="0"/>
        </c:dLbls>
        <c:gapWidth val="150"/>
        <c:axId val="171255296"/>
        <c:axId val="171256832"/>
      </c:barChart>
      <c:catAx>
        <c:axId val="171255296"/>
        <c:scaling>
          <c:orientation val="minMax"/>
        </c:scaling>
        <c:delete val="0"/>
        <c:axPos val="l"/>
        <c:majorTickMark val="out"/>
        <c:minorTickMark val="none"/>
        <c:tickLblPos val="nextTo"/>
        <c:crossAx val="171256832"/>
        <c:crosses val="autoZero"/>
        <c:auto val="1"/>
        <c:lblAlgn val="ctr"/>
        <c:lblOffset val="100"/>
        <c:noMultiLvlLbl val="0"/>
      </c:catAx>
      <c:valAx>
        <c:axId val="171256832"/>
        <c:scaling>
          <c:orientation val="minMax"/>
        </c:scaling>
        <c:delete val="0"/>
        <c:axPos val="b"/>
        <c:majorGridlines/>
        <c:numFmt formatCode="0%" sourceLinked="1"/>
        <c:majorTickMark val="out"/>
        <c:minorTickMark val="none"/>
        <c:tickLblPos val="nextTo"/>
        <c:crossAx val="171255296"/>
        <c:crosses val="autoZero"/>
        <c:crossBetween val="between"/>
      </c:valAx>
    </c:plotArea>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en-US"/>
              <a:t>2012 LLEN Partnerships by Stakeholder Category </a:t>
            </a:r>
          </a:p>
        </c:rich>
      </c:tx>
      <c:layout/>
      <c:overlay val="0"/>
    </c:title>
    <c:autoTitleDeleted val="0"/>
    <c:plotArea>
      <c:layout/>
      <c:pieChart>
        <c:varyColors val="1"/>
        <c:ser>
          <c:idx val="0"/>
          <c:order val="0"/>
          <c:tx>
            <c:strRef>
              <c:f>Partnerships!$A$3</c:f>
              <c:strCache>
                <c:ptCount val="1"/>
                <c:pt idx="0">
                  <c:v>Banyule Nillumbik LLEN</c:v>
                </c:pt>
              </c:strCache>
            </c:strRef>
          </c:tx>
          <c:cat>
            <c:strRef>
              <c:f>Partnerships!$B$2:$E$2</c:f>
              <c:strCache>
                <c:ptCount val="4"/>
                <c:pt idx="0">
                  <c:v>Education and Training</c:v>
                </c:pt>
                <c:pt idx="1">
                  <c:v>Business and industry</c:v>
                </c:pt>
                <c:pt idx="2">
                  <c:v>Community</c:v>
                </c:pt>
                <c:pt idx="3">
                  <c:v>Parents and family</c:v>
                </c:pt>
              </c:strCache>
            </c:strRef>
          </c:cat>
          <c:val>
            <c:numRef>
              <c:f>Partnerships!$B$3:$E$3</c:f>
            </c:numRef>
          </c:val>
        </c:ser>
        <c:ser>
          <c:idx val="1"/>
          <c:order val="1"/>
          <c:tx>
            <c:strRef>
              <c:f>Partnerships!$A$4</c:f>
              <c:strCache>
                <c:ptCount val="1"/>
                <c:pt idx="0">
                  <c:v>Baw Baw Latrobe LLEN</c:v>
                </c:pt>
              </c:strCache>
            </c:strRef>
          </c:tx>
          <c:cat>
            <c:strRef>
              <c:f>Partnerships!$B$2:$E$2</c:f>
              <c:strCache>
                <c:ptCount val="4"/>
                <c:pt idx="0">
                  <c:v>Education and Training</c:v>
                </c:pt>
                <c:pt idx="1">
                  <c:v>Business and industry</c:v>
                </c:pt>
                <c:pt idx="2">
                  <c:v>Community</c:v>
                </c:pt>
                <c:pt idx="3">
                  <c:v>Parents and family</c:v>
                </c:pt>
              </c:strCache>
            </c:strRef>
          </c:cat>
          <c:val>
            <c:numRef>
              <c:f>Partnerships!$B$4:$E$4</c:f>
            </c:numRef>
          </c:val>
        </c:ser>
        <c:ser>
          <c:idx val="2"/>
          <c:order val="2"/>
          <c:tx>
            <c:strRef>
              <c:f>Partnerships!$A$5</c:f>
              <c:strCache>
                <c:ptCount val="1"/>
                <c:pt idx="0">
                  <c:v>Bayside Glen Eira Kingston (BGK) LLEN</c:v>
                </c:pt>
              </c:strCache>
            </c:strRef>
          </c:tx>
          <c:cat>
            <c:strRef>
              <c:f>Partnerships!$B$2:$E$2</c:f>
              <c:strCache>
                <c:ptCount val="4"/>
                <c:pt idx="0">
                  <c:v>Education and Training</c:v>
                </c:pt>
                <c:pt idx="1">
                  <c:v>Business and industry</c:v>
                </c:pt>
                <c:pt idx="2">
                  <c:v>Community</c:v>
                </c:pt>
                <c:pt idx="3">
                  <c:v>Parents and family</c:v>
                </c:pt>
              </c:strCache>
            </c:strRef>
          </c:cat>
          <c:val>
            <c:numRef>
              <c:f>Partnerships!$B$5:$E$5</c:f>
            </c:numRef>
          </c:val>
        </c:ser>
        <c:ser>
          <c:idx val="3"/>
          <c:order val="3"/>
          <c:tx>
            <c:strRef>
              <c:f>Partnerships!$A$6</c:f>
              <c:strCache>
                <c:ptCount val="1"/>
                <c:pt idx="0">
                  <c:v>Brimbank Melton LLEN</c:v>
                </c:pt>
              </c:strCache>
            </c:strRef>
          </c:tx>
          <c:cat>
            <c:strRef>
              <c:f>Partnerships!$B$2:$E$2</c:f>
              <c:strCache>
                <c:ptCount val="4"/>
                <c:pt idx="0">
                  <c:v>Education and Training</c:v>
                </c:pt>
                <c:pt idx="1">
                  <c:v>Business and industry</c:v>
                </c:pt>
                <c:pt idx="2">
                  <c:v>Community</c:v>
                </c:pt>
                <c:pt idx="3">
                  <c:v>Parents and family</c:v>
                </c:pt>
              </c:strCache>
            </c:strRef>
          </c:cat>
          <c:val>
            <c:numRef>
              <c:f>Partnerships!$B$6:$E$6</c:f>
            </c:numRef>
          </c:val>
        </c:ser>
        <c:ser>
          <c:idx val="4"/>
          <c:order val="4"/>
          <c:tx>
            <c:strRef>
              <c:f>Partnerships!$A$7</c:f>
              <c:strCache>
                <c:ptCount val="1"/>
                <c:pt idx="0">
                  <c:v>Campaspe Cohuna LLEN</c:v>
                </c:pt>
              </c:strCache>
            </c:strRef>
          </c:tx>
          <c:cat>
            <c:strRef>
              <c:f>Partnerships!$B$2:$E$2</c:f>
              <c:strCache>
                <c:ptCount val="4"/>
                <c:pt idx="0">
                  <c:v>Education and Training</c:v>
                </c:pt>
                <c:pt idx="1">
                  <c:v>Business and industry</c:v>
                </c:pt>
                <c:pt idx="2">
                  <c:v>Community</c:v>
                </c:pt>
                <c:pt idx="3">
                  <c:v>Parents and family</c:v>
                </c:pt>
              </c:strCache>
            </c:strRef>
          </c:cat>
          <c:val>
            <c:numRef>
              <c:f>Partnerships!$B$7:$E$7</c:f>
            </c:numRef>
          </c:val>
        </c:ser>
        <c:ser>
          <c:idx val="5"/>
          <c:order val="5"/>
          <c:tx>
            <c:strRef>
              <c:f>Partnerships!$A$8</c:f>
              <c:strCache>
                <c:ptCount val="1"/>
                <c:pt idx="0">
                  <c:v>Capital City LLEN</c:v>
                </c:pt>
              </c:strCache>
            </c:strRef>
          </c:tx>
          <c:cat>
            <c:strRef>
              <c:f>Partnerships!$B$2:$E$2</c:f>
              <c:strCache>
                <c:ptCount val="4"/>
                <c:pt idx="0">
                  <c:v>Education and Training</c:v>
                </c:pt>
                <c:pt idx="1">
                  <c:v>Business and industry</c:v>
                </c:pt>
                <c:pt idx="2">
                  <c:v>Community</c:v>
                </c:pt>
                <c:pt idx="3">
                  <c:v>Parents and family</c:v>
                </c:pt>
              </c:strCache>
            </c:strRef>
          </c:cat>
          <c:val>
            <c:numRef>
              <c:f>Partnerships!$B$8:$E$8</c:f>
            </c:numRef>
          </c:val>
        </c:ser>
        <c:ser>
          <c:idx val="6"/>
          <c:order val="6"/>
          <c:tx>
            <c:strRef>
              <c:f>Partnerships!$A$9</c:f>
              <c:strCache>
                <c:ptCount val="1"/>
                <c:pt idx="0">
                  <c:v>Central Grampians LLEN</c:v>
                </c:pt>
              </c:strCache>
            </c:strRef>
          </c:tx>
          <c:cat>
            <c:strRef>
              <c:f>Partnerships!$B$2:$E$2</c:f>
              <c:strCache>
                <c:ptCount val="4"/>
                <c:pt idx="0">
                  <c:v>Education and Training</c:v>
                </c:pt>
                <c:pt idx="1">
                  <c:v>Business and industry</c:v>
                </c:pt>
                <c:pt idx="2">
                  <c:v>Community</c:v>
                </c:pt>
                <c:pt idx="3">
                  <c:v>Parents and family</c:v>
                </c:pt>
              </c:strCache>
            </c:strRef>
          </c:cat>
          <c:val>
            <c:numRef>
              <c:f>Partnerships!$B$9:$E$9</c:f>
            </c:numRef>
          </c:val>
        </c:ser>
        <c:ser>
          <c:idx val="7"/>
          <c:order val="7"/>
          <c:tx>
            <c:strRef>
              <c:f>Partnerships!$A$10</c:f>
              <c:strCache>
                <c:ptCount val="1"/>
                <c:pt idx="0">
                  <c:v>Central Ranges LLEN</c:v>
                </c:pt>
              </c:strCache>
            </c:strRef>
          </c:tx>
          <c:cat>
            <c:strRef>
              <c:f>Partnerships!$B$2:$E$2</c:f>
              <c:strCache>
                <c:ptCount val="4"/>
                <c:pt idx="0">
                  <c:v>Education and Training</c:v>
                </c:pt>
                <c:pt idx="1">
                  <c:v>Business and industry</c:v>
                </c:pt>
                <c:pt idx="2">
                  <c:v>Community</c:v>
                </c:pt>
                <c:pt idx="3">
                  <c:v>Parents and family</c:v>
                </c:pt>
              </c:strCache>
            </c:strRef>
          </c:cat>
          <c:val>
            <c:numRef>
              <c:f>Partnerships!$B$10:$E$10</c:f>
            </c:numRef>
          </c:val>
        </c:ser>
        <c:ser>
          <c:idx val="8"/>
          <c:order val="8"/>
          <c:tx>
            <c:strRef>
              <c:f>Partnerships!$A$11</c:f>
              <c:strCache>
                <c:ptCount val="1"/>
                <c:pt idx="0">
                  <c:v>Frankston Mornington Peninsula LLEN</c:v>
                </c:pt>
              </c:strCache>
            </c:strRef>
          </c:tx>
          <c:cat>
            <c:strRef>
              <c:f>Partnerships!$B$2:$E$2</c:f>
              <c:strCache>
                <c:ptCount val="4"/>
                <c:pt idx="0">
                  <c:v>Education and Training</c:v>
                </c:pt>
                <c:pt idx="1">
                  <c:v>Business and industry</c:v>
                </c:pt>
                <c:pt idx="2">
                  <c:v>Community</c:v>
                </c:pt>
                <c:pt idx="3">
                  <c:v>Parents and family</c:v>
                </c:pt>
              </c:strCache>
            </c:strRef>
          </c:cat>
          <c:val>
            <c:numRef>
              <c:f>Partnerships!$B$11:$E$11</c:f>
            </c:numRef>
          </c:val>
        </c:ser>
        <c:ser>
          <c:idx val="9"/>
          <c:order val="9"/>
          <c:tx>
            <c:strRef>
              <c:f>Partnerships!$A$12</c:f>
              <c:strCache>
                <c:ptCount val="1"/>
                <c:pt idx="0">
                  <c:v>Gateway LLEN</c:v>
                </c:pt>
              </c:strCache>
            </c:strRef>
          </c:tx>
          <c:cat>
            <c:strRef>
              <c:f>Partnerships!$B$2:$E$2</c:f>
              <c:strCache>
                <c:ptCount val="4"/>
                <c:pt idx="0">
                  <c:v>Education and Training</c:v>
                </c:pt>
                <c:pt idx="1">
                  <c:v>Business and industry</c:v>
                </c:pt>
                <c:pt idx="2">
                  <c:v>Community</c:v>
                </c:pt>
                <c:pt idx="3">
                  <c:v>Parents and family</c:v>
                </c:pt>
              </c:strCache>
            </c:strRef>
          </c:cat>
          <c:val>
            <c:numRef>
              <c:f>Partnerships!$B$12:$E$12</c:f>
            </c:numRef>
          </c:val>
        </c:ser>
        <c:ser>
          <c:idx val="10"/>
          <c:order val="10"/>
          <c:tx>
            <c:strRef>
              <c:f>Partnerships!$A$13</c:f>
              <c:strCache>
                <c:ptCount val="1"/>
                <c:pt idx="0">
                  <c:v>Gippsland East LLEN</c:v>
                </c:pt>
              </c:strCache>
            </c:strRef>
          </c:tx>
          <c:cat>
            <c:strRef>
              <c:f>Partnerships!$B$2:$E$2</c:f>
              <c:strCache>
                <c:ptCount val="4"/>
                <c:pt idx="0">
                  <c:v>Education and Training</c:v>
                </c:pt>
                <c:pt idx="1">
                  <c:v>Business and industry</c:v>
                </c:pt>
                <c:pt idx="2">
                  <c:v>Community</c:v>
                </c:pt>
                <c:pt idx="3">
                  <c:v>Parents and family</c:v>
                </c:pt>
              </c:strCache>
            </c:strRef>
          </c:cat>
          <c:val>
            <c:numRef>
              <c:f>Partnerships!$B$13:$E$13</c:f>
            </c:numRef>
          </c:val>
        </c:ser>
        <c:ser>
          <c:idx val="11"/>
          <c:order val="11"/>
          <c:tx>
            <c:strRef>
              <c:f>Partnerships!$A$14</c:f>
              <c:strCache>
                <c:ptCount val="1"/>
                <c:pt idx="0">
                  <c:v>Glenelg and Southern Grampians LLEN</c:v>
                </c:pt>
              </c:strCache>
            </c:strRef>
          </c:tx>
          <c:cat>
            <c:strRef>
              <c:f>Partnerships!$B$2:$E$2</c:f>
              <c:strCache>
                <c:ptCount val="4"/>
                <c:pt idx="0">
                  <c:v>Education and Training</c:v>
                </c:pt>
                <c:pt idx="1">
                  <c:v>Business and industry</c:v>
                </c:pt>
                <c:pt idx="2">
                  <c:v>Community</c:v>
                </c:pt>
                <c:pt idx="3">
                  <c:v>Parents and family</c:v>
                </c:pt>
              </c:strCache>
            </c:strRef>
          </c:cat>
          <c:val>
            <c:numRef>
              <c:f>Partnerships!$B$14:$E$14</c:f>
            </c:numRef>
          </c:val>
        </c:ser>
        <c:ser>
          <c:idx val="12"/>
          <c:order val="12"/>
          <c:tx>
            <c:strRef>
              <c:f>Partnerships!$A$15</c:f>
              <c:strCache>
                <c:ptCount val="1"/>
                <c:pt idx="0">
                  <c:v>Goldfields LLEN</c:v>
                </c:pt>
              </c:strCache>
            </c:strRef>
          </c:tx>
          <c:cat>
            <c:strRef>
              <c:f>Partnerships!$B$2:$E$2</c:f>
              <c:strCache>
                <c:ptCount val="4"/>
                <c:pt idx="0">
                  <c:v>Education and Training</c:v>
                </c:pt>
                <c:pt idx="1">
                  <c:v>Business and industry</c:v>
                </c:pt>
                <c:pt idx="2">
                  <c:v>Community</c:v>
                </c:pt>
                <c:pt idx="3">
                  <c:v>Parents and family</c:v>
                </c:pt>
              </c:strCache>
            </c:strRef>
          </c:cat>
          <c:val>
            <c:numRef>
              <c:f>Partnerships!$B$15:$E$15</c:f>
            </c:numRef>
          </c:val>
        </c:ser>
        <c:ser>
          <c:idx val="13"/>
          <c:order val="13"/>
          <c:tx>
            <c:strRef>
              <c:f>Partnerships!$A$16</c:f>
              <c:strCache>
                <c:ptCount val="1"/>
                <c:pt idx="0">
                  <c:v>Goulburn Murray LLEN</c:v>
                </c:pt>
              </c:strCache>
            </c:strRef>
          </c:tx>
          <c:cat>
            <c:strRef>
              <c:f>Partnerships!$B$2:$E$2</c:f>
              <c:strCache>
                <c:ptCount val="4"/>
                <c:pt idx="0">
                  <c:v>Education and Training</c:v>
                </c:pt>
                <c:pt idx="1">
                  <c:v>Business and industry</c:v>
                </c:pt>
                <c:pt idx="2">
                  <c:v>Community</c:v>
                </c:pt>
                <c:pt idx="3">
                  <c:v>Parents and family</c:v>
                </c:pt>
              </c:strCache>
            </c:strRef>
          </c:cat>
          <c:val>
            <c:numRef>
              <c:f>Partnerships!$B$16:$E$16</c:f>
            </c:numRef>
          </c:val>
        </c:ser>
        <c:ser>
          <c:idx val="14"/>
          <c:order val="14"/>
          <c:tx>
            <c:strRef>
              <c:f>Partnerships!$A$17</c:f>
              <c:strCache>
                <c:ptCount val="1"/>
                <c:pt idx="0">
                  <c:v>Highlands LLEN</c:v>
                </c:pt>
              </c:strCache>
            </c:strRef>
          </c:tx>
          <c:cat>
            <c:strRef>
              <c:f>Partnerships!$B$2:$E$2</c:f>
              <c:strCache>
                <c:ptCount val="4"/>
                <c:pt idx="0">
                  <c:v>Education and Training</c:v>
                </c:pt>
                <c:pt idx="1">
                  <c:v>Business and industry</c:v>
                </c:pt>
                <c:pt idx="2">
                  <c:v>Community</c:v>
                </c:pt>
                <c:pt idx="3">
                  <c:v>Parents and family</c:v>
                </c:pt>
              </c:strCache>
            </c:strRef>
          </c:cat>
          <c:val>
            <c:numRef>
              <c:f>Partnerships!$B$17:$E$17</c:f>
            </c:numRef>
          </c:val>
        </c:ser>
        <c:ser>
          <c:idx val="15"/>
          <c:order val="15"/>
          <c:tx>
            <c:strRef>
              <c:f>Partnerships!$A$18</c:f>
              <c:strCache>
                <c:ptCount val="1"/>
                <c:pt idx="0">
                  <c:v>Hume Whittlesea LLEN</c:v>
                </c:pt>
              </c:strCache>
            </c:strRef>
          </c:tx>
          <c:cat>
            <c:strRef>
              <c:f>Partnerships!$B$2:$E$2</c:f>
              <c:strCache>
                <c:ptCount val="4"/>
                <c:pt idx="0">
                  <c:v>Education and Training</c:v>
                </c:pt>
                <c:pt idx="1">
                  <c:v>Business and industry</c:v>
                </c:pt>
                <c:pt idx="2">
                  <c:v>Community</c:v>
                </c:pt>
                <c:pt idx="3">
                  <c:v>Parents and family</c:v>
                </c:pt>
              </c:strCache>
            </c:strRef>
          </c:cat>
          <c:val>
            <c:numRef>
              <c:f>Partnerships!$B$18:$E$18</c:f>
            </c:numRef>
          </c:val>
        </c:ser>
        <c:ser>
          <c:idx val="16"/>
          <c:order val="16"/>
          <c:tx>
            <c:strRef>
              <c:f>Partnerships!$A$19</c:f>
              <c:strCache>
                <c:ptCount val="1"/>
                <c:pt idx="0">
                  <c:v>Inner Eastern LLEN</c:v>
                </c:pt>
              </c:strCache>
            </c:strRef>
          </c:tx>
          <c:cat>
            <c:strRef>
              <c:f>Partnerships!$B$2:$E$2</c:f>
              <c:strCache>
                <c:ptCount val="4"/>
                <c:pt idx="0">
                  <c:v>Education and Training</c:v>
                </c:pt>
                <c:pt idx="1">
                  <c:v>Business and industry</c:v>
                </c:pt>
                <c:pt idx="2">
                  <c:v>Community</c:v>
                </c:pt>
                <c:pt idx="3">
                  <c:v>Parents and family</c:v>
                </c:pt>
              </c:strCache>
            </c:strRef>
          </c:cat>
          <c:val>
            <c:numRef>
              <c:f>Partnerships!$B$19:$E$19</c:f>
            </c:numRef>
          </c:val>
        </c:ser>
        <c:ser>
          <c:idx val="17"/>
          <c:order val="17"/>
          <c:tx>
            <c:strRef>
              <c:f>Partnerships!$A$20</c:f>
              <c:strCache>
                <c:ptCount val="1"/>
                <c:pt idx="0">
                  <c:v>Inner Northern LLEN</c:v>
                </c:pt>
              </c:strCache>
            </c:strRef>
          </c:tx>
          <c:cat>
            <c:strRef>
              <c:f>Partnerships!$B$2:$E$2</c:f>
              <c:strCache>
                <c:ptCount val="4"/>
                <c:pt idx="0">
                  <c:v>Education and Training</c:v>
                </c:pt>
                <c:pt idx="1">
                  <c:v>Business and industry</c:v>
                </c:pt>
                <c:pt idx="2">
                  <c:v>Community</c:v>
                </c:pt>
                <c:pt idx="3">
                  <c:v>Parents and family</c:v>
                </c:pt>
              </c:strCache>
            </c:strRef>
          </c:cat>
          <c:val>
            <c:numRef>
              <c:f>Partnerships!$B$20:$E$20</c:f>
            </c:numRef>
          </c:val>
        </c:ser>
        <c:ser>
          <c:idx val="18"/>
          <c:order val="18"/>
          <c:tx>
            <c:strRef>
              <c:f>Partnerships!$A$21</c:f>
              <c:strCache>
                <c:ptCount val="1"/>
                <c:pt idx="0">
                  <c:v>Maribyrnong &amp; Moonee Valley LLEN</c:v>
                </c:pt>
              </c:strCache>
            </c:strRef>
          </c:tx>
          <c:cat>
            <c:strRef>
              <c:f>Partnerships!$B$2:$E$2</c:f>
              <c:strCache>
                <c:ptCount val="4"/>
                <c:pt idx="0">
                  <c:v>Education and Training</c:v>
                </c:pt>
                <c:pt idx="1">
                  <c:v>Business and industry</c:v>
                </c:pt>
                <c:pt idx="2">
                  <c:v>Community</c:v>
                </c:pt>
                <c:pt idx="3">
                  <c:v>Parents and family</c:v>
                </c:pt>
              </c:strCache>
            </c:strRef>
          </c:cat>
          <c:val>
            <c:numRef>
              <c:f>Partnerships!$B$21:$E$21</c:f>
            </c:numRef>
          </c:val>
        </c:ser>
        <c:ser>
          <c:idx val="19"/>
          <c:order val="19"/>
          <c:tx>
            <c:strRef>
              <c:f>Partnerships!$A$22</c:f>
              <c:strCache>
                <c:ptCount val="1"/>
                <c:pt idx="0">
                  <c:v>Murray Mallee LLEN</c:v>
                </c:pt>
              </c:strCache>
            </c:strRef>
          </c:tx>
          <c:cat>
            <c:strRef>
              <c:f>Partnerships!$B$2:$E$2</c:f>
              <c:strCache>
                <c:ptCount val="4"/>
                <c:pt idx="0">
                  <c:v>Education and Training</c:v>
                </c:pt>
                <c:pt idx="1">
                  <c:v>Business and industry</c:v>
                </c:pt>
                <c:pt idx="2">
                  <c:v>Community</c:v>
                </c:pt>
                <c:pt idx="3">
                  <c:v>Parents and family</c:v>
                </c:pt>
              </c:strCache>
            </c:strRef>
          </c:cat>
          <c:val>
            <c:numRef>
              <c:f>Partnerships!$B$22:$E$22</c:f>
            </c:numRef>
          </c:val>
        </c:ser>
        <c:ser>
          <c:idx val="20"/>
          <c:order val="20"/>
          <c:tx>
            <c:strRef>
              <c:f>Partnerships!$A$23</c:f>
              <c:strCache>
                <c:ptCount val="1"/>
                <c:pt idx="0">
                  <c:v>NE TRACKS LLEN</c:v>
                </c:pt>
              </c:strCache>
            </c:strRef>
          </c:tx>
          <c:cat>
            <c:strRef>
              <c:f>Partnerships!$B$2:$E$2</c:f>
              <c:strCache>
                <c:ptCount val="4"/>
                <c:pt idx="0">
                  <c:v>Education and Training</c:v>
                </c:pt>
                <c:pt idx="1">
                  <c:v>Business and industry</c:v>
                </c:pt>
                <c:pt idx="2">
                  <c:v>Community</c:v>
                </c:pt>
                <c:pt idx="3">
                  <c:v>Parents and family</c:v>
                </c:pt>
              </c:strCache>
            </c:strRef>
          </c:cat>
          <c:val>
            <c:numRef>
              <c:f>Partnerships!$B$23:$E$23</c:f>
            </c:numRef>
          </c:val>
        </c:ser>
        <c:ser>
          <c:idx val="21"/>
          <c:order val="21"/>
          <c:tx>
            <c:strRef>
              <c:f>Partnerships!$A$24</c:f>
              <c:strCache>
                <c:ptCount val="1"/>
                <c:pt idx="0">
                  <c:v>North Central LLEN</c:v>
                </c:pt>
              </c:strCache>
            </c:strRef>
          </c:tx>
          <c:cat>
            <c:strRef>
              <c:f>Partnerships!$B$2:$E$2</c:f>
              <c:strCache>
                <c:ptCount val="4"/>
                <c:pt idx="0">
                  <c:v>Education and Training</c:v>
                </c:pt>
                <c:pt idx="1">
                  <c:v>Business and industry</c:v>
                </c:pt>
                <c:pt idx="2">
                  <c:v>Community</c:v>
                </c:pt>
                <c:pt idx="3">
                  <c:v>Parents and family</c:v>
                </c:pt>
              </c:strCache>
            </c:strRef>
          </c:cat>
          <c:val>
            <c:numRef>
              <c:f>Partnerships!$B$24:$E$24</c:f>
            </c:numRef>
          </c:val>
        </c:ser>
        <c:ser>
          <c:idx val="22"/>
          <c:order val="22"/>
          <c:tx>
            <c:strRef>
              <c:f>Partnerships!$A$25</c:f>
              <c:strCache>
                <c:ptCount val="1"/>
                <c:pt idx="0">
                  <c:v>North East LLEN</c:v>
                </c:pt>
              </c:strCache>
            </c:strRef>
          </c:tx>
          <c:cat>
            <c:strRef>
              <c:f>Partnerships!$B$2:$E$2</c:f>
              <c:strCache>
                <c:ptCount val="4"/>
                <c:pt idx="0">
                  <c:v>Education and Training</c:v>
                </c:pt>
                <c:pt idx="1">
                  <c:v>Business and industry</c:v>
                </c:pt>
                <c:pt idx="2">
                  <c:v>Community</c:v>
                </c:pt>
                <c:pt idx="3">
                  <c:v>Parents and family</c:v>
                </c:pt>
              </c:strCache>
            </c:strRef>
          </c:cat>
          <c:val>
            <c:numRef>
              <c:f>Partnerships!$B$25:$E$25</c:f>
            </c:numRef>
          </c:val>
        </c:ser>
        <c:ser>
          <c:idx val="23"/>
          <c:order val="23"/>
          <c:tx>
            <c:strRef>
              <c:f>Partnerships!$A$26</c:f>
              <c:strCache>
                <c:ptCount val="1"/>
                <c:pt idx="0">
                  <c:v>Northern Mallee LLEN</c:v>
                </c:pt>
              </c:strCache>
            </c:strRef>
          </c:tx>
          <c:cat>
            <c:strRef>
              <c:f>Partnerships!$B$2:$E$2</c:f>
              <c:strCache>
                <c:ptCount val="4"/>
                <c:pt idx="0">
                  <c:v>Education and Training</c:v>
                </c:pt>
                <c:pt idx="1">
                  <c:v>Business and industry</c:v>
                </c:pt>
                <c:pt idx="2">
                  <c:v>Community</c:v>
                </c:pt>
                <c:pt idx="3">
                  <c:v>Parents and family</c:v>
                </c:pt>
              </c:strCache>
            </c:strRef>
          </c:cat>
          <c:val>
            <c:numRef>
              <c:f>Partnerships!$B$26:$E$26</c:f>
            </c:numRef>
          </c:val>
        </c:ser>
        <c:ser>
          <c:idx val="24"/>
          <c:order val="24"/>
          <c:tx>
            <c:strRef>
              <c:f>Partnerships!$A$27</c:f>
              <c:strCache>
                <c:ptCount val="1"/>
                <c:pt idx="0">
                  <c:v>Outer Eastern LLEN</c:v>
                </c:pt>
              </c:strCache>
            </c:strRef>
          </c:tx>
          <c:cat>
            <c:strRef>
              <c:f>Partnerships!$B$2:$E$2</c:f>
              <c:strCache>
                <c:ptCount val="4"/>
                <c:pt idx="0">
                  <c:v>Education and Training</c:v>
                </c:pt>
                <c:pt idx="1">
                  <c:v>Business and industry</c:v>
                </c:pt>
                <c:pt idx="2">
                  <c:v>Community</c:v>
                </c:pt>
                <c:pt idx="3">
                  <c:v>Parents and family</c:v>
                </c:pt>
              </c:strCache>
            </c:strRef>
          </c:cat>
          <c:val>
            <c:numRef>
              <c:f>Partnerships!$B$27:$E$27</c:f>
            </c:numRef>
          </c:val>
        </c:ser>
        <c:ser>
          <c:idx val="25"/>
          <c:order val="25"/>
          <c:tx>
            <c:strRef>
              <c:f>Partnerships!$A$28</c:f>
              <c:strCache>
                <c:ptCount val="1"/>
                <c:pt idx="0">
                  <c:v> Geelong Region LLEN</c:v>
                </c:pt>
              </c:strCache>
            </c:strRef>
          </c:tx>
          <c:cat>
            <c:strRef>
              <c:f>Partnerships!$B$2:$E$2</c:f>
              <c:strCache>
                <c:ptCount val="4"/>
                <c:pt idx="0">
                  <c:v>Education and Training</c:v>
                </c:pt>
                <c:pt idx="1">
                  <c:v>Business and industry</c:v>
                </c:pt>
                <c:pt idx="2">
                  <c:v>Community</c:v>
                </c:pt>
                <c:pt idx="3">
                  <c:v>Parents and family</c:v>
                </c:pt>
              </c:strCache>
            </c:strRef>
          </c:cat>
          <c:val>
            <c:numRef>
              <c:f>Partnerships!$B$28:$E$28</c:f>
            </c:numRef>
          </c:val>
        </c:ser>
        <c:ser>
          <c:idx val="26"/>
          <c:order val="26"/>
          <c:tx>
            <c:strRef>
              <c:f>Partnerships!$A$29</c:f>
              <c:strCache>
                <c:ptCount val="1"/>
                <c:pt idx="0">
                  <c:v>South East LLEN</c:v>
                </c:pt>
              </c:strCache>
            </c:strRef>
          </c:tx>
          <c:cat>
            <c:strRef>
              <c:f>Partnerships!$B$2:$E$2</c:f>
              <c:strCache>
                <c:ptCount val="4"/>
                <c:pt idx="0">
                  <c:v>Education and Training</c:v>
                </c:pt>
                <c:pt idx="1">
                  <c:v>Business and industry</c:v>
                </c:pt>
                <c:pt idx="2">
                  <c:v>Community</c:v>
                </c:pt>
                <c:pt idx="3">
                  <c:v>Parents and family</c:v>
                </c:pt>
              </c:strCache>
            </c:strRef>
          </c:cat>
          <c:val>
            <c:numRef>
              <c:f>Partnerships!$B$29:$E$29</c:f>
            </c:numRef>
          </c:val>
        </c:ser>
        <c:ser>
          <c:idx val="27"/>
          <c:order val="27"/>
          <c:tx>
            <c:strRef>
              <c:f>Partnerships!$A$30</c:f>
              <c:strCache>
                <c:ptCount val="1"/>
                <c:pt idx="0">
                  <c:v>South Gippsland Bass Coast LLEN</c:v>
                </c:pt>
              </c:strCache>
            </c:strRef>
          </c:tx>
          <c:cat>
            <c:strRef>
              <c:f>Partnerships!$B$2:$E$2</c:f>
              <c:strCache>
                <c:ptCount val="4"/>
                <c:pt idx="0">
                  <c:v>Education and Training</c:v>
                </c:pt>
                <c:pt idx="1">
                  <c:v>Business and industry</c:v>
                </c:pt>
                <c:pt idx="2">
                  <c:v>Community</c:v>
                </c:pt>
                <c:pt idx="3">
                  <c:v>Parents and family</c:v>
                </c:pt>
              </c:strCache>
            </c:strRef>
          </c:cat>
          <c:val>
            <c:numRef>
              <c:f>Partnerships!$B$30:$E$30</c:f>
            </c:numRef>
          </c:val>
        </c:ser>
        <c:ser>
          <c:idx val="28"/>
          <c:order val="28"/>
          <c:tx>
            <c:strRef>
              <c:f>Partnerships!$A$31</c:f>
              <c:strCache>
                <c:ptCount val="1"/>
                <c:pt idx="0">
                  <c:v>South West LLEN</c:v>
                </c:pt>
              </c:strCache>
            </c:strRef>
          </c:tx>
          <c:cat>
            <c:strRef>
              <c:f>Partnerships!$B$2:$E$2</c:f>
              <c:strCache>
                <c:ptCount val="4"/>
                <c:pt idx="0">
                  <c:v>Education and Training</c:v>
                </c:pt>
                <c:pt idx="1">
                  <c:v>Business and industry</c:v>
                </c:pt>
                <c:pt idx="2">
                  <c:v>Community</c:v>
                </c:pt>
                <c:pt idx="3">
                  <c:v>Parents and family</c:v>
                </c:pt>
              </c:strCache>
            </c:strRef>
          </c:cat>
          <c:val>
            <c:numRef>
              <c:f>Partnerships!$B$31:$E$31</c:f>
            </c:numRef>
          </c:val>
        </c:ser>
        <c:ser>
          <c:idx val="29"/>
          <c:order val="29"/>
          <c:tx>
            <c:strRef>
              <c:f>Partnerships!$A$32</c:f>
              <c:strCache>
                <c:ptCount val="1"/>
                <c:pt idx="0">
                  <c:v>Wimmera Southern Mallee LLEN</c:v>
                </c:pt>
              </c:strCache>
            </c:strRef>
          </c:tx>
          <c:cat>
            <c:strRef>
              <c:f>Partnerships!$B$2:$E$2</c:f>
              <c:strCache>
                <c:ptCount val="4"/>
                <c:pt idx="0">
                  <c:v>Education and Training</c:v>
                </c:pt>
                <c:pt idx="1">
                  <c:v>Business and industry</c:v>
                </c:pt>
                <c:pt idx="2">
                  <c:v>Community</c:v>
                </c:pt>
                <c:pt idx="3">
                  <c:v>Parents and family</c:v>
                </c:pt>
              </c:strCache>
            </c:strRef>
          </c:cat>
          <c:val>
            <c:numRef>
              <c:f>Partnerships!$B$32:$E$32</c:f>
            </c:numRef>
          </c:val>
        </c:ser>
        <c:ser>
          <c:idx val="30"/>
          <c:order val="30"/>
          <c:tx>
            <c:strRef>
              <c:f>Partnerships!$A$33</c:f>
              <c:strCache>
                <c:ptCount val="1"/>
                <c:pt idx="0">
                  <c:v>WynBay LLEN</c:v>
                </c:pt>
              </c:strCache>
            </c:strRef>
          </c:tx>
          <c:cat>
            <c:strRef>
              <c:f>Partnerships!$B$2:$E$2</c:f>
              <c:strCache>
                <c:ptCount val="4"/>
                <c:pt idx="0">
                  <c:v>Education and Training</c:v>
                </c:pt>
                <c:pt idx="1">
                  <c:v>Business and industry</c:v>
                </c:pt>
                <c:pt idx="2">
                  <c:v>Community</c:v>
                </c:pt>
                <c:pt idx="3">
                  <c:v>Parents and family</c:v>
                </c:pt>
              </c:strCache>
            </c:strRef>
          </c:cat>
          <c:val>
            <c:numRef>
              <c:f>Partnerships!$B$33:$E$33</c:f>
            </c:numRef>
          </c:val>
        </c:ser>
        <c:ser>
          <c:idx val="31"/>
          <c:order val="31"/>
          <c:tx>
            <c:strRef>
              <c:f>Partnerships!$A$34</c:f>
              <c:strCache>
                <c:ptCount val="1"/>
                <c:pt idx="0">
                  <c:v>TOTAL </c:v>
                </c:pt>
              </c:strCache>
            </c:strRef>
          </c:tx>
          <c:dLbls>
            <c:showLegendKey val="1"/>
            <c:showVal val="1"/>
            <c:showCatName val="0"/>
            <c:showSerName val="0"/>
            <c:showPercent val="1"/>
            <c:showBubbleSize val="0"/>
            <c:separator>
</c:separator>
            <c:showLeaderLines val="1"/>
          </c:dLbls>
          <c:cat>
            <c:strRef>
              <c:f>Partnerships!$B$2:$E$2</c:f>
              <c:strCache>
                <c:ptCount val="4"/>
                <c:pt idx="0">
                  <c:v>Education and Training</c:v>
                </c:pt>
                <c:pt idx="1">
                  <c:v>Business and industry</c:v>
                </c:pt>
                <c:pt idx="2">
                  <c:v>Community</c:v>
                </c:pt>
                <c:pt idx="3">
                  <c:v>Parents and family</c:v>
                </c:pt>
              </c:strCache>
            </c:strRef>
          </c:cat>
          <c:val>
            <c:numRef>
              <c:f>Partnerships!$B$34:$E$34</c:f>
              <c:numCache>
                <c:formatCode>General</c:formatCode>
                <c:ptCount val="4"/>
                <c:pt idx="0">
                  <c:v>386</c:v>
                </c:pt>
                <c:pt idx="1">
                  <c:v>209</c:v>
                </c:pt>
                <c:pt idx="2">
                  <c:v>303</c:v>
                </c:pt>
                <c:pt idx="3">
                  <c:v>106</c:v>
                </c:pt>
              </c:numCache>
            </c:numRef>
          </c:val>
        </c:ser>
        <c:dLbls>
          <c:showLegendKey val="0"/>
          <c:showVal val="0"/>
          <c:showCatName val="0"/>
          <c:showSerName val="0"/>
          <c:showPercent val="0"/>
          <c:showBubbleSize val="0"/>
          <c:showLeaderLines val="1"/>
        </c:dLbls>
        <c:firstSliceAng val="0"/>
      </c:pieChart>
    </c:plotArea>
    <c:legend>
      <c:legendPos val="r"/>
      <c:layout>
        <c:manualLayout>
          <c:xMode val="edge"/>
          <c:yMode val="edge"/>
          <c:x val="0.67707436046345948"/>
          <c:y val="0.46513464014515726"/>
          <c:w val="0.30794997499142635"/>
          <c:h val="0.32499245743229749"/>
        </c:manualLayout>
      </c:layout>
      <c:overlay val="0"/>
      <c:txPr>
        <a:bodyPr/>
        <a:lstStyle/>
        <a:p>
          <a:pPr>
            <a:defRPr b="1"/>
          </a:pPr>
          <a:endParaRPr lang="en-US"/>
        </a:p>
      </c:txPr>
    </c:legend>
    <c:plotVisOnly val="1"/>
    <c:dispBlanksAs val="gap"/>
    <c:showDLblsOverMax val="0"/>
  </c:chart>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18"/>
    </mc:Choice>
    <mc:Fallback>
      <c:style val="18"/>
    </mc:Fallback>
  </mc:AlternateContent>
  <c:chart>
    <c:title>
      <c:tx>
        <c:rich>
          <a:bodyPr/>
          <a:lstStyle/>
          <a:p>
            <a:pPr>
              <a:defRPr/>
            </a:pPr>
            <a:r>
              <a:rPr lang="en-US"/>
              <a:t>VIC - Age of Participants</a:t>
            </a:r>
          </a:p>
        </c:rich>
      </c:tx>
      <c:layout/>
      <c:overlay val="0"/>
    </c:title>
    <c:autoTitleDeleted val="0"/>
    <c:plotArea>
      <c:layout/>
      <c:barChart>
        <c:barDir val="col"/>
        <c:grouping val="clustered"/>
        <c:varyColors val="0"/>
        <c:ser>
          <c:idx val="0"/>
          <c:order val="0"/>
          <c:tx>
            <c:strRef>
              <c:f>'Age profile'!$I$3:$I$4</c:f>
              <c:strCache>
                <c:ptCount val="1"/>
                <c:pt idx="0">
                  <c:v>VIC - Age of Participants % Total</c:v>
                </c:pt>
              </c:strCache>
            </c:strRef>
          </c:tx>
          <c:invertIfNegative val="0"/>
          <c:dLbls>
            <c:showLegendKey val="0"/>
            <c:showVal val="1"/>
            <c:showCatName val="0"/>
            <c:showSerName val="0"/>
            <c:showPercent val="0"/>
            <c:showBubbleSize val="0"/>
            <c:showLeaderLines val="0"/>
          </c:dLbls>
          <c:cat>
            <c:numRef>
              <c:f>'Age profile'!$A$5:$A$22</c:f>
              <c:numCache>
                <c:formatCode>General</c:formatCode>
                <c:ptCount val="18"/>
                <c:pt idx="0">
                  <c:v>8</c:v>
                </c:pt>
                <c:pt idx="1">
                  <c:v>9</c:v>
                </c:pt>
                <c:pt idx="2">
                  <c:v>10</c:v>
                </c:pt>
                <c:pt idx="3">
                  <c:v>11</c:v>
                </c:pt>
                <c:pt idx="4">
                  <c:v>12</c:v>
                </c:pt>
                <c:pt idx="5">
                  <c:v>13</c:v>
                </c:pt>
                <c:pt idx="6">
                  <c:v>14</c:v>
                </c:pt>
                <c:pt idx="7">
                  <c:v>15</c:v>
                </c:pt>
                <c:pt idx="8">
                  <c:v>16</c:v>
                </c:pt>
                <c:pt idx="9">
                  <c:v>17</c:v>
                </c:pt>
                <c:pt idx="10">
                  <c:v>18</c:v>
                </c:pt>
                <c:pt idx="11">
                  <c:v>19</c:v>
                </c:pt>
                <c:pt idx="12">
                  <c:v>20</c:v>
                </c:pt>
                <c:pt idx="13">
                  <c:v>21</c:v>
                </c:pt>
                <c:pt idx="14">
                  <c:v>22</c:v>
                </c:pt>
                <c:pt idx="15">
                  <c:v>23</c:v>
                </c:pt>
                <c:pt idx="16">
                  <c:v>24</c:v>
                </c:pt>
                <c:pt idx="17">
                  <c:v>25</c:v>
                </c:pt>
              </c:numCache>
            </c:numRef>
          </c:cat>
          <c:val>
            <c:numRef>
              <c:f>'Age profile'!$I$5:$I$22</c:f>
              <c:numCache>
                <c:formatCode>0%</c:formatCode>
                <c:ptCount val="18"/>
                <c:pt idx="0">
                  <c:v>0</c:v>
                </c:pt>
                <c:pt idx="1">
                  <c:v>0</c:v>
                </c:pt>
                <c:pt idx="2">
                  <c:v>3.8261401897765536E-4</c:v>
                </c:pt>
                <c:pt idx="3">
                  <c:v>1.0713192531374349E-3</c:v>
                </c:pt>
                <c:pt idx="4">
                  <c:v>1.6222834404652588E-2</c:v>
                </c:pt>
                <c:pt idx="5">
                  <c:v>6.3973063973063973E-2</c:v>
                </c:pt>
                <c:pt idx="6">
                  <c:v>0.13483318028772573</c:v>
                </c:pt>
                <c:pt idx="7">
                  <c:v>0.20523415977961432</c:v>
                </c:pt>
                <c:pt idx="8">
                  <c:v>0.23875114784205692</c:v>
                </c:pt>
                <c:pt idx="9">
                  <c:v>0.18602693602693604</c:v>
                </c:pt>
                <c:pt idx="10">
                  <c:v>9.8943985307621676E-2</c:v>
                </c:pt>
                <c:pt idx="11">
                  <c:v>4.4077134986225897E-2</c:v>
                </c:pt>
                <c:pt idx="12">
                  <c:v>8.1879400061218247E-3</c:v>
                </c:pt>
                <c:pt idx="13">
                  <c:v>1.7600244872972145E-3</c:v>
                </c:pt>
                <c:pt idx="14">
                  <c:v>3.8261401897765536E-4</c:v>
                </c:pt>
                <c:pt idx="15">
                  <c:v>7.6522803795531067E-5</c:v>
                </c:pt>
                <c:pt idx="16">
                  <c:v>0</c:v>
                </c:pt>
                <c:pt idx="17">
                  <c:v>7.6522803795531067E-5</c:v>
                </c:pt>
              </c:numCache>
            </c:numRef>
          </c:val>
        </c:ser>
        <c:dLbls>
          <c:showLegendKey val="0"/>
          <c:showVal val="0"/>
          <c:showCatName val="0"/>
          <c:showSerName val="0"/>
          <c:showPercent val="0"/>
          <c:showBubbleSize val="0"/>
        </c:dLbls>
        <c:gapWidth val="150"/>
        <c:axId val="140300672"/>
        <c:axId val="140302208"/>
      </c:barChart>
      <c:catAx>
        <c:axId val="140300672"/>
        <c:scaling>
          <c:orientation val="minMax"/>
        </c:scaling>
        <c:delete val="0"/>
        <c:axPos val="b"/>
        <c:numFmt formatCode="General" sourceLinked="1"/>
        <c:majorTickMark val="out"/>
        <c:minorTickMark val="none"/>
        <c:tickLblPos val="nextTo"/>
        <c:crossAx val="140302208"/>
        <c:crosses val="autoZero"/>
        <c:auto val="1"/>
        <c:lblAlgn val="ctr"/>
        <c:lblOffset val="100"/>
        <c:noMultiLvlLbl val="0"/>
      </c:catAx>
      <c:valAx>
        <c:axId val="140302208"/>
        <c:scaling>
          <c:orientation val="minMax"/>
        </c:scaling>
        <c:delete val="0"/>
        <c:axPos val="l"/>
        <c:majorGridlines/>
        <c:numFmt formatCode="0%" sourceLinked="1"/>
        <c:majorTickMark val="out"/>
        <c:minorTickMark val="none"/>
        <c:tickLblPos val="nextTo"/>
        <c:crossAx val="140300672"/>
        <c:crosses val="autoZero"/>
        <c:crossBetween val="between"/>
      </c:valAx>
    </c:plotArea>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18"/>
    </mc:Choice>
    <mc:Fallback>
      <c:style val="18"/>
    </mc:Fallback>
  </mc:AlternateContent>
  <c:chart>
    <c:title>
      <c:tx>
        <c:rich>
          <a:bodyPr/>
          <a:lstStyle/>
          <a:p>
            <a:pPr>
              <a:defRPr/>
            </a:pPr>
            <a:r>
              <a:rPr lang="en-US"/>
              <a:t>National - Age of Participants</a:t>
            </a:r>
          </a:p>
        </c:rich>
      </c:tx>
      <c:layout/>
      <c:overlay val="0"/>
    </c:title>
    <c:autoTitleDeleted val="0"/>
    <c:plotArea>
      <c:layout/>
      <c:barChart>
        <c:barDir val="col"/>
        <c:grouping val="clustered"/>
        <c:varyColors val="0"/>
        <c:ser>
          <c:idx val="0"/>
          <c:order val="0"/>
          <c:tx>
            <c:strRef>
              <c:f>'Age profile'!$I$26:$I$27</c:f>
              <c:strCache>
                <c:ptCount val="1"/>
                <c:pt idx="0">
                  <c:v>National - Age of Participants % Total</c:v>
                </c:pt>
              </c:strCache>
            </c:strRef>
          </c:tx>
          <c:invertIfNegative val="0"/>
          <c:dLbls>
            <c:showLegendKey val="0"/>
            <c:showVal val="1"/>
            <c:showCatName val="0"/>
            <c:showSerName val="0"/>
            <c:showPercent val="0"/>
            <c:showBubbleSize val="0"/>
            <c:showLeaderLines val="0"/>
          </c:dLbls>
          <c:cat>
            <c:strRef>
              <c:f>'Age profile'!$A$28:$A$45</c:f>
              <c:strCache>
                <c:ptCount val="18"/>
                <c:pt idx="0">
                  <c:v>8</c:v>
                </c:pt>
                <c:pt idx="1">
                  <c:v>9</c:v>
                </c:pt>
                <c:pt idx="2">
                  <c:v>10</c:v>
                </c:pt>
                <c:pt idx="3">
                  <c:v>11</c:v>
                </c:pt>
                <c:pt idx="4">
                  <c:v>12</c:v>
                </c:pt>
                <c:pt idx="5">
                  <c:v>13</c:v>
                </c:pt>
                <c:pt idx="6">
                  <c:v>14</c:v>
                </c:pt>
                <c:pt idx="7">
                  <c:v>15</c:v>
                </c:pt>
                <c:pt idx="8">
                  <c:v>16</c:v>
                </c:pt>
                <c:pt idx="9">
                  <c:v>17</c:v>
                </c:pt>
                <c:pt idx="10">
                  <c:v>18</c:v>
                </c:pt>
                <c:pt idx="11">
                  <c:v>19</c:v>
                </c:pt>
                <c:pt idx="12">
                  <c:v>20</c:v>
                </c:pt>
                <c:pt idx="13">
                  <c:v>21</c:v>
                </c:pt>
                <c:pt idx="14">
                  <c:v>22</c:v>
                </c:pt>
                <c:pt idx="15">
                  <c:v>23</c:v>
                </c:pt>
                <c:pt idx="16">
                  <c:v>24</c:v>
                </c:pt>
                <c:pt idx="17">
                  <c:v>25</c:v>
                </c:pt>
              </c:strCache>
            </c:strRef>
          </c:cat>
          <c:val>
            <c:numRef>
              <c:f>'Age profile'!$I$28:$I$45</c:f>
              <c:numCache>
                <c:formatCode>0%</c:formatCode>
                <c:ptCount val="18"/>
                <c:pt idx="0">
                  <c:v>3.0799767290647139E-4</c:v>
                </c:pt>
                <c:pt idx="1">
                  <c:v>1.1122138188289245E-3</c:v>
                </c:pt>
                <c:pt idx="2">
                  <c:v>5.3044043667225624E-3</c:v>
                </c:pt>
                <c:pt idx="3">
                  <c:v>1.671742924609014E-2</c:v>
                </c:pt>
                <c:pt idx="4">
                  <c:v>3.2356866637007632E-2</c:v>
                </c:pt>
                <c:pt idx="5">
                  <c:v>8.3262037575716097E-2</c:v>
                </c:pt>
                <c:pt idx="6">
                  <c:v>0.16951849697135621</c:v>
                </c:pt>
                <c:pt idx="7">
                  <c:v>0.22191232332911262</c:v>
                </c:pt>
                <c:pt idx="8">
                  <c:v>0.21361349714246602</c:v>
                </c:pt>
                <c:pt idx="9">
                  <c:v>0.14965264706888881</c:v>
                </c:pt>
                <c:pt idx="10">
                  <c:v>6.8923034803737043E-2</c:v>
                </c:pt>
                <c:pt idx="11">
                  <c:v>2.9670442489990075E-2</c:v>
                </c:pt>
                <c:pt idx="12">
                  <c:v>5.8177338215666813E-3</c:v>
                </c:pt>
                <c:pt idx="13">
                  <c:v>1.0437698915163752E-3</c:v>
                </c:pt>
                <c:pt idx="14">
                  <c:v>4.7910749118784435E-4</c:v>
                </c:pt>
                <c:pt idx="15">
                  <c:v>1.5399883645323569E-4</c:v>
                </c:pt>
                <c:pt idx="16">
                  <c:v>6.8443927312549199E-5</c:v>
                </c:pt>
                <c:pt idx="17">
                  <c:v>8.5554909140686495E-5</c:v>
                </c:pt>
              </c:numCache>
            </c:numRef>
          </c:val>
        </c:ser>
        <c:dLbls>
          <c:showLegendKey val="0"/>
          <c:showVal val="0"/>
          <c:showCatName val="0"/>
          <c:showSerName val="0"/>
          <c:showPercent val="0"/>
          <c:showBubbleSize val="0"/>
        </c:dLbls>
        <c:gapWidth val="150"/>
        <c:axId val="140577024"/>
        <c:axId val="140578816"/>
      </c:barChart>
      <c:catAx>
        <c:axId val="140577024"/>
        <c:scaling>
          <c:orientation val="minMax"/>
        </c:scaling>
        <c:delete val="0"/>
        <c:axPos val="b"/>
        <c:majorTickMark val="out"/>
        <c:minorTickMark val="none"/>
        <c:tickLblPos val="nextTo"/>
        <c:crossAx val="140578816"/>
        <c:crosses val="autoZero"/>
        <c:auto val="1"/>
        <c:lblAlgn val="ctr"/>
        <c:lblOffset val="100"/>
        <c:noMultiLvlLbl val="0"/>
      </c:catAx>
      <c:valAx>
        <c:axId val="140578816"/>
        <c:scaling>
          <c:orientation val="minMax"/>
        </c:scaling>
        <c:delete val="0"/>
        <c:axPos val="l"/>
        <c:majorGridlines/>
        <c:numFmt formatCode="0%" sourceLinked="1"/>
        <c:majorTickMark val="out"/>
        <c:minorTickMark val="none"/>
        <c:tickLblPos val="nextTo"/>
        <c:crossAx val="140577024"/>
        <c:crosses val="autoZero"/>
        <c:crossBetween val="between"/>
      </c:valAx>
    </c:plotArea>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18"/>
    </mc:Choice>
    <mc:Fallback>
      <c:style val="18"/>
    </mc:Fallback>
  </mc:AlternateContent>
  <c:chart>
    <c:title>
      <c:tx>
        <c:rich>
          <a:bodyPr/>
          <a:lstStyle/>
          <a:p>
            <a:pPr>
              <a:defRPr sz="1400"/>
            </a:pPr>
            <a:r>
              <a:rPr lang="en-AU" sz="1400"/>
              <a:t>VIC - Age profile by Connection Level</a:t>
            </a:r>
          </a:p>
        </c:rich>
      </c:tx>
      <c:layout/>
      <c:overlay val="0"/>
    </c:title>
    <c:autoTitleDeleted val="0"/>
    <c:plotArea>
      <c:layout/>
      <c:barChart>
        <c:barDir val="col"/>
        <c:grouping val="clustered"/>
        <c:varyColors val="0"/>
        <c:ser>
          <c:idx val="0"/>
          <c:order val="0"/>
          <c:tx>
            <c:strRef>
              <c:f>'Age profile'!$A$5</c:f>
              <c:strCache>
                <c:ptCount val="1"/>
                <c:pt idx="0">
                  <c:v>8</c:v>
                </c:pt>
              </c:strCache>
            </c:strRef>
          </c:tx>
          <c:invertIfNegative val="0"/>
          <c:cat>
            <c:strRef>
              <c:f>'Age profile'!$B$4:$D$4</c:f>
              <c:strCache>
                <c:ptCount val="3"/>
                <c:pt idx="0">
                  <c:v>% Level 1</c:v>
                </c:pt>
                <c:pt idx="1">
                  <c:v>% Level 2a</c:v>
                </c:pt>
                <c:pt idx="2">
                  <c:v>% Level 2b</c:v>
                </c:pt>
              </c:strCache>
            </c:strRef>
          </c:cat>
          <c:val>
            <c:numRef>
              <c:f>'Age profile'!$B$5:$D$5</c:f>
              <c:numCache>
                <c:formatCode>0%</c:formatCode>
                <c:ptCount val="3"/>
                <c:pt idx="0">
                  <c:v>0</c:v>
                </c:pt>
                <c:pt idx="1">
                  <c:v>0</c:v>
                </c:pt>
                <c:pt idx="2">
                  <c:v>0</c:v>
                </c:pt>
              </c:numCache>
            </c:numRef>
          </c:val>
        </c:ser>
        <c:ser>
          <c:idx val="1"/>
          <c:order val="1"/>
          <c:tx>
            <c:strRef>
              <c:f>'Age profile'!$A$6</c:f>
              <c:strCache>
                <c:ptCount val="1"/>
                <c:pt idx="0">
                  <c:v>9</c:v>
                </c:pt>
              </c:strCache>
            </c:strRef>
          </c:tx>
          <c:invertIfNegative val="0"/>
          <c:dLbls>
            <c:dLbl>
              <c:idx val="0"/>
              <c:layout/>
              <c:showLegendKey val="0"/>
              <c:showVal val="1"/>
              <c:showCatName val="0"/>
              <c:showSerName val="0"/>
              <c:showPercent val="0"/>
              <c:showBubbleSize val="0"/>
            </c:dLbl>
            <c:showLegendKey val="0"/>
            <c:showVal val="0"/>
            <c:showCatName val="0"/>
            <c:showSerName val="0"/>
            <c:showPercent val="0"/>
            <c:showBubbleSize val="0"/>
          </c:dLbls>
          <c:cat>
            <c:strRef>
              <c:f>'Age profile'!$B$4:$D$4</c:f>
              <c:strCache>
                <c:ptCount val="3"/>
                <c:pt idx="0">
                  <c:v>% Level 1</c:v>
                </c:pt>
                <c:pt idx="1">
                  <c:v>% Level 2a</c:v>
                </c:pt>
                <c:pt idx="2">
                  <c:v>% Level 2b</c:v>
                </c:pt>
              </c:strCache>
            </c:strRef>
          </c:cat>
          <c:val>
            <c:numRef>
              <c:f>'Age profile'!$B$6:$D$6</c:f>
              <c:numCache>
                <c:formatCode>0%</c:formatCode>
                <c:ptCount val="3"/>
                <c:pt idx="0">
                  <c:v>0</c:v>
                </c:pt>
                <c:pt idx="1">
                  <c:v>0</c:v>
                </c:pt>
                <c:pt idx="2">
                  <c:v>0</c:v>
                </c:pt>
              </c:numCache>
            </c:numRef>
          </c:val>
        </c:ser>
        <c:ser>
          <c:idx val="2"/>
          <c:order val="2"/>
          <c:tx>
            <c:strRef>
              <c:f>'Age profile'!$A$7</c:f>
              <c:strCache>
                <c:ptCount val="1"/>
                <c:pt idx="0">
                  <c:v>10</c:v>
                </c:pt>
              </c:strCache>
            </c:strRef>
          </c:tx>
          <c:invertIfNegative val="0"/>
          <c:dLbls>
            <c:showLegendKey val="0"/>
            <c:showVal val="1"/>
            <c:showCatName val="0"/>
            <c:showSerName val="0"/>
            <c:showPercent val="0"/>
            <c:showBubbleSize val="0"/>
            <c:showLeaderLines val="0"/>
          </c:dLbls>
          <c:cat>
            <c:strRef>
              <c:f>'Age profile'!$B$4:$D$4</c:f>
              <c:strCache>
                <c:ptCount val="3"/>
                <c:pt idx="0">
                  <c:v>% Level 1</c:v>
                </c:pt>
                <c:pt idx="1">
                  <c:v>% Level 2a</c:v>
                </c:pt>
                <c:pt idx="2">
                  <c:v>% Level 2b</c:v>
                </c:pt>
              </c:strCache>
            </c:strRef>
          </c:cat>
          <c:val>
            <c:numRef>
              <c:f>'Age profile'!$B$7:$D$7</c:f>
              <c:numCache>
                <c:formatCode>0%</c:formatCode>
                <c:ptCount val="3"/>
                <c:pt idx="0">
                  <c:v>3.3288948069241014E-4</c:v>
                </c:pt>
                <c:pt idx="1">
                  <c:v>4.4782803403493058E-4</c:v>
                </c:pt>
                <c:pt idx="2">
                  <c:v>3.2851511169513798E-4</c:v>
                </c:pt>
              </c:numCache>
            </c:numRef>
          </c:val>
        </c:ser>
        <c:ser>
          <c:idx val="3"/>
          <c:order val="3"/>
          <c:tx>
            <c:strRef>
              <c:f>'Age profile'!$A$8</c:f>
              <c:strCache>
                <c:ptCount val="1"/>
                <c:pt idx="0">
                  <c:v>11</c:v>
                </c:pt>
              </c:strCache>
            </c:strRef>
          </c:tx>
          <c:invertIfNegative val="0"/>
          <c:dLbls>
            <c:showLegendKey val="0"/>
            <c:showVal val="1"/>
            <c:showCatName val="0"/>
            <c:showSerName val="0"/>
            <c:showPercent val="0"/>
            <c:showBubbleSize val="0"/>
            <c:showLeaderLines val="0"/>
          </c:dLbls>
          <c:cat>
            <c:strRef>
              <c:f>'Age profile'!$B$4:$D$4</c:f>
              <c:strCache>
                <c:ptCount val="3"/>
                <c:pt idx="0">
                  <c:v>% Level 1</c:v>
                </c:pt>
                <c:pt idx="1">
                  <c:v>% Level 2a</c:v>
                </c:pt>
                <c:pt idx="2">
                  <c:v>% Level 2b</c:v>
                </c:pt>
              </c:strCache>
            </c:strRef>
          </c:cat>
          <c:val>
            <c:numRef>
              <c:f>'Age profile'!$B$8:$D$8</c:f>
              <c:numCache>
                <c:formatCode>0%</c:formatCode>
                <c:ptCount val="3"/>
                <c:pt idx="0">
                  <c:v>1.9973368841544607E-3</c:v>
                </c:pt>
                <c:pt idx="1">
                  <c:v>8.9565606806986115E-4</c:v>
                </c:pt>
                <c:pt idx="2">
                  <c:v>6.5703022339027597E-4</c:v>
                </c:pt>
              </c:numCache>
            </c:numRef>
          </c:val>
        </c:ser>
        <c:ser>
          <c:idx val="4"/>
          <c:order val="4"/>
          <c:tx>
            <c:strRef>
              <c:f>'Age profile'!$A$9</c:f>
              <c:strCache>
                <c:ptCount val="1"/>
                <c:pt idx="0">
                  <c:v>12</c:v>
                </c:pt>
              </c:strCache>
            </c:strRef>
          </c:tx>
          <c:invertIfNegative val="0"/>
          <c:dLbls>
            <c:showLegendKey val="0"/>
            <c:showVal val="1"/>
            <c:showCatName val="0"/>
            <c:showSerName val="0"/>
            <c:showPercent val="0"/>
            <c:showBubbleSize val="0"/>
            <c:showLeaderLines val="0"/>
          </c:dLbls>
          <c:cat>
            <c:strRef>
              <c:f>'Age profile'!$B$4:$D$4</c:f>
              <c:strCache>
                <c:ptCount val="3"/>
                <c:pt idx="0">
                  <c:v>% Level 1</c:v>
                </c:pt>
                <c:pt idx="1">
                  <c:v>% Level 2a</c:v>
                </c:pt>
                <c:pt idx="2">
                  <c:v>% Level 2b</c:v>
                </c:pt>
              </c:strCache>
            </c:strRef>
          </c:cat>
          <c:val>
            <c:numRef>
              <c:f>'Age profile'!$B$9:$D$9</c:f>
              <c:numCache>
                <c:formatCode>0%</c:formatCode>
                <c:ptCount val="3"/>
                <c:pt idx="0">
                  <c:v>3.2290279627163784E-2</c:v>
                </c:pt>
                <c:pt idx="1">
                  <c:v>1.6121809225257501E-2</c:v>
                </c:pt>
                <c:pt idx="2">
                  <c:v>1.0019710906701708E-2</c:v>
                </c:pt>
              </c:numCache>
            </c:numRef>
          </c:val>
        </c:ser>
        <c:ser>
          <c:idx val="5"/>
          <c:order val="5"/>
          <c:tx>
            <c:strRef>
              <c:f>'Age profile'!$A$10</c:f>
              <c:strCache>
                <c:ptCount val="1"/>
                <c:pt idx="0">
                  <c:v>13</c:v>
                </c:pt>
              </c:strCache>
            </c:strRef>
          </c:tx>
          <c:invertIfNegative val="0"/>
          <c:dLbls>
            <c:showLegendKey val="0"/>
            <c:showVal val="1"/>
            <c:showCatName val="0"/>
            <c:showSerName val="0"/>
            <c:showPercent val="0"/>
            <c:showBubbleSize val="0"/>
            <c:showLeaderLines val="0"/>
          </c:dLbls>
          <c:cat>
            <c:strRef>
              <c:f>'Age profile'!$B$4:$D$4</c:f>
              <c:strCache>
                <c:ptCount val="3"/>
                <c:pt idx="0">
                  <c:v>% Level 1</c:v>
                </c:pt>
                <c:pt idx="1">
                  <c:v>% Level 2a</c:v>
                </c:pt>
                <c:pt idx="2">
                  <c:v>% Level 2b</c:v>
                </c:pt>
              </c:strCache>
            </c:strRef>
          </c:cat>
          <c:val>
            <c:numRef>
              <c:f>'Age profile'!$B$10:$D$10</c:f>
              <c:numCache>
                <c:formatCode>0%</c:formatCode>
                <c:ptCount val="3"/>
                <c:pt idx="0">
                  <c:v>0.1148468708388815</c:v>
                </c:pt>
                <c:pt idx="1">
                  <c:v>7.5459023734885805E-2</c:v>
                </c:pt>
                <c:pt idx="2">
                  <c:v>3.4329829172141918E-2</c:v>
                </c:pt>
              </c:numCache>
            </c:numRef>
          </c:val>
        </c:ser>
        <c:ser>
          <c:idx val="6"/>
          <c:order val="6"/>
          <c:tx>
            <c:strRef>
              <c:f>'Age profile'!$A$11</c:f>
              <c:strCache>
                <c:ptCount val="1"/>
                <c:pt idx="0">
                  <c:v>14</c:v>
                </c:pt>
              </c:strCache>
            </c:strRef>
          </c:tx>
          <c:invertIfNegative val="0"/>
          <c:dLbls>
            <c:showLegendKey val="0"/>
            <c:showVal val="1"/>
            <c:showCatName val="0"/>
            <c:showSerName val="0"/>
            <c:showPercent val="0"/>
            <c:showBubbleSize val="0"/>
            <c:showLeaderLines val="0"/>
          </c:dLbls>
          <c:cat>
            <c:strRef>
              <c:f>'Age profile'!$B$4:$D$4</c:f>
              <c:strCache>
                <c:ptCount val="3"/>
                <c:pt idx="0">
                  <c:v>% Level 1</c:v>
                </c:pt>
                <c:pt idx="1">
                  <c:v>% Level 2a</c:v>
                </c:pt>
                <c:pt idx="2">
                  <c:v>% Level 2b</c:v>
                </c:pt>
              </c:strCache>
            </c:strRef>
          </c:cat>
          <c:val>
            <c:numRef>
              <c:f>'Age profile'!$B$11:$D$11</c:f>
              <c:numCache>
                <c:formatCode>0%</c:formatCode>
                <c:ptCount val="3"/>
                <c:pt idx="0">
                  <c:v>0.21671105193075899</c:v>
                </c:pt>
                <c:pt idx="1">
                  <c:v>0.17622033139274518</c:v>
                </c:pt>
                <c:pt idx="2">
                  <c:v>7.637976346911958E-2</c:v>
                </c:pt>
              </c:numCache>
            </c:numRef>
          </c:val>
        </c:ser>
        <c:ser>
          <c:idx val="7"/>
          <c:order val="7"/>
          <c:tx>
            <c:strRef>
              <c:f>'Age profile'!$A$12</c:f>
              <c:strCache>
                <c:ptCount val="1"/>
                <c:pt idx="0">
                  <c:v>15</c:v>
                </c:pt>
              </c:strCache>
            </c:strRef>
          </c:tx>
          <c:invertIfNegative val="0"/>
          <c:dLbls>
            <c:showLegendKey val="0"/>
            <c:showVal val="1"/>
            <c:showCatName val="0"/>
            <c:showSerName val="0"/>
            <c:showPercent val="0"/>
            <c:showBubbleSize val="0"/>
            <c:showLeaderLines val="0"/>
          </c:dLbls>
          <c:cat>
            <c:strRef>
              <c:f>'Age profile'!$B$4:$D$4</c:f>
              <c:strCache>
                <c:ptCount val="3"/>
                <c:pt idx="0">
                  <c:v>% Level 1</c:v>
                </c:pt>
                <c:pt idx="1">
                  <c:v>% Level 2a</c:v>
                </c:pt>
                <c:pt idx="2">
                  <c:v>% Level 2b</c:v>
                </c:pt>
              </c:strCache>
            </c:strRef>
          </c:cat>
          <c:val>
            <c:numRef>
              <c:f>'Age profile'!$B$12:$D$12</c:f>
              <c:numCache>
                <c:formatCode>0%</c:formatCode>
                <c:ptCount val="3"/>
                <c:pt idx="0">
                  <c:v>0.27829560585885488</c:v>
                </c:pt>
                <c:pt idx="1">
                  <c:v>0.24854455888938648</c:v>
                </c:pt>
                <c:pt idx="2">
                  <c:v>0.14947437582128778</c:v>
                </c:pt>
              </c:numCache>
            </c:numRef>
          </c:val>
        </c:ser>
        <c:ser>
          <c:idx val="8"/>
          <c:order val="8"/>
          <c:tx>
            <c:strRef>
              <c:f>'Age profile'!$A$13</c:f>
              <c:strCache>
                <c:ptCount val="1"/>
                <c:pt idx="0">
                  <c:v>16</c:v>
                </c:pt>
              </c:strCache>
            </c:strRef>
          </c:tx>
          <c:invertIfNegative val="0"/>
          <c:dLbls>
            <c:showLegendKey val="0"/>
            <c:showVal val="1"/>
            <c:showCatName val="0"/>
            <c:showSerName val="0"/>
            <c:showPercent val="0"/>
            <c:showBubbleSize val="0"/>
            <c:showLeaderLines val="0"/>
          </c:dLbls>
          <c:cat>
            <c:strRef>
              <c:f>'Age profile'!$B$4:$D$4</c:f>
              <c:strCache>
                <c:ptCount val="3"/>
                <c:pt idx="0">
                  <c:v>% Level 1</c:v>
                </c:pt>
                <c:pt idx="1">
                  <c:v>% Level 2a</c:v>
                </c:pt>
                <c:pt idx="2">
                  <c:v>% Level 2b</c:v>
                </c:pt>
              </c:strCache>
            </c:strRef>
          </c:cat>
          <c:val>
            <c:numRef>
              <c:f>'Age profile'!$B$13:$D$13</c:f>
              <c:numCache>
                <c:formatCode>0%</c:formatCode>
                <c:ptCount val="3"/>
                <c:pt idx="0">
                  <c:v>0.19707057256990679</c:v>
                </c:pt>
                <c:pt idx="1">
                  <c:v>0.24832064487236902</c:v>
                </c:pt>
                <c:pt idx="2">
                  <c:v>0.24950722733245728</c:v>
                </c:pt>
              </c:numCache>
            </c:numRef>
          </c:val>
        </c:ser>
        <c:ser>
          <c:idx val="9"/>
          <c:order val="9"/>
          <c:tx>
            <c:strRef>
              <c:f>'Age profile'!$A$14</c:f>
              <c:strCache>
                <c:ptCount val="1"/>
                <c:pt idx="0">
                  <c:v>17</c:v>
                </c:pt>
              </c:strCache>
            </c:strRef>
          </c:tx>
          <c:invertIfNegative val="0"/>
          <c:dLbls>
            <c:showLegendKey val="0"/>
            <c:showVal val="1"/>
            <c:showCatName val="0"/>
            <c:showSerName val="0"/>
            <c:showPercent val="0"/>
            <c:showBubbleSize val="0"/>
            <c:showLeaderLines val="0"/>
          </c:dLbls>
          <c:cat>
            <c:strRef>
              <c:f>'Age profile'!$B$4:$D$4</c:f>
              <c:strCache>
                <c:ptCount val="3"/>
                <c:pt idx="0">
                  <c:v>% Level 1</c:v>
                </c:pt>
                <c:pt idx="1">
                  <c:v>% Level 2a</c:v>
                </c:pt>
                <c:pt idx="2">
                  <c:v>% Level 2b</c:v>
                </c:pt>
              </c:strCache>
            </c:strRef>
          </c:cat>
          <c:val>
            <c:numRef>
              <c:f>'Age profile'!$B$14:$D$14</c:f>
              <c:numCache>
                <c:formatCode>0%</c:formatCode>
                <c:ptCount val="3"/>
                <c:pt idx="0">
                  <c:v>0.11051930758988016</c:v>
                </c:pt>
                <c:pt idx="1">
                  <c:v>0.15673981191222572</c:v>
                </c:pt>
                <c:pt idx="2">
                  <c:v>0.23505256241787123</c:v>
                </c:pt>
              </c:numCache>
            </c:numRef>
          </c:val>
        </c:ser>
        <c:ser>
          <c:idx val="10"/>
          <c:order val="10"/>
          <c:tx>
            <c:strRef>
              <c:f>'Age profile'!$A$15</c:f>
              <c:strCache>
                <c:ptCount val="1"/>
                <c:pt idx="0">
                  <c:v>18</c:v>
                </c:pt>
              </c:strCache>
            </c:strRef>
          </c:tx>
          <c:invertIfNegative val="0"/>
          <c:dLbls>
            <c:showLegendKey val="0"/>
            <c:showVal val="1"/>
            <c:showCatName val="0"/>
            <c:showSerName val="0"/>
            <c:showPercent val="0"/>
            <c:showBubbleSize val="0"/>
            <c:showLeaderLines val="0"/>
          </c:dLbls>
          <c:cat>
            <c:strRef>
              <c:f>'Age profile'!$B$4:$D$4</c:f>
              <c:strCache>
                <c:ptCount val="3"/>
                <c:pt idx="0">
                  <c:v>% Level 1</c:v>
                </c:pt>
                <c:pt idx="1">
                  <c:v>% Level 2a</c:v>
                </c:pt>
                <c:pt idx="2">
                  <c:v>% Level 2b</c:v>
                </c:pt>
              </c:strCache>
            </c:strRef>
          </c:cat>
          <c:val>
            <c:numRef>
              <c:f>'Age profile'!$B$15:$D$15</c:f>
              <c:numCache>
                <c:formatCode>0%</c:formatCode>
                <c:ptCount val="3"/>
                <c:pt idx="0">
                  <c:v>3.7283621837549935E-2</c:v>
                </c:pt>
                <c:pt idx="1">
                  <c:v>5.7098074339453651E-2</c:v>
                </c:pt>
                <c:pt idx="2">
                  <c:v>0.14832457293035481</c:v>
                </c:pt>
              </c:numCache>
            </c:numRef>
          </c:val>
        </c:ser>
        <c:ser>
          <c:idx val="11"/>
          <c:order val="11"/>
          <c:tx>
            <c:strRef>
              <c:f>'Age profile'!$A$16</c:f>
              <c:strCache>
                <c:ptCount val="1"/>
                <c:pt idx="0">
                  <c:v>19</c:v>
                </c:pt>
              </c:strCache>
            </c:strRef>
          </c:tx>
          <c:invertIfNegative val="0"/>
          <c:dLbls>
            <c:showLegendKey val="0"/>
            <c:showVal val="1"/>
            <c:showCatName val="0"/>
            <c:showSerName val="0"/>
            <c:showPercent val="0"/>
            <c:showBubbleSize val="0"/>
            <c:showLeaderLines val="0"/>
          </c:dLbls>
          <c:cat>
            <c:strRef>
              <c:f>'Age profile'!$B$4:$D$4</c:f>
              <c:strCache>
                <c:ptCount val="3"/>
                <c:pt idx="0">
                  <c:v>% Level 1</c:v>
                </c:pt>
                <c:pt idx="1">
                  <c:v>% Level 2a</c:v>
                </c:pt>
                <c:pt idx="2">
                  <c:v>% Level 2b</c:v>
                </c:pt>
              </c:strCache>
            </c:strRef>
          </c:cat>
          <c:val>
            <c:numRef>
              <c:f>'Age profile'!$B$16:$D$16</c:f>
              <c:numCache>
                <c:formatCode>0%</c:formatCode>
                <c:ptCount val="3"/>
                <c:pt idx="0">
                  <c:v>7.6564580559254324E-3</c:v>
                </c:pt>
                <c:pt idx="1">
                  <c:v>1.5226153157187641E-2</c:v>
                </c:pt>
                <c:pt idx="2">
                  <c:v>7.8679369250985551E-2</c:v>
                </c:pt>
              </c:numCache>
            </c:numRef>
          </c:val>
        </c:ser>
        <c:ser>
          <c:idx val="12"/>
          <c:order val="12"/>
          <c:tx>
            <c:strRef>
              <c:f>'Age profile'!$A$17</c:f>
              <c:strCache>
                <c:ptCount val="1"/>
                <c:pt idx="0">
                  <c:v>20</c:v>
                </c:pt>
              </c:strCache>
            </c:strRef>
          </c:tx>
          <c:invertIfNegative val="0"/>
          <c:cat>
            <c:strRef>
              <c:f>'Age profile'!$B$4:$D$4</c:f>
              <c:strCache>
                <c:ptCount val="3"/>
                <c:pt idx="0">
                  <c:v>% Level 1</c:v>
                </c:pt>
                <c:pt idx="1">
                  <c:v>% Level 2a</c:v>
                </c:pt>
                <c:pt idx="2">
                  <c:v>% Level 2b</c:v>
                </c:pt>
              </c:strCache>
            </c:strRef>
          </c:cat>
          <c:val>
            <c:numRef>
              <c:f>'Age profile'!$B$17:$D$17</c:f>
              <c:numCache>
                <c:formatCode>0%</c:formatCode>
                <c:ptCount val="3"/>
                <c:pt idx="0">
                  <c:v>2.6631158455392811E-3</c:v>
                </c:pt>
                <c:pt idx="1">
                  <c:v>3.134796238244514E-3</c:v>
                </c:pt>
                <c:pt idx="2">
                  <c:v>1.3961892247043363E-2</c:v>
                </c:pt>
              </c:numCache>
            </c:numRef>
          </c:val>
        </c:ser>
        <c:ser>
          <c:idx val="13"/>
          <c:order val="13"/>
          <c:tx>
            <c:strRef>
              <c:f>'Age profile'!$A$18</c:f>
              <c:strCache>
                <c:ptCount val="1"/>
                <c:pt idx="0">
                  <c:v>21</c:v>
                </c:pt>
              </c:strCache>
            </c:strRef>
          </c:tx>
          <c:invertIfNegative val="0"/>
          <c:cat>
            <c:strRef>
              <c:f>'Age profile'!$B$4:$D$4</c:f>
              <c:strCache>
                <c:ptCount val="3"/>
                <c:pt idx="0">
                  <c:v>% Level 1</c:v>
                </c:pt>
                <c:pt idx="1">
                  <c:v>% Level 2a</c:v>
                </c:pt>
                <c:pt idx="2">
                  <c:v>% Level 2b</c:v>
                </c:pt>
              </c:strCache>
            </c:strRef>
          </c:cat>
          <c:val>
            <c:numRef>
              <c:f>'Age profile'!$B$18:$D$18</c:f>
              <c:numCache>
                <c:formatCode>0%</c:formatCode>
                <c:ptCount val="3"/>
                <c:pt idx="0">
                  <c:v>0</c:v>
                </c:pt>
                <c:pt idx="1">
                  <c:v>1.567398119122257E-3</c:v>
                </c:pt>
                <c:pt idx="2">
                  <c:v>2.6281208935611039E-3</c:v>
                </c:pt>
              </c:numCache>
            </c:numRef>
          </c:val>
        </c:ser>
        <c:ser>
          <c:idx val="14"/>
          <c:order val="14"/>
          <c:tx>
            <c:strRef>
              <c:f>'Age profile'!$A$19</c:f>
              <c:strCache>
                <c:ptCount val="1"/>
                <c:pt idx="0">
                  <c:v>22</c:v>
                </c:pt>
              </c:strCache>
            </c:strRef>
          </c:tx>
          <c:invertIfNegative val="0"/>
          <c:cat>
            <c:strRef>
              <c:f>'Age profile'!$B$4:$D$4</c:f>
              <c:strCache>
                <c:ptCount val="3"/>
                <c:pt idx="0">
                  <c:v>% Level 1</c:v>
                </c:pt>
                <c:pt idx="1">
                  <c:v>% Level 2a</c:v>
                </c:pt>
                <c:pt idx="2">
                  <c:v>% Level 2b</c:v>
                </c:pt>
              </c:strCache>
            </c:strRef>
          </c:cat>
          <c:val>
            <c:numRef>
              <c:f>'Age profile'!$B$19:$D$19</c:f>
              <c:numCache>
                <c:formatCode>0%</c:formatCode>
                <c:ptCount val="3"/>
                <c:pt idx="0">
                  <c:v>3.3288948069241014E-4</c:v>
                </c:pt>
                <c:pt idx="1">
                  <c:v>0</c:v>
                </c:pt>
                <c:pt idx="2">
                  <c:v>4.9277266754270692E-4</c:v>
                </c:pt>
              </c:numCache>
            </c:numRef>
          </c:val>
        </c:ser>
        <c:ser>
          <c:idx val="15"/>
          <c:order val="15"/>
          <c:tx>
            <c:strRef>
              <c:f>'Age profile'!$A$20</c:f>
              <c:strCache>
                <c:ptCount val="1"/>
                <c:pt idx="0">
                  <c:v>23</c:v>
                </c:pt>
              </c:strCache>
            </c:strRef>
          </c:tx>
          <c:invertIfNegative val="0"/>
          <c:cat>
            <c:strRef>
              <c:f>'Age profile'!$B$4:$D$4</c:f>
              <c:strCache>
                <c:ptCount val="3"/>
                <c:pt idx="0">
                  <c:v>% Level 1</c:v>
                </c:pt>
                <c:pt idx="1">
                  <c:v>% Level 2a</c:v>
                </c:pt>
                <c:pt idx="2">
                  <c:v>% Level 2b</c:v>
                </c:pt>
              </c:strCache>
            </c:strRef>
          </c:cat>
          <c:val>
            <c:numRef>
              <c:f>'Age profile'!$B$20:$D$20</c:f>
              <c:numCache>
                <c:formatCode>0%</c:formatCode>
                <c:ptCount val="3"/>
                <c:pt idx="0">
                  <c:v>0</c:v>
                </c:pt>
                <c:pt idx="1">
                  <c:v>2.2391401701746529E-4</c:v>
                </c:pt>
                <c:pt idx="2">
                  <c:v>0</c:v>
                </c:pt>
              </c:numCache>
            </c:numRef>
          </c:val>
        </c:ser>
        <c:ser>
          <c:idx val="16"/>
          <c:order val="16"/>
          <c:tx>
            <c:strRef>
              <c:f>'Age profile'!$A$21</c:f>
              <c:strCache>
                <c:ptCount val="1"/>
                <c:pt idx="0">
                  <c:v>24</c:v>
                </c:pt>
              </c:strCache>
            </c:strRef>
          </c:tx>
          <c:invertIfNegative val="0"/>
          <c:cat>
            <c:strRef>
              <c:f>'Age profile'!$B$4:$D$4</c:f>
              <c:strCache>
                <c:ptCount val="3"/>
                <c:pt idx="0">
                  <c:v>% Level 1</c:v>
                </c:pt>
                <c:pt idx="1">
                  <c:v>% Level 2a</c:v>
                </c:pt>
                <c:pt idx="2">
                  <c:v>% Level 2b</c:v>
                </c:pt>
              </c:strCache>
            </c:strRef>
          </c:cat>
          <c:val>
            <c:numRef>
              <c:f>'Age profile'!$B$21:$D$21</c:f>
              <c:numCache>
                <c:formatCode>0%</c:formatCode>
                <c:ptCount val="3"/>
                <c:pt idx="0">
                  <c:v>0</c:v>
                </c:pt>
                <c:pt idx="1">
                  <c:v>0</c:v>
                </c:pt>
                <c:pt idx="2">
                  <c:v>0</c:v>
                </c:pt>
              </c:numCache>
            </c:numRef>
          </c:val>
        </c:ser>
        <c:ser>
          <c:idx val="17"/>
          <c:order val="17"/>
          <c:tx>
            <c:strRef>
              <c:f>'Age profile'!$A$22</c:f>
              <c:strCache>
                <c:ptCount val="1"/>
                <c:pt idx="0">
                  <c:v>25</c:v>
                </c:pt>
              </c:strCache>
            </c:strRef>
          </c:tx>
          <c:invertIfNegative val="0"/>
          <c:cat>
            <c:strRef>
              <c:f>'Age profile'!$B$4:$D$4</c:f>
              <c:strCache>
                <c:ptCount val="3"/>
                <c:pt idx="0">
                  <c:v>% Level 1</c:v>
                </c:pt>
                <c:pt idx="1">
                  <c:v>% Level 2a</c:v>
                </c:pt>
                <c:pt idx="2">
                  <c:v>% Level 2b</c:v>
                </c:pt>
              </c:strCache>
            </c:strRef>
          </c:cat>
          <c:val>
            <c:numRef>
              <c:f>'Age profile'!$B$22:$D$22</c:f>
              <c:numCache>
                <c:formatCode>0%</c:formatCode>
                <c:ptCount val="3"/>
                <c:pt idx="0">
                  <c:v>0</c:v>
                </c:pt>
                <c:pt idx="1">
                  <c:v>0</c:v>
                </c:pt>
                <c:pt idx="2">
                  <c:v>1.6425755584756899E-4</c:v>
                </c:pt>
              </c:numCache>
            </c:numRef>
          </c:val>
        </c:ser>
        <c:dLbls>
          <c:showLegendKey val="0"/>
          <c:showVal val="0"/>
          <c:showCatName val="0"/>
          <c:showSerName val="0"/>
          <c:showPercent val="0"/>
          <c:showBubbleSize val="0"/>
        </c:dLbls>
        <c:gapWidth val="55"/>
        <c:axId val="144684160"/>
        <c:axId val="144685696"/>
      </c:barChart>
      <c:catAx>
        <c:axId val="144684160"/>
        <c:scaling>
          <c:orientation val="minMax"/>
        </c:scaling>
        <c:delete val="0"/>
        <c:axPos val="b"/>
        <c:numFmt formatCode="General" sourceLinked="1"/>
        <c:majorTickMark val="none"/>
        <c:minorTickMark val="none"/>
        <c:tickLblPos val="nextTo"/>
        <c:crossAx val="144685696"/>
        <c:crosses val="autoZero"/>
        <c:auto val="1"/>
        <c:lblAlgn val="ctr"/>
        <c:lblOffset val="100"/>
        <c:noMultiLvlLbl val="0"/>
      </c:catAx>
      <c:valAx>
        <c:axId val="144685696"/>
        <c:scaling>
          <c:orientation val="minMax"/>
        </c:scaling>
        <c:delete val="0"/>
        <c:axPos val="l"/>
        <c:majorGridlines/>
        <c:numFmt formatCode="0%" sourceLinked="1"/>
        <c:majorTickMark val="none"/>
        <c:minorTickMark val="none"/>
        <c:tickLblPos val="nextTo"/>
        <c:crossAx val="144684160"/>
        <c:crosses val="autoZero"/>
        <c:crossBetween val="between"/>
      </c:valAx>
    </c:plotArea>
    <c:legend>
      <c:legendPos val="r"/>
      <c:layout/>
      <c:overlay val="0"/>
    </c:legend>
    <c:plotVisOnly val="1"/>
    <c:dispBlanksAs val="gap"/>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18"/>
    </mc:Choice>
    <mc:Fallback>
      <c:style val="18"/>
    </mc:Fallback>
  </mc:AlternateContent>
  <c:chart>
    <c:title>
      <c:tx>
        <c:rich>
          <a:bodyPr/>
          <a:lstStyle/>
          <a:p>
            <a:pPr>
              <a:defRPr/>
            </a:pPr>
            <a:r>
              <a:rPr lang="en-AU" sz="1400"/>
              <a:t>National - Age profile by Connection Level</a:t>
            </a:r>
          </a:p>
        </c:rich>
      </c:tx>
      <c:layout/>
      <c:overlay val="0"/>
    </c:title>
    <c:autoTitleDeleted val="0"/>
    <c:plotArea>
      <c:layout/>
      <c:barChart>
        <c:barDir val="col"/>
        <c:grouping val="clustered"/>
        <c:varyColors val="0"/>
        <c:ser>
          <c:idx val="0"/>
          <c:order val="0"/>
          <c:tx>
            <c:strRef>
              <c:f>'Age profile'!$A$28</c:f>
              <c:strCache>
                <c:ptCount val="1"/>
                <c:pt idx="0">
                  <c:v>8</c:v>
                </c:pt>
              </c:strCache>
            </c:strRef>
          </c:tx>
          <c:invertIfNegative val="0"/>
          <c:cat>
            <c:strRef>
              <c:f>'Age profile'!$B$27:$D$27</c:f>
              <c:strCache>
                <c:ptCount val="3"/>
                <c:pt idx="0">
                  <c:v>% Level 1</c:v>
                </c:pt>
                <c:pt idx="1">
                  <c:v>% Level 2a</c:v>
                </c:pt>
                <c:pt idx="2">
                  <c:v>% Level 2b</c:v>
                </c:pt>
              </c:strCache>
            </c:strRef>
          </c:cat>
          <c:val>
            <c:numRef>
              <c:f>'Age profile'!$B$28:$D$28</c:f>
              <c:numCache>
                <c:formatCode>0%</c:formatCode>
                <c:ptCount val="3"/>
                <c:pt idx="0">
                  <c:v>8.2148499210110584E-4</c:v>
                </c:pt>
                <c:pt idx="1">
                  <c:v>9.4679038060973297E-5</c:v>
                </c:pt>
                <c:pt idx="2">
                  <c:v>8.5138989400195816E-5</c:v>
                </c:pt>
              </c:numCache>
            </c:numRef>
          </c:val>
        </c:ser>
        <c:ser>
          <c:idx val="1"/>
          <c:order val="1"/>
          <c:tx>
            <c:strRef>
              <c:f>'Age profile'!$A$29</c:f>
              <c:strCache>
                <c:ptCount val="1"/>
                <c:pt idx="0">
                  <c:v>9</c:v>
                </c:pt>
              </c:strCache>
            </c:strRef>
          </c:tx>
          <c:invertIfNegative val="0"/>
          <c:cat>
            <c:strRef>
              <c:f>'Age profile'!$B$27:$D$27</c:f>
              <c:strCache>
                <c:ptCount val="3"/>
                <c:pt idx="0">
                  <c:v>% Level 1</c:v>
                </c:pt>
                <c:pt idx="1">
                  <c:v>% Level 2a</c:v>
                </c:pt>
                <c:pt idx="2">
                  <c:v>% Level 2b</c:v>
                </c:pt>
              </c:strCache>
            </c:strRef>
          </c:cat>
          <c:val>
            <c:numRef>
              <c:f>'Age profile'!$B$29:$D$29</c:f>
              <c:numCache>
                <c:formatCode>0%</c:formatCode>
                <c:ptCount val="3"/>
                <c:pt idx="0">
                  <c:v>3.34913112164297E-3</c:v>
                </c:pt>
                <c:pt idx="1">
                  <c:v>4.7339519030486653E-4</c:v>
                </c:pt>
                <c:pt idx="2">
                  <c:v>1.2770848410029374E-4</c:v>
                </c:pt>
              </c:numCache>
            </c:numRef>
          </c:val>
        </c:ser>
        <c:ser>
          <c:idx val="2"/>
          <c:order val="2"/>
          <c:tx>
            <c:strRef>
              <c:f>'Age profile'!$A$30</c:f>
              <c:strCache>
                <c:ptCount val="1"/>
                <c:pt idx="0">
                  <c:v>10</c:v>
                </c:pt>
              </c:strCache>
            </c:strRef>
          </c:tx>
          <c:invertIfNegative val="0"/>
          <c:cat>
            <c:strRef>
              <c:f>'Age profile'!$B$27:$D$27</c:f>
              <c:strCache>
                <c:ptCount val="3"/>
                <c:pt idx="0">
                  <c:v>% Level 1</c:v>
                </c:pt>
                <c:pt idx="1">
                  <c:v>% Level 2a</c:v>
                </c:pt>
                <c:pt idx="2">
                  <c:v>% Level 2b</c:v>
                </c:pt>
              </c:strCache>
            </c:strRef>
          </c:cat>
          <c:val>
            <c:numRef>
              <c:f>'Age profile'!$B$30:$D$30</c:f>
              <c:numCache>
                <c:formatCode>0%</c:formatCode>
                <c:ptCount val="3"/>
                <c:pt idx="0">
                  <c:v>1.5039494470774092E-2</c:v>
                </c:pt>
                <c:pt idx="1">
                  <c:v>3.3137663321340656E-3</c:v>
                </c:pt>
                <c:pt idx="2">
                  <c:v>5.5340343110127279E-4</c:v>
                </c:pt>
              </c:numCache>
            </c:numRef>
          </c:val>
        </c:ser>
        <c:ser>
          <c:idx val="3"/>
          <c:order val="3"/>
          <c:tx>
            <c:strRef>
              <c:f>'Age profile'!$A$31</c:f>
              <c:strCache>
                <c:ptCount val="1"/>
                <c:pt idx="0">
                  <c:v>11</c:v>
                </c:pt>
              </c:strCache>
            </c:strRef>
          </c:tx>
          <c:invertIfNegative val="0"/>
          <c:dLbls>
            <c:dLbl>
              <c:idx val="0"/>
              <c:layout/>
              <c:showLegendKey val="0"/>
              <c:showVal val="1"/>
              <c:showCatName val="0"/>
              <c:showSerName val="0"/>
              <c:showPercent val="0"/>
              <c:showBubbleSize val="0"/>
            </c:dLbl>
            <c:showLegendKey val="0"/>
            <c:showVal val="0"/>
            <c:showCatName val="0"/>
            <c:showSerName val="0"/>
            <c:showPercent val="0"/>
            <c:showBubbleSize val="0"/>
          </c:dLbls>
          <c:cat>
            <c:strRef>
              <c:f>'Age profile'!$B$27:$D$27</c:f>
              <c:strCache>
                <c:ptCount val="3"/>
                <c:pt idx="0">
                  <c:v>% Level 1</c:v>
                </c:pt>
                <c:pt idx="1">
                  <c:v>% Level 2a</c:v>
                </c:pt>
                <c:pt idx="2">
                  <c:v>% Level 2b</c:v>
                </c:pt>
              </c:strCache>
            </c:strRef>
          </c:cat>
          <c:val>
            <c:numRef>
              <c:f>'Age profile'!$B$31:$D$31</c:f>
              <c:numCache>
                <c:formatCode>0%</c:formatCode>
                <c:ptCount val="3"/>
                <c:pt idx="0">
                  <c:v>4.720379146919431E-2</c:v>
                </c:pt>
                <c:pt idx="1">
                  <c:v>1.1266805529255823E-2</c:v>
                </c:pt>
                <c:pt idx="2">
                  <c:v>1.8304882721042102E-3</c:v>
                </c:pt>
              </c:numCache>
            </c:numRef>
          </c:val>
        </c:ser>
        <c:ser>
          <c:idx val="4"/>
          <c:order val="4"/>
          <c:tx>
            <c:strRef>
              <c:f>'Age profile'!$A$32</c:f>
              <c:strCache>
                <c:ptCount val="1"/>
                <c:pt idx="0">
                  <c:v>12</c:v>
                </c:pt>
              </c:strCache>
            </c:strRef>
          </c:tx>
          <c:invertIfNegative val="0"/>
          <c:dLbls>
            <c:showLegendKey val="0"/>
            <c:showVal val="1"/>
            <c:showCatName val="0"/>
            <c:showSerName val="0"/>
            <c:showPercent val="0"/>
            <c:showBubbleSize val="0"/>
            <c:showLeaderLines val="0"/>
          </c:dLbls>
          <c:cat>
            <c:strRef>
              <c:f>'Age profile'!$B$27:$D$27</c:f>
              <c:strCache>
                <c:ptCount val="3"/>
                <c:pt idx="0">
                  <c:v>% Level 1</c:v>
                </c:pt>
                <c:pt idx="1">
                  <c:v>% Level 2a</c:v>
                </c:pt>
                <c:pt idx="2">
                  <c:v>% Level 2b</c:v>
                </c:pt>
              </c:strCache>
            </c:strRef>
          </c:cat>
          <c:val>
            <c:numRef>
              <c:f>'Age profile'!$B$32:$D$32</c:f>
              <c:numCache>
                <c:formatCode>0%</c:formatCode>
                <c:ptCount val="3"/>
                <c:pt idx="0">
                  <c:v>7.5639810426540291E-2</c:v>
                </c:pt>
                <c:pt idx="1">
                  <c:v>3.067600833175535E-2</c:v>
                </c:pt>
                <c:pt idx="2">
                  <c:v>6.9388276361159592E-3</c:v>
                </c:pt>
              </c:numCache>
            </c:numRef>
          </c:val>
        </c:ser>
        <c:ser>
          <c:idx val="5"/>
          <c:order val="5"/>
          <c:tx>
            <c:strRef>
              <c:f>'Age profile'!$A$33</c:f>
              <c:strCache>
                <c:ptCount val="1"/>
                <c:pt idx="0">
                  <c:v>13</c:v>
                </c:pt>
              </c:strCache>
            </c:strRef>
          </c:tx>
          <c:invertIfNegative val="0"/>
          <c:dLbls>
            <c:showLegendKey val="0"/>
            <c:showVal val="1"/>
            <c:showCatName val="0"/>
            <c:showSerName val="0"/>
            <c:showPercent val="0"/>
            <c:showBubbleSize val="0"/>
            <c:showLeaderLines val="0"/>
          </c:dLbls>
          <c:cat>
            <c:strRef>
              <c:f>'Age profile'!$B$27:$D$27</c:f>
              <c:strCache>
                <c:ptCount val="3"/>
                <c:pt idx="0">
                  <c:v>% Level 1</c:v>
                </c:pt>
                <c:pt idx="1">
                  <c:v>% Level 2a</c:v>
                </c:pt>
                <c:pt idx="2">
                  <c:v>% Level 2b</c:v>
                </c:pt>
              </c:strCache>
            </c:strRef>
          </c:cat>
          <c:val>
            <c:numRef>
              <c:f>'Age profile'!$B$33:$D$33</c:f>
              <c:numCache>
                <c:formatCode>0%</c:formatCode>
                <c:ptCount val="3"/>
                <c:pt idx="0">
                  <c:v>0.15582938388625592</c:v>
                </c:pt>
                <c:pt idx="1">
                  <c:v>9.4252982389698925E-2</c:v>
                </c:pt>
                <c:pt idx="2">
                  <c:v>3.0607466689370397E-2</c:v>
                </c:pt>
              </c:numCache>
            </c:numRef>
          </c:val>
        </c:ser>
        <c:ser>
          <c:idx val="6"/>
          <c:order val="6"/>
          <c:tx>
            <c:strRef>
              <c:f>'Age profile'!$A$34</c:f>
              <c:strCache>
                <c:ptCount val="1"/>
                <c:pt idx="0">
                  <c:v>14</c:v>
                </c:pt>
              </c:strCache>
            </c:strRef>
          </c:tx>
          <c:invertIfNegative val="0"/>
          <c:dLbls>
            <c:showLegendKey val="0"/>
            <c:showVal val="1"/>
            <c:showCatName val="0"/>
            <c:showSerName val="0"/>
            <c:showPercent val="0"/>
            <c:showBubbleSize val="0"/>
            <c:showLeaderLines val="0"/>
          </c:dLbls>
          <c:cat>
            <c:strRef>
              <c:f>'Age profile'!$B$27:$D$27</c:f>
              <c:strCache>
                <c:ptCount val="3"/>
                <c:pt idx="0">
                  <c:v>% Level 1</c:v>
                </c:pt>
                <c:pt idx="1">
                  <c:v>% Level 2a</c:v>
                </c:pt>
                <c:pt idx="2">
                  <c:v>% Level 2b</c:v>
                </c:pt>
              </c:strCache>
            </c:strRef>
          </c:cat>
          <c:val>
            <c:numRef>
              <c:f>'Age profile'!$B$34:$D$34</c:f>
              <c:numCache>
                <c:formatCode>0%</c:formatCode>
                <c:ptCount val="3"/>
                <c:pt idx="0">
                  <c:v>0.2416429699842022</c:v>
                </c:pt>
                <c:pt idx="1">
                  <c:v>0.21913463359212271</c:v>
                </c:pt>
                <c:pt idx="2">
                  <c:v>9.0971010174109232E-2</c:v>
                </c:pt>
              </c:numCache>
            </c:numRef>
          </c:val>
        </c:ser>
        <c:ser>
          <c:idx val="7"/>
          <c:order val="7"/>
          <c:tx>
            <c:strRef>
              <c:f>'Age profile'!$A$35</c:f>
              <c:strCache>
                <c:ptCount val="1"/>
                <c:pt idx="0">
                  <c:v>15</c:v>
                </c:pt>
              </c:strCache>
            </c:strRef>
          </c:tx>
          <c:invertIfNegative val="0"/>
          <c:dLbls>
            <c:showLegendKey val="0"/>
            <c:showVal val="1"/>
            <c:showCatName val="0"/>
            <c:showSerName val="0"/>
            <c:showPercent val="0"/>
            <c:showBubbleSize val="0"/>
            <c:showLeaderLines val="0"/>
          </c:dLbls>
          <c:cat>
            <c:strRef>
              <c:f>'Age profile'!$B$27:$D$27</c:f>
              <c:strCache>
                <c:ptCount val="3"/>
                <c:pt idx="0">
                  <c:v>% Level 1</c:v>
                </c:pt>
                <c:pt idx="1">
                  <c:v>% Level 2a</c:v>
                </c:pt>
                <c:pt idx="2">
                  <c:v>% Level 2b</c:v>
                </c:pt>
              </c:strCache>
            </c:strRef>
          </c:cat>
          <c:val>
            <c:numRef>
              <c:f>'Age profile'!$B$35:$D$35</c:f>
              <c:numCache>
                <c:formatCode>0%</c:formatCode>
                <c:ptCount val="3"/>
                <c:pt idx="0">
                  <c:v>0.24322274881516587</c:v>
                </c:pt>
                <c:pt idx="1">
                  <c:v>0.28540996023480403</c:v>
                </c:pt>
                <c:pt idx="2">
                  <c:v>0.16482908347877911</c:v>
                </c:pt>
              </c:numCache>
            </c:numRef>
          </c:val>
        </c:ser>
        <c:ser>
          <c:idx val="8"/>
          <c:order val="8"/>
          <c:tx>
            <c:strRef>
              <c:f>'Age profile'!$A$36</c:f>
              <c:strCache>
                <c:ptCount val="1"/>
                <c:pt idx="0">
                  <c:v>16</c:v>
                </c:pt>
              </c:strCache>
            </c:strRef>
          </c:tx>
          <c:invertIfNegative val="0"/>
          <c:dLbls>
            <c:showLegendKey val="0"/>
            <c:showVal val="1"/>
            <c:showCatName val="0"/>
            <c:showSerName val="0"/>
            <c:showPercent val="0"/>
            <c:showBubbleSize val="0"/>
            <c:showLeaderLines val="0"/>
          </c:dLbls>
          <c:cat>
            <c:strRef>
              <c:f>'Age profile'!$B$27:$D$27</c:f>
              <c:strCache>
                <c:ptCount val="3"/>
                <c:pt idx="0">
                  <c:v>% Level 1</c:v>
                </c:pt>
                <c:pt idx="1">
                  <c:v>% Level 2a</c:v>
                </c:pt>
                <c:pt idx="2">
                  <c:v>% Level 2b</c:v>
                </c:pt>
              </c:strCache>
            </c:strRef>
          </c:cat>
          <c:val>
            <c:numRef>
              <c:f>'Age profile'!$B$36:$D$36</c:f>
              <c:numCache>
                <c:formatCode>0%</c:formatCode>
                <c:ptCount val="3"/>
                <c:pt idx="0">
                  <c:v>0.13579778830963665</c:v>
                </c:pt>
                <c:pt idx="1">
                  <c:v>0.20867259988638515</c:v>
                </c:pt>
                <c:pt idx="2">
                  <c:v>0.26239836533140354</c:v>
                </c:pt>
              </c:numCache>
            </c:numRef>
          </c:val>
        </c:ser>
        <c:ser>
          <c:idx val="9"/>
          <c:order val="9"/>
          <c:tx>
            <c:strRef>
              <c:f>'Age profile'!$A$37</c:f>
              <c:strCache>
                <c:ptCount val="1"/>
                <c:pt idx="0">
                  <c:v>17</c:v>
                </c:pt>
              </c:strCache>
            </c:strRef>
          </c:tx>
          <c:invertIfNegative val="0"/>
          <c:dLbls>
            <c:showLegendKey val="0"/>
            <c:showVal val="1"/>
            <c:showCatName val="0"/>
            <c:showSerName val="0"/>
            <c:showPercent val="0"/>
            <c:showBubbleSize val="0"/>
            <c:showLeaderLines val="0"/>
          </c:dLbls>
          <c:cat>
            <c:strRef>
              <c:f>'Age profile'!$B$27:$D$27</c:f>
              <c:strCache>
                <c:ptCount val="3"/>
                <c:pt idx="0">
                  <c:v>% Level 1</c:v>
                </c:pt>
                <c:pt idx="1">
                  <c:v>% Level 2a</c:v>
                </c:pt>
                <c:pt idx="2">
                  <c:v>% Level 2b</c:v>
                </c:pt>
              </c:strCache>
            </c:strRef>
          </c:cat>
          <c:val>
            <c:numRef>
              <c:f>'Age profile'!$B$37:$D$37</c:f>
              <c:numCache>
                <c:formatCode>0%</c:formatCode>
                <c:ptCount val="3"/>
                <c:pt idx="0">
                  <c:v>6.1105845181674563E-2</c:v>
                </c:pt>
                <c:pt idx="1">
                  <c:v>0.10485703465252794</c:v>
                </c:pt>
                <c:pt idx="2">
                  <c:v>0.23536673619684134</c:v>
                </c:pt>
              </c:numCache>
            </c:numRef>
          </c:val>
        </c:ser>
        <c:ser>
          <c:idx val="10"/>
          <c:order val="10"/>
          <c:tx>
            <c:strRef>
              <c:f>'Age profile'!$A$38</c:f>
              <c:strCache>
                <c:ptCount val="1"/>
                <c:pt idx="0">
                  <c:v>18</c:v>
                </c:pt>
              </c:strCache>
            </c:strRef>
          </c:tx>
          <c:invertIfNegative val="0"/>
          <c:dLbls>
            <c:showLegendKey val="0"/>
            <c:showVal val="1"/>
            <c:showCatName val="0"/>
            <c:showSerName val="0"/>
            <c:showPercent val="0"/>
            <c:showBubbleSize val="0"/>
            <c:showLeaderLines val="0"/>
          </c:dLbls>
          <c:cat>
            <c:strRef>
              <c:f>'Age profile'!$B$27:$D$27</c:f>
              <c:strCache>
                <c:ptCount val="3"/>
                <c:pt idx="0">
                  <c:v>% Level 1</c:v>
                </c:pt>
                <c:pt idx="1">
                  <c:v>% Level 2a</c:v>
                </c:pt>
                <c:pt idx="2">
                  <c:v>% Level 2b</c:v>
                </c:pt>
              </c:strCache>
            </c:strRef>
          </c:cat>
          <c:val>
            <c:numRef>
              <c:f>'Age profile'!$B$38:$D$38</c:f>
              <c:numCache>
                <c:formatCode>0%</c:formatCode>
                <c:ptCount val="3"/>
                <c:pt idx="0">
                  <c:v>1.5355450236966824E-2</c:v>
                </c:pt>
                <c:pt idx="1">
                  <c:v>3.0391971217572429E-2</c:v>
                </c:pt>
                <c:pt idx="2">
                  <c:v>0.12945383338299774</c:v>
                </c:pt>
              </c:numCache>
            </c:numRef>
          </c:val>
        </c:ser>
        <c:ser>
          <c:idx val="11"/>
          <c:order val="11"/>
          <c:tx>
            <c:strRef>
              <c:f>'Age profile'!$A$39</c:f>
              <c:strCache>
                <c:ptCount val="1"/>
                <c:pt idx="0">
                  <c:v>19</c:v>
                </c:pt>
              </c:strCache>
            </c:strRef>
          </c:tx>
          <c:invertIfNegative val="0"/>
          <c:dLbls>
            <c:dLbl>
              <c:idx val="2"/>
              <c:layout/>
              <c:showLegendKey val="0"/>
              <c:showVal val="1"/>
              <c:showCatName val="0"/>
              <c:showSerName val="0"/>
              <c:showPercent val="0"/>
              <c:showBubbleSize val="0"/>
            </c:dLbl>
            <c:showLegendKey val="0"/>
            <c:showVal val="0"/>
            <c:showCatName val="0"/>
            <c:showSerName val="0"/>
            <c:showPercent val="0"/>
            <c:showBubbleSize val="0"/>
          </c:dLbls>
          <c:cat>
            <c:strRef>
              <c:f>'Age profile'!$B$27:$D$27</c:f>
              <c:strCache>
                <c:ptCount val="3"/>
                <c:pt idx="0">
                  <c:v>% Level 1</c:v>
                </c:pt>
                <c:pt idx="1">
                  <c:v>% Level 2a</c:v>
                </c:pt>
                <c:pt idx="2">
                  <c:v>% Level 2b</c:v>
                </c:pt>
              </c:strCache>
            </c:strRef>
          </c:cat>
          <c:val>
            <c:numRef>
              <c:f>'Age profile'!$B$39:$D$39</c:f>
              <c:numCache>
                <c:formatCode>0%</c:formatCode>
                <c:ptCount val="3"/>
                <c:pt idx="0">
                  <c:v>3.8546603475513429E-3</c:v>
                </c:pt>
                <c:pt idx="1">
                  <c:v>8.6631319825790573E-3</c:v>
                </c:pt>
                <c:pt idx="2">
                  <c:v>6.1512919841641478E-2</c:v>
                </c:pt>
              </c:numCache>
            </c:numRef>
          </c:val>
        </c:ser>
        <c:ser>
          <c:idx val="12"/>
          <c:order val="12"/>
          <c:tx>
            <c:strRef>
              <c:f>'Age profile'!$A$40</c:f>
              <c:strCache>
                <c:ptCount val="1"/>
                <c:pt idx="0">
                  <c:v>20</c:v>
                </c:pt>
              </c:strCache>
            </c:strRef>
          </c:tx>
          <c:invertIfNegative val="0"/>
          <c:cat>
            <c:strRef>
              <c:f>'Age profile'!$B$27:$D$27</c:f>
              <c:strCache>
                <c:ptCount val="3"/>
                <c:pt idx="0">
                  <c:v>% Level 1</c:v>
                </c:pt>
                <c:pt idx="1">
                  <c:v>% Level 2a</c:v>
                </c:pt>
                <c:pt idx="2">
                  <c:v>% Level 2b</c:v>
                </c:pt>
              </c:strCache>
            </c:strRef>
          </c:cat>
          <c:val>
            <c:numRef>
              <c:f>'Age profile'!$B$40:$D$40</c:f>
              <c:numCache>
                <c:formatCode>0%</c:formatCode>
                <c:ptCount val="3"/>
                <c:pt idx="0">
                  <c:v>9.4786729857819908E-4</c:v>
                </c:pt>
                <c:pt idx="1">
                  <c:v>1.8935807612194661E-3</c:v>
                </c:pt>
                <c:pt idx="2">
                  <c:v>1.1876889021327316E-2</c:v>
                </c:pt>
              </c:numCache>
            </c:numRef>
          </c:val>
        </c:ser>
        <c:ser>
          <c:idx val="13"/>
          <c:order val="13"/>
          <c:tx>
            <c:strRef>
              <c:f>'Age profile'!$A$41</c:f>
              <c:strCache>
                <c:ptCount val="1"/>
                <c:pt idx="0">
                  <c:v>21</c:v>
                </c:pt>
              </c:strCache>
            </c:strRef>
          </c:tx>
          <c:invertIfNegative val="0"/>
          <c:cat>
            <c:strRef>
              <c:f>'Age profile'!$B$27:$D$27</c:f>
              <c:strCache>
                <c:ptCount val="3"/>
                <c:pt idx="0">
                  <c:v>% Level 1</c:v>
                </c:pt>
                <c:pt idx="1">
                  <c:v>% Level 2a</c:v>
                </c:pt>
                <c:pt idx="2">
                  <c:v>% Level 2b</c:v>
                </c:pt>
              </c:strCache>
            </c:strRef>
          </c:cat>
          <c:val>
            <c:numRef>
              <c:f>'Age profile'!$B$41:$D$41</c:f>
              <c:numCache>
                <c:formatCode>0%</c:formatCode>
                <c:ptCount val="3"/>
                <c:pt idx="0">
                  <c:v>6.3191153238546606E-5</c:v>
                </c:pt>
                <c:pt idx="1">
                  <c:v>4.7339519030486653E-4</c:v>
                </c:pt>
                <c:pt idx="2">
                  <c:v>2.0433357456046998E-3</c:v>
                </c:pt>
              </c:numCache>
            </c:numRef>
          </c:val>
        </c:ser>
        <c:ser>
          <c:idx val="14"/>
          <c:order val="14"/>
          <c:tx>
            <c:strRef>
              <c:f>'Age profile'!$A$42</c:f>
              <c:strCache>
                <c:ptCount val="1"/>
                <c:pt idx="0">
                  <c:v>22</c:v>
                </c:pt>
              </c:strCache>
            </c:strRef>
          </c:tx>
          <c:invertIfNegative val="0"/>
          <c:cat>
            <c:strRef>
              <c:f>'Age profile'!$B$27:$D$27</c:f>
              <c:strCache>
                <c:ptCount val="3"/>
                <c:pt idx="0">
                  <c:v>% Level 1</c:v>
                </c:pt>
                <c:pt idx="1">
                  <c:v>% Level 2a</c:v>
                </c:pt>
                <c:pt idx="2">
                  <c:v>% Level 2b</c:v>
                </c:pt>
              </c:strCache>
            </c:strRef>
          </c:cat>
          <c:val>
            <c:numRef>
              <c:f>'Age profile'!$B$42:$D$42</c:f>
              <c:numCache>
                <c:formatCode>0%</c:formatCode>
                <c:ptCount val="3"/>
                <c:pt idx="0">
                  <c:v>6.3191153238546606E-5</c:v>
                </c:pt>
                <c:pt idx="1">
                  <c:v>2.8403711418291991E-4</c:v>
                </c:pt>
                <c:pt idx="2">
                  <c:v>8.5138989400195821E-4</c:v>
                </c:pt>
              </c:numCache>
            </c:numRef>
          </c:val>
        </c:ser>
        <c:ser>
          <c:idx val="15"/>
          <c:order val="15"/>
          <c:tx>
            <c:strRef>
              <c:f>'Age profile'!$A$43</c:f>
              <c:strCache>
                <c:ptCount val="1"/>
                <c:pt idx="0">
                  <c:v>23</c:v>
                </c:pt>
              </c:strCache>
            </c:strRef>
          </c:tx>
          <c:invertIfNegative val="0"/>
          <c:cat>
            <c:strRef>
              <c:f>'Age profile'!$B$27:$D$27</c:f>
              <c:strCache>
                <c:ptCount val="3"/>
                <c:pt idx="0">
                  <c:v>% Level 1</c:v>
                </c:pt>
                <c:pt idx="1">
                  <c:v>% Level 2a</c:v>
                </c:pt>
                <c:pt idx="2">
                  <c:v>% Level 2b</c:v>
                </c:pt>
              </c:strCache>
            </c:strRef>
          </c:cat>
          <c:val>
            <c:numRef>
              <c:f>'Age profile'!$B$43:$D$43</c:f>
              <c:numCache>
                <c:formatCode>0%</c:formatCode>
                <c:ptCount val="3"/>
                <c:pt idx="0">
                  <c:v>0</c:v>
                </c:pt>
                <c:pt idx="1">
                  <c:v>4.7339519030486649E-5</c:v>
                </c:pt>
                <c:pt idx="2">
                  <c:v>3.4055595760078326E-4</c:v>
                </c:pt>
              </c:numCache>
            </c:numRef>
          </c:val>
        </c:ser>
        <c:ser>
          <c:idx val="16"/>
          <c:order val="16"/>
          <c:tx>
            <c:strRef>
              <c:f>'Age profile'!$A$44</c:f>
              <c:strCache>
                <c:ptCount val="1"/>
                <c:pt idx="0">
                  <c:v>24</c:v>
                </c:pt>
              </c:strCache>
            </c:strRef>
          </c:tx>
          <c:invertIfNegative val="0"/>
          <c:cat>
            <c:strRef>
              <c:f>'Age profile'!$B$27:$D$27</c:f>
              <c:strCache>
                <c:ptCount val="3"/>
                <c:pt idx="0">
                  <c:v>% Level 1</c:v>
                </c:pt>
                <c:pt idx="1">
                  <c:v>% Level 2a</c:v>
                </c:pt>
                <c:pt idx="2">
                  <c:v>% Level 2b</c:v>
                </c:pt>
              </c:strCache>
            </c:strRef>
          </c:cat>
          <c:val>
            <c:numRef>
              <c:f>'Age profile'!$B$44:$D$44</c:f>
              <c:numCache>
                <c:formatCode>0%</c:formatCode>
                <c:ptCount val="3"/>
                <c:pt idx="0">
                  <c:v>0</c:v>
                </c:pt>
                <c:pt idx="1">
                  <c:v>4.7339519030486649E-5</c:v>
                </c:pt>
                <c:pt idx="2">
                  <c:v>8.5138989400195816E-5</c:v>
                </c:pt>
              </c:numCache>
            </c:numRef>
          </c:val>
        </c:ser>
        <c:ser>
          <c:idx val="17"/>
          <c:order val="17"/>
          <c:tx>
            <c:strRef>
              <c:f>'Age profile'!$A$45</c:f>
              <c:strCache>
                <c:ptCount val="1"/>
                <c:pt idx="0">
                  <c:v>25</c:v>
                </c:pt>
              </c:strCache>
            </c:strRef>
          </c:tx>
          <c:invertIfNegative val="0"/>
          <c:cat>
            <c:strRef>
              <c:f>'Age profile'!$B$27:$D$27</c:f>
              <c:strCache>
                <c:ptCount val="3"/>
                <c:pt idx="0">
                  <c:v>% Level 1</c:v>
                </c:pt>
                <c:pt idx="1">
                  <c:v>% Level 2a</c:v>
                </c:pt>
                <c:pt idx="2">
                  <c:v>% Level 2b</c:v>
                </c:pt>
              </c:strCache>
            </c:strRef>
          </c:cat>
          <c:val>
            <c:numRef>
              <c:f>'Age profile'!$B$45:$D$45</c:f>
              <c:numCache>
                <c:formatCode>0%</c:formatCode>
                <c:ptCount val="3"/>
                <c:pt idx="0">
                  <c:v>6.3191153238546606E-5</c:v>
                </c:pt>
                <c:pt idx="1">
                  <c:v>4.7339519030486649E-5</c:v>
                </c:pt>
                <c:pt idx="2">
                  <c:v>1.2770848410029374E-4</c:v>
                </c:pt>
              </c:numCache>
            </c:numRef>
          </c:val>
        </c:ser>
        <c:dLbls>
          <c:showLegendKey val="0"/>
          <c:showVal val="0"/>
          <c:showCatName val="0"/>
          <c:showSerName val="0"/>
          <c:showPercent val="0"/>
          <c:showBubbleSize val="0"/>
        </c:dLbls>
        <c:gapWidth val="55"/>
        <c:axId val="144765312"/>
        <c:axId val="144766848"/>
      </c:barChart>
      <c:catAx>
        <c:axId val="144765312"/>
        <c:scaling>
          <c:orientation val="minMax"/>
        </c:scaling>
        <c:delete val="0"/>
        <c:axPos val="b"/>
        <c:majorTickMark val="none"/>
        <c:minorTickMark val="none"/>
        <c:tickLblPos val="nextTo"/>
        <c:crossAx val="144766848"/>
        <c:crosses val="autoZero"/>
        <c:auto val="1"/>
        <c:lblAlgn val="ctr"/>
        <c:lblOffset val="100"/>
        <c:noMultiLvlLbl val="0"/>
      </c:catAx>
      <c:valAx>
        <c:axId val="144766848"/>
        <c:scaling>
          <c:orientation val="minMax"/>
        </c:scaling>
        <c:delete val="0"/>
        <c:axPos val="l"/>
        <c:majorGridlines/>
        <c:numFmt formatCode="0%" sourceLinked="1"/>
        <c:majorTickMark val="none"/>
        <c:minorTickMark val="none"/>
        <c:tickLblPos val="nextTo"/>
        <c:crossAx val="144765312"/>
        <c:crosses val="autoZero"/>
        <c:crossBetween val="between"/>
      </c:valAx>
    </c:plotArea>
    <c:legend>
      <c:legendPos val="r"/>
      <c:layout/>
      <c:overlay val="0"/>
    </c:legend>
    <c:plotVisOnly val="1"/>
    <c:dispBlanksAs val="gap"/>
    <c:showDLblsOverMax val="0"/>
  </c:chart>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18"/>
    </mc:Choice>
    <mc:Fallback>
      <c:style val="18"/>
    </mc:Fallback>
  </mc:AlternateContent>
  <c:chart>
    <c:title>
      <c:tx>
        <c:rich>
          <a:bodyPr/>
          <a:lstStyle/>
          <a:p>
            <a:pPr>
              <a:defRPr sz="1400"/>
            </a:pPr>
            <a:r>
              <a:rPr lang="en-AU" sz="1400"/>
              <a:t>% of Participants who have been identified as having a characteristic</a:t>
            </a:r>
          </a:p>
        </c:rich>
      </c:tx>
      <c:layout/>
      <c:overlay val="0"/>
    </c:title>
    <c:autoTitleDeleted val="0"/>
    <c:plotArea>
      <c:layout/>
      <c:barChart>
        <c:barDir val="bar"/>
        <c:grouping val="clustered"/>
        <c:varyColors val="0"/>
        <c:ser>
          <c:idx val="0"/>
          <c:order val="0"/>
          <c:tx>
            <c:strRef>
              <c:f>Characteristics!$B$2</c:f>
              <c:strCache>
                <c:ptCount val="1"/>
                <c:pt idx="0">
                  <c:v>% VIC</c:v>
                </c:pt>
              </c:strCache>
            </c:strRef>
          </c:tx>
          <c:invertIfNegative val="0"/>
          <c:dLbls>
            <c:showLegendKey val="0"/>
            <c:showVal val="1"/>
            <c:showCatName val="0"/>
            <c:showSerName val="0"/>
            <c:showPercent val="0"/>
            <c:showBubbleSize val="0"/>
            <c:showLeaderLines val="0"/>
          </c:dLbls>
          <c:cat>
            <c:strRef>
              <c:f>Characteristics!$A$3:$A$11</c:f>
              <c:strCache>
                <c:ptCount val="9"/>
                <c:pt idx="0">
                  <c:v>Culturally and linguistically diverse</c:v>
                </c:pt>
                <c:pt idx="1">
                  <c:v>Disability</c:v>
                </c:pt>
                <c:pt idx="2">
                  <c:v>Humanitarian Refugee</c:v>
                </c:pt>
                <c:pt idx="3">
                  <c:v>Indigenous Australian</c:v>
                </c:pt>
                <c:pt idx="4">
                  <c:v>Parent</c:v>
                </c:pt>
                <c:pt idx="5">
                  <c:v>Receiving Centrelink Income Support</c:v>
                </c:pt>
                <c:pt idx="6">
                  <c:v>Refugee Background</c:v>
                </c:pt>
                <c:pt idx="7">
                  <c:v>Suspected or diagnosed mental health issue</c:v>
                </c:pt>
                <c:pt idx="8">
                  <c:v>Young Carer</c:v>
                </c:pt>
              </c:strCache>
            </c:strRef>
          </c:cat>
          <c:val>
            <c:numRef>
              <c:f>Characteristics!$B$3:$B$11</c:f>
              <c:numCache>
                <c:formatCode>0%</c:formatCode>
                <c:ptCount val="9"/>
                <c:pt idx="0">
                  <c:v>7.4292272379495025E-2</c:v>
                </c:pt>
                <c:pt idx="1">
                  <c:v>5.3175210405508801E-2</c:v>
                </c:pt>
                <c:pt idx="2">
                  <c:v>2.9227237949502678E-2</c:v>
                </c:pt>
                <c:pt idx="3">
                  <c:v>5.7000765110941085E-2</c:v>
                </c:pt>
                <c:pt idx="4">
                  <c:v>2.2417750573833207E-2</c:v>
                </c:pt>
                <c:pt idx="5">
                  <c:v>0.38087222647283858</c:v>
                </c:pt>
                <c:pt idx="6">
                  <c:v>1.4307574598316756E-2</c:v>
                </c:pt>
                <c:pt idx="7">
                  <c:v>0.29387911247130832</c:v>
                </c:pt>
                <c:pt idx="8">
                  <c:v>2.5325172149961744E-2</c:v>
                </c:pt>
              </c:numCache>
            </c:numRef>
          </c:val>
        </c:ser>
        <c:ser>
          <c:idx val="1"/>
          <c:order val="1"/>
          <c:tx>
            <c:strRef>
              <c:f>Characteristics!$C$2</c:f>
              <c:strCache>
                <c:ptCount val="1"/>
                <c:pt idx="0">
                  <c:v>% National</c:v>
                </c:pt>
              </c:strCache>
            </c:strRef>
          </c:tx>
          <c:invertIfNegative val="0"/>
          <c:dLbls>
            <c:showLegendKey val="0"/>
            <c:showVal val="1"/>
            <c:showCatName val="0"/>
            <c:showSerName val="0"/>
            <c:showPercent val="0"/>
            <c:showBubbleSize val="0"/>
            <c:showLeaderLines val="0"/>
          </c:dLbls>
          <c:cat>
            <c:strRef>
              <c:f>Characteristics!$A$3:$A$11</c:f>
              <c:strCache>
                <c:ptCount val="9"/>
                <c:pt idx="0">
                  <c:v>Culturally and linguistically diverse</c:v>
                </c:pt>
                <c:pt idx="1">
                  <c:v>Disability</c:v>
                </c:pt>
                <c:pt idx="2">
                  <c:v>Humanitarian Refugee</c:v>
                </c:pt>
                <c:pt idx="3">
                  <c:v>Indigenous Australian</c:v>
                </c:pt>
                <c:pt idx="4">
                  <c:v>Parent</c:v>
                </c:pt>
                <c:pt idx="5">
                  <c:v>Receiving Centrelink Income Support</c:v>
                </c:pt>
                <c:pt idx="6">
                  <c:v>Refugee Background</c:v>
                </c:pt>
                <c:pt idx="7">
                  <c:v>Suspected or diagnosed mental health issue</c:v>
                </c:pt>
                <c:pt idx="8">
                  <c:v>Young Carer</c:v>
                </c:pt>
              </c:strCache>
            </c:strRef>
          </c:cat>
          <c:val>
            <c:numRef>
              <c:f>Characteristics!$C$3:$C$11</c:f>
              <c:numCache>
                <c:formatCode>0%</c:formatCode>
                <c:ptCount val="9"/>
                <c:pt idx="0">
                  <c:v>6.7577282530553562E-2</c:v>
                </c:pt>
                <c:pt idx="1">
                  <c:v>4.3870459758310228E-2</c:v>
                </c:pt>
                <c:pt idx="2">
                  <c:v>1.5268220875697512E-2</c:v>
                </c:pt>
                <c:pt idx="3">
                  <c:v>0.18758344459279039</c:v>
                </c:pt>
                <c:pt idx="4">
                  <c:v>2.1310465235698881E-2</c:v>
                </c:pt>
                <c:pt idx="5">
                  <c:v>0.3151894834137825</c:v>
                </c:pt>
                <c:pt idx="6">
                  <c:v>6.0593611995481151E-3</c:v>
                </c:pt>
                <c:pt idx="7">
                  <c:v>0.21764061483687652</c:v>
                </c:pt>
                <c:pt idx="8">
                  <c:v>2.1070829482044435E-2</c:v>
                </c:pt>
              </c:numCache>
            </c:numRef>
          </c:val>
        </c:ser>
        <c:dLbls>
          <c:showLegendKey val="0"/>
          <c:showVal val="0"/>
          <c:showCatName val="0"/>
          <c:showSerName val="0"/>
          <c:showPercent val="0"/>
          <c:showBubbleSize val="0"/>
        </c:dLbls>
        <c:gapWidth val="150"/>
        <c:axId val="167869824"/>
        <c:axId val="168834176"/>
      </c:barChart>
      <c:catAx>
        <c:axId val="167869824"/>
        <c:scaling>
          <c:orientation val="maxMin"/>
        </c:scaling>
        <c:delete val="0"/>
        <c:axPos val="l"/>
        <c:majorTickMark val="none"/>
        <c:minorTickMark val="none"/>
        <c:tickLblPos val="nextTo"/>
        <c:crossAx val="168834176"/>
        <c:crosses val="autoZero"/>
        <c:auto val="1"/>
        <c:lblAlgn val="ctr"/>
        <c:lblOffset val="100"/>
        <c:noMultiLvlLbl val="0"/>
      </c:catAx>
      <c:valAx>
        <c:axId val="168834176"/>
        <c:scaling>
          <c:orientation val="minMax"/>
        </c:scaling>
        <c:delete val="0"/>
        <c:axPos val="t"/>
        <c:majorGridlines/>
        <c:numFmt formatCode="0%" sourceLinked="1"/>
        <c:majorTickMark val="none"/>
        <c:minorTickMark val="none"/>
        <c:tickLblPos val="nextTo"/>
        <c:crossAx val="167869824"/>
        <c:crosses val="autoZero"/>
        <c:crossBetween val="between"/>
      </c:valAx>
    </c:plotArea>
    <c:legend>
      <c:legendPos val="r"/>
      <c:layout/>
      <c:overlay val="0"/>
    </c:legend>
    <c:plotVisOnly val="1"/>
    <c:dispBlanksAs val="gap"/>
    <c:showDLblsOverMax val="0"/>
  </c:chart>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18"/>
    </mc:Choice>
    <mc:Fallback>
      <c:style val="18"/>
    </mc:Fallback>
  </mc:AlternateContent>
  <c:chart>
    <c:title>
      <c:tx>
        <c:rich>
          <a:bodyPr/>
          <a:lstStyle/>
          <a:p>
            <a:pPr>
              <a:defRPr sz="1400"/>
            </a:pPr>
            <a:r>
              <a:rPr lang="en-AU" sz="1400"/>
              <a:t>% of participants who have been identified as having</a:t>
            </a:r>
            <a:r>
              <a:rPr lang="en-AU" sz="1400" baseline="0"/>
              <a:t> a barrier</a:t>
            </a:r>
            <a:endParaRPr lang="en-AU" sz="1400"/>
          </a:p>
        </c:rich>
      </c:tx>
      <c:layout/>
      <c:overlay val="0"/>
    </c:title>
    <c:autoTitleDeleted val="0"/>
    <c:plotArea>
      <c:layout/>
      <c:barChart>
        <c:barDir val="bar"/>
        <c:grouping val="clustered"/>
        <c:varyColors val="0"/>
        <c:ser>
          <c:idx val="0"/>
          <c:order val="0"/>
          <c:tx>
            <c:strRef>
              <c:f>Barriers!$T$2</c:f>
              <c:strCache>
                <c:ptCount val="1"/>
                <c:pt idx="0">
                  <c:v>VIC</c:v>
                </c:pt>
              </c:strCache>
            </c:strRef>
          </c:tx>
          <c:invertIfNegative val="0"/>
          <c:dLbls>
            <c:showLegendKey val="0"/>
            <c:showVal val="1"/>
            <c:showCatName val="0"/>
            <c:showSerName val="0"/>
            <c:showPercent val="0"/>
            <c:showBubbleSize val="0"/>
            <c:showLeaderLines val="0"/>
          </c:dLbls>
          <c:cat>
            <c:strRef>
              <c:f>Barriers!$S$3:$S$29</c:f>
              <c:strCache>
                <c:ptCount val="27"/>
                <c:pt idx="0">
                  <c:v>Abuse/Domestic Violence issue</c:v>
                </c:pt>
                <c:pt idx="1">
                  <c:v>Alcohol and/or drug misuse</c:v>
                </c:pt>
                <c:pt idx="2">
                  <c:v>Anger management issues</c:v>
                </c:pt>
                <c:pt idx="3">
                  <c:v>Behavioural problems</c:v>
                </c:pt>
                <c:pt idx="4">
                  <c:v>Bullying</c:v>
                </c:pt>
                <c:pt idx="5">
                  <c:v>Critical life event</c:v>
                </c:pt>
                <c:pt idx="6">
                  <c:v>Current or previous Juvenile Justice Orders</c:v>
                </c:pt>
                <c:pt idx="7">
                  <c:v>Disability</c:v>
                </c:pt>
                <c:pt idx="8">
                  <c:v>Disconnection from cultural heritage</c:v>
                </c:pt>
                <c:pt idx="9">
                  <c:v>Financial distress</c:v>
                </c:pt>
                <c:pt idx="10">
                  <c:v>Gifted</c:v>
                </c:pt>
                <c:pt idx="11">
                  <c:v>Homelessness</c:v>
                </c:pt>
                <c:pt idx="12">
                  <c:v>In detention/previously in detention</c:v>
                </c:pt>
                <c:pt idx="13">
                  <c:v>Inadequate family support</c:v>
                </c:pt>
                <c:pt idx="14">
                  <c:v>Learning Difficulty</c:v>
                </c:pt>
                <c:pt idx="15">
                  <c:v>Low literacy and/or numeracy</c:v>
                </c:pt>
                <c:pt idx="16">
                  <c:v>Low Self Esteem</c:v>
                </c:pt>
                <c:pt idx="17">
                  <c:v>Medical or other health issue</c:v>
                </c:pt>
                <c:pt idx="18">
                  <c:v>Negative experience(s) with education and training</c:v>
                </c:pt>
                <c:pt idx="19">
                  <c:v>Out of home care</c:v>
                </c:pt>
                <c:pt idx="20">
                  <c:v>Parent/Pregnancy</c:v>
                </c:pt>
                <c:pt idx="21">
                  <c:v>Petrol sniffing</c:v>
                </c:pt>
                <c:pt idx="22">
                  <c:v>Socialisation issues</c:v>
                </c:pt>
                <c:pt idx="23">
                  <c:v>Suspected or diagnosed mental health issue</c:v>
                </c:pt>
                <c:pt idx="24">
                  <c:v>Unstable living arrangements</c:v>
                </c:pt>
                <c:pt idx="25">
                  <c:v>Volatile substance misuse</c:v>
                </c:pt>
                <c:pt idx="26">
                  <c:v>Young Carer responsibilities</c:v>
                </c:pt>
              </c:strCache>
            </c:strRef>
          </c:cat>
          <c:val>
            <c:numRef>
              <c:f>Barriers!$T$3:$T$29</c:f>
              <c:numCache>
                <c:formatCode>0%</c:formatCode>
                <c:ptCount val="27"/>
                <c:pt idx="0">
                  <c:v>0.11662075298438934</c:v>
                </c:pt>
                <c:pt idx="1">
                  <c:v>0.18610345883073157</c:v>
                </c:pt>
                <c:pt idx="2">
                  <c:v>0.28642485460667277</c:v>
                </c:pt>
                <c:pt idx="3">
                  <c:v>0.43839914294459748</c:v>
                </c:pt>
                <c:pt idx="4">
                  <c:v>0.24938781756963574</c:v>
                </c:pt>
                <c:pt idx="5">
                  <c:v>0.22092133455769819</c:v>
                </c:pt>
                <c:pt idx="6">
                  <c:v>9.2363024181205997E-2</c:v>
                </c:pt>
                <c:pt idx="7">
                  <c:v>5.6856443220079586E-2</c:v>
                </c:pt>
                <c:pt idx="8">
                  <c:v>4.1245791245791245E-2</c:v>
                </c:pt>
                <c:pt idx="9">
                  <c:v>0.34565350474441381</c:v>
                </c:pt>
                <c:pt idx="10">
                  <c:v>1.0254055708601164E-2</c:v>
                </c:pt>
                <c:pt idx="11">
                  <c:v>6.1141720232629322E-2</c:v>
                </c:pt>
                <c:pt idx="12">
                  <c:v>1.6911539638812367E-2</c:v>
                </c:pt>
                <c:pt idx="13">
                  <c:v>0.360805019895929</c:v>
                </c:pt>
                <c:pt idx="14">
                  <c:v>0.10705540250994797</c:v>
                </c:pt>
                <c:pt idx="15">
                  <c:v>0.50704009794918881</c:v>
                </c:pt>
                <c:pt idx="16">
                  <c:v>0.56657483930211205</c:v>
                </c:pt>
                <c:pt idx="17">
                  <c:v>0.1184573002754821</c:v>
                </c:pt>
                <c:pt idx="18">
                  <c:v>0.16551882460973369</c:v>
                </c:pt>
                <c:pt idx="19">
                  <c:v>4.2011019283746558E-2</c:v>
                </c:pt>
                <c:pt idx="20">
                  <c:v>3.6960514233241509E-2</c:v>
                </c:pt>
                <c:pt idx="21">
                  <c:v>4.591368227731864E-4</c:v>
                </c:pt>
                <c:pt idx="22">
                  <c:v>0.38965411692684421</c:v>
                </c:pt>
                <c:pt idx="23">
                  <c:v>0.35651974288337923</c:v>
                </c:pt>
                <c:pt idx="24">
                  <c:v>0.22535965717783898</c:v>
                </c:pt>
                <c:pt idx="25">
                  <c:v>4.5148454239363331E-3</c:v>
                </c:pt>
                <c:pt idx="26">
                  <c:v>4.4306703397612487E-2</c:v>
                </c:pt>
              </c:numCache>
            </c:numRef>
          </c:val>
        </c:ser>
        <c:ser>
          <c:idx val="1"/>
          <c:order val="1"/>
          <c:tx>
            <c:strRef>
              <c:f>Barriers!$U$2</c:f>
              <c:strCache>
                <c:ptCount val="1"/>
                <c:pt idx="0">
                  <c:v>National</c:v>
                </c:pt>
              </c:strCache>
            </c:strRef>
          </c:tx>
          <c:invertIfNegative val="0"/>
          <c:dLbls>
            <c:showLegendKey val="0"/>
            <c:showVal val="1"/>
            <c:showCatName val="0"/>
            <c:showSerName val="0"/>
            <c:showPercent val="0"/>
            <c:showBubbleSize val="0"/>
            <c:showLeaderLines val="0"/>
          </c:dLbls>
          <c:cat>
            <c:strRef>
              <c:f>Barriers!$S$3:$S$29</c:f>
              <c:strCache>
                <c:ptCount val="27"/>
                <c:pt idx="0">
                  <c:v>Abuse/Domestic Violence issue</c:v>
                </c:pt>
                <c:pt idx="1">
                  <c:v>Alcohol and/or drug misuse</c:v>
                </c:pt>
                <c:pt idx="2">
                  <c:v>Anger management issues</c:v>
                </c:pt>
                <c:pt idx="3">
                  <c:v>Behavioural problems</c:v>
                </c:pt>
                <c:pt idx="4">
                  <c:v>Bullying</c:v>
                </c:pt>
                <c:pt idx="5">
                  <c:v>Critical life event</c:v>
                </c:pt>
                <c:pt idx="6">
                  <c:v>Current or previous Juvenile Justice Orders</c:v>
                </c:pt>
                <c:pt idx="7">
                  <c:v>Disability</c:v>
                </c:pt>
                <c:pt idx="8">
                  <c:v>Disconnection from cultural heritage</c:v>
                </c:pt>
                <c:pt idx="9">
                  <c:v>Financial distress</c:v>
                </c:pt>
                <c:pt idx="10">
                  <c:v>Gifted</c:v>
                </c:pt>
                <c:pt idx="11">
                  <c:v>Homelessness</c:v>
                </c:pt>
                <c:pt idx="12">
                  <c:v>In detention/previously in detention</c:v>
                </c:pt>
                <c:pt idx="13">
                  <c:v>Inadequate family support</c:v>
                </c:pt>
                <c:pt idx="14">
                  <c:v>Learning Difficulty</c:v>
                </c:pt>
                <c:pt idx="15">
                  <c:v>Low literacy and/or numeracy</c:v>
                </c:pt>
                <c:pt idx="16">
                  <c:v>Low Self Esteem</c:v>
                </c:pt>
                <c:pt idx="17">
                  <c:v>Medical or other health issue</c:v>
                </c:pt>
                <c:pt idx="18">
                  <c:v>Negative experience(s) with education and training</c:v>
                </c:pt>
                <c:pt idx="19">
                  <c:v>Out of home care</c:v>
                </c:pt>
                <c:pt idx="20">
                  <c:v>Parent/Pregnancy</c:v>
                </c:pt>
                <c:pt idx="21">
                  <c:v>Petrol sniffing</c:v>
                </c:pt>
                <c:pt idx="22">
                  <c:v>Socialisation issues</c:v>
                </c:pt>
                <c:pt idx="23">
                  <c:v>Suspected or diagnosed mental health issue</c:v>
                </c:pt>
                <c:pt idx="24">
                  <c:v>Unstable living arrangements</c:v>
                </c:pt>
                <c:pt idx="25">
                  <c:v>Volatile substance misuse</c:v>
                </c:pt>
                <c:pt idx="26">
                  <c:v>Young Carer responsibilities</c:v>
                </c:pt>
              </c:strCache>
            </c:strRef>
          </c:cat>
          <c:val>
            <c:numRef>
              <c:f>Barriers!$U$3:$U$29</c:f>
              <c:numCache>
                <c:formatCode>0%</c:formatCode>
                <c:ptCount val="27"/>
                <c:pt idx="0">
                  <c:v>9.8531023147514038E-2</c:v>
                </c:pt>
                <c:pt idx="1">
                  <c:v>0.18502602383235173</c:v>
                </c:pt>
                <c:pt idx="2">
                  <c:v>0.30057526366251197</c:v>
                </c:pt>
                <c:pt idx="3">
                  <c:v>0.49931516230653333</c:v>
                </c:pt>
                <c:pt idx="4">
                  <c:v>0.2488357759211067</c:v>
                </c:pt>
                <c:pt idx="5">
                  <c:v>0.16204971921654568</c:v>
                </c:pt>
                <c:pt idx="6">
                  <c:v>9.7435282837967402E-2</c:v>
                </c:pt>
                <c:pt idx="7">
                  <c:v>4.5336255307492121E-2</c:v>
                </c:pt>
                <c:pt idx="8">
                  <c:v>4.929119298726202E-2</c:v>
                </c:pt>
                <c:pt idx="9">
                  <c:v>0.28294069305574576</c:v>
                </c:pt>
                <c:pt idx="10">
                  <c:v>1.1162854403506369E-2</c:v>
                </c:pt>
                <c:pt idx="11">
                  <c:v>4.5147924941788799E-2</c:v>
                </c:pt>
                <c:pt idx="12">
                  <c:v>2.9328174222709218E-2</c:v>
                </c:pt>
                <c:pt idx="13">
                  <c:v>0.27506505958087935</c:v>
                </c:pt>
                <c:pt idx="14">
                  <c:v>8.5125325297904397E-2</c:v>
                </c:pt>
                <c:pt idx="15">
                  <c:v>0.48945349952061362</c:v>
                </c:pt>
                <c:pt idx="16">
                  <c:v>0.55559169976715517</c:v>
                </c:pt>
                <c:pt idx="17">
                  <c:v>9.8839200109574032E-2</c:v>
                </c:pt>
                <c:pt idx="18">
                  <c:v>0.13672784550061634</c:v>
                </c:pt>
                <c:pt idx="19">
                  <c:v>3.6621695658129026E-2</c:v>
                </c:pt>
                <c:pt idx="20">
                  <c:v>3.5406108752225725E-2</c:v>
                </c:pt>
                <c:pt idx="21">
                  <c:v>7.5332146281331322E-4</c:v>
                </c:pt>
                <c:pt idx="22">
                  <c:v>0.41704903437885221</c:v>
                </c:pt>
                <c:pt idx="23">
                  <c:v>0.26823380358854954</c:v>
                </c:pt>
                <c:pt idx="24">
                  <c:v>0.1762772222983153</c:v>
                </c:pt>
                <c:pt idx="25">
                  <c:v>4.5884125462265441E-3</c:v>
                </c:pt>
                <c:pt idx="26">
                  <c:v>3.5543076290919053E-2</c:v>
                </c:pt>
              </c:numCache>
            </c:numRef>
          </c:val>
        </c:ser>
        <c:dLbls>
          <c:showLegendKey val="0"/>
          <c:showVal val="0"/>
          <c:showCatName val="0"/>
          <c:showSerName val="0"/>
          <c:showPercent val="0"/>
          <c:showBubbleSize val="0"/>
        </c:dLbls>
        <c:gapWidth val="150"/>
        <c:axId val="168861056"/>
        <c:axId val="168875136"/>
      </c:barChart>
      <c:catAx>
        <c:axId val="168861056"/>
        <c:scaling>
          <c:orientation val="maxMin"/>
        </c:scaling>
        <c:delete val="0"/>
        <c:axPos val="l"/>
        <c:majorTickMark val="none"/>
        <c:minorTickMark val="none"/>
        <c:tickLblPos val="nextTo"/>
        <c:crossAx val="168875136"/>
        <c:crosses val="autoZero"/>
        <c:auto val="1"/>
        <c:lblAlgn val="ctr"/>
        <c:lblOffset val="100"/>
        <c:noMultiLvlLbl val="0"/>
      </c:catAx>
      <c:valAx>
        <c:axId val="168875136"/>
        <c:scaling>
          <c:orientation val="minMax"/>
        </c:scaling>
        <c:delete val="0"/>
        <c:axPos val="t"/>
        <c:majorGridlines/>
        <c:numFmt formatCode="0%" sourceLinked="1"/>
        <c:majorTickMark val="none"/>
        <c:minorTickMark val="none"/>
        <c:tickLblPos val="nextTo"/>
        <c:crossAx val="168861056"/>
        <c:crosses val="autoZero"/>
        <c:crossBetween val="between"/>
      </c:valAx>
    </c:plotArea>
    <c:legend>
      <c:legendPos val="r"/>
      <c:layout/>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2F0AD9-5ED9-4CC3-B464-B9624D6DC5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52310B30.dotm</Template>
  <TotalTime>179</TotalTime>
  <Pages>65</Pages>
  <Words>19102</Words>
  <Characters>108888</Characters>
  <Application>Microsoft Office Word</Application>
  <DocSecurity>0</DocSecurity>
  <Lines>907</Lines>
  <Paragraphs>255</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127735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Liam Smyth</dc:creator>
  <cp:lastModifiedBy>Michaela Austin</cp:lastModifiedBy>
  <cp:revision>25</cp:revision>
  <cp:lastPrinted>2014-03-31T04:25:00Z</cp:lastPrinted>
  <dcterms:created xsi:type="dcterms:W3CDTF">2013-07-30T00:54:00Z</dcterms:created>
  <dcterms:modified xsi:type="dcterms:W3CDTF">2014-03-31T04:25:00Z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